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67D9" w14:textId="2DDDEAA5" w:rsidR="00310251" w:rsidRPr="007917DD" w:rsidRDefault="00310251" w:rsidP="00310251">
      <w:pPr>
        <w:tabs>
          <w:tab w:val="left" w:pos="720"/>
        </w:tabs>
        <w:spacing w:after="0" w:line="276" w:lineRule="auto"/>
        <w:jc w:val="right"/>
        <w:rPr>
          <w:rFonts w:asciiTheme="majorHAnsi" w:eastAsia="Times New Roman" w:hAnsiTheme="majorHAnsi" w:cstheme="majorHAnsi"/>
          <w:bCs/>
          <w:sz w:val="24"/>
          <w:szCs w:val="24"/>
          <w:lang w:val="ro-MD"/>
        </w:rPr>
      </w:pPr>
      <w:bookmarkStart w:id="0" w:name="_GoBack"/>
      <w:bookmarkEnd w:id="0"/>
      <w:r w:rsidRPr="007917DD">
        <w:rPr>
          <w:rFonts w:asciiTheme="majorHAnsi" w:eastAsia="Times New Roman" w:hAnsiTheme="majorHAnsi" w:cstheme="majorHAnsi"/>
          <w:bCs/>
          <w:sz w:val="24"/>
          <w:szCs w:val="24"/>
          <w:lang w:val="ro-MD"/>
        </w:rPr>
        <w:t xml:space="preserve">Anexă </w:t>
      </w:r>
    </w:p>
    <w:p w14:paraId="451867DA" w14:textId="77777777" w:rsidR="00310251" w:rsidRPr="007917DD" w:rsidRDefault="00310251" w:rsidP="00310251">
      <w:pPr>
        <w:tabs>
          <w:tab w:val="left" w:pos="720"/>
        </w:tabs>
        <w:spacing w:after="0" w:line="276" w:lineRule="auto"/>
        <w:jc w:val="right"/>
        <w:rPr>
          <w:rFonts w:asciiTheme="majorHAnsi" w:eastAsia="Times New Roman" w:hAnsiTheme="majorHAnsi" w:cstheme="majorHAnsi"/>
          <w:bCs/>
          <w:sz w:val="24"/>
          <w:szCs w:val="24"/>
          <w:lang w:val="ro-MD"/>
        </w:rPr>
      </w:pPr>
      <w:r w:rsidRPr="007917DD">
        <w:rPr>
          <w:rFonts w:asciiTheme="majorHAnsi" w:eastAsia="Times New Roman" w:hAnsiTheme="majorHAnsi" w:cstheme="majorHAnsi"/>
          <w:bCs/>
          <w:sz w:val="24"/>
          <w:szCs w:val="24"/>
          <w:lang w:val="ro-MD"/>
        </w:rPr>
        <w:t xml:space="preserve">la Hotărârea Curții de Conturi </w:t>
      </w:r>
    </w:p>
    <w:p w14:paraId="451867DB" w14:textId="45834E6E" w:rsidR="00310251" w:rsidRPr="007917DD" w:rsidRDefault="00C44B4A" w:rsidP="00310251">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MD"/>
        </w:rPr>
      </w:pPr>
      <w:r w:rsidRPr="007917DD">
        <w:rPr>
          <w:rFonts w:asciiTheme="majorHAnsi" w:eastAsia="Times New Roman" w:hAnsiTheme="majorHAnsi" w:cstheme="majorHAnsi"/>
          <w:bCs/>
          <w:sz w:val="24"/>
          <w:szCs w:val="24"/>
          <w:lang w:val="ro-MD"/>
        </w:rPr>
        <w:t>nr</w:t>
      </w:r>
      <w:r w:rsidR="00F36004" w:rsidRPr="007917DD">
        <w:rPr>
          <w:rFonts w:asciiTheme="majorHAnsi" w:eastAsia="Times New Roman" w:hAnsiTheme="majorHAnsi" w:cstheme="majorHAnsi"/>
          <w:bCs/>
          <w:sz w:val="24"/>
          <w:szCs w:val="24"/>
          <w:lang w:val="ro-MD"/>
        </w:rPr>
        <w:t>.</w:t>
      </w:r>
      <w:r w:rsidR="004D4248">
        <w:rPr>
          <w:rFonts w:asciiTheme="majorHAnsi" w:eastAsia="Times New Roman" w:hAnsiTheme="majorHAnsi" w:cstheme="majorHAnsi"/>
          <w:bCs/>
          <w:sz w:val="24"/>
          <w:szCs w:val="24"/>
          <w:lang w:val="ro-MD"/>
        </w:rPr>
        <w:t>60</w:t>
      </w:r>
      <w:r w:rsidR="00D93435">
        <w:rPr>
          <w:rFonts w:asciiTheme="majorHAnsi" w:eastAsia="Times New Roman" w:hAnsiTheme="majorHAnsi" w:cstheme="majorHAnsi"/>
          <w:bCs/>
          <w:sz w:val="24"/>
          <w:szCs w:val="24"/>
          <w:lang w:val="ro-MD"/>
        </w:rPr>
        <w:t xml:space="preserve"> din 13.12.2022</w:t>
      </w:r>
    </w:p>
    <w:p w14:paraId="451867DC" w14:textId="77777777" w:rsidR="00310251" w:rsidRPr="007917DD" w:rsidRDefault="00310251" w:rsidP="00310251">
      <w:pPr>
        <w:spacing w:after="0" w:line="276" w:lineRule="auto"/>
        <w:rPr>
          <w:rFonts w:asciiTheme="majorHAnsi" w:hAnsiTheme="majorHAnsi" w:cstheme="majorHAnsi"/>
          <w:sz w:val="24"/>
          <w:szCs w:val="24"/>
          <w:lang w:val="ro-MD"/>
        </w:rPr>
      </w:pPr>
    </w:p>
    <w:p w14:paraId="451867DD" w14:textId="77777777" w:rsidR="00310251" w:rsidRPr="007917DD" w:rsidRDefault="00310251" w:rsidP="00310251">
      <w:pPr>
        <w:spacing w:after="0" w:line="276" w:lineRule="auto"/>
        <w:rPr>
          <w:rFonts w:asciiTheme="majorHAnsi" w:hAnsiTheme="majorHAnsi" w:cstheme="majorHAnsi"/>
          <w:sz w:val="24"/>
          <w:szCs w:val="24"/>
          <w:lang w:val="ro-MD"/>
        </w:rPr>
      </w:pPr>
    </w:p>
    <w:p w14:paraId="451867DE" w14:textId="77777777" w:rsidR="00310251" w:rsidRPr="007917DD" w:rsidRDefault="00310251" w:rsidP="00310251">
      <w:pPr>
        <w:spacing w:after="0" w:line="276" w:lineRule="auto"/>
        <w:rPr>
          <w:rFonts w:asciiTheme="majorHAnsi" w:hAnsiTheme="majorHAnsi" w:cstheme="majorHAnsi"/>
          <w:sz w:val="24"/>
          <w:szCs w:val="24"/>
          <w:lang w:val="ro-MD"/>
        </w:rPr>
      </w:pPr>
    </w:p>
    <w:p w14:paraId="451867DF" w14:textId="77777777" w:rsidR="00310251" w:rsidRPr="007917DD" w:rsidRDefault="00310251" w:rsidP="00310251">
      <w:pPr>
        <w:spacing w:after="0" w:line="276" w:lineRule="auto"/>
        <w:rPr>
          <w:rFonts w:asciiTheme="majorHAnsi" w:hAnsiTheme="majorHAnsi" w:cstheme="majorHAnsi"/>
          <w:sz w:val="24"/>
          <w:szCs w:val="24"/>
          <w:lang w:val="ro-MD"/>
        </w:rPr>
      </w:pPr>
    </w:p>
    <w:p w14:paraId="451867E0" w14:textId="77777777" w:rsidR="00310251" w:rsidRPr="007917DD" w:rsidRDefault="00310251" w:rsidP="00310251">
      <w:pPr>
        <w:spacing w:after="0" w:line="276" w:lineRule="auto"/>
        <w:jc w:val="center"/>
        <w:rPr>
          <w:rFonts w:asciiTheme="majorHAnsi" w:hAnsiTheme="majorHAnsi" w:cstheme="majorHAnsi"/>
          <w:b/>
          <w:sz w:val="24"/>
          <w:szCs w:val="24"/>
          <w:lang w:val="ro-MD"/>
        </w:rPr>
      </w:pPr>
      <w:r w:rsidRPr="007917DD">
        <w:rPr>
          <w:rFonts w:asciiTheme="majorHAnsi" w:hAnsiTheme="majorHAnsi" w:cstheme="majorHAnsi"/>
          <w:noProof/>
          <w:sz w:val="24"/>
          <w:szCs w:val="24"/>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7917DD" w:rsidRDefault="00310251" w:rsidP="00310251">
      <w:pPr>
        <w:spacing w:after="0" w:line="276" w:lineRule="auto"/>
        <w:jc w:val="center"/>
        <w:rPr>
          <w:rFonts w:asciiTheme="majorHAnsi" w:hAnsiTheme="majorHAnsi" w:cstheme="majorHAnsi"/>
          <w:b/>
          <w:sz w:val="24"/>
          <w:szCs w:val="24"/>
          <w:lang w:val="ro-MD"/>
        </w:rPr>
      </w:pPr>
    </w:p>
    <w:p w14:paraId="451867E2" w14:textId="77777777" w:rsidR="00310251" w:rsidRPr="007917DD" w:rsidRDefault="00310251" w:rsidP="00310251">
      <w:pPr>
        <w:spacing w:after="0" w:line="276" w:lineRule="auto"/>
        <w:jc w:val="center"/>
        <w:rPr>
          <w:rFonts w:asciiTheme="majorHAnsi" w:hAnsiTheme="majorHAnsi" w:cstheme="majorHAnsi"/>
          <w:b/>
          <w:sz w:val="24"/>
          <w:szCs w:val="24"/>
          <w:lang w:val="ro-MD"/>
        </w:rPr>
      </w:pPr>
      <w:r w:rsidRPr="007917DD">
        <w:rPr>
          <w:rFonts w:asciiTheme="majorHAnsi" w:hAnsiTheme="majorHAnsi" w:cstheme="majorHAnsi"/>
          <w:b/>
          <w:sz w:val="24"/>
          <w:szCs w:val="24"/>
          <w:lang w:val="ro-MD"/>
        </w:rPr>
        <w:t>CURTEA DE CONTURI A REPUBLICII MOLDOVA</w:t>
      </w:r>
    </w:p>
    <w:p w14:paraId="451867E3" w14:textId="77777777" w:rsidR="00310251" w:rsidRPr="007917DD" w:rsidRDefault="00310251" w:rsidP="00310251">
      <w:pPr>
        <w:spacing w:after="0" w:line="276" w:lineRule="auto"/>
        <w:rPr>
          <w:rFonts w:asciiTheme="majorHAnsi" w:hAnsiTheme="majorHAnsi" w:cstheme="majorHAnsi"/>
          <w:sz w:val="24"/>
          <w:szCs w:val="24"/>
          <w:lang w:val="ro-MD"/>
        </w:rPr>
      </w:pPr>
    </w:p>
    <w:p w14:paraId="451867E4" w14:textId="77777777" w:rsidR="00310251" w:rsidRPr="007917DD" w:rsidRDefault="00310251" w:rsidP="0031025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451867E5" w14:textId="77777777" w:rsidR="00310251" w:rsidRPr="007917DD" w:rsidRDefault="00310251" w:rsidP="0031025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6741B0" w14:paraId="451867E8" w14:textId="77777777" w:rsidTr="00014863">
        <w:trPr>
          <w:trHeight w:val="435"/>
        </w:trPr>
        <w:tc>
          <w:tcPr>
            <w:tcW w:w="9350" w:type="dxa"/>
          </w:tcPr>
          <w:p w14:paraId="703D82C0" w14:textId="73D031A1" w:rsidR="00AE2DD8" w:rsidRPr="006741B0" w:rsidRDefault="00310251" w:rsidP="00AE2DD8">
            <w:pPr>
              <w:tabs>
                <w:tab w:val="left" w:pos="720"/>
              </w:tabs>
              <w:spacing w:line="276" w:lineRule="auto"/>
              <w:jc w:val="center"/>
              <w:rPr>
                <w:rFonts w:asciiTheme="majorHAnsi" w:hAnsiTheme="majorHAnsi" w:cstheme="majorHAnsi"/>
                <w:sz w:val="20"/>
                <w:szCs w:val="24"/>
                <w:lang w:val="ro-MD"/>
              </w:rPr>
            </w:pPr>
            <w:r w:rsidRPr="006741B0">
              <w:rPr>
                <w:rFonts w:asciiTheme="majorHAnsi" w:hAnsiTheme="majorHAnsi" w:cstheme="majorHAnsi"/>
                <w:sz w:val="20"/>
                <w:szCs w:val="24"/>
                <w:lang w:val="ro-MD"/>
              </w:rPr>
              <w:t>MD-2001, mun. Chișinău, bd. Ștefan cel Ma</w:t>
            </w:r>
            <w:r w:rsidR="00AE2DD8" w:rsidRPr="006741B0">
              <w:rPr>
                <w:rFonts w:asciiTheme="majorHAnsi" w:hAnsiTheme="majorHAnsi" w:cstheme="majorHAnsi"/>
                <w:sz w:val="20"/>
                <w:szCs w:val="24"/>
                <w:lang w:val="ro-MD"/>
              </w:rPr>
              <w:t>re și Sfânt nr.69, tel.: (+373</w:t>
            </w:r>
            <w:r w:rsidRPr="006741B0">
              <w:rPr>
                <w:rFonts w:asciiTheme="majorHAnsi" w:hAnsiTheme="majorHAnsi" w:cstheme="majorHAnsi"/>
                <w:sz w:val="20"/>
                <w:szCs w:val="24"/>
                <w:lang w:val="ro-MD"/>
              </w:rPr>
              <w:t xml:space="preserve"> 22</w:t>
            </w:r>
            <w:r w:rsidR="00AE2DD8" w:rsidRPr="006741B0">
              <w:rPr>
                <w:rFonts w:asciiTheme="majorHAnsi" w:hAnsiTheme="majorHAnsi" w:cstheme="majorHAnsi"/>
                <w:sz w:val="20"/>
                <w:szCs w:val="24"/>
                <w:lang w:val="ro-MD"/>
              </w:rPr>
              <w:t>) 26 60 02, fax: (+373</w:t>
            </w:r>
            <w:r w:rsidRPr="006741B0">
              <w:rPr>
                <w:rFonts w:asciiTheme="majorHAnsi" w:hAnsiTheme="majorHAnsi" w:cstheme="majorHAnsi"/>
                <w:sz w:val="20"/>
                <w:szCs w:val="24"/>
                <w:lang w:val="ro-MD"/>
              </w:rPr>
              <w:t xml:space="preserve"> 22</w:t>
            </w:r>
            <w:r w:rsidR="00AE2DD8" w:rsidRPr="006741B0">
              <w:rPr>
                <w:rFonts w:asciiTheme="majorHAnsi" w:hAnsiTheme="majorHAnsi" w:cstheme="majorHAnsi"/>
                <w:sz w:val="20"/>
                <w:szCs w:val="24"/>
                <w:lang w:val="ro-MD"/>
              </w:rPr>
              <w:t>) 26 61 0</w:t>
            </w:r>
            <w:r w:rsidRPr="006741B0">
              <w:rPr>
                <w:rFonts w:asciiTheme="majorHAnsi" w:hAnsiTheme="majorHAnsi" w:cstheme="majorHAnsi"/>
                <w:sz w:val="20"/>
                <w:szCs w:val="24"/>
                <w:lang w:val="ro-MD"/>
              </w:rPr>
              <w:t>0,</w:t>
            </w:r>
          </w:p>
          <w:p w14:paraId="451867E7" w14:textId="387E82F7" w:rsidR="00AE2DD8" w:rsidRPr="006741B0" w:rsidRDefault="00AE2DD8" w:rsidP="00AE2DD8">
            <w:pPr>
              <w:tabs>
                <w:tab w:val="left" w:pos="720"/>
              </w:tabs>
              <w:spacing w:line="276" w:lineRule="auto"/>
              <w:jc w:val="center"/>
              <w:rPr>
                <w:rFonts w:asciiTheme="majorHAnsi" w:hAnsiTheme="majorHAnsi" w:cstheme="majorHAnsi"/>
                <w:b/>
                <w:color w:val="0563C1" w:themeColor="hyperlink"/>
                <w:sz w:val="20"/>
                <w:szCs w:val="24"/>
                <w:u w:val="single"/>
                <w:lang w:val="ro-MD"/>
              </w:rPr>
            </w:pPr>
            <w:r w:rsidRPr="006741B0">
              <w:rPr>
                <w:rFonts w:asciiTheme="majorHAnsi" w:hAnsiTheme="majorHAnsi" w:cstheme="majorHAnsi"/>
                <w:sz w:val="20"/>
                <w:szCs w:val="24"/>
                <w:lang w:val="ro-MD"/>
              </w:rPr>
              <w:t xml:space="preserve">web: </w:t>
            </w:r>
            <w:hyperlink r:id="rId13" w:history="1">
              <w:r w:rsidRPr="006741B0">
                <w:rPr>
                  <w:rStyle w:val="Hyperlink"/>
                  <w:rFonts w:asciiTheme="majorHAnsi" w:hAnsiTheme="majorHAnsi" w:cstheme="majorHAnsi"/>
                  <w:b/>
                  <w:sz w:val="20"/>
                  <w:szCs w:val="24"/>
                  <w:lang w:val="ro-MD"/>
                </w:rPr>
                <w:t>www.ccrm.md</w:t>
              </w:r>
            </w:hyperlink>
            <w:r w:rsidRPr="006741B0">
              <w:rPr>
                <w:rStyle w:val="Hyperlink"/>
                <w:rFonts w:asciiTheme="majorHAnsi" w:hAnsiTheme="majorHAnsi" w:cstheme="majorHAnsi"/>
                <w:color w:val="4472C4" w:themeColor="accent5"/>
                <w:sz w:val="20"/>
                <w:szCs w:val="24"/>
                <w:u w:val="none"/>
                <w:lang w:val="ro-MD"/>
              </w:rPr>
              <w:t xml:space="preserve">, </w:t>
            </w:r>
            <w:r w:rsidR="00310251" w:rsidRPr="006741B0">
              <w:rPr>
                <w:rFonts w:asciiTheme="majorHAnsi" w:hAnsiTheme="majorHAnsi" w:cstheme="majorHAnsi"/>
                <w:sz w:val="20"/>
                <w:szCs w:val="24"/>
                <w:lang w:val="ro-MD"/>
              </w:rPr>
              <w:t xml:space="preserve">e-mail: </w:t>
            </w:r>
            <w:hyperlink r:id="rId14" w:history="1">
              <w:r w:rsidR="00310251" w:rsidRPr="006741B0">
                <w:rPr>
                  <w:rStyle w:val="Hyperlink"/>
                  <w:rFonts w:asciiTheme="majorHAnsi" w:hAnsiTheme="majorHAnsi" w:cstheme="majorHAnsi"/>
                  <w:b/>
                  <w:sz w:val="20"/>
                  <w:szCs w:val="24"/>
                  <w:lang w:val="ro-MD"/>
                </w:rPr>
                <w:t>ccrm@</w:t>
              </w:r>
              <w:r w:rsidR="00310251" w:rsidRPr="006741B0">
                <w:rPr>
                  <w:rStyle w:val="Hyperlink"/>
                  <w:rFonts w:asciiTheme="majorHAnsi" w:hAnsiTheme="majorHAnsi" w:cstheme="majorHAnsi"/>
                  <w:b/>
                  <w:color w:val="4472C4" w:themeColor="accent5"/>
                  <w:sz w:val="20"/>
                  <w:szCs w:val="24"/>
                  <w:lang w:val="ro-MD"/>
                </w:rPr>
                <w:t>ccrm</w:t>
              </w:r>
              <w:r w:rsidR="00310251" w:rsidRPr="006741B0">
                <w:rPr>
                  <w:rStyle w:val="Hyperlink"/>
                  <w:rFonts w:asciiTheme="majorHAnsi" w:hAnsiTheme="majorHAnsi" w:cstheme="majorHAnsi"/>
                  <w:b/>
                  <w:sz w:val="20"/>
                  <w:szCs w:val="24"/>
                  <w:lang w:val="ro-MD"/>
                </w:rPr>
                <w:t>.md</w:t>
              </w:r>
            </w:hyperlink>
          </w:p>
        </w:tc>
      </w:tr>
    </w:tbl>
    <w:p w14:paraId="451867E9" w14:textId="77777777" w:rsidR="00310251" w:rsidRPr="007917DD" w:rsidRDefault="00310251" w:rsidP="0031025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451867EB" w14:textId="77777777" w:rsidR="00310251" w:rsidRPr="007917DD" w:rsidRDefault="00310251" w:rsidP="0031025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451867EC" w14:textId="77777777" w:rsidR="00310251" w:rsidRPr="007917DD" w:rsidRDefault="00310251" w:rsidP="00310251">
      <w:pPr>
        <w:tabs>
          <w:tab w:val="left" w:pos="720"/>
        </w:tabs>
        <w:spacing w:after="0" w:line="276" w:lineRule="auto"/>
        <w:ind w:firstLine="720"/>
        <w:jc w:val="center"/>
        <w:rPr>
          <w:rFonts w:asciiTheme="majorHAnsi" w:eastAsia="Times New Roman" w:hAnsiTheme="majorHAnsi" w:cstheme="majorHAnsi"/>
          <w:b/>
          <w:bCs/>
          <w:sz w:val="24"/>
          <w:szCs w:val="24"/>
          <w:lang w:val="ro-MD"/>
        </w:rPr>
      </w:pPr>
    </w:p>
    <w:p w14:paraId="451867ED" w14:textId="77777777" w:rsidR="00310251" w:rsidRPr="007917DD" w:rsidRDefault="00310251" w:rsidP="00310251">
      <w:pPr>
        <w:tabs>
          <w:tab w:val="left" w:pos="720"/>
        </w:tabs>
        <w:spacing w:after="0" w:line="276" w:lineRule="auto"/>
        <w:jc w:val="center"/>
        <w:rPr>
          <w:rFonts w:asciiTheme="majorHAnsi" w:eastAsia="Times New Roman" w:hAnsiTheme="majorHAnsi" w:cstheme="majorHAnsi"/>
          <w:b/>
          <w:bCs/>
          <w:sz w:val="24"/>
          <w:szCs w:val="24"/>
          <w:lang w:val="ro-MD"/>
        </w:rPr>
      </w:pPr>
      <w:r w:rsidRPr="007917DD">
        <w:rPr>
          <w:rFonts w:asciiTheme="majorHAnsi" w:eastAsia="Times New Roman" w:hAnsiTheme="majorHAnsi" w:cstheme="majorHAnsi"/>
          <w:b/>
          <w:bCs/>
          <w:sz w:val="24"/>
          <w:szCs w:val="24"/>
          <w:lang w:val="ro-MD"/>
        </w:rPr>
        <w:t xml:space="preserve">RAPORTUL </w:t>
      </w:r>
    </w:p>
    <w:p w14:paraId="451867F0" w14:textId="39348718" w:rsidR="00310251" w:rsidRPr="007917DD" w:rsidRDefault="00310251" w:rsidP="00F36004">
      <w:pPr>
        <w:spacing w:after="0" w:line="276" w:lineRule="auto"/>
        <w:jc w:val="center"/>
        <w:rPr>
          <w:rFonts w:asciiTheme="majorHAnsi" w:eastAsia="Times New Roman" w:hAnsiTheme="majorHAnsi" w:cstheme="majorHAnsi"/>
          <w:bCs/>
          <w:sz w:val="24"/>
          <w:szCs w:val="24"/>
          <w:lang w:val="ro-MD"/>
        </w:rPr>
      </w:pPr>
      <w:r w:rsidRPr="007917DD">
        <w:rPr>
          <w:rFonts w:asciiTheme="majorHAnsi" w:hAnsiTheme="majorHAnsi" w:cstheme="majorHAnsi"/>
          <w:b/>
          <w:sz w:val="24"/>
          <w:szCs w:val="24"/>
          <w:lang w:val="ro-MD"/>
        </w:rPr>
        <w:t>auditul</w:t>
      </w:r>
      <w:r w:rsidR="00BE0445" w:rsidRPr="007917DD">
        <w:rPr>
          <w:rFonts w:asciiTheme="majorHAnsi" w:hAnsiTheme="majorHAnsi" w:cstheme="majorHAnsi"/>
          <w:b/>
          <w:sz w:val="24"/>
          <w:szCs w:val="24"/>
          <w:lang w:val="ro-MD"/>
        </w:rPr>
        <w:t>ui</w:t>
      </w:r>
      <w:r w:rsidRPr="007917DD">
        <w:rPr>
          <w:rFonts w:asciiTheme="majorHAnsi" w:hAnsiTheme="majorHAnsi" w:cstheme="majorHAnsi"/>
          <w:b/>
          <w:sz w:val="24"/>
          <w:szCs w:val="24"/>
          <w:lang w:val="ro-MD"/>
        </w:rPr>
        <w:t xml:space="preserve"> </w:t>
      </w:r>
      <w:r w:rsidR="00F36004" w:rsidRPr="007917DD">
        <w:rPr>
          <w:rFonts w:asciiTheme="majorHAnsi" w:hAnsiTheme="majorHAnsi" w:cstheme="majorHAnsi"/>
          <w:b/>
          <w:sz w:val="24"/>
          <w:szCs w:val="24"/>
          <w:lang w:val="ro-MD"/>
        </w:rPr>
        <w:t>conformității gestionării patrimoniului public</w:t>
      </w:r>
      <w:r w:rsidR="00544180">
        <w:rPr>
          <w:rFonts w:asciiTheme="majorHAnsi" w:hAnsiTheme="majorHAnsi" w:cstheme="majorHAnsi"/>
          <w:b/>
          <w:sz w:val="24"/>
          <w:szCs w:val="24"/>
          <w:lang w:val="ro-MD"/>
        </w:rPr>
        <w:t xml:space="preserve"> (</w:t>
      </w:r>
      <w:r w:rsidR="005A462A">
        <w:rPr>
          <w:rFonts w:asciiTheme="majorHAnsi" w:hAnsiTheme="majorHAnsi" w:cstheme="majorHAnsi"/>
          <w:b/>
          <w:sz w:val="24"/>
          <w:szCs w:val="24"/>
          <w:lang w:val="ro-MD"/>
        </w:rPr>
        <w:t>inclusiv subsidiile)</w:t>
      </w:r>
      <w:r w:rsidR="00F36004" w:rsidRPr="007917DD">
        <w:rPr>
          <w:rFonts w:asciiTheme="majorHAnsi" w:hAnsiTheme="majorHAnsi" w:cstheme="majorHAnsi"/>
          <w:b/>
          <w:sz w:val="24"/>
          <w:szCs w:val="24"/>
          <w:lang w:val="ro-MD"/>
        </w:rPr>
        <w:t xml:space="preserve"> de către </w:t>
      </w:r>
      <w:r w:rsidR="003F2E09">
        <w:rPr>
          <w:rFonts w:asciiTheme="majorHAnsi" w:hAnsiTheme="majorHAnsi" w:cstheme="majorHAnsi"/>
          <w:b/>
          <w:sz w:val="24"/>
          <w:szCs w:val="24"/>
          <w:lang w:val="ro-MD"/>
        </w:rPr>
        <w:t>i</w:t>
      </w:r>
      <w:r w:rsidR="00F36004" w:rsidRPr="007917DD">
        <w:rPr>
          <w:rFonts w:asciiTheme="majorHAnsi" w:hAnsiTheme="majorHAnsi" w:cstheme="majorHAnsi"/>
          <w:b/>
          <w:sz w:val="24"/>
          <w:szCs w:val="24"/>
          <w:lang w:val="ro-MD"/>
        </w:rPr>
        <w:t xml:space="preserve">nstituțiile </w:t>
      </w:r>
      <w:r w:rsidR="003F2E09">
        <w:rPr>
          <w:rFonts w:asciiTheme="majorHAnsi" w:hAnsiTheme="majorHAnsi" w:cstheme="majorHAnsi"/>
          <w:b/>
          <w:sz w:val="24"/>
          <w:szCs w:val="24"/>
          <w:lang w:val="ro-MD"/>
        </w:rPr>
        <w:t>p</w:t>
      </w:r>
      <w:r w:rsidR="00F36004" w:rsidRPr="007917DD">
        <w:rPr>
          <w:rFonts w:asciiTheme="majorHAnsi" w:hAnsiTheme="majorHAnsi" w:cstheme="majorHAnsi"/>
          <w:b/>
          <w:sz w:val="24"/>
          <w:szCs w:val="24"/>
          <w:lang w:val="ro-MD"/>
        </w:rPr>
        <w:t xml:space="preserve">ublice </w:t>
      </w:r>
      <w:r w:rsidR="00A30B4A">
        <w:rPr>
          <w:rFonts w:asciiTheme="majorHAnsi" w:hAnsiTheme="majorHAnsi" w:cstheme="majorHAnsi"/>
          <w:b/>
          <w:sz w:val="24"/>
          <w:szCs w:val="24"/>
          <w:lang w:val="ro-MD"/>
        </w:rPr>
        <w:t>di</w:t>
      </w:r>
      <w:r w:rsidR="00F36004" w:rsidRPr="007917DD">
        <w:rPr>
          <w:rFonts w:asciiTheme="majorHAnsi" w:hAnsiTheme="majorHAnsi" w:cstheme="majorHAnsi"/>
          <w:b/>
          <w:sz w:val="24"/>
          <w:szCs w:val="24"/>
          <w:lang w:val="ro-MD"/>
        </w:rPr>
        <w:t>n domeniul infrastructurii calității în anii 2020-2021</w:t>
      </w:r>
    </w:p>
    <w:p w14:paraId="1632A97A" w14:textId="7785F003" w:rsidR="006A17BA" w:rsidRDefault="006A17BA">
      <w:pPr>
        <w:rPr>
          <w:lang w:val="ro-MD"/>
        </w:rPr>
      </w:pPr>
      <w:r>
        <w:rPr>
          <w:lang w:val="ro-MD"/>
        </w:rPr>
        <w:br w:type="page"/>
      </w:r>
    </w:p>
    <w:sdt>
      <w:sdtPr>
        <w:rPr>
          <w:rFonts w:asciiTheme="majorHAnsi" w:hAnsiTheme="majorHAnsi" w:cstheme="majorHAnsi"/>
          <w:sz w:val="24"/>
          <w:szCs w:val="24"/>
          <w:lang w:val="ro-MD"/>
        </w:rPr>
        <w:id w:val="332737546"/>
        <w:docPartObj>
          <w:docPartGallery w:val="Table of Contents"/>
          <w:docPartUnique/>
        </w:docPartObj>
      </w:sdtPr>
      <w:sdtEndPr>
        <w:rPr>
          <w:b/>
          <w:bCs/>
          <w:noProof/>
        </w:rPr>
      </w:sdtEndPr>
      <w:sdtContent>
        <w:p w14:paraId="1B50168E" w14:textId="1843E6DD" w:rsidR="009809D8" w:rsidRPr="00D93CE9" w:rsidRDefault="00D93CE9" w:rsidP="00D93CE9">
          <w:pPr>
            <w:tabs>
              <w:tab w:val="left" w:pos="720"/>
            </w:tabs>
            <w:spacing w:after="0" w:line="276" w:lineRule="auto"/>
            <w:jc w:val="center"/>
            <w:rPr>
              <w:rFonts w:asciiTheme="majorHAnsi" w:hAnsiTheme="majorHAnsi" w:cstheme="majorHAnsi"/>
              <w:b/>
              <w:color w:val="0070C0"/>
              <w:sz w:val="24"/>
              <w:szCs w:val="24"/>
              <w:lang w:val="ro-MD"/>
            </w:rPr>
          </w:pPr>
          <w:r w:rsidRPr="00D93CE9">
            <w:rPr>
              <w:rFonts w:asciiTheme="majorHAnsi" w:hAnsiTheme="majorHAnsi" w:cstheme="majorHAnsi"/>
              <w:b/>
              <w:color w:val="0070C0"/>
              <w:sz w:val="24"/>
              <w:szCs w:val="24"/>
              <w:lang w:val="ro-MD"/>
            </w:rPr>
            <w:t>Cuprins</w:t>
          </w:r>
        </w:p>
        <w:p w14:paraId="3583F219" w14:textId="3AB0DBC9" w:rsidR="006243C6" w:rsidRDefault="009809D8">
          <w:pPr>
            <w:pStyle w:val="TOC1"/>
            <w:rPr>
              <w:rFonts w:eastAsiaTheme="minorEastAsia"/>
              <w:noProof/>
            </w:rPr>
          </w:pPr>
          <w:r w:rsidRPr="008E60B2">
            <w:rPr>
              <w:rFonts w:asciiTheme="majorHAnsi" w:hAnsiTheme="majorHAnsi" w:cstheme="majorHAnsi"/>
              <w:sz w:val="24"/>
              <w:szCs w:val="24"/>
              <w:lang w:val="ro-MD"/>
            </w:rPr>
            <w:fldChar w:fldCharType="begin"/>
          </w:r>
          <w:r w:rsidRPr="008E60B2">
            <w:rPr>
              <w:rFonts w:asciiTheme="majorHAnsi" w:hAnsiTheme="majorHAnsi" w:cstheme="majorHAnsi"/>
              <w:sz w:val="24"/>
              <w:szCs w:val="24"/>
              <w:lang w:val="ro-MD"/>
            </w:rPr>
            <w:instrText xml:space="preserve"> TOC \o "1-3" \h \z \u </w:instrText>
          </w:r>
          <w:r w:rsidRPr="008E60B2">
            <w:rPr>
              <w:rFonts w:asciiTheme="majorHAnsi" w:hAnsiTheme="majorHAnsi" w:cstheme="majorHAnsi"/>
              <w:sz w:val="24"/>
              <w:szCs w:val="24"/>
              <w:lang w:val="ro-MD"/>
            </w:rPr>
            <w:fldChar w:fldCharType="separate"/>
          </w:r>
          <w:hyperlink w:anchor="_Toc123116690" w:history="1">
            <w:r w:rsidR="006243C6" w:rsidRPr="00C62A72">
              <w:rPr>
                <w:rStyle w:val="Hyperlink"/>
                <w:rFonts w:eastAsia="Times New Roman" w:cstheme="majorHAnsi"/>
                <w:b/>
                <w:bCs/>
                <w:noProof/>
                <w:lang w:val="ro-MD"/>
              </w:rPr>
              <w:t>LISTA ACRONIMELOR</w:t>
            </w:r>
            <w:r w:rsidR="006243C6">
              <w:rPr>
                <w:noProof/>
                <w:webHidden/>
              </w:rPr>
              <w:tab/>
            </w:r>
            <w:r w:rsidR="006243C6">
              <w:rPr>
                <w:noProof/>
                <w:webHidden/>
              </w:rPr>
              <w:fldChar w:fldCharType="begin"/>
            </w:r>
            <w:r w:rsidR="006243C6">
              <w:rPr>
                <w:noProof/>
                <w:webHidden/>
              </w:rPr>
              <w:instrText xml:space="preserve"> PAGEREF _Toc123116690 \h </w:instrText>
            </w:r>
            <w:r w:rsidR="006243C6">
              <w:rPr>
                <w:noProof/>
                <w:webHidden/>
              </w:rPr>
            </w:r>
            <w:r w:rsidR="006243C6">
              <w:rPr>
                <w:noProof/>
                <w:webHidden/>
              </w:rPr>
              <w:fldChar w:fldCharType="separate"/>
            </w:r>
            <w:r w:rsidR="006243C6">
              <w:rPr>
                <w:noProof/>
                <w:webHidden/>
              </w:rPr>
              <w:t>4</w:t>
            </w:r>
            <w:r w:rsidR="006243C6">
              <w:rPr>
                <w:noProof/>
                <w:webHidden/>
              </w:rPr>
              <w:fldChar w:fldCharType="end"/>
            </w:r>
          </w:hyperlink>
        </w:p>
        <w:p w14:paraId="21EB7D3B" w14:textId="240EE4B5" w:rsidR="006243C6" w:rsidRDefault="00D25ACA">
          <w:pPr>
            <w:pStyle w:val="TOC1"/>
            <w:rPr>
              <w:rFonts w:eastAsiaTheme="minorEastAsia"/>
              <w:noProof/>
            </w:rPr>
          </w:pPr>
          <w:hyperlink w:anchor="_Toc123116691" w:history="1">
            <w:r w:rsidR="006243C6" w:rsidRPr="00C62A72">
              <w:rPr>
                <w:rStyle w:val="Hyperlink"/>
                <w:rFonts w:eastAsia="Times New Roman" w:cstheme="majorHAnsi"/>
                <w:b/>
                <w:bCs/>
                <w:noProof/>
                <w:lang w:val="ro-MD"/>
              </w:rPr>
              <w:t>GLOSAR</w:t>
            </w:r>
            <w:r w:rsidR="006243C6">
              <w:rPr>
                <w:noProof/>
                <w:webHidden/>
              </w:rPr>
              <w:tab/>
            </w:r>
            <w:r w:rsidR="006243C6">
              <w:rPr>
                <w:noProof/>
                <w:webHidden/>
              </w:rPr>
              <w:fldChar w:fldCharType="begin"/>
            </w:r>
            <w:r w:rsidR="006243C6">
              <w:rPr>
                <w:noProof/>
                <w:webHidden/>
              </w:rPr>
              <w:instrText xml:space="preserve"> PAGEREF _Toc123116691 \h </w:instrText>
            </w:r>
            <w:r w:rsidR="006243C6">
              <w:rPr>
                <w:noProof/>
                <w:webHidden/>
              </w:rPr>
            </w:r>
            <w:r w:rsidR="006243C6">
              <w:rPr>
                <w:noProof/>
                <w:webHidden/>
              </w:rPr>
              <w:fldChar w:fldCharType="separate"/>
            </w:r>
            <w:r w:rsidR="006243C6">
              <w:rPr>
                <w:noProof/>
                <w:webHidden/>
              </w:rPr>
              <w:t>4</w:t>
            </w:r>
            <w:r w:rsidR="006243C6">
              <w:rPr>
                <w:noProof/>
                <w:webHidden/>
              </w:rPr>
              <w:fldChar w:fldCharType="end"/>
            </w:r>
          </w:hyperlink>
        </w:p>
        <w:p w14:paraId="622FF33C" w14:textId="7F6AE4DD" w:rsidR="006243C6" w:rsidRDefault="00D25ACA">
          <w:pPr>
            <w:pStyle w:val="TOC1"/>
            <w:rPr>
              <w:rFonts w:eastAsiaTheme="minorEastAsia"/>
              <w:noProof/>
            </w:rPr>
          </w:pPr>
          <w:hyperlink w:anchor="_Toc123116692" w:history="1">
            <w:r w:rsidR="006243C6" w:rsidRPr="00C62A72">
              <w:rPr>
                <w:rStyle w:val="Hyperlink"/>
                <w:rFonts w:asciiTheme="majorHAnsi" w:eastAsia="Times New Roman" w:hAnsiTheme="majorHAnsi" w:cstheme="majorHAnsi"/>
                <w:b/>
                <w:bCs/>
                <w:caps/>
                <w:noProof/>
                <w:lang w:val="ro-MD"/>
              </w:rPr>
              <w:t>I.</w:t>
            </w:r>
            <w:r w:rsidR="006243C6">
              <w:rPr>
                <w:rFonts w:eastAsiaTheme="minorEastAsia"/>
                <w:noProof/>
              </w:rPr>
              <w:tab/>
            </w:r>
            <w:r w:rsidR="006243C6" w:rsidRPr="00C62A72">
              <w:rPr>
                <w:rStyle w:val="Hyperlink"/>
                <w:rFonts w:asciiTheme="majorHAnsi" w:eastAsia="Times New Roman" w:hAnsiTheme="majorHAnsi" w:cstheme="majorHAnsi"/>
                <w:b/>
                <w:bCs/>
                <w:caps/>
                <w:noProof/>
                <w:lang w:val="ro-MD"/>
              </w:rPr>
              <w:t>SintezA</w:t>
            </w:r>
            <w:r w:rsidR="006243C6">
              <w:rPr>
                <w:noProof/>
                <w:webHidden/>
              </w:rPr>
              <w:tab/>
            </w:r>
            <w:r w:rsidR="006243C6">
              <w:rPr>
                <w:noProof/>
                <w:webHidden/>
              </w:rPr>
              <w:fldChar w:fldCharType="begin"/>
            </w:r>
            <w:r w:rsidR="006243C6">
              <w:rPr>
                <w:noProof/>
                <w:webHidden/>
              </w:rPr>
              <w:instrText xml:space="preserve"> PAGEREF _Toc123116692 \h </w:instrText>
            </w:r>
            <w:r w:rsidR="006243C6">
              <w:rPr>
                <w:noProof/>
                <w:webHidden/>
              </w:rPr>
            </w:r>
            <w:r w:rsidR="006243C6">
              <w:rPr>
                <w:noProof/>
                <w:webHidden/>
              </w:rPr>
              <w:fldChar w:fldCharType="separate"/>
            </w:r>
            <w:r w:rsidR="006243C6">
              <w:rPr>
                <w:noProof/>
                <w:webHidden/>
              </w:rPr>
              <w:t>5</w:t>
            </w:r>
            <w:r w:rsidR="006243C6">
              <w:rPr>
                <w:noProof/>
                <w:webHidden/>
              </w:rPr>
              <w:fldChar w:fldCharType="end"/>
            </w:r>
          </w:hyperlink>
        </w:p>
        <w:p w14:paraId="6493247A" w14:textId="3A26B197" w:rsidR="006243C6" w:rsidRDefault="00D25ACA">
          <w:pPr>
            <w:pStyle w:val="TOC1"/>
            <w:rPr>
              <w:rFonts w:eastAsiaTheme="minorEastAsia"/>
              <w:noProof/>
            </w:rPr>
          </w:pPr>
          <w:hyperlink w:anchor="_Toc123116693" w:history="1">
            <w:r w:rsidR="006243C6" w:rsidRPr="00C62A72">
              <w:rPr>
                <w:rStyle w:val="Hyperlink"/>
                <w:rFonts w:asciiTheme="majorHAnsi" w:eastAsia="Times New Roman" w:hAnsiTheme="majorHAnsi" w:cstheme="majorHAnsi"/>
                <w:b/>
                <w:bCs/>
                <w:caps/>
                <w:noProof/>
                <w:lang w:val="ro-MD"/>
              </w:rPr>
              <w:t>II.</w:t>
            </w:r>
            <w:r w:rsidR="006243C6">
              <w:rPr>
                <w:rFonts w:eastAsiaTheme="minorEastAsia"/>
                <w:noProof/>
              </w:rPr>
              <w:tab/>
            </w:r>
            <w:r w:rsidR="006243C6" w:rsidRPr="00C62A72">
              <w:rPr>
                <w:rStyle w:val="Hyperlink"/>
                <w:rFonts w:asciiTheme="majorHAnsi" w:eastAsia="Times New Roman" w:hAnsiTheme="majorHAnsi" w:cstheme="majorHAnsi"/>
                <w:b/>
                <w:bCs/>
                <w:caps/>
                <w:noProof/>
                <w:lang w:val="ro-MD"/>
              </w:rPr>
              <w:t>Prezentare generală</w:t>
            </w:r>
            <w:r w:rsidR="006243C6">
              <w:rPr>
                <w:noProof/>
                <w:webHidden/>
              </w:rPr>
              <w:tab/>
            </w:r>
            <w:r w:rsidR="006243C6">
              <w:rPr>
                <w:noProof/>
                <w:webHidden/>
              </w:rPr>
              <w:fldChar w:fldCharType="begin"/>
            </w:r>
            <w:r w:rsidR="006243C6">
              <w:rPr>
                <w:noProof/>
                <w:webHidden/>
              </w:rPr>
              <w:instrText xml:space="preserve"> PAGEREF _Toc123116693 \h </w:instrText>
            </w:r>
            <w:r w:rsidR="006243C6">
              <w:rPr>
                <w:noProof/>
                <w:webHidden/>
              </w:rPr>
            </w:r>
            <w:r w:rsidR="006243C6">
              <w:rPr>
                <w:noProof/>
                <w:webHidden/>
              </w:rPr>
              <w:fldChar w:fldCharType="separate"/>
            </w:r>
            <w:r w:rsidR="006243C6">
              <w:rPr>
                <w:noProof/>
                <w:webHidden/>
              </w:rPr>
              <w:t>7</w:t>
            </w:r>
            <w:r w:rsidR="006243C6">
              <w:rPr>
                <w:noProof/>
                <w:webHidden/>
              </w:rPr>
              <w:fldChar w:fldCharType="end"/>
            </w:r>
          </w:hyperlink>
        </w:p>
        <w:p w14:paraId="7BEB5ACC" w14:textId="53106901" w:rsidR="006243C6" w:rsidRDefault="00D25ACA">
          <w:pPr>
            <w:pStyle w:val="TOC2"/>
            <w:tabs>
              <w:tab w:val="left" w:pos="880"/>
              <w:tab w:val="right" w:leader="dot" w:pos="9344"/>
            </w:tabs>
            <w:rPr>
              <w:rFonts w:eastAsiaTheme="minorEastAsia"/>
              <w:noProof/>
            </w:rPr>
          </w:pPr>
          <w:hyperlink w:anchor="_Toc123116694" w:history="1">
            <w:r w:rsidR="006243C6" w:rsidRPr="00C62A72">
              <w:rPr>
                <w:rStyle w:val="Hyperlink"/>
                <w:rFonts w:asciiTheme="majorHAnsi" w:hAnsiTheme="majorHAnsi"/>
                <w:b/>
                <w:bCs/>
                <w:noProof/>
                <w:lang w:val="ro-MD"/>
              </w:rPr>
              <w:t>2.1.</w:t>
            </w:r>
            <w:r w:rsidR="006243C6">
              <w:rPr>
                <w:rFonts w:eastAsiaTheme="minorEastAsia"/>
                <w:noProof/>
              </w:rPr>
              <w:tab/>
            </w:r>
            <w:r w:rsidR="006243C6" w:rsidRPr="00C62A72">
              <w:rPr>
                <w:rStyle w:val="Hyperlink"/>
                <w:rFonts w:asciiTheme="majorHAnsi" w:hAnsiTheme="majorHAnsi" w:cstheme="majorHAnsi"/>
                <w:b/>
                <w:noProof/>
                <w:lang w:val="ro-MD"/>
              </w:rPr>
              <w:t>Domeniul de activitate</w:t>
            </w:r>
            <w:r w:rsidR="006243C6">
              <w:rPr>
                <w:noProof/>
                <w:webHidden/>
              </w:rPr>
              <w:tab/>
            </w:r>
            <w:r w:rsidR="006243C6">
              <w:rPr>
                <w:noProof/>
                <w:webHidden/>
              </w:rPr>
              <w:fldChar w:fldCharType="begin"/>
            </w:r>
            <w:r w:rsidR="006243C6">
              <w:rPr>
                <w:noProof/>
                <w:webHidden/>
              </w:rPr>
              <w:instrText xml:space="preserve"> PAGEREF _Toc123116694 \h </w:instrText>
            </w:r>
            <w:r w:rsidR="006243C6">
              <w:rPr>
                <w:noProof/>
                <w:webHidden/>
              </w:rPr>
            </w:r>
            <w:r w:rsidR="006243C6">
              <w:rPr>
                <w:noProof/>
                <w:webHidden/>
              </w:rPr>
              <w:fldChar w:fldCharType="separate"/>
            </w:r>
            <w:r w:rsidR="006243C6">
              <w:rPr>
                <w:noProof/>
                <w:webHidden/>
              </w:rPr>
              <w:t>7</w:t>
            </w:r>
            <w:r w:rsidR="006243C6">
              <w:rPr>
                <w:noProof/>
                <w:webHidden/>
              </w:rPr>
              <w:fldChar w:fldCharType="end"/>
            </w:r>
          </w:hyperlink>
        </w:p>
        <w:p w14:paraId="0F073554" w14:textId="543550DE" w:rsidR="006243C6" w:rsidRDefault="00D25ACA">
          <w:pPr>
            <w:pStyle w:val="TOC2"/>
            <w:tabs>
              <w:tab w:val="left" w:pos="880"/>
              <w:tab w:val="right" w:leader="dot" w:pos="9344"/>
            </w:tabs>
            <w:rPr>
              <w:rFonts w:eastAsiaTheme="minorEastAsia"/>
              <w:noProof/>
            </w:rPr>
          </w:pPr>
          <w:hyperlink w:anchor="_Toc123116695" w:history="1">
            <w:r w:rsidR="006243C6" w:rsidRPr="00C62A72">
              <w:rPr>
                <w:rStyle w:val="Hyperlink"/>
                <w:rFonts w:asciiTheme="majorHAnsi" w:hAnsiTheme="majorHAnsi"/>
                <w:b/>
                <w:noProof/>
                <w:lang w:val="ro-MD"/>
              </w:rPr>
              <w:t>2.2.</w:t>
            </w:r>
            <w:r w:rsidR="006243C6">
              <w:rPr>
                <w:rFonts w:eastAsiaTheme="minorEastAsia"/>
                <w:noProof/>
              </w:rPr>
              <w:tab/>
            </w:r>
            <w:r w:rsidR="006243C6" w:rsidRPr="00C62A72">
              <w:rPr>
                <w:rStyle w:val="Hyperlink"/>
                <w:rFonts w:asciiTheme="majorHAnsi" w:hAnsiTheme="majorHAnsi" w:cstheme="majorHAnsi"/>
                <w:b/>
                <w:noProof/>
                <w:lang w:val="ro-MD"/>
              </w:rPr>
              <w:t>Patrimoniul gestionat</w:t>
            </w:r>
            <w:r w:rsidR="006243C6">
              <w:rPr>
                <w:noProof/>
                <w:webHidden/>
              </w:rPr>
              <w:tab/>
            </w:r>
            <w:r w:rsidR="006243C6">
              <w:rPr>
                <w:noProof/>
                <w:webHidden/>
              </w:rPr>
              <w:fldChar w:fldCharType="begin"/>
            </w:r>
            <w:r w:rsidR="006243C6">
              <w:rPr>
                <w:noProof/>
                <w:webHidden/>
              </w:rPr>
              <w:instrText xml:space="preserve"> PAGEREF _Toc123116695 \h </w:instrText>
            </w:r>
            <w:r w:rsidR="006243C6">
              <w:rPr>
                <w:noProof/>
                <w:webHidden/>
              </w:rPr>
            </w:r>
            <w:r w:rsidR="006243C6">
              <w:rPr>
                <w:noProof/>
                <w:webHidden/>
              </w:rPr>
              <w:fldChar w:fldCharType="separate"/>
            </w:r>
            <w:r w:rsidR="006243C6">
              <w:rPr>
                <w:noProof/>
                <w:webHidden/>
              </w:rPr>
              <w:t>8</w:t>
            </w:r>
            <w:r w:rsidR="006243C6">
              <w:rPr>
                <w:noProof/>
                <w:webHidden/>
              </w:rPr>
              <w:fldChar w:fldCharType="end"/>
            </w:r>
          </w:hyperlink>
        </w:p>
        <w:p w14:paraId="22959CAD" w14:textId="4B4F9DF4" w:rsidR="006243C6" w:rsidRDefault="00D25ACA">
          <w:pPr>
            <w:pStyle w:val="TOC2"/>
            <w:tabs>
              <w:tab w:val="left" w:pos="880"/>
              <w:tab w:val="right" w:leader="dot" w:pos="9344"/>
            </w:tabs>
            <w:rPr>
              <w:rFonts w:eastAsiaTheme="minorEastAsia"/>
              <w:noProof/>
            </w:rPr>
          </w:pPr>
          <w:hyperlink w:anchor="_Toc123116696" w:history="1">
            <w:r w:rsidR="006243C6" w:rsidRPr="00C62A72">
              <w:rPr>
                <w:rStyle w:val="Hyperlink"/>
                <w:rFonts w:asciiTheme="majorHAnsi" w:hAnsiTheme="majorHAnsi"/>
                <w:b/>
                <w:noProof/>
                <w:lang w:val="ro-MD"/>
              </w:rPr>
              <w:t>2.3.</w:t>
            </w:r>
            <w:r w:rsidR="006243C6">
              <w:rPr>
                <w:rFonts w:eastAsiaTheme="minorEastAsia"/>
                <w:noProof/>
              </w:rPr>
              <w:tab/>
            </w:r>
            <w:r w:rsidR="006243C6" w:rsidRPr="00C62A72">
              <w:rPr>
                <w:rStyle w:val="Hyperlink"/>
                <w:rFonts w:asciiTheme="majorHAnsi" w:hAnsiTheme="majorHAnsi" w:cstheme="majorHAnsi"/>
                <w:b/>
                <w:noProof/>
                <w:lang w:val="ro-MD"/>
              </w:rPr>
              <w:t>Responsabilitățile conducerii într-un audit de conformitate</w:t>
            </w:r>
            <w:r w:rsidR="006243C6">
              <w:rPr>
                <w:noProof/>
                <w:webHidden/>
              </w:rPr>
              <w:tab/>
            </w:r>
            <w:r w:rsidR="006243C6">
              <w:rPr>
                <w:noProof/>
                <w:webHidden/>
              </w:rPr>
              <w:fldChar w:fldCharType="begin"/>
            </w:r>
            <w:r w:rsidR="006243C6">
              <w:rPr>
                <w:noProof/>
                <w:webHidden/>
              </w:rPr>
              <w:instrText xml:space="preserve"> PAGEREF _Toc123116696 \h </w:instrText>
            </w:r>
            <w:r w:rsidR="006243C6">
              <w:rPr>
                <w:noProof/>
                <w:webHidden/>
              </w:rPr>
            </w:r>
            <w:r w:rsidR="006243C6">
              <w:rPr>
                <w:noProof/>
                <w:webHidden/>
              </w:rPr>
              <w:fldChar w:fldCharType="separate"/>
            </w:r>
            <w:r w:rsidR="006243C6">
              <w:rPr>
                <w:noProof/>
                <w:webHidden/>
              </w:rPr>
              <w:t>10</w:t>
            </w:r>
            <w:r w:rsidR="006243C6">
              <w:rPr>
                <w:noProof/>
                <w:webHidden/>
              </w:rPr>
              <w:fldChar w:fldCharType="end"/>
            </w:r>
          </w:hyperlink>
        </w:p>
        <w:p w14:paraId="60A8656C" w14:textId="2A80DD88" w:rsidR="006243C6" w:rsidRDefault="00D25ACA">
          <w:pPr>
            <w:pStyle w:val="TOC1"/>
            <w:rPr>
              <w:rFonts w:eastAsiaTheme="minorEastAsia"/>
              <w:noProof/>
            </w:rPr>
          </w:pPr>
          <w:hyperlink w:anchor="_Toc123116697" w:history="1">
            <w:r w:rsidR="006243C6" w:rsidRPr="00C62A72">
              <w:rPr>
                <w:rStyle w:val="Hyperlink"/>
                <w:rFonts w:asciiTheme="majorHAnsi" w:eastAsia="Times New Roman" w:hAnsiTheme="majorHAnsi" w:cstheme="majorHAnsi"/>
                <w:b/>
                <w:bCs/>
                <w:caps/>
                <w:noProof/>
                <w:lang w:val="ro-MD"/>
              </w:rPr>
              <w:t>III.</w:t>
            </w:r>
            <w:r w:rsidR="006243C6">
              <w:rPr>
                <w:rFonts w:eastAsiaTheme="minorEastAsia"/>
                <w:noProof/>
              </w:rPr>
              <w:tab/>
            </w:r>
            <w:r w:rsidR="006243C6" w:rsidRPr="00C62A72">
              <w:rPr>
                <w:rStyle w:val="Hyperlink"/>
                <w:rFonts w:asciiTheme="majorHAnsi" w:eastAsia="Times New Roman" w:hAnsiTheme="majorHAnsi" w:cstheme="majorHAnsi"/>
                <w:b/>
                <w:bCs/>
                <w:caps/>
                <w:noProof/>
                <w:lang w:val="ro-MD"/>
              </w:rPr>
              <w:t>Sfera și abordarea auditului</w:t>
            </w:r>
            <w:r w:rsidR="006243C6">
              <w:rPr>
                <w:noProof/>
                <w:webHidden/>
              </w:rPr>
              <w:tab/>
            </w:r>
            <w:r w:rsidR="006243C6">
              <w:rPr>
                <w:noProof/>
                <w:webHidden/>
              </w:rPr>
              <w:fldChar w:fldCharType="begin"/>
            </w:r>
            <w:r w:rsidR="006243C6">
              <w:rPr>
                <w:noProof/>
                <w:webHidden/>
              </w:rPr>
              <w:instrText xml:space="preserve"> PAGEREF _Toc123116697 \h </w:instrText>
            </w:r>
            <w:r w:rsidR="006243C6">
              <w:rPr>
                <w:noProof/>
                <w:webHidden/>
              </w:rPr>
            </w:r>
            <w:r w:rsidR="006243C6">
              <w:rPr>
                <w:noProof/>
                <w:webHidden/>
              </w:rPr>
              <w:fldChar w:fldCharType="separate"/>
            </w:r>
            <w:r w:rsidR="006243C6">
              <w:rPr>
                <w:noProof/>
                <w:webHidden/>
              </w:rPr>
              <w:t>11</w:t>
            </w:r>
            <w:r w:rsidR="006243C6">
              <w:rPr>
                <w:noProof/>
                <w:webHidden/>
              </w:rPr>
              <w:fldChar w:fldCharType="end"/>
            </w:r>
          </w:hyperlink>
        </w:p>
        <w:p w14:paraId="3747D280" w14:textId="201ECB82" w:rsidR="006243C6" w:rsidRDefault="00D25ACA">
          <w:pPr>
            <w:pStyle w:val="TOC2"/>
            <w:tabs>
              <w:tab w:val="left" w:pos="880"/>
              <w:tab w:val="right" w:leader="dot" w:pos="9344"/>
            </w:tabs>
            <w:rPr>
              <w:rFonts w:eastAsiaTheme="minorEastAsia"/>
              <w:noProof/>
            </w:rPr>
          </w:pPr>
          <w:hyperlink w:anchor="_Toc123116700" w:history="1">
            <w:r w:rsidR="006243C6" w:rsidRPr="00C62A72">
              <w:rPr>
                <w:rStyle w:val="Hyperlink"/>
                <w:rFonts w:asciiTheme="majorHAnsi" w:hAnsiTheme="majorHAnsi"/>
                <w:b/>
                <w:noProof/>
                <w:lang w:val="ro-MD"/>
              </w:rPr>
              <w:t>3.1.</w:t>
            </w:r>
            <w:r w:rsidR="006243C6">
              <w:rPr>
                <w:rFonts w:eastAsiaTheme="minorEastAsia"/>
                <w:noProof/>
              </w:rPr>
              <w:tab/>
            </w:r>
            <w:r w:rsidR="006243C6" w:rsidRPr="00C62A72">
              <w:rPr>
                <w:rStyle w:val="Hyperlink"/>
                <w:rFonts w:asciiTheme="majorHAnsi" w:hAnsiTheme="majorHAnsi" w:cstheme="majorHAnsi"/>
                <w:b/>
                <w:noProof/>
                <w:lang w:val="ro-MD"/>
              </w:rPr>
              <w:t>Mandatul legal și scopul auditului</w:t>
            </w:r>
            <w:r w:rsidR="006243C6">
              <w:rPr>
                <w:noProof/>
                <w:webHidden/>
              </w:rPr>
              <w:tab/>
            </w:r>
            <w:r w:rsidR="006243C6">
              <w:rPr>
                <w:noProof/>
                <w:webHidden/>
              </w:rPr>
              <w:fldChar w:fldCharType="begin"/>
            </w:r>
            <w:r w:rsidR="006243C6">
              <w:rPr>
                <w:noProof/>
                <w:webHidden/>
              </w:rPr>
              <w:instrText xml:space="preserve"> PAGEREF _Toc123116700 \h </w:instrText>
            </w:r>
            <w:r w:rsidR="006243C6">
              <w:rPr>
                <w:noProof/>
                <w:webHidden/>
              </w:rPr>
            </w:r>
            <w:r w:rsidR="006243C6">
              <w:rPr>
                <w:noProof/>
                <w:webHidden/>
              </w:rPr>
              <w:fldChar w:fldCharType="separate"/>
            </w:r>
            <w:r w:rsidR="006243C6">
              <w:rPr>
                <w:noProof/>
                <w:webHidden/>
              </w:rPr>
              <w:t>11</w:t>
            </w:r>
            <w:r w:rsidR="006243C6">
              <w:rPr>
                <w:noProof/>
                <w:webHidden/>
              </w:rPr>
              <w:fldChar w:fldCharType="end"/>
            </w:r>
          </w:hyperlink>
        </w:p>
        <w:p w14:paraId="5963526A" w14:textId="75BB4A42" w:rsidR="006243C6" w:rsidRDefault="00D25ACA">
          <w:pPr>
            <w:pStyle w:val="TOC2"/>
            <w:tabs>
              <w:tab w:val="left" w:pos="880"/>
              <w:tab w:val="right" w:leader="dot" w:pos="9344"/>
            </w:tabs>
            <w:rPr>
              <w:rFonts w:eastAsiaTheme="minorEastAsia"/>
              <w:noProof/>
            </w:rPr>
          </w:pPr>
          <w:hyperlink w:anchor="_Toc123116701" w:history="1">
            <w:r w:rsidR="006243C6" w:rsidRPr="00C62A72">
              <w:rPr>
                <w:rStyle w:val="Hyperlink"/>
                <w:rFonts w:asciiTheme="majorHAnsi" w:hAnsiTheme="majorHAnsi"/>
                <w:b/>
                <w:noProof/>
                <w:lang w:val="ro-MD"/>
              </w:rPr>
              <w:t>3.2.</w:t>
            </w:r>
            <w:r w:rsidR="006243C6">
              <w:rPr>
                <w:rFonts w:eastAsiaTheme="minorEastAsia"/>
                <w:noProof/>
              </w:rPr>
              <w:tab/>
            </w:r>
            <w:r w:rsidR="006243C6" w:rsidRPr="00C62A72">
              <w:rPr>
                <w:rStyle w:val="Hyperlink"/>
                <w:rFonts w:asciiTheme="majorHAnsi" w:hAnsiTheme="majorHAnsi" w:cstheme="majorHAnsi"/>
                <w:b/>
                <w:noProof/>
                <w:lang w:val="ro-MD"/>
              </w:rPr>
              <w:t>Abordarea auditului</w:t>
            </w:r>
            <w:r w:rsidR="006243C6">
              <w:rPr>
                <w:noProof/>
                <w:webHidden/>
              </w:rPr>
              <w:tab/>
            </w:r>
            <w:r w:rsidR="006243C6">
              <w:rPr>
                <w:noProof/>
                <w:webHidden/>
              </w:rPr>
              <w:fldChar w:fldCharType="begin"/>
            </w:r>
            <w:r w:rsidR="006243C6">
              <w:rPr>
                <w:noProof/>
                <w:webHidden/>
              </w:rPr>
              <w:instrText xml:space="preserve"> PAGEREF _Toc123116701 \h </w:instrText>
            </w:r>
            <w:r w:rsidR="006243C6">
              <w:rPr>
                <w:noProof/>
                <w:webHidden/>
              </w:rPr>
            </w:r>
            <w:r w:rsidR="006243C6">
              <w:rPr>
                <w:noProof/>
                <w:webHidden/>
              </w:rPr>
              <w:fldChar w:fldCharType="separate"/>
            </w:r>
            <w:r w:rsidR="006243C6">
              <w:rPr>
                <w:noProof/>
                <w:webHidden/>
              </w:rPr>
              <w:t>11</w:t>
            </w:r>
            <w:r w:rsidR="006243C6">
              <w:rPr>
                <w:noProof/>
                <w:webHidden/>
              </w:rPr>
              <w:fldChar w:fldCharType="end"/>
            </w:r>
          </w:hyperlink>
        </w:p>
        <w:p w14:paraId="525D8526" w14:textId="48AA40F7" w:rsidR="006243C6" w:rsidRDefault="00D25ACA">
          <w:pPr>
            <w:pStyle w:val="TOC2"/>
            <w:tabs>
              <w:tab w:val="left" w:pos="880"/>
              <w:tab w:val="right" w:leader="dot" w:pos="9344"/>
            </w:tabs>
            <w:rPr>
              <w:rFonts w:eastAsiaTheme="minorEastAsia"/>
              <w:noProof/>
            </w:rPr>
          </w:pPr>
          <w:hyperlink w:anchor="_Toc123116702" w:history="1">
            <w:r w:rsidR="006243C6" w:rsidRPr="00C62A72">
              <w:rPr>
                <w:rStyle w:val="Hyperlink"/>
                <w:rFonts w:asciiTheme="majorHAnsi" w:hAnsiTheme="majorHAnsi"/>
                <w:b/>
                <w:noProof/>
                <w:lang w:val="ro-MD"/>
              </w:rPr>
              <w:t>3.3.</w:t>
            </w:r>
            <w:r w:rsidR="006243C6">
              <w:rPr>
                <w:rFonts w:eastAsiaTheme="minorEastAsia"/>
                <w:noProof/>
              </w:rPr>
              <w:tab/>
            </w:r>
            <w:r w:rsidR="006243C6" w:rsidRPr="00C62A72">
              <w:rPr>
                <w:rStyle w:val="Hyperlink"/>
                <w:rFonts w:asciiTheme="majorHAnsi" w:hAnsiTheme="majorHAnsi" w:cstheme="majorHAnsi"/>
                <w:b/>
                <w:noProof/>
                <w:lang w:val="ro-MD"/>
              </w:rPr>
              <w:t>Responsabilitatea auditorului</w:t>
            </w:r>
            <w:r w:rsidR="006243C6">
              <w:rPr>
                <w:noProof/>
                <w:webHidden/>
              </w:rPr>
              <w:tab/>
            </w:r>
            <w:r w:rsidR="006243C6">
              <w:rPr>
                <w:noProof/>
                <w:webHidden/>
              </w:rPr>
              <w:fldChar w:fldCharType="begin"/>
            </w:r>
            <w:r w:rsidR="006243C6">
              <w:rPr>
                <w:noProof/>
                <w:webHidden/>
              </w:rPr>
              <w:instrText xml:space="preserve"> PAGEREF _Toc123116702 \h </w:instrText>
            </w:r>
            <w:r w:rsidR="006243C6">
              <w:rPr>
                <w:noProof/>
                <w:webHidden/>
              </w:rPr>
            </w:r>
            <w:r w:rsidR="006243C6">
              <w:rPr>
                <w:noProof/>
                <w:webHidden/>
              </w:rPr>
              <w:fldChar w:fldCharType="separate"/>
            </w:r>
            <w:r w:rsidR="006243C6">
              <w:rPr>
                <w:noProof/>
                <w:webHidden/>
              </w:rPr>
              <w:t>12</w:t>
            </w:r>
            <w:r w:rsidR="006243C6">
              <w:rPr>
                <w:noProof/>
                <w:webHidden/>
              </w:rPr>
              <w:fldChar w:fldCharType="end"/>
            </w:r>
          </w:hyperlink>
        </w:p>
        <w:p w14:paraId="68C9D812" w14:textId="6AA141D6" w:rsidR="006243C6" w:rsidRDefault="00D25ACA">
          <w:pPr>
            <w:pStyle w:val="TOC1"/>
            <w:rPr>
              <w:rFonts w:eastAsiaTheme="minorEastAsia"/>
              <w:noProof/>
            </w:rPr>
          </w:pPr>
          <w:hyperlink w:anchor="_Toc123116703" w:history="1">
            <w:r w:rsidR="006243C6" w:rsidRPr="00C62A72">
              <w:rPr>
                <w:rStyle w:val="Hyperlink"/>
                <w:rFonts w:asciiTheme="majorHAnsi" w:eastAsia="Times New Roman" w:hAnsiTheme="majorHAnsi" w:cstheme="majorHAnsi"/>
                <w:b/>
                <w:bCs/>
                <w:caps/>
                <w:noProof/>
                <w:lang w:val="ro-MD"/>
              </w:rPr>
              <w:t>IV.</w:t>
            </w:r>
            <w:r w:rsidR="006243C6">
              <w:rPr>
                <w:rFonts w:eastAsiaTheme="minorEastAsia"/>
                <w:noProof/>
              </w:rPr>
              <w:tab/>
            </w:r>
            <w:r w:rsidR="006243C6" w:rsidRPr="00C62A72">
              <w:rPr>
                <w:rStyle w:val="Hyperlink"/>
                <w:rFonts w:asciiTheme="majorHAnsi" w:eastAsia="Times New Roman" w:hAnsiTheme="majorHAnsi" w:cstheme="majorHAnsi"/>
                <w:b/>
                <w:bCs/>
                <w:caps/>
                <w:noProof/>
                <w:lang w:val="ro-MD"/>
              </w:rPr>
              <w:t>Constatări</w:t>
            </w:r>
            <w:r w:rsidR="006243C6">
              <w:rPr>
                <w:noProof/>
                <w:webHidden/>
              </w:rPr>
              <w:tab/>
            </w:r>
            <w:r w:rsidR="006243C6">
              <w:rPr>
                <w:noProof/>
                <w:webHidden/>
              </w:rPr>
              <w:fldChar w:fldCharType="begin"/>
            </w:r>
            <w:r w:rsidR="006243C6">
              <w:rPr>
                <w:noProof/>
                <w:webHidden/>
              </w:rPr>
              <w:instrText xml:space="preserve"> PAGEREF _Toc123116703 \h </w:instrText>
            </w:r>
            <w:r w:rsidR="006243C6">
              <w:rPr>
                <w:noProof/>
                <w:webHidden/>
              </w:rPr>
            </w:r>
            <w:r w:rsidR="006243C6">
              <w:rPr>
                <w:noProof/>
                <w:webHidden/>
              </w:rPr>
              <w:fldChar w:fldCharType="separate"/>
            </w:r>
            <w:r w:rsidR="006243C6">
              <w:rPr>
                <w:noProof/>
                <w:webHidden/>
              </w:rPr>
              <w:t>12</w:t>
            </w:r>
            <w:r w:rsidR="006243C6">
              <w:rPr>
                <w:noProof/>
                <w:webHidden/>
              </w:rPr>
              <w:fldChar w:fldCharType="end"/>
            </w:r>
          </w:hyperlink>
        </w:p>
        <w:p w14:paraId="22731F81" w14:textId="557D08A3" w:rsidR="006243C6" w:rsidRDefault="00D25ACA">
          <w:pPr>
            <w:pStyle w:val="TOC1"/>
            <w:rPr>
              <w:rFonts w:eastAsiaTheme="minorEastAsia"/>
              <w:noProof/>
            </w:rPr>
          </w:pPr>
          <w:hyperlink w:anchor="_Toc123116704" w:history="1">
            <w:r w:rsidR="006243C6" w:rsidRPr="00C62A72">
              <w:rPr>
                <w:rStyle w:val="Hyperlink"/>
                <w:rFonts w:asciiTheme="majorHAnsi" w:eastAsia="Times New Roman" w:hAnsiTheme="majorHAnsi" w:cstheme="majorHAnsi"/>
                <w:b/>
                <w:bCs/>
                <w:caps/>
                <w:noProof/>
                <w:lang w:val="ro-MD"/>
              </w:rPr>
              <w:t>4.1.</w:t>
            </w:r>
            <w:r w:rsidR="006243C6">
              <w:rPr>
                <w:rFonts w:eastAsiaTheme="minorEastAsia"/>
                <w:noProof/>
              </w:rPr>
              <w:tab/>
            </w:r>
            <w:r w:rsidR="006243C6" w:rsidRPr="00C62A72">
              <w:rPr>
                <w:rStyle w:val="Hyperlink"/>
                <w:rFonts w:asciiTheme="majorHAnsi" w:eastAsia="Times New Roman" w:hAnsiTheme="majorHAnsi" w:cstheme="majorHAnsi"/>
                <w:b/>
                <w:bCs/>
                <w:caps/>
                <w:noProof/>
                <w:lang w:val="ro-MD"/>
              </w:rPr>
              <w:t>A</w:t>
            </w:r>
            <w:r w:rsidR="006243C6" w:rsidRPr="00C62A72">
              <w:rPr>
                <w:rStyle w:val="Hyperlink"/>
                <w:rFonts w:asciiTheme="majorHAnsi" w:hAnsiTheme="majorHAnsi" w:cstheme="majorHAnsi"/>
                <w:b/>
                <w:noProof/>
                <w:lang w:val="ro-MD"/>
              </w:rPr>
              <w:t xml:space="preserve"> fost asigurată conformitatea gestionării patrimoniului public și s-au respectat principiile de integritate, transparență și legalitate de către instituțiile publice din domeniul infrastructurii calității, inclusiv  în rezultatul reorganizării acestora?</w:t>
            </w:r>
            <w:r w:rsidR="006243C6">
              <w:rPr>
                <w:noProof/>
                <w:webHidden/>
              </w:rPr>
              <w:tab/>
            </w:r>
            <w:r w:rsidR="006243C6">
              <w:rPr>
                <w:noProof/>
                <w:webHidden/>
              </w:rPr>
              <w:fldChar w:fldCharType="begin"/>
            </w:r>
            <w:r w:rsidR="006243C6">
              <w:rPr>
                <w:noProof/>
                <w:webHidden/>
              </w:rPr>
              <w:instrText xml:space="preserve"> PAGEREF _Toc123116704 \h </w:instrText>
            </w:r>
            <w:r w:rsidR="006243C6">
              <w:rPr>
                <w:noProof/>
                <w:webHidden/>
              </w:rPr>
            </w:r>
            <w:r w:rsidR="006243C6">
              <w:rPr>
                <w:noProof/>
                <w:webHidden/>
              </w:rPr>
              <w:fldChar w:fldCharType="separate"/>
            </w:r>
            <w:r w:rsidR="006243C6">
              <w:rPr>
                <w:noProof/>
                <w:webHidden/>
              </w:rPr>
              <w:t>12</w:t>
            </w:r>
            <w:r w:rsidR="006243C6">
              <w:rPr>
                <w:noProof/>
                <w:webHidden/>
              </w:rPr>
              <w:fldChar w:fldCharType="end"/>
            </w:r>
          </w:hyperlink>
        </w:p>
        <w:p w14:paraId="358C6018" w14:textId="298AE864" w:rsidR="006243C6" w:rsidRDefault="00D25ACA">
          <w:pPr>
            <w:pStyle w:val="TOC1"/>
            <w:tabs>
              <w:tab w:val="left" w:pos="880"/>
            </w:tabs>
            <w:rPr>
              <w:rFonts w:eastAsiaTheme="minorEastAsia"/>
              <w:noProof/>
            </w:rPr>
          </w:pPr>
          <w:hyperlink w:anchor="_Toc123116705" w:history="1">
            <w:r w:rsidR="006243C6" w:rsidRPr="00C62A72">
              <w:rPr>
                <w:rStyle w:val="Hyperlink"/>
                <w:rFonts w:asciiTheme="majorHAnsi" w:hAnsiTheme="majorHAnsi" w:cstheme="majorHAnsi"/>
                <w:b/>
                <w:i/>
                <w:noProof/>
                <w:lang w:val="ro-MD"/>
              </w:rPr>
              <w:t>4.1.1.</w:t>
            </w:r>
            <w:r w:rsidR="006243C6">
              <w:rPr>
                <w:rFonts w:eastAsiaTheme="minorEastAsia"/>
                <w:noProof/>
              </w:rPr>
              <w:tab/>
            </w:r>
            <w:r w:rsidR="006243C6" w:rsidRPr="00C62A72">
              <w:rPr>
                <w:rStyle w:val="Hyperlink"/>
                <w:rFonts w:asciiTheme="majorHAnsi" w:hAnsiTheme="majorHAnsi" w:cstheme="majorHAnsi"/>
                <w:b/>
                <w:i/>
                <w:noProof/>
                <w:lang w:val="ro-MD"/>
              </w:rPr>
              <w:t>Procesul de reorganizare a instituțiilor publice din domeniul infrastructurii calității s-a realizat în lipsa unor prevederi normative de delimitare a patrimoniului public supus transmiterii către instituțiile nou create</w:t>
            </w:r>
            <w:r w:rsidR="006243C6">
              <w:rPr>
                <w:rStyle w:val="Hyperlink"/>
                <w:rFonts w:asciiTheme="majorHAnsi" w:hAnsiTheme="majorHAnsi" w:cstheme="majorHAnsi"/>
                <w:b/>
                <w:i/>
                <w:noProof/>
                <w:lang w:val="ro-MD"/>
              </w:rPr>
              <w:t>.....</w:t>
            </w:r>
            <w:r w:rsidR="006243C6" w:rsidRPr="00C62A72">
              <w:rPr>
                <w:rStyle w:val="Hyperlink"/>
                <w:rFonts w:asciiTheme="majorHAnsi" w:hAnsiTheme="majorHAnsi" w:cstheme="majorHAnsi"/>
                <w:b/>
                <w:i/>
                <w:noProof/>
                <w:lang w:val="ro-MD"/>
              </w:rPr>
              <w:t>.</w:t>
            </w:r>
            <w:r w:rsidR="006243C6">
              <w:rPr>
                <w:noProof/>
                <w:webHidden/>
              </w:rPr>
              <w:tab/>
            </w:r>
            <w:r w:rsidR="006243C6">
              <w:rPr>
                <w:noProof/>
                <w:webHidden/>
              </w:rPr>
              <w:fldChar w:fldCharType="begin"/>
            </w:r>
            <w:r w:rsidR="006243C6">
              <w:rPr>
                <w:noProof/>
                <w:webHidden/>
              </w:rPr>
              <w:instrText xml:space="preserve"> PAGEREF _Toc123116705 \h </w:instrText>
            </w:r>
            <w:r w:rsidR="006243C6">
              <w:rPr>
                <w:noProof/>
                <w:webHidden/>
              </w:rPr>
            </w:r>
            <w:r w:rsidR="006243C6">
              <w:rPr>
                <w:noProof/>
                <w:webHidden/>
              </w:rPr>
              <w:fldChar w:fldCharType="separate"/>
            </w:r>
            <w:r w:rsidR="006243C6">
              <w:rPr>
                <w:noProof/>
                <w:webHidden/>
              </w:rPr>
              <w:t>12</w:t>
            </w:r>
            <w:r w:rsidR="006243C6">
              <w:rPr>
                <w:noProof/>
                <w:webHidden/>
              </w:rPr>
              <w:fldChar w:fldCharType="end"/>
            </w:r>
          </w:hyperlink>
        </w:p>
        <w:p w14:paraId="654F5674" w14:textId="7B64BF3F" w:rsidR="006243C6" w:rsidRDefault="00D25ACA">
          <w:pPr>
            <w:pStyle w:val="TOC1"/>
            <w:tabs>
              <w:tab w:val="left" w:pos="880"/>
            </w:tabs>
            <w:rPr>
              <w:rFonts w:eastAsiaTheme="minorEastAsia"/>
              <w:noProof/>
            </w:rPr>
          </w:pPr>
          <w:hyperlink w:anchor="_Toc123116706" w:history="1">
            <w:r w:rsidR="006243C6" w:rsidRPr="00C62A72">
              <w:rPr>
                <w:rStyle w:val="Hyperlink"/>
                <w:rFonts w:asciiTheme="majorHAnsi" w:hAnsiTheme="majorHAnsi" w:cstheme="majorHAnsi"/>
                <w:b/>
                <w:i/>
                <w:noProof/>
                <w:lang w:val="ro-MD"/>
              </w:rPr>
              <w:t>4.1.2.</w:t>
            </w:r>
            <w:r w:rsidR="006243C6">
              <w:rPr>
                <w:rFonts w:eastAsiaTheme="minorEastAsia"/>
                <w:noProof/>
              </w:rPr>
              <w:tab/>
            </w:r>
            <w:r w:rsidR="006243C6" w:rsidRPr="00C62A72">
              <w:rPr>
                <w:rStyle w:val="Hyperlink"/>
                <w:rFonts w:asciiTheme="majorHAnsi" w:hAnsiTheme="majorHAnsi" w:cstheme="majorHAnsi"/>
                <w:b/>
                <w:i/>
                <w:noProof/>
                <w:lang w:val="ro-MD"/>
              </w:rPr>
              <w:t>Managementul gestionării patrimoniului public necesită a fi consolidat, pentru a asigura  înregistrarea contabilă conformă a tuturor elementelor patrimoniale și efectuarea inventarierii acestora în modul corespunzător.</w:t>
            </w:r>
            <w:r w:rsidR="006243C6">
              <w:rPr>
                <w:noProof/>
                <w:webHidden/>
              </w:rPr>
              <w:tab/>
            </w:r>
            <w:r w:rsidR="006243C6">
              <w:rPr>
                <w:noProof/>
                <w:webHidden/>
              </w:rPr>
              <w:fldChar w:fldCharType="begin"/>
            </w:r>
            <w:r w:rsidR="006243C6">
              <w:rPr>
                <w:noProof/>
                <w:webHidden/>
              </w:rPr>
              <w:instrText xml:space="preserve"> PAGEREF _Toc123116706 \h </w:instrText>
            </w:r>
            <w:r w:rsidR="006243C6">
              <w:rPr>
                <w:noProof/>
                <w:webHidden/>
              </w:rPr>
            </w:r>
            <w:r w:rsidR="006243C6">
              <w:rPr>
                <w:noProof/>
                <w:webHidden/>
              </w:rPr>
              <w:fldChar w:fldCharType="separate"/>
            </w:r>
            <w:r w:rsidR="006243C6">
              <w:rPr>
                <w:noProof/>
                <w:webHidden/>
              </w:rPr>
              <w:t>14</w:t>
            </w:r>
            <w:r w:rsidR="006243C6">
              <w:rPr>
                <w:noProof/>
                <w:webHidden/>
              </w:rPr>
              <w:fldChar w:fldCharType="end"/>
            </w:r>
          </w:hyperlink>
        </w:p>
        <w:p w14:paraId="2FB482E6" w14:textId="3469BC7C" w:rsidR="006243C6" w:rsidRDefault="00D25ACA">
          <w:pPr>
            <w:pStyle w:val="TOC1"/>
            <w:tabs>
              <w:tab w:val="left" w:pos="880"/>
            </w:tabs>
            <w:rPr>
              <w:rFonts w:eastAsiaTheme="minorEastAsia"/>
              <w:noProof/>
            </w:rPr>
          </w:pPr>
          <w:hyperlink w:anchor="_Toc123116707" w:history="1">
            <w:r w:rsidR="006243C6" w:rsidRPr="00C62A72">
              <w:rPr>
                <w:rStyle w:val="Hyperlink"/>
                <w:rFonts w:asciiTheme="majorHAnsi" w:hAnsiTheme="majorHAnsi" w:cstheme="majorHAnsi"/>
                <w:b/>
                <w:i/>
                <w:noProof/>
                <w:lang w:val="ro-MD"/>
              </w:rPr>
              <w:t>4.1.2.1.</w:t>
            </w:r>
            <w:r w:rsidR="006243C6">
              <w:rPr>
                <w:rFonts w:eastAsiaTheme="minorEastAsia"/>
                <w:noProof/>
              </w:rPr>
              <w:tab/>
            </w:r>
            <w:r w:rsidR="006243C6" w:rsidRPr="00C62A72">
              <w:rPr>
                <w:rStyle w:val="Hyperlink"/>
                <w:rFonts w:asciiTheme="majorHAnsi" w:hAnsiTheme="majorHAnsi" w:cstheme="majorHAnsi"/>
                <w:b/>
                <w:i/>
                <w:noProof/>
                <w:lang w:val="ro-MD"/>
              </w:rPr>
              <w:t>Neînregistrarea corespunzătoare a unor tranzacții operaționale de către ISM condiționează prezentarea informațiilor neveridice utilizatorilor de resort.</w:t>
            </w:r>
            <w:r w:rsidR="006243C6">
              <w:rPr>
                <w:noProof/>
                <w:webHidden/>
              </w:rPr>
              <w:tab/>
            </w:r>
            <w:r w:rsidR="006243C6">
              <w:rPr>
                <w:noProof/>
                <w:webHidden/>
              </w:rPr>
              <w:fldChar w:fldCharType="begin"/>
            </w:r>
            <w:r w:rsidR="006243C6">
              <w:rPr>
                <w:noProof/>
                <w:webHidden/>
              </w:rPr>
              <w:instrText xml:space="preserve"> PAGEREF _Toc123116707 \h </w:instrText>
            </w:r>
            <w:r w:rsidR="006243C6">
              <w:rPr>
                <w:noProof/>
                <w:webHidden/>
              </w:rPr>
            </w:r>
            <w:r w:rsidR="006243C6">
              <w:rPr>
                <w:noProof/>
                <w:webHidden/>
              </w:rPr>
              <w:fldChar w:fldCharType="separate"/>
            </w:r>
            <w:r w:rsidR="006243C6">
              <w:rPr>
                <w:noProof/>
                <w:webHidden/>
              </w:rPr>
              <w:t>14</w:t>
            </w:r>
            <w:r w:rsidR="006243C6">
              <w:rPr>
                <w:noProof/>
                <w:webHidden/>
              </w:rPr>
              <w:fldChar w:fldCharType="end"/>
            </w:r>
          </w:hyperlink>
        </w:p>
        <w:p w14:paraId="3B0E7477" w14:textId="3692ABB1" w:rsidR="006243C6" w:rsidRDefault="00D25ACA">
          <w:pPr>
            <w:pStyle w:val="TOC1"/>
            <w:tabs>
              <w:tab w:val="left" w:pos="880"/>
            </w:tabs>
            <w:rPr>
              <w:rFonts w:eastAsiaTheme="minorEastAsia"/>
              <w:noProof/>
            </w:rPr>
          </w:pPr>
          <w:hyperlink w:anchor="_Toc123116708" w:history="1">
            <w:r w:rsidR="006243C6" w:rsidRPr="00C62A72">
              <w:rPr>
                <w:rStyle w:val="Hyperlink"/>
                <w:rFonts w:asciiTheme="majorHAnsi" w:hAnsiTheme="majorHAnsi" w:cstheme="majorHAnsi"/>
                <w:b/>
                <w:i/>
                <w:noProof/>
                <w:lang w:val="ro-MD"/>
              </w:rPr>
              <w:t>4.1.2.2.</w:t>
            </w:r>
            <w:r w:rsidR="006243C6">
              <w:rPr>
                <w:rFonts w:eastAsiaTheme="minorEastAsia"/>
                <w:noProof/>
              </w:rPr>
              <w:tab/>
            </w:r>
            <w:r w:rsidR="006243C6" w:rsidRPr="00C62A72">
              <w:rPr>
                <w:rStyle w:val="Hyperlink"/>
                <w:rFonts w:asciiTheme="majorHAnsi" w:hAnsiTheme="majorHAnsi" w:cstheme="majorHAnsi"/>
                <w:b/>
                <w:i/>
                <w:noProof/>
                <w:lang w:val="ro-MD"/>
              </w:rPr>
              <w:t>Lipsa deciziilor oportune în raport cu activele corporale aflate  în curs de execuție, o perioada îndelungată de timp, nu contribuie la gestionarea conformă a acestora.</w:t>
            </w:r>
            <w:r w:rsidR="006243C6">
              <w:rPr>
                <w:noProof/>
                <w:webHidden/>
              </w:rPr>
              <w:tab/>
            </w:r>
            <w:r w:rsidR="006243C6">
              <w:rPr>
                <w:noProof/>
                <w:webHidden/>
              </w:rPr>
              <w:fldChar w:fldCharType="begin"/>
            </w:r>
            <w:r w:rsidR="006243C6">
              <w:rPr>
                <w:noProof/>
                <w:webHidden/>
              </w:rPr>
              <w:instrText xml:space="preserve"> PAGEREF _Toc123116708 \h </w:instrText>
            </w:r>
            <w:r w:rsidR="006243C6">
              <w:rPr>
                <w:noProof/>
                <w:webHidden/>
              </w:rPr>
            </w:r>
            <w:r w:rsidR="006243C6">
              <w:rPr>
                <w:noProof/>
                <w:webHidden/>
              </w:rPr>
              <w:fldChar w:fldCharType="separate"/>
            </w:r>
            <w:r w:rsidR="006243C6">
              <w:rPr>
                <w:noProof/>
                <w:webHidden/>
              </w:rPr>
              <w:t>15</w:t>
            </w:r>
            <w:r w:rsidR="006243C6">
              <w:rPr>
                <w:noProof/>
                <w:webHidden/>
              </w:rPr>
              <w:fldChar w:fldCharType="end"/>
            </w:r>
          </w:hyperlink>
        </w:p>
        <w:p w14:paraId="3496DAF0" w14:textId="2A698B5F" w:rsidR="006243C6" w:rsidRDefault="00D25ACA">
          <w:pPr>
            <w:pStyle w:val="TOC1"/>
            <w:tabs>
              <w:tab w:val="left" w:pos="880"/>
            </w:tabs>
            <w:rPr>
              <w:rFonts w:eastAsiaTheme="minorEastAsia"/>
              <w:noProof/>
            </w:rPr>
          </w:pPr>
          <w:hyperlink w:anchor="_Toc123116709" w:history="1">
            <w:r w:rsidR="006243C6" w:rsidRPr="00C62A72">
              <w:rPr>
                <w:rStyle w:val="Hyperlink"/>
                <w:rFonts w:asciiTheme="majorHAnsi" w:hAnsiTheme="majorHAnsi" w:cstheme="majorHAnsi"/>
                <w:b/>
                <w:i/>
                <w:noProof/>
                <w:lang w:val="ro-MD"/>
              </w:rPr>
              <w:t>4.1.2.3.</w:t>
            </w:r>
            <w:r w:rsidR="006243C6">
              <w:rPr>
                <w:rFonts w:eastAsiaTheme="minorEastAsia"/>
                <w:noProof/>
              </w:rPr>
              <w:tab/>
            </w:r>
            <w:r w:rsidR="006243C6" w:rsidRPr="00C62A72">
              <w:rPr>
                <w:rStyle w:val="Hyperlink"/>
                <w:rFonts w:asciiTheme="majorHAnsi" w:hAnsiTheme="majorHAnsi" w:cstheme="majorHAnsi"/>
                <w:b/>
                <w:i/>
                <w:noProof/>
                <w:lang w:val="ro-MD"/>
              </w:rPr>
              <w:t>Neajustarea valorii contabile a mijloacelor fixe amortizate integral și utilizate în procesul operațional creează condiții de aplicare a cuantumului tarifelor la serviciile prestate, care nu va putea asigura capacitatea investițională a instituțiilor publice din domeniul infrastructurii în perioadele de gestiune viitoare.</w:t>
            </w:r>
            <w:r w:rsidR="006243C6">
              <w:rPr>
                <w:noProof/>
                <w:webHidden/>
              </w:rPr>
              <w:tab/>
            </w:r>
            <w:r w:rsidR="006243C6">
              <w:rPr>
                <w:noProof/>
                <w:webHidden/>
              </w:rPr>
              <w:fldChar w:fldCharType="begin"/>
            </w:r>
            <w:r w:rsidR="006243C6">
              <w:rPr>
                <w:noProof/>
                <w:webHidden/>
              </w:rPr>
              <w:instrText xml:space="preserve"> PAGEREF _Toc123116709 \h </w:instrText>
            </w:r>
            <w:r w:rsidR="006243C6">
              <w:rPr>
                <w:noProof/>
                <w:webHidden/>
              </w:rPr>
            </w:r>
            <w:r w:rsidR="006243C6">
              <w:rPr>
                <w:noProof/>
                <w:webHidden/>
              </w:rPr>
              <w:fldChar w:fldCharType="separate"/>
            </w:r>
            <w:r w:rsidR="006243C6">
              <w:rPr>
                <w:noProof/>
                <w:webHidden/>
              </w:rPr>
              <w:t>16</w:t>
            </w:r>
            <w:r w:rsidR="006243C6">
              <w:rPr>
                <w:noProof/>
                <w:webHidden/>
              </w:rPr>
              <w:fldChar w:fldCharType="end"/>
            </w:r>
          </w:hyperlink>
        </w:p>
        <w:p w14:paraId="1A59FDA2" w14:textId="037AA24F" w:rsidR="006243C6" w:rsidRDefault="00D25ACA">
          <w:pPr>
            <w:pStyle w:val="TOC1"/>
            <w:tabs>
              <w:tab w:val="left" w:pos="880"/>
            </w:tabs>
            <w:rPr>
              <w:rFonts w:eastAsiaTheme="minorEastAsia"/>
              <w:noProof/>
            </w:rPr>
          </w:pPr>
          <w:hyperlink w:anchor="_Toc123116710" w:history="1">
            <w:r w:rsidR="006243C6" w:rsidRPr="00C62A72">
              <w:rPr>
                <w:rStyle w:val="Hyperlink"/>
                <w:rFonts w:asciiTheme="majorHAnsi" w:hAnsiTheme="majorHAnsi" w:cstheme="majorHAnsi"/>
                <w:b/>
                <w:i/>
                <w:noProof/>
                <w:lang w:val="ro-MD"/>
              </w:rPr>
              <w:t>4.1.2.4.</w:t>
            </w:r>
            <w:r w:rsidR="006243C6">
              <w:rPr>
                <w:rFonts w:eastAsiaTheme="minorEastAsia"/>
                <w:noProof/>
              </w:rPr>
              <w:tab/>
            </w:r>
            <w:r w:rsidR="006243C6" w:rsidRPr="00C62A72">
              <w:rPr>
                <w:rStyle w:val="Hyperlink"/>
                <w:rFonts w:asciiTheme="majorHAnsi" w:hAnsiTheme="majorHAnsi" w:cstheme="majorHAnsi"/>
                <w:b/>
                <w:i/>
                <w:noProof/>
                <w:lang w:val="ro-MD"/>
              </w:rPr>
              <w:t>Neaplicarea reglementărilor aferente imobilizărilor corporale neutilizate în activitatea operațională nu contribuie la raportarea conformă a patrimoniului gestionat.</w:t>
            </w:r>
            <w:r w:rsidR="006243C6">
              <w:rPr>
                <w:noProof/>
                <w:webHidden/>
              </w:rPr>
              <w:tab/>
            </w:r>
            <w:r w:rsidR="006243C6">
              <w:rPr>
                <w:noProof/>
                <w:webHidden/>
              </w:rPr>
              <w:fldChar w:fldCharType="begin"/>
            </w:r>
            <w:r w:rsidR="006243C6">
              <w:rPr>
                <w:noProof/>
                <w:webHidden/>
              </w:rPr>
              <w:instrText xml:space="preserve"> PAGEREF _Toc123116710 \h </w:instrText>
            </w:r>
            <w:r w:rsidR="006243C6">
              <w:rPr>
                <w:noProof/>
                <w:webHidden/>
              </w:rPr>
            </w:r>
            <w:r w:rsidR="006243C6">
              <w:rPr>
                <w:noProof/>
                <w:webHidden/>
              </w:rPr>
              <w:fldChar w:fldCharType="separate"/>
            </w:r>
            <w:r w:rsidR="006243C6">
              <w:rPr>
                <w:noProof/>
                <w:webHidden/>
              </w:rPr>
              <w:t>18</w:t>
            </w:r>
            <w:r w:rsidR="006243C6">
              <w:rPr>
                <w:noProof/>
                <w:webHidden/>
              </w:rPr>
              <w:fldChar w:fldCharType="end"/>
            </w:r>
          </w:hyperlink>
        </w:p>
        <w:p w14:paraId="0963FE88" w14:textId="762E9F5F" w:rsidR="006243C6" w:rsidRDefault="00D25ACA">
          <w:pPr>
            <w:pStyle w:val="TOC1"/>
            <w:rPr>
              <w:rFonts w:eastAsiaTheme="minorEastAsia"/>
              <w:noProof/>
            </w:rPr>
          </w:pPr>
          <w:hyperlink w:anchor="_Toc123116711" w:history="1">
            <w:r w:rsidR="006243C6" w:rsidRPr="00C62A72">
              <w:rPr>
                <w:rStyle w:val="Hyperlink"/>
                <w:rFonts w:asciiTheme="majorHAnsi" w:hAnsiTheme="majorHAnsi" w:cstheme="majorHAnsi"/>
                <w:b/>
                <w:noProof/>
                <w:lang w:val="ro-MD"/>
              </w:rPr>
              <w:t>4.2.</w:t>
            </w:r>
            <w:r w:rsidR="006243C6">
              <w:rPr>
                <w:rFonts w:eastAsiaTheme="minorEastAsia"/>
                <w:noProof/>
              </w:rPr>
              <w:tab/>
            </w:r>
            <w:r w:rsidR="006243C6" w:rsidRPr="00C62A72">
              <w:rPr>
                <w:rStyle w:val="Hyperlink"/>
                <w:rFonts w:asciiTheme="majorHAnsi" w:hAnsiTheme="majorHAnsi" w:cstheme="majorHAnsi"/>
                <w:b/>
                <w:noProof/>
                <w:lang w:val="ro-MD"/>
              </w:rPr>
              <w:t>Veniturile au fost gestionate într-o manieră prudentă, asigurând acumularea integrală și conformă a acestora?</w:t>
            </w:r>
            <w:r w:rsidR="006243C6">
              <w:rPr>
                <w:noProof/>
                <w:webHidden/>
              </w:rPr>
              <w:tab/>
            </w:r>
            <w:r w:rsidR="006243C6">
              <w:rPr>
                <w:noProof/>
                <w:webHidden/>
              </w:rPr>
              <w:fldChar w:fldCharType="begin"/>
            </w:r>
            <w:r w:rsidR="006243C6">
              <w:rPr>
                <w:noProof/>
                <w:webHidden/>
              </w:rPr>
              <w:instrText xml:space="preserve"> PAGEREF _Toc123116711 \h </w:instrText>
            </w:r>
            <w:r w:rsidR="006243C6">
              <w:rPr>
                <w:noProof/>
                <w:webHidden/>
              </w:rPr>
            </w:r>
            <w:r w:rsidR="006243C6">
              <w:rPr>
                <w:noProof/>
                <w:webHidden/>
              </w:rPr>
              <w:fldChar w:fldCharType="separate"/>
            </w:r>
            <w:r w:rsidR="006243C6">
              <w:rPr>
                <w:noProof/>
                <w:webHidden/>
              </w:rPr>
              <w:t>18</w:t>
            </w:r>
            <w:r w:rsidR="006243C6">
              <w:rPr>
                <w:noProof/>
                <w:webHidden/>
              </w:rPr>
              <w:fldChar w:fldCharType="end"/>
            </w:r>
          </w:hyperlink>
        </w:p>
        <w:p w14:paraId="5C28503E" w14:textId="492C3A68" w:rsidR="006243C6" w:rsidRDefault="00D25ACA">
          <w:pPr>
            <w:pStyle w:val="TOC1"/>
            <w:rPr>
              <w:rFonts w:eastAsiaTheme="minorEastAsia"/>
              <w:noProof/>
            </w:rPr>
          </w:pPr>
          <w:hyperlink w:anchor="_Toc123116712" w:history="1">
            <w:r w:rsidR="006243C6" w:rsidRPr="00C62A72">
              <w:rPr>
                <w:rStyle w:val="Hyperlink"/>
                <w:rFonts w:asciiTheme="majorHAnsi" w:hAnsiTheme="majorHAnsi" w:cstheme="majorHAnsi"/>
                <w:b/>
                <w:noProof/>
                <w:lang w:val="ro-MD"/>
              </w:rPr>
              <w:t>4.3.</w:t>
            </w:r>
            <w:r w:rsidR="006243C6">
              <w:rPr>
                <w:rFonts w:eastAsiaTheme="minorEastAsia"/>
                <w:noProof/>
              </w:rPr>
              <w:tab/>
            </w:r>
            <w:r w:rsidR="006243C6" w:rsidRPr="00C62A72">
              <w:rPr>
                <w:rStyle w:val="Hyperlink"/>
                <w:rFonts w:asciiTheme="majorHAnsi" w:hAnsiTheme="majorHAnsi" w:cstheme="majorHAnsi"/>
                <w:b/>
                <w:noProof/>
                <w:lang w:val="ro-MD"/>
              </w:rPr>
              <w:t>Resursele bugetare alocate (subsidiile) au fost utilizate conform necesităților reale ale entităților, cu respectarea legalității cheltuielilor?</w:t>
            </w:r>
            <w:r w:rsidR="006243C6">
              <w:rPr>
                <w:noProof/>
                <w:webHidden/>
              </w:rPr>
              <w:tab/>
            </w:r>
            <w:r w:rsidR="006243C6">
              <w:rPr>
                <w:noProof/>
                <w:webHidden/>
              </w:rPr>
              <w:fldChar w:fldCharType="begin"/>
            </w:r>
            <w:r w:rsidR="006243C6">
              <w:rPr>
                <w:noProof/>
                <w:webHidden/>
              </w:rPr>
              <w:instrText xml:space="preserve"> PAGEREF _Toc123116712 \h </w:instrText>
            </w:r>
            <w:r w:rsidR="006243C6">
              <w:rPr>
                <w:noProof/>
                <w:webHidden/>
              </w:rPr>
            </w:r>
            <w:r w:rsidR="006243C6">
              <w:rPr>
                <w:noProof/>
                <w:webHidden/>
              </w:rPr>
              <w:fldChar w:fldCharType="separate"/>
            </w:r>
            <w:r w:rsidR="006243C6">
              <w:rPr>
                <w:noProof/>
                <w:webHidden/>
              </w:rPr>
              <w:t>21</w:t>
            </w:r>
            <w:r w:rsidR="006243C6">
              <w:rPr>
                <w:noProof/>
                <w:webHidden/>
              </w:rPr>
              <w:fldChar w:fldCharType="end"/>
            </w:r>
          </w:hyperlink>
        </w:p>
        <w:p w14:paraId="119B3424" w14:textId="6CADEEA0" w:rsidR="006243C6" w:rsidRDefault="00D25ACA">
          <w:pPr>
            <w:pStyle w:val="TOC1"/>
            <w:tabs>
              <w:tab w:val="left" w:pos="880"/>
            </w:tabs>
            <w:rPr>
              <w:rFonts w:eastAsiaTheme="minorEastAsia"/>
              <w:noProof/>
            </w:rPr>
          </w:pPr>
          <w:hyperlink w:anchor="_Toc123116713" w:history="1">
            <w:r w:rsidR="006243C6" w:rsidRPr="00C62A72">
              <w:rPr>
                <w:rStyle w:val="Hyperlink"/>
                <w:rFonts w:asciiTheme="majorHAnsi" w:hAnsiTheme="majorHAnsi" w:cstheme="majorHAnsi"/>
                <w:b/>
                <w:i/>
                <w:noProof/>
                <w:lang w:val="ro-MD"/>
              </w:rPr>
              <w:t>4.3.1.</w:t>
            </w:r>
            <w:r w:rsidR="006243C6">
              <w:rPr>
                <w:rFonts w:eastAsiaTheme="minorEastAsia"/>
                <w:noProof/>
              </w:rPr>
              <w:tab/>
            </w:r>
            <w:r w:rsidR="006243C6" w:rsidRPr="00C62A72">
              <w:rPr>
                <w:rStyle w:val="Hyperlink"/>
                <w:rFonts w:asciiTheme="majorHAnsi" w:hAnsiTheme="majorHAnsi" w:cstheme="majorHAnsi"/>
                <w:b/>
                <w:i/>
                <w:noProof/>
                <w:lang w:val="ro-MD"/>
              </w:rPr>
              <w:t>Managementul instituțiilor publice din domeniul infrastructurii calității necesită a fi orientat în continuare pe realizarea obiectivelor strategice sectoriale în strânsă corelare cu Programul de activitate al Guvernului și CBTM.</w:t>
            </w:r>
            <w:r w:rsidR="006243C6">
              <w:rPr>
                <w:noProof/>
                <w:webHidden/>
              </w:rPr>
              <w:tab/>
            </w:r>
            <w:r w:rsidR="006243C6">
              <w:rPr>
                <w:noProof/>
                <w:webHidden/>
              </w:rPr>
              <w:fldChar w:fldCharType="begin"/>
            </w:r>
            <w:r w:rsidR="006243C6">
              <w:rPr>
                <w:noProof/>
                <w:webHidden/>
              </w:rPr>
              <w:instrText xml:space="preserve"> PAGEREF _Toc123116713 \h </w:instrText>
            </w:r>
            <w:r w:rsidR="006243C6">
              <w:rPr>
                <w:noProof/>
                <w:webHidden/>
              </w:rPr>
            </w:r>
            <w:r w:rsidR="006243C6">
              <w:rPr>
                <w:noProof/>
                <w:webHidden/>
              </w:rPr>
              <w:fldChar w:fldCharType="separate"/>
            </w:r>
            <w:r w:rsidR="006243C6">
              <w:rPr>
                <w:noProof/>
                <w:webHidden/>
              </w:rPr>
              <w:t>21</w:t>
            </w:r>
            <w:r w:rsidR="006243C6">
              <w:rPr>
                <w:noProof/>
                <w:webHidden/>
              </w:rPr>
              <w:fldChar w:fldCharType="end"/>
            </w:r>
          </w:hyperlink>
        </w:p>
        <w:p w14:paraId="0A2C05D9" w14:textId="608424FF" w:rsidR="006243C6" w:rsidRDefault="00D25ACA">
          <w:pPr>
            <w:pStyle w:val="TOC1"/>
            <w:tabs>
              <w:tab w:val="left" w:pos="880"/>
            </w:tabs>
            <w:rPr>
              <w:rFonts w:eastAsiaTheme="minorEastAsia"/>
              <w:noProof/>
            </w:rPr>
          </w:pPr>
          <w:hyperlink w:anchor="_Toc123116714" w:history="1">
            <w:r w:rsidR="006243C6" w:rsidRPr="00C62A72">
              <w:rPr>
                <w:rStyle w:val="Hyperlink"/>
                <w:rFonts w:asciiTheme="majorHAnsi" w:hAnsiTheme="majorHAnsi" w:cstheme="majorHAnsi"/>
                <w:b/>
                <w:i/>
                <w:noProof/>
                <w:lang w:val="ro-MD"/>
              </w:rPr>
              <w:t>4.3.2.</w:t>
            </w:r>
            <w:r w:rsidR="006243C6">
              <w:rPr>
                <w:rFonts w:eastAsiaTheme="minorEastAsia"/>
                <w:noProof/>
              </w:rPr>
              <w:tab/>
            </w:r>
            <w:r w:rsidR="006243C6" w:rsidRPr="00C62A72">
              <w:rPr>
                <w:rStyle w:val="Hyperlink"/>
                <w:rFonts w:asciiTheme="majorHAnsi" w:hAnsiTheme="majorHAnsi" w:cstheme="majorHAnsi"/>
                <w:b/>
                <w:i/>
                <w:noProof/>
                <w:lang w:val="ro-MD"/>
              </w:rPr>
              <w:t>Managementul financiar-contabil aplicat nu a asigurat abordarea corespunzătoare a unor cheltuieli aferente salarizării personalului încadrat.</w:t>
            </w:r>
            <w:r w:rsidR="006243C6">
              <w:rPr>
                <w:noProof/>
                <w:webHidden/>
              </w:rPr>
              <w:tab/>
            </w:r>
            <w:r w:rsidR="006243C6">
              <w:rPr>
                <w:noProof/>
                <w:webHidden/>
              </w:rPr>
              <w:fldChar w:fldCharType="begin"/>
            </w:r>
            <w:r w:rsidR="006243C6">
              <w:rPr>
                <w:noProof/>
                <w:webHidden/>
              </w:rPr>
              <w:instrText xml:space="preserve"> PAGEREF _Toc123116714 \h </w:instrText>
            </w:r>
            <w:r w:rsidR="006243C6">
              <w:rPr>
                <w:noProof/>
                <w:webHidden/>
              </w:rPr>
            </w:r>
            <w:r w:rsidR="006243C6">
              <w:rPr>
                <w:noProof/>
                <w:webHidden/>
              </w:rPr>
              <w:fldChar w:fldCharType="separate"/>
            </w:r>
            <w:r w:rsidR="006243C6">
              <w:rPr>
                <w:noProof/>
                <w:webHidden/>
              </w:rPr>
              <w:t>23</w:t>
            </w:r>
            <w:r w:rsidR="006243C6">
              <w:rPr>
                <w:noProof/>
                <w:webHidden/>
              </w:rPr>
              <w:fldChar w:fldCharType="end"/>
            </w:r>
          </w:hyperlink>
        </w:p>
        <w:p w14:paraId="55E91538" w14:textId="51287E4D" w:rsidR="006243C6" w:rsidRDefault="00D25ACA">
          <w:pPr>
            <w:pStyle w:val="TOC1"/>
            <w:rPr>
              <w:rFonts w:eastAsiaTheme="minorEastAsia"/>
              <w:noProof/>
            </w:rPr>
          </w:pPr>
          <w:hyperlink w:anchor="_Toc123116715" w:history="1">
            <w:r w:rsidR="006243C6" w:rsidRPr="00C62A72">
              <w:rPr>
                <w:rStyle w:val="Hyperlink"/>
                <w:rFonts w:asciiTheme="majorHAnsi" w:eastAsia="Times New Roman" w:hAnsiTheme="majorHAnsi" w:cstheme="majorHAnsi"/>
                <w:b/>
                <w:bCs/>
                <w:caps/>
                <w:noProof/>
                <w:lang w:val="ro-MD"/>
              </w:rPr>
              <w:t>V. BUNA GUVERNARE</w:t>
            </w:r>
            <w:r w:rsidR="006243C6">
              <w:rPr>
                <w:noProof/>
                <w:webHidden/>
              </w:rPr>
              <w:tab/>
            </w:r>
            <w:r w:rsidR="006243C6">
              <w:rPr>
                <w:noProof/>
                <w:webHidden/>
              </w:rPr>
              <w:fldChar w:fldCharType="begin"/>
            </w:r>
            <w:r w:rsidR="006243C6">
              <w:rPr>
                <w:noProof/>
                <w:webHidden/>
              </w:rPr>
              <w:instrText xml:space="preserve"> PAGEREF _Toc123116715 \h </w:instrText>
            </w:r>
            <w:r w:rsidR="006243C6">
              <w:rPr>
                <w:noProof/>
                <w:webHidden/>
              </w:rPr>
            </w:r>
            <w:r w:rsidR="006243C6">
              <w:rPr>
                <w:noProof/>
                <w:webHidden/>
              </w:rPr>
              <w:fldChar w:fldCharType="separate"/>
            </w:r>
            <w:r w:rsidR="006243C6">
              <w:rPr>
                <w:noProof/>
                <w:webHidden/>
              </w:rPr>
              <w:t>27</w:t>
            </w:r>
            <w:r w:rsidR="006243C6">
              <w:rPr>
                <w:noProof/>
                <w:webHidden/>
              </w:rPr>
              <w:fldChar w:fldCharType="end"/>
            </w:r>
          </w:hyperlink>
        </w:p>
        <w:p w14:paraId="69DFF8CE" w14:textId="25C29FE3" w:rsidR="006243C6" w:rsidRDefault="00D25ACA">
          <w:pPr>
            <w:pStyle w:val="TOC1"/>
            <w:rPr>
              <w:rFonts w:eastAsiaTheme="minorEastAsia"/>
              <w:noProof/>
            </w:rPr>
          </w:pPr>
          <w:hyperlink w:anchor="_Toc123116716" w:history="1">
            <w:r w:rsidR="006243C6" w:rsidRPr="00C62A72">
              <w:rPr>
                <w:rStyle w:val="Hyperlink"/>
                <w:rFonts w:ascii="Calibri Light" w:eastAsia="Calibri" w:hAnsi="Calibri Light" w:cs="Calibri Light"/>
                <w:b/>
                <w:noProof/>
                <w:lang w:val="ro-MD"/>
              </w:rPr>
              <w:t>5.1.</w:t>
            </w:r>
            <w:r w:rsidR="006243C6">
              <w:rPr>
                <w:rFonts w:eastAsiaTheme="minorEastAsia"/>
                <w:noProof/>
              </w:rPr>
              <w:tab/>
            </w:r>
            <w:r w:rsidR="006243C6" w:rsidRPr="00C62A72">
              <w:rPr>
                <w:rStyle w:val="Hyperlink"/>
                <w:rFonts w:asciiTheme="majorHAnsi" w:hAnsiTheme="majorHAnsi" w:cstheme="majorHAnsi"/>
                <w:b/>
                <w:noProof/>
                <w:lang w:val="ro-MD"/>
              </w:rPr>
              <w:t>Sistemul de control intern managerial necesită a fi fortificat, pentru a oferi în continuare asigurări rezonabile privind capacitatea entităților din domeniul infrastructurii calității de a atinge obiectivele și rezultatele planificate.</w:t>
            </w:r>
            <w:r w:rsidR="006243C6">
              <w:rPr>
                <w:noProof/>
                <w:webHidden/>
              </w:rPr>
              <w:tab/>
            </w:r>
            <w:r w:rsidR="006243C6">
              <w:rPr>
                <w:noProof/>
                <w:webHidden/>
              </w:rPr>
              <w:fldChar w:fldCharType="begin"/>
            </w:r>
            <w:r w:rsidR="006243C6">
              <w:rPr>
                <w:noProof/>
                <w:webHidden/>
              </w:rPr>
              <w:instrText xml:space="preserve"> PAGEREF _Toc123116716 \h </w:instrText>
            </w:r>
            <w:r w:rsidR="006243C6">
              <w:rPr>
                <w:noProof/>
                <w:webHidden/>
              </w:rPr>
            </w:r>
            <w:r w:rsidR="006243C6">
              <w:rPr>
                <w:noProof/>
                <w:webHidden/>
              </w:rPr>
              <w:fldChar w:fldCharType="separate"/>
            </w:r>
            <w:r w:rsidR="006243C6">
              <w:rPr>
                <w:noProof/>
                <w:webHidden/>
              </w:rPr>
              <w:t>27</w:t>
            </w:r>
            <w:r w:rsidR="006243C6">
              <w:rPr>
                <w:noProof/>
                <w:webHidden/>
              </w:rPr>
              <w:fldChar w:fldCharType="end"/>
            </w:r>
          </w:hyperlink>
        </w:p>
        <w:p w14:paraId="5058F384" w14:textId="08BC943C" w:rsidR="006243C6" w:rsidRDefault="00D25ACA">
          <w:pPr>
            <w:pStyle w:val="TOC1"/>
            <w:rPr>
              <w:rFonts w:eastAsiaTheme="minorEastAsia"/>
              <w:noProof/>
            </w:rPr>
          </w:pPr>
          <w:hyperlink w:anchor="_Toc123116717" w:history="1">
            <w:r w:rsidR="006243C6" w:rsidRPr="00C62A72">
              <w:rPr>
                <w:rStyle w:val="Hyperlink"/>
                <w:rFonts w:ascii="Calibri Light" w:eastAsia="Calibri" w:hAnsi="Calibri Light" w:cs="Calibri Light"/>
                <w:b/>
                <w:noProof/>
                <w:lang w:val="ro-MD"/>
              </w:rPr>
              <w:t>5.2.</w:t>
            </w:r>
            <w:r w:rsidR="006243C6">
              <w:rPr>
                <w:rFonts w:eastAsiaTheme="minorEastAsia"/>
                <w:noProof/>
              </w:rPr>
              <w:tab/>
            </w:r>
            <w:r w:rsidR="006243C6" w:rsidRPr="00C62A72">
              <w:rPr>
                <w:rStyle w:val="Hyperlink"/>
                <w:rFonts w:asciiTheme="majorHAnsi" w:hAnsiTheme="majorHAnsi" w:cstheme="majorHAnsi"/>
                <w:b/>
                <w:noProof/>
                <w:lang w:val="ro-MD"/>
              </w:rPr>
              <w:t>Implementarea recomandărilor anterioare ale Curții de Conturi a fost realizată în proporție de 80%</w:t>
            </w:r>
            <w:r w:rsidR="00586D92">
              <w:rPr>
                <w:rStyle w:val="Hyperlink"/>
                <w:rFonts w:asciiTheme="majorHAnsi" w:hAnsiTheme="majorHAnsi" w:cstheme="majorHAnsi"/>
                <w:b/>
                <w:noProof/>
                <w:lang w:val="ro-MD"/>
              </w:rPr>
              <w:t>......</w:t>
            </w:r>
            <w:r w:rsidR="006243C6" w:rsidRPr="00C62A72">
              <w:rPr>
                <w:rStyle w:val="Hyperlink"/>
                <w:rFonts w:asciiTheme="majorHAnsi" w:hAnsiTheme="majorHAnsi" w:cstheme="majorHAnsi"/>
                <w:b/>
                <w:noProof/>
                <w:lang w:val="ro-MD"/>
              </w:rPr>
              <w:t>.</w:t>
            </w:r>
            <w:r w:rsidR="006243C6">
              <w:rPr>
                <w:noProof/>
                <w:webHidden/>
              </w:rPr>
              <w:tab/>
            </w:r>
            <w:r w:rsidR="006243C6">
              <w:rPr>
                <w:noProof/>
                <w:webHidden/>
              </w:rPr>
              <w:fldChar w:fldCharType="begin"/>
            </w:r>
            <w:r w:rsidR="006243C6">
              <w:rPr>
                <w:noProof/>
                <w:webHidden/>
              </w:rPr>
              <w:instrText xml:space="preserve"> PAGEREF _Toc123116717 \h </w:instrText>
            </w:r>
            <w:r w:rsidR="006243C6">
              <w:rPr>
                <w:noProof/>
                <w:webHidden/>
              </w:rPr>
            </w:r>
            <w:r w:rsidR="006243C6">
              <w:rPr>
                <w:noProof/>
                <w:webHidden/>
              </w:rPr>
              <w:fldChar w:fldCharType="separate"/>
            </w:r>
            <w:r w:rsidR="006243C6">
              <w:rPr>
                <w:noProof/>
                <w:webHidden/>
              </w:rPr>
              <w:t>28</w:t>
            </w:r>
            <w:r w:rsidR="006243C6">
              <w:rPr>
                <w:noProof/>
                <w:webHidden/>
              </w:rPr>
              <w:fldChar w:fldCharType="end"/>
            </w:r>
          </w:hyperlink>
        </w:p>
        <w:p w14:paraId="7F82F261" w14:textId="4C2224FB" w:rsidR="006243C6" w:rsidRDefault="00D25ACA">
          <w:pPr>
            <w:pStyle w:val="TOC1"/>
            <w:rPr>
              <w:rFonts w:eastAsiaTheme="minorEastAsia"/>
              <w:noProof/>
            </w:rPr>
          </w:pPr>
          <w:hyperlink w:anchor="_Toc123116718" w:history="1">
            <w:r w:rsidR="006243C6" w:rsidRPr="00C62A72">
              <w:rPr>
                <w:rStyle w:val="Hyperlink"/>
                <w:rFonts w:asciiTheme="majorHAnsi" w:eastAsia="Times New Roman" w:hAnsiTheme="majorHAnsi" w:cstheme="majorHAnsi"/>
                <w:b/>
                <w:bCs/>
                <w:caps/>
                <w:noProof/>
                <w:lang w:val="ro-MD"/>
              </w:rPr>
              <w:t>VI. Concluzia generală</w:t>
            </w:r>
            <w:r w:rsidR="006243C6">
              <w:rPr>
                <w:noProof/>
                <w:webHidden/>
              </w:rPr>
              <w:tab/>
            </w:r>
            <w:r w:rsidR="006243C6">
              <w:rPr>
                <w:noProof/>
                <w:webHidden/>
              </w:rPr>
              <w:fldChar w:fldCharType="begin"/>
            </w:r>
            <w:r w:rsidR="006243C6">
              <w:rPr>
                <w:noProof/>
                <w:webHidden/>
              </w:rPr>
              <w:instrText xml:space="preserve"> PAGEREF _Toc123116718 \h </w:instrText>
            </w:r>
            <w:r w:rsidR="006243C6">
              <w:rPr>
                <w:noProof/>
                <w:webHidden/>
              </w:rPr>
            </w:r>
            <w:r w:rsidR="006243C6">
              <w:rPr>
                <w:noProof/>
                <w:webHidden/>
              </w:rPr>
              <w:fldChar w:fldCharType="separate"/>
            </w:r>
            <w:r w:rsidR="006243C6">
              <w:rPr>
                <w:noProof/>
                <w:webHidden/>
              </w:rPr>
              <w:t>28</w:t>
            </w:r>
            <w:r w:rsidR="006243C6">
              <w:rPr>
                <w:noProof/>
                <w:webHidden/>
              </w:rPr>
              <w:fldChar w:fldCharType="end"/>
            </w:r>
          </w:hyperlink>
        </w:p>
        <w:p w14:paraId="5D9974DD" w14:textId="48FCE397" w:rsidR="006243C6" w:rsidRDefault="00D25ACA">
          <w:pPr>
            <w:pStyle w:val="TOC1"/>
            <w:rPr>
              <w:rFonts w:eastAsiaTheme="minorEastAsia"/>
              <w:noProof/>
            </w:rPr>
          </w:pPr>
          <w:hyperlink w:anchor="_Toc123116719" w:history="1">
            <w:r w:rsidR="006243C6" w:rsidRPr="00C62A72">
              <w:rPr>
                <w:rStyle w:val="Hyperlink"/>
                <w:rFonts w:asciiTheme="majorHAnsi" w:eastAsia="Times New Roman" w:hAnsiTheme="majorHAnsi" w:cstheme="majorHAnsi"/>
                <w:b/>
                <w:bCs/>
                <w:caps/>
                <w:noProof/>
                <w:lang w:val="ro-MD"/>
              </w:rPr>
              <w:t>VII.Recomandări</w:t>
            </w:r>
            <w:r w:rsidR="006243C6">
              <w:rPr>
                <w:noProof/>
                <w:webHidden/>
              </w:rPr>
              <w:tab/>
            </w:r>
            <w:r w:rsidR="006243C6">
              <w:rPr>
                <w:noProof/>
                <w:webHidden/>
              </w:rPr>
              <w:fldChar w:fldCharType="begin"/>
            </w:r>
            <w:r w:rsidR="006243C6">
              <w:rPr>
                <w:noProof/>
                <w:webHidden/>
              </w:rPr>
              <w:instrText xml:space="preserve"> PAGEREF _Toc123116719 \h </w:instrText>
            </w:r>
            <w:r w:rsidR="006243C6">
              <w:rPr>
                <w:noProof/>
                <w:webHidden/>
              </w:rPr>
            </w:r>
            <w:r w:rsidR="006243C6">
              <w:rPr>
                <w:noProof/>
                <w:webHidden/>
              </w:rPr>
              <w:fldChar w:fldCharType="separate"/>
            </w:r>
            <w:r w:rsidR="006243C6">
              <w:rPr>
                <w:noProof/>
                <w:webHidden/>
              </w:rPr>
              <w:t>29</w:t>
            </w:r>
            <w:r w:rsidR="006243C6">
              <w:rPr>
                <w:noProof/>
                <w:webHidden/>
              </w:rPr>
              <w:fldChar w:fldCharType="end"/>
            </w:r>
          </w:hyperlink>
        </w:p>
        <w:p w14:paraId="6325256A" w14:textId="6A7BDE9D" w:rsidR="006243C6" w:rsidRDefault="00D25ACA">
          <w:pPr>
            <w:pStyle w:val="TOC1"/>
            <w:rPr>
              <w:rFonts w:eastAsiaTheme="minorEastAsia"/>
              <w:noProof/>
            </w:rPr>
          </w:pPr>
          <w:hyperlink w:anchor="_Toc123116720" w:history="1">
            <w:r w:rsidR="006243C6" w:rsidRPr="00C62A72">
              <w:rPr>
                <w:rStyle w:val="Hyperlink"/>
                <w:rFonts w:asciiTheme="majorHAnsi" w:eastAsia="Times New Roman" w:hAnsiTheme="majorHAnsi" w:cstheme="majorHAnsi"/>
                <w:b/>
                <w:bCs/>
                <w:caps/>
                <w:noProof/>
                <w:lang w:val="ro-MD"/>
              </w:rPr>
              <w:t>SEMNĂTURILE ECHIPEI De AUDIT</w:t>
            </w:r>
            <w:r w:rsidR="006243C6">
              <w:rPr>
                <w:noProof/>
                <w:webHidden/>
              </w:rPr>
              <w:tab/>
            </w:r>
            <w:r w:rsidR="006243C6">
              <w:rPr>
                <w:noProof/>
                <w:webHidden/>
              </w:rPr>
              <w:fldChar w:fldCharType="begin"/>
            </w:r>
            <w:r w:rsidR="006243C6">
              <w:rPr>
                <w:noProof/>
                <w:webHidden/>
              </w:rPr>
              <w:instrText xml:space="preserve"> PAGEREF _Toc123116720 \h </w:instrText>
            </w:r>
            <w:r w:rsidR="006243C6">
              <w:rPr>
                <w:noProof/>
                <w:webHidden/>
              </w:rPr>
            </w:r>
            <w:r w:rsidR="006243C6">
              <w:rPr>
                <w:noProof/>
                <w:webHidden/>
              </w:rPr>
              <w:fldChar w:fldCharType="separate"/>
            </w:r>
            <w:r w:rsidR="006243C6">
              <w:rPr>
                <w:noProof/>
                <w:webHidden/>
              </w:rPr>
              <w:t>30</w:t>
            </w:r>
            <w:r w:rsidR="006243C6">
              <w:rPr>
                <w:noProof/>
                <w:webHidden/>
              </w:rPr>
              <w:fldChar w:fldCharType="end"/>
            </w:r>
          </w:hyperlink>
        </w:p>
        <w:p w14:paraId="23193943" w14:textId="5E478E6E" w:rsidR="006243C6" w:rsidRDefault="00D25ACA">
          <w:pPr>
            <w:pStyle w:val="TOC1"/>
            <w:rPr>
              <w:rFonts w:eastAsiaTheme="minorEastAsia"/>
              <w:noProof/>
            </w:rPr>
          </w:pPr>
          <w:hyperlink w:anchor="_Toc123116721" w:history="1">
            <w:r w:rsidR="006243C6" w:rsidRPr="00C62A72">
              <w:rPr>
                <w:rStyle w:val="Hyperlink"/>
                <w:rFonts w:eastAsia="Times New Roman" w:cstheme="majorHAnsi"/>
                <w:b/>
                <w:bCs/>
                <w:noProof/>
                <w:lang w:val="ro-MD"/>
              </w:rPr>
              <w:t>ANEXE</w:t>
            </w:r>
            <w:r w:rsidR="006243C6">
              <w:rPr>
                <w:noProof/>
                <w:webHidden/>
              </w:rPr>
              <w:tab/>
            </w:r>
            <w:r w:rsidR="006243C6">
              <w:rPr>
                <w:noProof/>
                <w:webHidden/>
              </w:rPr>
              <w:fldChar w:fldCharType="begin"/>
            </w:r>
            <w:r w:rsidR="006243C6">
              <w:rPr>
                <w:noProof/>
                <w:webHidden/>
              </w:rPr>
              <w:instrText xml:space="preserve"> PAGEREF _Toc123116721 \h </w:instrText>
            </w:r>
            <w:r w:rsidR="006243C6">
              <w:rPr>
                <w:noProof/>
                <w:webHidden/>
              </w:rPr>
            </w:r>
            <w:r w:rsidR="006243C6">
              <w:rPr>
                <w:noProof/>
                <w:webHidden/>
              </w:rPr>
              <w:fldChar w:fldCharType="separate"/>
            </w:r>
            <w:r w:rsidR="006243C6">
              <w:rPr>
                <w:noProof/>
                <w:webHidden/>
              </w:rPr>
              <w:t>31</w:t>
            </w:r>
            <w:r w:rsidR="006243C6">
              <w:rPr>
                <w:noProof/>
                <w:webHidden/>
              </w:rPr>
              <w:fldChar w:fldCharType="end"/>
            </w:r>
          </w:hyperlink>
        </w:p>
        <w:p w14:paraId="19B68C72" w14:textId="58B8385C" w:rsidR="006243C6" w:rsidRDefault="00D25ACA">
          <w:pPr>
            <w:pStyle w:val="TOC2"/>
            <w:tabs>
              <w:tab w:val="right" w:leader="dot" w:pos="9344"/>
            </w:tabs>
            <w:rPr>
              <w:rFonts w:eastAsiaTheme="minorEastAsia"/>
              <w:noProof/>
            </w:rPr>
          </w:pPr>
          <w:hyperlink w:anchor="_Toc123116722" w:history="1">
            <w:r w:rsidR="006243C6" w:rsidRPr="00C62A72">
              <w:rPr>
                <w:rStyle w:val="Hyperlink"/>
                <w:rFonts w:cstheme="majorHAnsi"/>
                <w:b/>
                <w:noProof/>
                <w:lang w:val="ro-MD"/>
              </w:rPr>
              <w:t>Anexa nr.1. Informații aferente domeniului auditat</w:t>
            </w:r>
            <w:r w:rsidR="006243C6">
              <w:rPr>
                <w:noProof/>
                <w:webHidden/>
              </w:rPr>
              <w:tab/>
            </w:r>
            <w:r w:rsidR="006243C6">
              <w:rPr>
                <w:noProof/>
                <w:webHidden/>
              </w:rPr>
              <w:fldChar w:fldCharType="begin"/>
            </w:r>
            <w:r w:rsidR="006243C6">
              <w:rPr>
                <w:noProof/>
                <w:webHidden/>
              </w:rPr>
              <w:instrText xml:space="preserve"> PAGEREF _Toc123116722 \h </w:instrText>
            </w:r>
            <w:r w:rsidR="006243C6">
              <w:rPr>
                <w:noProof/>
                <w:webHidden/>
              </w:rPr>
            </w:r>
            <w:r w:rsidR="006243C6">
              <w:rPr>
                <w:noProof/>
                <w:webHidden/>
              </w:rPr>
              <w:fldChar w:fldCharType="separate"/>
            </w:r>
            <w:r w:rsidR="006243C6">
              <w:rPr>
                <w:noProof/>
                <w:webHidden/>
              </w:rPr>
              <w:t>31</w:t>
            </w:r>
            <w:r w:rsidR="006243C6">
              <w:rPr>
                <w:noProof/>
                <w:webHidden/>
              </w:rPr>
              <w:fldChar w:fldCharType="end"/>
            </w:r>
          </w:hyperlink>
        </w:p>
        <w:p w14:paraId="0B36A15F" w14:textId="0DBD62E4" w:rsidR="006243C6" w:rsidRDefault="00D25ACA">
          <w:pPr>
            <w:pStyle w:val="TOC2"/>
            <w:tabs>
              <w:tab w:val="right" w:leader="dot" w:pos="9344"/>
            </w:tabs>
            <w:rPr>
              <w:rFonts w:eastAsiaTheme="minorEastAsia"/>
              <w:noProof/>
            </w:rPr>
          </w:pPr>
          <w:hyperlink w:anchor="_Toc123116723" w:history="1">
            <w:r w:rsidR="006243C6" w:rsidRPr="00C62A72">
              <w:rPr>
                <w:rStyle w:val="Hyperlink"/>
                <w:rFonts w:cstheme="majorHAnsi"/>
                <w:b/>
                <w:noProof/>
                <w:lang w:val="ro-MD"/>
              </w:rPr>
              <w:t>Anexa nr.2</w:t>
            </w:r>
            <w:r w:rsidR="006243C6" w:rsidRPr="00C62A72">
              <w:rPr>
                <w:rStyle w:val="Hyperlink"/>
                <w:rFonts w:cstheme="majorHAnsi"/>
                <w:b/>
                <w:noProof/>
                <w:lang w:eastAsia="ro-MD"/>
              </w:rPr>
              <w:t xml:space="preserve">. </w:t>
            </w:r>
            <w:r w:rsidR="006243C6" w:rsidRPr="00C62A72">
              <w:rPr>
                <w:rStyle w:val="Hyperlink"/>
                <w:rFonts w:cstheme="majorHAnsi"/>
                <w:b/>
                <w:noProof/>
                <w:lang w:val="ro-MD"/>
              </w:rPr>
              <w:t>Procesele</w:t>
            </w:r>
            <w:r w:rsidR="006243C6" w:rsidRPr="00C62A72">
              <w:rPr>
                <w:rStyle w:val="Hyperlink"/>
                <w:rFonts w:cstheme="majorHAnsi"/>
                <w:b/>
                <w:noProof/>
                <w:lang w:eastAsia="ro-MD"/>
              </w:rPr>
              <w:t xml:space="preserve"> supuse verificării</w:t>
            </w:r>
            <w:r w:rsidR="006243C6">
              <w:rPr>
                <w:noProof/>
                <w:webHidden/>
              </w:rPr>
              <w:tab/>
            </w:r>
            <w:r w:rsidR="006243C6">
              <w:rPr>
                <w:noProof/>
                <w:webHidden/>
              </w:rPr>
              <w:fldChar w:fldCharType="begin"/>
            </w:r>
            <w:r w:rsidR="006243C6">
              <w:rPr>
                <w:noProof/>
                <w:webHidden/>
              </w:rPr>
              <w:instrText xml:space="preserve"> PAGEREF _Toc123116723 \h </w:instrText>
            </w:r>
            <w:r w:rsidR="006243C6">
              <w:rPr>
                <w:noProof/>
                <w:webHidden/>
              </w:rPr>
            </w:r>
            <w:r w:rsidR="006243C6">
              <w:rPr>
                <w:noProof/>
                <w:webHidden/>
              </w:rPr>
              <w:fldChar w:fldCharType="separate"/>
            </w:r>
            <w:r w:rsidR="006243C6">
              <w:rPr>
                <w:noProof/>
                <w:webHidden/>
              </w:rPr>
              <w:t>42</w:t>
            </w:r>
            <w:r w:rsidR="006243C6">
              <w:rPr>
                <w:noProof/>
                <w:webHidden/>
              </w:rPr>
              <w:fldChar w:fldCharType="end"/>
            </w:r>
          </w:hyperlink>
        </w:p>
        <w:p w14:paraId="49D97694" w14:textId="38C3E521" w:rsidR="006243C6" w:rsidRDefault="00D25ACA">
          <w:pPr>
            <w:pStyle w:val="TOC2"/>
            <w:tabs>
              <w:tab w:val="right" w:leader="dot" w:pos="9344"/>
            </w:tabs>
            <w:rPr>
              <w:rFonts w:eastAsiaTheme="minorEastAsia"/>
              <w:noProof/>
            </w:rPr>
          </w:pPr>
          <w:hyperlink w:anchor="_Toc123116724" w:history="1">
            <w:r w:rsidR="006243C6" w:rsidRPr="00C62A72">
              <w:rPr>
                <w:rStyle w:val="Hyperlink"/>
                <w:rFonts w:cstheme="majorHAnsi"/>
                <w:b/>
                <w:noProof/>
                <w:lang w:val="ro-MD"/>
              </w:rPr>
              <w:t>Anexa nr.3. Lista imobilizărilor amortizate integral</w:t>
            </w:r>
            <w:r w:rsidR="006243C6">
              <w:rPr>
                <w:noProof/>
                <w:webHidden/>
              </w:rPr>
              <w:tab/>
            </w:r>
            <w:r w:rsidR="006243C6">
              <w:rPr>
                <w:noProof/>
                <w:webHidden/>
              </w:rPr>
              <w:fldChar w:fldCharType="begin"/>
            </w:r>
            <w:r w:rsidR="006243C6">
              <w:rPr>
                <w:noProof/>
                <w:webHidden/>
              </w:rPr>
              <w:instrText xml:space="preserve"> PAGEREF _Toc123116724 \h </w:instrText>
            </w:r>
            <w:r w:rsidR="006243C6">
              <w:rPr>
                <w:noProof/>
                <w:webHidden/>
              </w:rPr>
            </w:r>
            <w:r w:rsidR="006243C6">
              <w:rPr>
                <w:noProof/>
                <w:webHidden/>
              </w:rPr>
              <w:fldChar w:fldCharType="separate"/>
            </w:r>
            <w:r w:rsidR="006243C6">
              <w:rPr>
                <w:noProof/>
                <w:webHidden/>
              </w:rPr>
              <w:t>50</w:t>
            </w:r>
            <w:r w:rsidR="006243C6">
              <w:rPr>
                <w:noProof/>
                <w:webHidden/>
              </w:rPr>
              <w:fldChar w:fldCharType="end"/>
            </w:r>
          </w:hyperlink>
        </w:p>
        <w:p w14:paraId="36A6E707" w14:textId="272285A6" w:rsidR="006243C6" w:rsidRDefault="00D25ACA">
          <w:pPr>
            <w:pStyle w:val="TOC2"/>
            <w:tabs>
              <w:tab w:val="right" w:leader="dot" w:pos="9344"/>
            </w:tabs>
            <w:rPr>
              <w:rFonts w:eastAsiaTheme="minorEastAsia"/>
              <w:noProof/>
            </w:rPr>
          </w:pPr>
          <w:hyperlink w:anchor="_Toc123116725" w:history="1">
            <w:r w:rsidR="006243C6" w:rsidRPr="00C62A72">
              <w:rPr>
                <w:rStyle w:val="Hyperlink"/>
                <w:rFonts w:cstheme="majorHAnsi"/>
                <w:b/>
                <w:noProof/>
                <w:lang w:val="ro-MD"/>
              </w:rPr>
              <w:t>Anexa nr.4. Lista mijloacelor fixe spre casare ale IP Centrul National de Acreditare din Republica Moldova (MOLDAC)</w:t>
            </w:r>
            <w:r w:rsidR="006243C6">
              <w:rPr>
                <w:noProof/>
                <w:webHidden/>
              </w:rPr>
              <w:tab/>
            </w:r>
            <w:r w:rsidR="006243C6">
              <w:rPr>
                <w:noProof/>
                <w:webHidden/>
              </w:rPr>
              <w:fldChar w:fldCharType="begin"/>
            </w:r>
            <w:r w:rsidR="006243C6">
              <w:rPr>
                <w:noProof/>
                <w:webHidden/>
              </w:rPr>
              <w:instrText xml:space="preserve"> PAGEREF _Toc123116725 \h </w:instrText>
            </w:r>
            <w:r w:rsidR="006243C6">
              <w:rPr>
                <w:noProof/>
                <w:webHidden/>
              </w:rPr>
            </w:r>
            <w:r w:rsidR="006243C6">
              <w:rPr>
                <w:noProof/>
                <w:webHidden/>
              </w:rPr>
              <w:fldChar w:fldCharType="separate"/>
            </w:r>
            <w:r w:rsidR="006243C6">
              <w:rPr>
                <w:noProof/>
                <w:webHidden/>
              </w:rPr>
              <w:t>52</w:t>
            </w:r>
            <w:r w:rsidR="006243C6">
              <w:rPr>
                <w:noProof/>
                <w:webHidden/>
              </w:rPr>
              <w:fldChar w:fldCharType="end"/>
            </w:r>
          </w:hyperlink>
        </w:p>
        <w:p w14:paraId="3BF9DA86" w14:textId="2A4376AF" w:rsidR="006243C6" w:rsidRDefault="00D25ACA">
          <w:pPr>
            <w:pStyle w:val="TOC2"/>
            <w:tabs>
              <w:tab w:val="right" w:leader="dot" w:pos="9344"/>
            </w:tabs>
            <w:rPr>
              <w:rFonts w:eastAsiaTheme="minorEastAsia"/>
              <w:noProof/>
            </w:rPr>
          </w:pPr>
          <w:hyperlink w:anchor="_Toc123116726" w:history="1">
            <w:r w:rsidR="006243C6" w:rsidRPr="00C62A72">
              <w:rPr>
                <w:rStyle w:val="Hyperlink"/>
                <w:rFonts w:cstheme="majorHAnsi"/>
                <w:b/>
                <w:noProof/>
                <w:lang w:val="ro-MD"/>
              </w:rPr>
              <w:t>Anexa nr.5. Veniturile instituțiilor publice din domeniul infrastructurii calității acumulate în perioada anilor 2020-2021</w:t>
            </w:r>
            <w:r w:rsidR="006243C6">
              <w:rPr>
                <w:noProof/>
                <w:webHidden/>
              </w:rPr>
              <w:tab/>
            </w:r>
            <w:r w:rsidR="006243C6">
              <w:rPr>
                <w:noProof/>
                <w:webHidden/>
              </w:rPr>
              <w:fldChar w:fldCharType="begin"/>
            </w:r>
            <w:r w:rsidR="006243C6">
              <w:rPr>
                <w:noProof/>
                <w:webHidden/>
              </w:rPr>
              <w:instrText xml:space="preserve"> PAGEREF _Toc123116726 \h </w:instrText>
            </w:r>
            <w:r w:rsidR="006243C6">
              <w:rPr>
                <w:noProof/>
                <w:webHidden/>
              </w:rPr>
            </w:r>
            <w:r w:rsidR="006243C6">
              <w:rPr>
                <w:noProof/>
                <w:webHidden/>
              </w:rPr>
              <w:fldChar w:fldCharType="separate"/>
            </w:r>
            <w:r w:rsidR="006243C6">
              <w:rPr>
                <w:noProof/>
                <w:webHidden/>
              </w:rPr>
              <w:t>55</w:t>
            </w:r>
            <w:r w:rsidR="006243C6">
              <w:rPr>
                <w:noProof/>
                <w:webHidden/>
              </w:rPr>
              <w:fldChar w:fldCharType="end"/>
            </w:r>
          </w:hyperlink>
        </w:p>
        <w:p w14:paraId="7B411E7E" w14:textId="3B5EB281" w:rsidR="006243C6" w:rsidRDefault="00D25ACA">
          <w:pPr>
            <w:pStyle w:val="TOC2"/>
            <w:tabs>
              <w:tab w:val="right" w:leader="dot" w:pos="9344"/>
            </w:tabs>
            <w:rPr>
              <w:rFonts w:eastAsiaTheme="minorEastAsia"/>
              <w:noProof/>
            </w:rPr>
          </w:pPr>
          <w:hyperlink w:anchor="_Toc123116727" w:history="1">
            <w:r w:rsidR="006243C6" w:rsidRPr="00C62A72">
              <w:rPr>
                <w:rStyle w:val="Hyperlink"/>
                <w:rFonts w:cstheme="majorHAnsi"/>
                <w:b/>
                <w:noProof/>
                <w:lang w:val="ro-MD"/>
              </w:rPr>
              <w:t>Anexa nr.6. Cheltuielile intituțiilor publice din domeniul infrastructurii calității</w:t>
            </w:r>
            <w:r w:rsidR="006243C6">
              <w:rPr>
                <w:noProof/>
                <w:webHidden/>
              </w:rPr>
              <w:tab/>
            </w:r>
            <w:r w:rsidR="006243C6">
              <w:rPr>
                <w:noProof/>
                <w:webHidden/>
              </w:rPr>
              <w:fldChar w:fldCharType="begin"/>
            </w:r>
            <w:r w:rsidR="006243C6">
              <w:rPr>
                <w:noProof/>
                <w:webHidden/>
              </w:rPr>
              <w:instrText xml:space="preserve"> PAGEREF _Toc123116727 \h </w:instrText>
            </w:r>
            <w:r w:rsidR="006243C6">
              <w:rPr>
                <w:noProof/>
                <w:webHidden/>
              </w:rPr>
            </w:r>
            <w:r w:rsidR="006243C6">
              <w:rPr>
                <w:noProof/>
                <w:webHidden/>
              </w:rPr>
              <w:fldChar w:fldCharType="separate"/>
            </w:r>
            <w:r w:rsidR="006243C6">
              <w:rPr>
                <w:noProof/>
                <w:webHidden/>
              </w:rPr>
              <w:t>57</w:t>
            </w:r>
            <w:r w:rsidR="006243C6">
              <w:rPr>
                <w:noProof/>
                <w:webHidden/>
              </w:rPr>
              <w:fldChar w:fldCharType="end"/>
            </w:r>
          </w:hyperlink>
        </w:p>
        <w:p w14:paraId="0C3BC37C" w14:textId="059E748D" w:rsidR="006243C6" w:rsidRDefault="00D25ACA">
          <w:pPr>
            <w:pStyle w:val="TOC2"/>
            <w:tabs>
              <w:tab w:val="right" w:leader="dot" w:pos="9344"/>
            </w:tabs>
            <w:rPr>
              <w:rFonts w:eastAsiaTheme="minorEastAsia"/>
              <w:noProof/>
            </w:rPr>
          </w:pPr>
          <w:hyperlink w:anchor="_Toc123116728" w:history="1">
            <w:r w:rsidR="006243C6" w:rsidRPr="00C62A72">
              <w:rPr>
                <w:rStyle w:val="Hyperlink"/>
                <w:rFonts w:cstheme="majorHAnsi"/>
                <w:b/>
                <w:noProof/>
                <w:lang w:val="ro-MD"/>
              </w:rPr>
              <w:t>Anexa nr.7. Implementarea recomandărilor anterioare ale Curții de Conturi</w:t>
            </w:r>
            <w:r w:rsidR="006243C6">
              <w:rPr>
                <w:noProof/>
                <w:webHidden/>
              </w:rPr>
              <w:tab/>
            </w:r>
            <w:r w:rsidR="006243C6">
              <w:rPr>
                <w:noProof/>
                <w:webHidden/>
              </w:rPr>
              <w:fldChar w:fldCharType="begin"/>
            </w:r>
            <w:r w:rsidR="006243C6">
              <w:rPr>
                <w:noProof/>
                <w:webHidden/>
              </w:rPr>
              <w:instrText xml:space="preserve"> PAGEREF _Toc123116728 \h </w:instrText>
            </w:r>
            <w:r w:rsidR="006243C6">
              <w:rPr>
                <w:noProof/>
                <w:webHidden/>
              </w:rPr>
            </w:r>
            <w:r w:rsidR="006243C6">
              <w:rPr>
                <w:noProof/>
                <w:webHidden/>
              </w:rPr>
              <w:fldChar w:fldCharType="separate"/>
            </w:r>
            <w:r w:rsidR="006243C6">
              <w:rPr>
                <w:noProof/>
                <w:webHidden/>
              </w:rPr>
              <w:t>61</w:t>
            </w:r>
            <w:r w:rsidR="006243C6">
              <w:rPr>
                <w:noProof/>
                <w:webHidden/>
              </w:rPr>
              <w:fldChar w:fldCharType="end"/>
            </w:r>
          </w:hyperlink>
        </w:p>
        <w:p w14:paraId="6BC71B53" w14:textId="62696713" w:rsidR="006243C6" w:rsidRDefault="00D25ACA">
          <w:pPr>
            <w:pStyle w:val="TOC2"/>
            <w:tabs>
              <w:tab w:val="right" w:leader="dot" w:pos="9344"/>
            </w:tabs>
            <w:rPr>
              <w:rFonts w:eastAsiaTheme="minorEastAsia"/>
              <w:noProof/>
            </w:rPr>
          </w:pPr>
          <w:hyperlink w:anchor="_Toc123116729" w:history="1">
            <w:r w:rsidR="006243C6" w:rsidRPr="00C62A72">
              <w:rPr>
                <w:rStyle w:val="Hyperlink"/>
                <w:rFonts w:cstheme="majorHAnsi"/>
                <w:b/>
                <w:noProof/>
                <w:lang w:val="ro-MD"/>
              </w:rPr>
              <w:t>Anexa nr.8. Planurile de acțiuni</w:t>
            </w:r>
            <w:r w:rsidR="006243C6">
              <w:rPr>
                <w:noProof/>
                <w:webHidden/>
              </w:rPr>
              <w:tab/>
            </w:r>
            <w:r w:rsidR="006243C6">
              <w:rPr>
                <w:noProof/>
                <w:webHidden/>
              </w:rPr>
              <w:fldChar w:fldCharType="begin"/>
            </w:r>
            <w:r w:rsidR="006243C6">
              <w:rPr>
                <w:noProof/>
                <w:webHidden/>
              </w:rPr>
              <w:instrText xml:space="preserve"> PAGEREF _Toc123116729 \h </w:instrText>
            </w:r>
            <w:r w:rsidR="006243C6">
              <w:rPr>
                <w:noProof/>
                <w:webHidden/>
              </w:rPr>
            </w:r>
            <w:r w:rsidR="006243C6">
              <w:rPr>
                <w:noProof/>
                <w:webHidden/>
              </w:rPr>
              <w:fldChar w:fldCharType="separate"/>
            </w:r>
            <w:r w:rsidR="006243C6">
              <w:rPr>
                <w:noProof/>
                <w:webHidden/>
              </w:rPr>
              <w:t>63</w:t>
            </w:r>
            <w:r w:rsidR="006243C6">
              <w:rPr>
                <w:noProof/>
                <w:webHidden/>
              </w:rPr>
              <w:fldChar w:fldCharType="end"/>
            </w:r>
          </w:hyperlink>
        </w:p>
        <w:p w14:paraId="6A7E1143" w14:textId="64553FF8" w:rsidR="009809D8" w:rsidRPr="008E60B2" w:rsidRDefault="009809D8">
          <w:pPr>
            <w:rPr>
              <w:rFonts w:asciiTheme="majorHAnsi" w:hAnsiTheme="majorHAnsi" w:cstheme="majorHAnsi"/>
              <w:sz w:val="24"/>
              <w:szCs w:val="24"/>
              <w:lang w:val="ro-MD"/>
            </w:rPr>
          </w:pPr>
          <w:r w:rsidRPr="008E60B2">
            <w:rPr>
              <w:rFonts w:asciiTheme="majorHAnsi" w:hAnsiTheme="majorHAnsi" w:cstheme="majorHAnsi"/>
              <w:b/>
              <w:bCs/>
              <w:noProof/>
              <w:sz w:val="24"/>
              <w:szCs w:val="24"/>
              <w:lang w:val="ro-MD"/>
            </w:rPr>
            <w:fldChar w:fldCharType="end"/>
          </w:r>
        </w:p>
      </w:sdtContent>
    </w:sdt>
    <w:p w14:paraId="6584E973" w14:textId="5FED014A" w:rsidR="00FF492B" w:rsidRDefault="00FF492B">
      <w:pPr>
        <w:rPr>
          <w:lang w:val="ro-MD"/>
        </w:rPr>
      </w:pPr>
      <w:r>
        <w:rPr>
          <w:lang w:val="ro-MD"/>
        </w:rPr>
        <w:br w:type="page"/>
      </w:r>
    </w:p>
    <w:p w14:paraId="451867FF" w14:textId="29345384" w:rsidR="0020188F" w:rsidRPr="00D93CE9" w:rsidRDefault="0020188F" w:rsidP="00823352">
      <w:pPr>
        <w:pStyle w:val="Heading1"/>
        <w:rPr>
          <w:rFonts w:eastAsia="Times New Roman" w:cstheme="majorHAnsi"/>
          <w:b/>
          <w:bCs/>
          <w:color w:val="0070C0"/>
          <w:sz w:val="24"/>
          <w:szCs w:val="24"/>
          <w:lang w:val="ro-MD"/>
        </w:rPr>
      </w:pPr>
      <w:bookmarkStart w:id="1" w:name="_Toc123116690"/>
      <w:r w:rsidRPr="00D93CE9">
        <w:rPr>
          <w:rFonts w:eastAsia="Times New Roman" w:cstheme="majorHAnsi"/>
          <w:b/>
          <w:bCs/>
          <w:color w:val="0070C0"/>
          <w:sz w:val="24"/>
          <w:szCs w:val="24"/>
          <w:lang w:val="ro-MD"/>
        </w:rPr>
        <w:lastRenderedPageBreak/>
        <w:t>L</w:t>
      </w:r>
      <w:r w:rsidR="00D93CE9">
        <w:rPr>
          <w:rFonts w:eastAsia="Times New Roman" w:cstheme="majorHAnsi"/>
          <w:b/>
          <w:bCs/>
          <w:color w:val="0070C0"/>
          <w:sz w:val="24"/>
          <w:szCs w:val="24"/>
          <w:lang w:val="ro-MD"/>
        </w:rPr>
        <w:t>ISTA ACRONIMELOR</w:t>
      </w:r>
      <w:bookmarkEnd w:id="1"/>
    </w:p>
    <w:tbl>
      <w:tblPr>
        <w:tblStyle w:val="PlainTable2"/>
        <w:tblW w:w="9270" w:type="dxa"/>
        <w:tblBorders>
          <w:bottom w:val="single" w:sz="4" w:space="0" w:color="auto"/>
          <w:insideH w:val="single" w:sz="4" w:space="0" w:color="7F7F7F" w:themeColor="text1" w:themeTint="80"/>
        </w:tblBorders>
        <w:tblLook w:val="04A0" w:firstRow="1" w:lastRow="0" w:firstColumn="1" w:lastColumn="0" w:noHBand="0" w:noVBand="1"/>
      </w:tblPr>
      <w:tblGrid>
        <w:gridCol w:w="2430"/>
        <w:gridCol w:w="6840"/>
      </w:tblGrid>
      <w:tr w:rsidR="00F649B7" w:rsidRPr="007917DD" w14:paraId="091BC01C" w14:textId="77777777" w:rsidTr="007F3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one" w:sz="0" w:space="0" w:color="auto"/>
            </w:tcBorders>
          </w:tcPr>
          <w:p w14:paraId="020AB0C5" w14:textId="5747B367" w:rsidR="00F649B7" w:rsidRPr="007917DD" w:rsidRDefault="00F649B7"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APCSP</w:t>
            </w:r>
          </w:p>
        </w:tc>
        <w:tc>
          <w:tcPr>
            <w:tcW w:w="6840" w:type="dxa"/>
            <w:tcBorders>
              <w:bottom w:val="none" w:sz="0" w:space="0" w:color="auto"/>
            </w:tcBorders>
            <w:vAlign w:val="center"/>
          </w:tcPr>
          <w:p w14:paraId="6F2C1482" w14:textId="151603CA" w:rsidR="00F649B7" w:rsidRPr="00732122" w:rsidRDefault="00F649B7" w:rsidP="00F649B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o-MD"/>
              </w:rPr>
            </w:pPr>
            <w:r w:rsidRPr="00732122">
              <w:rPr>
                <w:rFonts w:asciiTheme="majorHAnsi" w:hAnsiTheme="majorHAnsi" w:cstheme="majorHAnsi"/>
                <w:b w:val="0"/>
                <w:sz w:val="24"/>
                <w:szCs w:val="24"/>
                <w:lang w:val="ro-MD"/>
              </w:rPr>
              <w:t>Agenția pentru Protecția Consumatorilor și Supravegherea Pieței</w:t>
            </w:r>
          </w:p>
        </w:tc>
      </w:tr>
      <w:tr w:rsidR="00732122" w:rsidRPr="007917DD" w14:paraId="64DA2D39" w14:textId="77777777" w:rsidTr="00E5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bottom w:val="none" w:sz="0" w:space="0" w:color="auto"/>
            </w:tcBorders>
          </w:tcPr>
          <w:p w14:paraId="186DC510" w14:textId="363ED815" w:rsidR="00732122" w:rsidRPr="007917DD" w:rsidRDefault="00E70DF7" w:rsidP="00F649B7">
            <w:pPr>
              <w:rPr>
                <w:rFonts w:asciiTheme="majorHAnsi" w:hAnsiTheme="majorHAnsi" w:cstheme="majorHAnsi"/>
                <w:sz w:val="24"/>
                <w:szCs w:val="24"/>
                <w:lang w:val="ro-MD"/>
              </w:rPr>
            </w:pPr>
            <w:r>
              <w:rPr>
                <w:rFonts w:asciiTheme="majorHAnsi" w:hAnsiTheme="majorHAnsi" w:cstheme="majorHAnsi"/>
                <w:sz w:val="24"/>
                <w:szCs w:val="24"/>
                <w:lang w:val="ro-MD"/>
              </w:rPr>
              <w:t>ISSPNPC</w:t>
            </w:r>
          </w:p>
        </w:tc>
        <w:tc>
          <w:tcPr>
            <w:tcW w:w="6840" w:type="dxa"/>
            <w:tcBorders>
              <w:top w:val="none" w:sz="0" w:space="0" w:color="auto"/>
              <w:bottom w:val="none" w:sz="0" w:space="0" w:color="auto"/>
            </w:tcBorders>
            <w:vAlign w:val="center"/>
          </w:tcPr>
          <w:p w14:paraId="462DC48D" w14:textId="1EFA3CBA" w:rsidR="00732122" w:rsidRPr="007917DD" w:rsidRDefault="00E70DF7" w:rsidP="00F649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Inspectoratul de Stat pentru Supravegherea Produ</w:t>
            </w:r>
            <w:r w:rsidR="00BB29EB">
              <w:rPr>
                <w:rFonts w:asciiTheme="majorHAnsi" w:hAnsiTheme="majorHAnsi" w:cstheme="majorHAnsi"/>
                <w:sz w:val="24"/>
                <w:szCs w:val="24"/>
                <w:lang w:val="ro-MD"/>
              </w:rPr>
              <w:t>selor Nealimentare și Protecția</w:t>
            </w:r>
            <w:r>
              <w:rPr>
                <w:rFonts w:asciiTheme="majorHAnsi" w:hAnsiTheme="majorHAnsi" w:cstheme="majorHAnsi"/>
                <w:sz w:val="24"/>
                <w:szCs w:val="24"/>
                <w:lang w:val="ro-MD"/>
              </w:rPr>
              <w:t xml:space="preserve"> Consumatorilor</w:t>
            </w:r>
          </w:p>
        </w:tc>
      </w:tr>
      <w:tr w:rsidR="00F649B7" w:rsidRPr="007917DD" w14:paraId="1EC8A7BF" w14:textId="77777777" w:rsidTr="001E67EC">
        <w:tc>
          <w:tcPr>
            <w:cnfStyle w:val="001000000000" w:firstRow="0" w:lastRow="0" w:firstColumn="1" w:lastColumn="0" w:oddVBand="0" w:evenVBand="0" w:oddHBand="0" w:evenHBand="0" w:firstRowFirstColumn="0" w:firstRowLastColumn="0" w:lastRowFirstColumn="0" w:lastRowLastColumn="0"/>
            <w:tcW w:w="2430" w:type="dxa"/>
            <w:vAlign w:val="center"/>
          </w:tcPr>
          <w:p w14:paraId="363E118E" w14:textId="2BF6111E" w:rsidR="00F649B7" w:rsidRPr="007917DD" w:rsidRDefault="00F649B7"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CBTM</w:t>
            </w:r>
          </w:p>
        </w:tc>
        <w:tc>
          <w:tcPr>
            <w:tcW w:w="6840" w:type="dxa"/>
            <w:vAlign w:val="center"/>
          </w:tcPr>
          <w:p w14:paraId="0634485C" w14:textId="19FB6599" w:rsidR="00F649B7" w:rsidRPr="007917DD" w:rsidRDefault="00F649B7" w:rsidP="00F649B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7917DD">
              <w:rPr>
                <w:rFonts w:asciiTheme="majorHAnsi" w:hAnsiTheme="majorHAnsi" w:cstheme="majorHAnsi"/>
                <w:sz w:val="24"/>
                <w:szCs w:val="24"/>
                <w:lang w:val="ro-MD"/>
              </w:rPr>
              <w:t>Cadrul Bugetar pe Termen Mediu</w:t>
            </w:r>
          </w:p>
        </w:tc>
      </w:tr>
      <w:tr w:rsidR="00E13B2B" w:rsidRPr="007917DD" w14:paraId="2B3E02E6" w14:textId="77777777" w:rsidTr="001E6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1098723" w14:textId="034A23EF" w:rsidR="00E13B2B" w:rsidRPr="007917DD" w:rsidRDefault="00E13B2B"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CMAC</w:t>
            </w:r>
          </w:p>
        </w:tc>
        <w:tc>
          <w:tcPr>
            <w:tcW w:w="6840" w:type="dxa"/>
            <w:vAlign w:val="center"/>
          </w:tcPr>
          <w:p w14:paraId="6591F3AC" w14:textId="70EA53FF" w:rsidR="00E13B2B" w:rsidRPr="007917DD" w:rsidRDefault="00E13B2B" w:rsidP="00F649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Centrul de Metrologie Aplicată și Certificare</w:t>
            </w:r>
          </w:p>
        </w:tc>
      </w:tr>
      <w:tr w:rsidR="00F649B7" w:rsidRPr="007917DD" w14:paraId="3A805B21" w14:textId="77777777" w:rsidTr="007F3C33">
        <w:tc>
          <w:tcPr>
            <w:cnfStyle w:val="001000000000" w:firstRow="0" w:lastRow="0" w:firstColumn="1" w:lastColumn="0" w:oddVBand="0" w:evenVBand="0" w:oddHBand="0" w:evenHBand="0" w:firstRowFirstColumn="0" w:firstRowLastColumn="0" w:lastRowFirstColumn="0" w:lastRowLastColumn="0"/>
            <w:tcW w:w="2430" w:type="dxa"/>
          </w:tcPr>
          <w:p w14:paraId="3A9CE135" w14:textId="089C0E97" w:rsidR="00F649B7" w:rsidRPr="007917DD" w:rsidRDefault="00F649B7"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HG</w:t>
            </w:r>
          </w:p>
        </w:tc>
        <w:tc>
          <w:tcPr>
            <w:tcW w:w="6840" w:type="dxa"/>
          </w:tcPr>
          <w:p w14:paraId="2F78707E" w14:textId="6597E2C2" w:rsidR="00F649B7" w:rsidRPr="007917DD" w:rsidRDefault="00F649B7" w:rsidP="00F649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Hotărârea Guvernului</w:t>
            </w:r>
          </w:p>
        </w:tc>
      </w:tr>
      <w:tr w:rsidR="00F649B7" w:rsidRPr="007917DD" w14:paraId="5528C835" w14:textId="77777777" w:rsidTr="007F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74DB967" w14:textId="5056BA6A" w:rsidR="00F649B7" w:rsidRPr="007917DD" w:rsidRDefault="00F649B7"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INM</w:t>
            </w:r>
          </w:p>
        </w:tc>
        <w:tc>
          <w:tcPr>
            <w:tcW w:w="6840" w:type="dxa"/>
            <w:vAlign w:val="center"/>
          </w:tcPr>
          <w:p w14:paraId="1BCE51E7" w14:textId="2A3A5ADD" w:rsidR="00F649B7" w:rsidRPr="007917DD" w:rsidRDefault="00F649B7" w:rsidP="00F649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iCs/>
                <w:sz w:val="24"/>
                <w:szCs w:val="24"/>
                <w:lang w:val="ro-MD"/>
              </w:rPr>
              <w:t>Institutul Național de Metrologie</w:t>
            </w:r>
          </w:p>
        </w:tc>
      </w:tr>
      <w:tr w:rsidR="003D7013" w:rsidRPr="007917DD" w14:paraId="4C4B2D4C" w14:textId="77777777" w:rsidTr="00E51D29">
        <w:tc>
          <w:tcPr>
            <w:cnfStyle w:val="001000000000" w:firstRow="0" w:lastRow="0" w:firstColumn="1" w:lastColumn="0" w:oddVBand="0" w:evenVBand="0" w:oddHBand="0" w:evenHBand="0" w:firstRowFirstColumn="0" w:firstRowLastColumn="0" w:lastRowFirstColumn="0" w:lastRowLastColumn="0"/>
            <w:tcW w:w="2430" w:type="dxa"/>
          </w:tcPr>
          <w:p w14:paraId="20D0456E" w14:textId="1BCE7D68" w:rsidR="003D7013" w:rsidRPr="00F124D2" w:rsidRDefault="003D7013" w:rsidP="00F649B7">
            <w:pPr>
              <w:rPr>
                <w:rFonts w:asciiTheme="majorHAnsi" w:hAnsiTheme="majorHAnsi" w:cstheme="majorHAnsi"/>
                <w:sz w:val="24"/>
                <w:szCs w:val="24"/>
                <w:lang w:val="ro-MD"/>
              </w:rPr>
            </w:pPr>
            <w:r w:rsidRPr="00F124D2">
              <w:rPr>
                <w:rFonts w:asciiTheme="majorHAnsi" w:hAnsiTheme="majorHAnsi" w:cstheme="majorHAnsi"/>
                <w:sz w:val="24"/>
                <w:szCs w:val="24"/>
                <w:lang w:val="ro-MD"/>
              </w:rPr>
              <w:t>IP</w:t>
            </w:r>
          </w:p>
        </w:tc>
        <w:tc>
          <w:tcPr>
            <w:tcW w:w="6840" w:type="dxa"/>
            <w:vAlign w:val="center"/>
          </w:tcPr>
          <w:p w14:paraId="71044800" w14:textId="36C519F3" w:rsidR="003D7013" w:rsidRPr="00F124D2" w:rsidRDefault="003D7013" w:rsidP="00F649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24"/>
                <w:szCs w:val="24"/>
                <w:lang w:val="ro-MD"/>
              </w:rPr>
            </w:pPr>
            <w:r w:rsidRPr="00F124D2">
              <w:rPr>
                <w:rFonts w:asciiTheme="majorHAnsi" w:hAnsiTheme="majorHAnsi" w:cstheme="majorHAnsi"/>
                <w:iCs/>
                <w:sz w:val="24"/>
                <w:szCs w:val="24"/>
                <w:lang w:val="ro-MD"/>
              </w:rPr>
              <w:t>Instituți</w:t>
            </w:r>
            <w:r w:rsidR="00C25C66" w:rsidRPr="00F124D2">
              <w:rPr>
                <w:rFonts w:asciiTheme="majorHAnsi" w:hAnsiTheme="majorHAnsi" w:cstheme="majorHAnsi"/>
                <w:iCs/>
                <w:sz w:val="24"/>
                <w:szCs w:val="24"/>
                <w:lang w:val="ro-MD"/>
              </w:rPr>
              <w:t>a</w:t>
            </w:r>
            <w:r w:rsidRPr="00F124D2">
              <w:rPr>
                <w:rFonts w:asciiTheme="majorHAnsi" w:hAnsiTheme="majorHAnsi" w:cstheme="majorHAnsi"/>
                <w:iCs/>
                <w:sz w:val="24"/>
                <w:szCs w:val="24"/>
                <w:lang w:val="ro-MD"/>
              </w:rPr>
              <w:t xml:space="preserve"> </w:t>
            </w:r>
            <w:r w:rsidR="00EF41D3" w:rsidRPr="00255E9C">
              <w:rPr>
                <w:rFonts w:asciiTheme="majorHAnsi" w:hAnsiTheme="majorHAnsi" w:cstheme="majorHAnsi"/>
                <w:iCs/>
                <w:sz w:val="24"/>
                <w:szCs w:val="24"/>
                <w:lang w:val="ro-MD"/>
              </w:rPr>
              <w:t>P</w:t>
            </w:r>
            <w:r w:rsidRPr="00F124D2">
              <w:rPr>
                <w:rFonts w:asciiTheme="majorHAnsi" w:hAnsiTheme="majorHAnsi" w:cstheme="majorHAnsi"/>
                <w:iCs/>
                <w:sz w:val="24"/>
                <w:szCs w:val="24"/>
                <w:lang w:val="ro-MD"/>
              </w:rPr>
              <w:t>ublică</w:t>
            </w:r>
          </w:p>
        </w:tc>
      </w:tr>
      <w:tr w:rsidR="00F649B7" w:rsidRPr="007917DD" w14:paraId="463DA814" w14:textId="77777777" w:rsidTr="00E5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C7CCDE2" w14:textId="76DB01CD" w:rsidR="00F649B7" w:rsidRPr="00F124D2" w:rsidRDefault="00F649B7" w:rsidP="00F649B7">
            <w:pPr>
              <w:rPr>
                <w:rFonts w:asciiTheme="majorHAnsi" w:hAnsiTheme="majorHAnsi" w:cstheme="majorHAnsi"/>
                <w:sz w:val="24"/>
                <w:szCs w:val="24"/>
                <w:lang w:val="ro-MD"/>
              </w:rPr>
            </w:pPr>
            <w:r w:rsidRPr="00F124D2">
              <w:rPr>
                <w:rFonts w:asciiTheme="majorHAnsi" w:hAnsiTheme="majorHAnsi" w:cstheme="majorHAnsi"/>
                <w:sz w:val="24"/>
                <w:szCs w:val="24"/>
                <w:lang w:val="ro-MD"/>
              </w:rPr>
              <w:t>ISM</w:t>
            </w:r>
          </w:p>
        </w:tc>
        <w:tc>
          <w:tcPr>
            <w:tcW w:w="6840" w:type="dxa"/>
            <w:vAlign w:val="center"/>
          </w:tcPr>
          <w:p w14:paraId="5AF36384" w14:textId="4AE11FCA" w:rsidR="00F649B7" w:rsidRPr="00F124D2" w:rsidRDefault="00F649B7" w:rsidP="00F649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Cs/>
                <w:sz w:val="24"/>
                <w:szCs w:val="24"/>
                <w:lang w:val="ro-MD"/>
              </w:rPr>
            </w:pPr>
            <w:r w:rsidRPr="00F124D2">
              <w:rPr>
                <w:rFonts w:asciiTheme="majorHAnsi" w:hAnsiTheme="majorHAnsi" w:cstheme="majorHAnsi"/>
                <w:sz w:val="24"/>
                <w:szCs w:val="24"/>
                <w:lang w:val="ro-MD"/>
              </w:rPr>
              <w:t>Institutul de Standardizare din Moldova</w:t>
            </w:r>
          </w:p>
        </w:tc>
      </w:tr>
      <w:tr w:rsidR="00F649B7" w:rsidRPr="007917DD" w14:paraId="120D95F7" w14:textId="77777777" w:rsidTr="001E67EC">
        <w:tc>
          <w:tcPr>
            <w:cnfStyle w:val="001000000000" w:firstRow="0" w:lastRow="0" w:firstColumn="1" w:lastColumn="0" w:oddVBand="0" w:evenVBand="0" w:oddHBand="0" w:evenHBand="0" w:firstRowFirstColumn="0" w:firstRowLastColumn="0" w:lastRowFirstColumn="0" w:lastRowLastColumn="0"/>
            <w:tcW w:w="2430" w:type="dxa"/>
            <w:vAlign w:val="center"/>
          </w:tcPr>
          <w:p w14:paraId="7066E2DA" w14:textId="7D3DBDA3" w:rsidR="00F649B7" w:rsidRPr="00F124D2" w:rsidRDefault="00F649B7" w:rsidP="00F649B7">
            <w:pPr>
              <w:rPr>
                <w:rFonts w:asciiTheme="majorHAnsi" w:hAnsiTheme="majorHAnsi" w:cstheme="majorHAnsi"/>
                <w:sz w:val="24"/>
                <w:szCs w:val="24"/>
                <w:lang w:val="ro-MD"/>
              </w:rPr>
            </w:pPr>
            <w:r w:rsidRPr="00F124D2">
              <w:rPr>
                <w:rFonts w:asciiTheme="majorHAnsi" w:hAnsiTheme="majorHAnsi" w:cstheme="majorHAnsi"/>
                <w:sz w:val="24"/>
                <w:szCs w:val="24"/>
                <w:lang w:val="ro-MD"/>
              </w:rPr>
              <w:t>ME</w:t>
            </w:r>
          </w:p>
        </w:tc>
        <w:tc>
          <w:tcPr>
            <w:tcW w:w="6840" w:type="dxa"/>
            <w:vAlign w:val="center"/>
          </w:tcPr>
          <w:p w14:paraId="3619ACF9" w14:textId="44A1184A" w:rsidR="00F649B7" w:rsidRPr="00F124D2" w:rsidRDefault="00F649B7" w:rsidP="00F649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F124D2">
              <w:rPr>
                <w:rFonts w:asciiTheme="majorHAnsi" w:eastAsia="Times New Roman" w:hAnsiTheme="majorHAnsi" w:cstheme="majorHAnsi"/>
                <w:sz w:val="24"/>
                <w:szCs w:val="24"/>
                <w:lang w:val="ro-MD"/>
              </w:rPr>
              <w:t>Ministerul Economiei</w:t>
            </w:r>
          </w:p>
        </w:tc>
      </w:tr>
      <w:tr w:rsidR="00F649B7" w:rsidRPr="007917DD" w14:paraId="4F016427" w14:textId="77777777" w:rsidTr="007F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03165EA" w14:textId="4A7AEA82" w:rsidR="00F649B7" w:rsidRPr="007917DD" w:rsidRDefault="00F649B7" w:rsidP="00F649B7">
            <w:pPr>
              <w:rPr>
                <w:rFonts w:asciiTheme="majorHAnsi" w:hAnsiTheme="majorHAnsi" w:cstheme="majorHAnsi"/>
                <w:sz w:val="24"/>
                <w:szCs w:val="24"/>
                <w:lang w:val="ro-MD"/>
              </w:rPr>
            </w:pPr>
            <w:r w:rsidRPr="007917DD">
              <w:rPr>
                <w:rFonts w:asciiTheme="majorHAnsi" w:hAnsiTheme="majorHAnsi" w:cstheme="majorHAnsi"/>
                <w:sz w:val="24"/>
                <w:szCs w:val="24"/>
                <w:lang w:val="ro-MD"/>
              </w:rPr>
              <w:t>MOLDAC</w:t>
            </w:r>
          </w:p>
        </w:tc>
        <w:tc>
          <w:tcPr>
            <w:tcW w:w="6840" w:type="dxa"/>
            <w:vAlign w:val="center"/>
          </w:tcPr>
          <w:p w14:paraId="421F8A17" w14:textId="68835A23" w:rsidR="00F649B7" w:rsidRPr="007917DD" w:rsidRDefault="00F649B7" w:rsidP="00F649B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rPr>
            </w:pPr>
            <w:r w:rsidRPr="007917DD">
              <w:rPr>
                <w:rFonts w:asciiTheme="majorHAnsi" w:hAnsiTheme="majorHAnsi" w:cstheme="majorHAnsi"/>
                <w:sz w:val="24"/>
                <w:szCs w:val="24"/>
                <w:lang w:val="ro-MD"/>
              </w:rPr>
              <w:t>Centrul Național de Acreditare din Republica Moldova</w:t>
            </w:r>
          </w:p>
        </w:tc>
      </w:tr>
      <w:tr w:rsidR="00F649B7" w:rsidRPr="007917DD" w14:paraId="4FBD485A" w14:textId="77777777" w:rsidTr="00E51D29">
        <w:tc>
          <w:tcPr>
            <w:cnfStyle w:val="001000000000" w:firstRow="0" w:lastRow="0" w:firstColumn="1" w:lastColumn="0" w:oddVBand="0" w:evenVBand="0" w:oddHBand="0" w:evenHBand="0" w:firstRowFirstColumn="0" w:firstRowLastColumn="0" w:lastRowFirstColumn="0" w:lastRowLastColumn="0"/>
            <w:tcW w:w="2430" w:type="dxa"/>
          </w:tcPr>
          <w:p w14:paraId="69E2E8E8" w14:textId="76C4C450" w:rsidR="00F649B7" w:rsidRPr="007917DD" w:rsidRDefault="006014C7" w:rsidP="00F649B7">
            <w:pPr>
              <w:rPr>
                <w:rFonts w:asciiTheme="majorHAnsi" w:hAnsiTheme="majorHAnsi" w:cstheme="majorHAnsi"/>
                <w:sz w:val="24"/>
                <w:szCs w:val="24"/>
                <w:lang w:val="ro-MD"/>
              </w:rPr>
            </w:pPr>
            <w:r w:rsidRPr="006014C7">
              <w:rPr>
                <w:rFonts w:asciiTheme="majorHAnsi" w:hAnsiTheme="majorHAnsi" w:cstheme="majorHAnsi"/>
                <w:sz w:val="24"/>
                <w:szCs w:val="24"/>
                <w:lang w:val="ro-MD"/>
              </w:rPr>
              <w:t>MSTQ</w:t>
            </w:r>
          </w:p>
        </w:tc>
        <w:tc>
          <w:tcPr>
            <w:tcW w:w="6840" w:type="dxa"/>
            <w:vAlign w:val="center"/>
          </w:tcPr>
          <w:p w14:paraId="410DF6AE" w14:textId="42814EA0" w:rsidR="00F649B7" w:rsidRPr="007917DD" w:rsidRDefault="006014C7" w:rsidP="00F649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din engleză Metrology, Standardization, Testing and Quality</w:t>
            </w:r>
            <w:r>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Metrologie, Standardizare și Calitate/Acreditare</w:t>
            </w:r>
          </w:p>
        </w:tc>
      </w:tr>
      <w:tr w:rsidR="00EF41D3" w:rsidRPr="007917DD" w14:paraId="54B4447A" w14:textId="77777777" w:rsidTr="00E5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75BF19F" w14:textId="4CA0793A" w:rsidR="00EF41D3" w:rsidRPr="00EF41D3" w:rsidRDefault="00EF41D3" w:rsidP="00F649B7">
            <w:pPr>
              <w:rPr>
                <w:rFonts w:asciiTheme="majorHAnsi" w:hAnsiTheme="majorHAnsi" w:cstheme="majorHAnsi"/>
                <w:sz w:val="24"/>
                <w:szCs w:val="24"/>
                <w:highlight w:val="yellow"/>
                <w:lang w:val="ro-MD"/>
              </w:rPr>
            </w:pPr>
            <w:r w:rsidRPr="00255E9C">
              <w:rPr>
                <w:rFonts w:asciiTheme="majorHAnsi" w:hAnsiTheme="majorHAnsi" w:cstheme="majorHAnsi"/>
                <w:sz w:val="24"/>
                <w:szCs w:val="24"/>
                <w:lang w:val="ro-MD"/>
              </w:rPr>
              <w:t>SNC</w:t>
            </w:r>
          </w:p>
        </w:tc>
        <w:tc>
          <w:tcPr>
            <w:tcW w:w="6840" w:type="dxa"/>
            <w:vAlign w:val="center"/>
          </w:tcPr>
          <w:p w14:paraId="1D515846" w14:textId="1BD21FF7" w:rsidR="00EF41D3" w:rsidRDefault="00EF41D3" w:rsidP="00F649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MD"/>
              </w:rPr>
              <w:t xml:space="preserve"> Standardul Național de Contabilitate</w:t>
            </w:r>
          </w:p>
        </w:tc>
      </w:tr>
    </w:tbl>
    <w:p w14:paraId="1BD1951E" w14:textId="2F79AD6B" w:rsidR="001E516B" w:rsidRPr="0025441B" w:rsidRDefault="0025441B" w:rsidP="00A912E2">
      <w:pPr>
        <w:pStyle w:val="Heading1"/>
        <w:rPr>
          <w:rFonts w:eastAsia="Times New Roman" w:cstheme="majorHAnsi"/>
          <w:b/>
          <w:bCs/>
          <w:color w:val="0070C0"/>
          <w:sz w:val="24"/>
          <w:szCs w:val="24"/>
          <w:lang w:val="ro-MD"/>
        </w:rPr>
      </w:pPr>
      <w:bookmarkStart w:id="2" w:name="_Toc123116691"/>
      <w:r>
        <w:rPr>
          <w:rFonts w:eastAsia="Times New Roman" w:cstheme="majorHAnsi"/>
          <w:b/>
          <w:bCs/>
          <w:color w:val="0070C0"/>
          <w:sz w:val="24"/>
          <w:szCs w:val="24"/>
          <w:lang w:val="ro-MD"/>
        </w:rPr>
        <w:t>GLOSAR</w:t>
      </w:r>
      <w:bookmarkEnd w:id="2"/>
    </w:p>
    <w:tbl>
      <w:tblPr>
        <w:tblStyle w:val="PlainTable2"/>
        <w:tblW w:w="9356" w:type="dxa"/>
        <w:tblBorders>
          <w:insideH w:val="single" w:sz="4" w:space="0" w:color="7F7F7F" w:themeColor="text1" w:themeTint="80"/>
        </w:tblBorders>
        <w:tblLook w:val="04A0" w:firstRow="1" w:lastRow="0" w:firstColumn="1" w:lastColumn="0" w:noHBand="0" w:noVBand="1"/>
      </w:tblPr>
      <w:tblGrid>
        <w:gridCol w:w="2268"/>
        <w:gridCol w:w="7088"/>
      </w:tblGrid>
      <w:tr w:rsidR="004605E3" w:rsidRPr="007917DD" w14:paraId="2DC7A22C" w14:textId="77777777" w:rsidTr="00316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vAlign w:val="center"/>
          </w:tcPr>
          <w:p w14:paraId="43941F93" w14:textId="36EA7B01" w:rsidR="004605E3" w:rsidRPr="007917DD" w:rsidRDefault="004605E3" w:rsidP="00E12B19">
            <w:pPr>
              <w:spacing w:line="276" w:lineRule="auto"/>
              <w:rPr>
                <w:rFonts w:asciiTheme="majorHAnsi" w:eastAsia="Times New Roman" w:hAnsiTheme="majorHAnsi" w:cstheme="majorHAnsi"/>
                <w:iCs/>
                <w:sz w:val="24"/>
                <w:szCs w:val="24"/>
                <w:lang w:val="ro-MD" w:eastAsia="ro-MD"/>
              </w:rPr>
            </w:pPr>
            <w:r w:rsidRPr="007917DD">
              <w:rPr>
                <w:rFonts w:asciiTheme="majorHAnsi" w:hAnsiTheme="majorHAnsi" w:cstheme="majorHAnsi"/>
                <w:sz w:val="24"/>
                <w:szCs w:val="24"/>
                <w:lang w:val="ro-MD"/>
              </w:rPr>
              <w:t>Patrimoniu</w:t>
            </w:r>
            <w:r w:rsidR="003F53F7" w:rsidRPr="007917DD">
              <w:rPr>
                <w:rFonts w:asciiTheme="majorHAnsi" w:hAnsiTheme="majorHAnsi" w:cstheme="majorHAnsi"/>
                <w:sz w:val="24"/>
                <w:szCs w:val="24"/>
                <w:lang w:val="ro-MD"/>
              </w:rPr>
              <w:t>l</w:t>
            </w:r>
            <w:r w:rsidRPr="007917DD">
              <w:rPr>
                <w:rFonts w:asciiTheme="majorHAnsi" w:hAnsiTheme="majorHAnsi" w:cstheme="majorHAnsi"/>
                <w:sz w:val="24"/>
                <w:szCs w:val="24"/>
                <w:lang w:val="ro-MD"/>
              </w:rPr>
              <w:t xml:space="preserve"> public</w:t>
            </w:r>
          </w:p>
        </w:tc>
        <w:tc>
          <w:tcPr>
            <w:tcW w:w="7088" w:type="dxa"/>
            <w:tcBorders>
              <w:bottom w:val="none" w:sz="0" w:space="0" w:color="auto"/>
            </w:tcBorders>
          </w:tcPr>
          <w:p w14:paraId="248C19D4" w14:textId="1D51EE18" w:rsidR="004605E3" w:rsidRPr="00F53983" w:rsidRDefault="004605E3" w:rsidP="00E12B19">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o-MD" w:eastAsia="ro-MD"/>
              </w:rPr>
            </w:pPr>
            <w:r w:rsidRPr="00F53983">
              <w:rPr>
                <w:rFonts w:asciiTheme="majorHAnsi" w:hAnsiTheme="majorHAnsi" w:cstheme="majorHAnsi"/>
                <w:b w:val="0"/>
                <w:sz w:val="24"/>
                <w:szCs w:val="24"/>
                <w:lang w:val="ro-MD"/>
              </w:rPr>
              <w:t>Totalitatea</w:t>
            </w:r>
            <w:r w:rsidRPr="00F53983">
              <w:rPr>
                <w:rFonts w:asciiTheme="majorHAnsi" w:hAnsiTheme="majorHAnsi" w:cstheme="majorHAnsi"/>
                <w:b w:val="0"/>
                <w:color w:val="000000"/>
                <w:sz w:val="24"/>
                <w:szCs w:val="24"/>
                <w:shd w:val="clear" w:color="auto" w:fill="FFFFFF"/>
                <w:lang w:val="ro-MD"/>
              </w:rPr>
              <w:t xml:space="preserve"> drepturilor și a obligațiilor cu valoare economică, precum și a bunurilor materiale la care se referă aceste drepturi, care aparțin unui subiect de drept public</w:t>
            </w:r>
          </w:p>
        </w:tc>
      </w:tr>
      <w:tr w:rsidR="008D4F68" w:rsidRPr="007917DD" w14:paraId="1901AE49" w14:textId="77777777" w:rsidTr="008D4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14:paraId="1EBE870B" w14:textId="140D242F" w:rsidR="008D4F68" w:rsidRPr="007917DD" w:rsidRDefault="00C231AA" w:rsidP="00E12B19">
            <w:pPr>
              <w:spacing w:line="276" w:lineRule="auto"/>
              <w:rPr>
                <w:rFonts w:asciiTheme="majorHAnsi" w:hAnsiTheme="majorHAnsi" w:cstheme="majorHAnsi"/>
                <w:sz w:val="24"/>
                <w:szCs w:val="24"/>
                <w:lang w:val="ro-MD"/>
              </w:rPr>
            </w:pPr>
            <w:r w:rsidRPr="007917DD">
              <w:rPr>
                <w:rFonts w:asciiTheme="majorHAnsi" w:hAnsiTheme="majorHAnsi" w:cstheme="majorHAnsi"/>
                <w:sz w:val="24"/>
                <w:szCs w:val="24"/>
                <w:lang w:val="ro-MD"/>
              </w:rPr>
              <w:t>Standardizarea</w:t>
            </w:r>
          </w:p>
        </w:tc>
        <w:tc>
          <w:tcPr>
            <w:tcW w:w="7088" w:type="dxa"/>
            <w:tcBorders>
              <w:top w:val="none" w:sz="0" w:space="0" w:color="auto"/>
              <w:bottom w:val="none" w:sz="0" w:space="0" w:color="auto"/>
            </w:tcBorders>
            <w:vAlign w:val="center"/>
          </w:tcPr>
          <w:p w14:paraId="0E4F7329" w14:textId="2B6656C1" w:rsidR="008D4F68" w:rsidRPr="007917DD" w:rsidRDefault="000343B3" w:rsidP="00E12B19">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A</w:t>
            </w:r>
            <w:r w:rsidR="00C231AA" w:rsidRPr="007917DD">
              <w:rPr>
                <w:rFonts w:asciiTheme="majorHAnsi" w:hAnsiTheme="majorHAnsi" w:cstheme="majorHAnsi"/>
                <w:sz w:val="24"/>
                <w:szCs w:val="24"/>
                <w:lang w:val="ro-MD"/>
              </w:rPr>
              <w:t>ctivitate specifică desfășurată de un organism de standardizare recunoscut, prin care s</w:t>
            </w:r>
            <w:r w:rsidR="00C25C66">
              <w:rPr>
                <w:rFonts w:asciiTheme="majorHAnsi" w:hAnsiTheme="majorHAnsi" w:cstheme="majorHAnsi"/>
                <w:sz w:val="24"/>
                <w:szCs w:val="24"/>
                <w:lang w:val="ro-MD"/>
              </w:rPr>
              <w:t>u</w:t>
            </w:r>
            <w:r w:rsidR="00C231AA" w:rsidRPr="007917DD">
              <w:rPr>
                <w:rFonts w:asciiTheme="majorHAnsi" w:hAnsiTheme="majorHAnsi" w:cstheme="majorHAnsi"/>
                <w:sz w:val="24"/>
                <w:szCs w:val="24"/>
                <w:lang w:val="ro-MD"/>
              </w:rPr>
              <w:t>nt elaborate, aprobate, adoptate, revizuite, modificate și anulate standarde și alte documente de standardizare</w:t>
            </w:r>
          </w:p>
        </w:tc>
      </w:tr>
      <w:tr w:rsidR="00F65675" w:rsidRPr="007917DD" w14:paraId="714DEC06"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50C21737" w14:textId="17E55E8F" w:rsidR="00F65675" w:rsidRPr="007917DD" w:rsidRDefault="00C231AA" w:rsidP="00E12B19">
            <w:pPr>
              <w:spacing w:line="276" w:lineRule="auto"/>
              <w:rPr>
                <w:rFonts w:asciiTheme="majorHAnsi" w:hAnsiTheme="majorHAnsi" w:cstheme="majorHAnsi"/>
                <w:sz w:val="24"/>
                <w:szCs w:val="24"/>
                <w:lang w:val="ro-MD"/>
              </w:rPr>
            </w:pPr>
            <w:r w:rsidRPr="007917DD">
              <w:rPr>
                <w:rFonts w:asciiTheme="majorHAnsi" w:hAnsiTheme="majorHAnsi" w:cstheme="majorHAnsi"/>
                <w:sz w:val="24"/>
                <w:szCs w:val="24"/>
                <w:lang w:val="ro-MD"/>
              </w:rPr>
              <w:t>Metrologia</w:t>
            </w:r>
          </w:p>
        </w:tc>
        <w:tc>
          <w:tcPr>
            <w:tcW w:w="7088" w:type="dxa"/>
          </w:tcPr>
          <w:p w14:paraId="41017E0F" w14:textId="6E9AB9E8" w:rsidR="00F65675" w:rsidRPr="007917DD" w:rsidRDefault="000343B3"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Ș</w:t>
            </w:r>
            <w:r w:rsidR="00C231AA" w:rsidRPr="007917DD">
              <w:rPr>
                <w:rFonts w:asciiTheme="majorHAnsi" w:hAnsiTheme="majorHAnsi" w:cstheme="majorHAnsi"/>
                <w:sz w:val="24"/>
                <w:szCs w:val="24"/>
                <w:lang w:val="ro-MD"/>
              </w:rPr>
              <w:t>tiință a măsurărilor și a aplicațiilor acestora, care include toate aspectele, atât teoretice, cât și practice, ce țin de măsurări, indiferent de incertitudinea de măsurare și domeniul de aplicare</w:t>
            </w:r>
          </w:p>
        </w:tc>
      </w:tr>
      <w:tr w:rsidR="000343B3" w:rsidRPr="007917DD" w14:paraId="697A3B86"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14:paraId="5E1C941D" w14:textId="0E20CA69" w:rsidR="000343B3" w:rsidRPr="007917DD" w:rsidRDefault="000343B3" w:rsidP="00E12B19">
            <w:pPr>
              <w:spacing w:line="276" w:lineRule="auto"/>
              <w:rPr>
                <w:rFonts w:asciiTheme="majorHAnsi" w:hAnsiTheme="majorHAnsi" w:cstheme="majorHAnsi"/>
                <w:sz w:val="24"/>
                <w:szCs w:val="24"/>
                <w:lang w:val="ro-MD"/>
              </w:rPr>
            </w:pPr>
            <w:r w:rsidRPr="007917DD">
              <w:rPr>
                <w:rFonts w:asciiTheme="majorHAnsi" w:hAnsiTheme="majorHAnsi" w:cstheme="majorHAnsi"/>
                <w:sz w:val="24"/>
                <w:szCs w:val="24"/>
                <w:lang w:val="ro-MD"/>
              </w:rPr>
              <w:t>Supraveghere metrologică</w:t>
            </w:r>
          </w:p>
        </w:tc>
        <w:tc>
          <w:tcPr>
            <w:tcW w:w="7088" w:type="dxa"/>
            <w:tcBorders>
              <w:top w:val="none" w:sz="0" w:space="0" w:color="auto"/>
              <w:bottom w:val="none" w:sz="0" w:space="0" w:color="auto"/>
            </w:tcBorders>
          </w:tcPr>
          <w:p w14:paraId="096B03B7" w14:textId="101B0528" w:rsidR="000343B3" w:rsidRPr="007917DD" w:rsidRDefault="000343B3" w:rsidP="00E12B1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ro-MD"/>
              </w:rPr>
            </w:pPr>
            <w:r w:rsidRPr="007917DD">
              <w:rPr>
                <w:rFonts w:asciiTheme="majorHAnsi" w:hAnsiTheme="majorHAnsi" w:cstheme="majorHAnsi"/>
                <w:sz w:val="24"/>
                <w:szCs w:val="24"/>
                <w:lang w:val="ro-MD"/>
              </w:rPr>
              <w:t>Activitate de control metrologic legal, efectuată cu scopul de a verifica respectarea cerinţelor legale în domeniul metrologiei</w:t>
            </w:r>
          </w:p>
        </w:tc>
      </w:tr>
      <w:tr w:rsidR="00C231AA" w:rsidRPr="007917DD" w14:paraId="4523935E"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29DAFC6A" w14:textId="283299CB" w:rsidR="00370918" w:rsidRPr="007917DD" w:rsidRDefault="00C231AA" w:rsidP="00E12B19">
            <w:pPr>
              <w:spacing w:line="276" w:lineRule="auto"/>
              <w:rPr>
                <w:rFonts w:asciiTheme="majorHAnsi" w:hAnsiTheme="majorHAnsi" w:cstheme="majorHAnsi"/>
                <w:color w:val="FF0000"/>
                <w:sz w:val="24"/>
                <w:szCs w:val="24"/>
                <w:lang w:val="ro-MD"/>
              </w:rPr>
            </w:pPr>
            <w:r w:rsidRPr="007917DD">
              <w:rPr>
                <w:rFonts w:asciiTheme="majorHAnsi" w:hAnsiTheme="majorHAnsi" w:cstheme="majorHAnsi"/>
                <w:sz w:val="24"/>
                <w:szCs w:val="24"/>
                <w:lang w:val="ro-MD"/>
              </w:rPr>
              <w:t>Acreditarea</w:t>
            </w:r>
          </w:p>
        </w:tc>
        <w:tc>
          <w:tcPr>
            <w:tcW w:w="7088" w:type="dxa"/>
          </w:tcPr>
          <w:p w14:paraId="51124666" w14:textId="77A1773D" w:rsidR="00370918" w:rsidRPr="007917DD" w:rsidRDefault="000343B3"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7917DD">
              <w:rPr>
                <w:rFonts w:asciiTheme="majorHAnsi" w:eastAsia="Times New Roman" w:hAnsiTheme="majorHAnsi" w:cstheme="majorHAnsi"/>
                <w:sz w:val="24"/>
                <w:szCs w:val="24"/>
                <w:lang w:val="ro-MD"/>
              </w:rPr>
              <w:t>A</w:t>
            </w:r>
            <w:r w:rsidR="00C231AA" w:rsidRPr="007917DD">
              <w:rPr>
                <w:rFonts w:asciiTheme="majorHAnsi" w:eastAsia="Times New Roman" w:hAnsiTheme="majorHAnsi" w:cstheme="majorHAnsi"/>
                <w:sz w:val="24"/>
                <w:szCs w:val="24"/>
                <w:lang w:val="ro-MD"/>
              </w:rPr>
              <w:t>testare de către organismul național de acreditare a faptului că un organism de evaluare a conformității îndeplinește cerințele stabilite prin standardele de referință și, după caz, orice alte cerințe suplimentare, inclusiv cele prevăzute în schemele de acreditare specifice relevante, pentru realizarea activităților specifice de evaluare a conformității</w:t>
            </w:r>
          </w:p>
        </w:tc>
      </w:tr>
      <w:tr w:rsidR="00C231AA" w:rsidRPr="007917DD" w14:paraId="223573E0" w14:textId="77777777" w:rsidTr="00316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tcBorders>
            <w:vAlign w:val="center"/>
          </w:tcPr>
          <w:p w14:paraId="604CA4D3" w14:textId="46DBE276" w:rsidR="00C231AA" w:rsidRPr="007917DD" w:rsidRDefault="00C231AA" w:rsidP="00E12B19">
            <w:pPr>
              <w:spacing w:line="276" w:lineRule="auto"/>
              <w:rPr>
                <w:rFonts w:asciiTheme="majorHAnsi" w:hAnsiTheme="majorHAnsi" w:cstheme="majorHAnsi"/>
                <w:sz w:val="24"/>
                <w:szCs w:val="24"/>
                <w:lang w:val="ro-MD"/>
              </w:rPr>
            </w:pPr>
            <w:r w:rsidRPr="007917DD">
              <w:rPr>
                <w:rFonts w:asciiTheme="majorHAnsi" w:hAnsiTheme="majorHAnsi" w:cstheme="majorHAnsi"/>
                <w:sz w:val="24"/>
                <w:szCs w:val="24"/>
                <w:lang w:val="ro-MD"/>
              </w:rPr>
              <w:t>Supravegherea pieței</w:t>
            </w:r>
          </w:p>
        </w:tc>
        <w:tc>
          <w:tcPr>
            <w:tcW w:w="7088" w:type="dxa"/>
            <w:tcBorders>
              <w:top w:val="none" w:sz="0" w:space="0" w:color="auto"/>
              <w:bottom w:val="none" w:sz="0" w:space="0" w:color="auto"/>
            </w:tcBorders>
          </w:tcPr>
          <w:p w14:paraId="775C1242" w14:textId="28ABF2B0" w:rsidR="00C231AA" w:rsidRPr="007917DD" w:rsidRDefault="000343B3">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o-MD"/>
              </w:rPr>
            </w:pPr>
            <w:r w:rsidRPr="007917DD">
              <w:rPr>
                <w:rFonts w:asciiTheme="majorHAnsi" w:eastAsia="Times New Roman" w:hAnsiTheme="majorHAnsi" w:cstheme="majorHAnsi"/>
                <w:sz w:val="24"/>
                <w:szCs w:val="24"/>
                <w:lang w:val="ro-MD"/>
              </w:rPr>
              <w:t>A</w:t>
            </w:r>
            <w:r w:rsidR="00C231AA" w:rsidRPr="007917DD">
              <w:rPr>
                <w:rFonts w:asciiTheme="majorHAnsi" w:eastAsia="Times New Roman" w:hAnsiTheme="majorHAnsi" w:cstheme="majorHAnsi"/>
                <w:sz w:val="24"/>
                <w:szCs w:val="24"/>
                <w:lang w:val="ro-MD"/>
              </w:rPr>
              <w:t xml:space="preserve">ctivități desfășurate și măsuri aplicate de autoritățile de supraveghere a pieței pentru a asigura </w:t>
            </w:r>
            <w:r w:rsidR="00C25C66">
              <w:rPr>
                <w:rFonts w:asciiTheme="majorHAnsi" w:eastAsia="Times New Roman" w:hAnsiTheme="majorHAnsi" w:cstheme="majorHAnsi"/>
                <w:sz w:val="24"/>
                <w:szCs w:val="24"/>
                <w:lang w:val="ro-MD"/>
              </w:rPr>
              <w:t xml:space="preserve">faptul </w:t>
            </w:r>
            <w:r w:rsidR="00C231AA" w:rsidRPr="007917DD">
              <w:rPr>
                <w:rFonts w:asciiTheme="majorHAnsi" w:eastAsia="Times New Roman" w:hAnsiTheme="majorHAnsi" w:cstheme="majorHAnsi"/>
                <w:sz w:val="24"/>
                <w:szCs w:val="24"/>
                <w:lang w:val="ro-MD"/>
              </w:rPr>
              <w:t>că produsele nealimentare s</w:t>
            </w:r>
            <w:r w:rsidR="00C25C66">
              <w:rPr>
                <w:rFonts w:asciiTheme="majorHAnsi" w:eastAsia="Times New Roman" w:hAnsiTheme="majorHAnsi" w:cstheme="majorHAnsi"/>
                <w:sz w:val="24"/>
                <w:szCs w:val="24"/>
                <w:lang w:val="ro-MD"/>
              </w:rPr>
              <w:t>u</w:t>
            </w:r>
            <w:r w:rsidR="00C231AA" w:rsidRPr="007917DD">
              <w:rPr>
                <w:rFonts w:asciiTheme="majorHAnsi" w:eastAsia="Times New Roman" w:hAnsiTheme="majorHAnsi" w:cstheme="majorHAnsi"/>
                <w:sz w:val="24"/>
                <w:szCs w:val="24"/>
                <w:lang w:val="ro-MD"/>
              </w:rPr>
              <w:t>nt conforme cu cerințele esențiale aplicabile sau că nu pun în pericol sănătatea, siguranța ori alte aspecte ce țin de protecția intereselor publice</w:t>
            </w:r>
          </w:p>
        </w:tc>
      </w:tr>
      <w:tr w:rsidR="00C231AA" w:rsidRPr="007917DD" w14:paraId="08F0A90E" w14:textId="77777777" w:rsidTr="00316FEE">
        <w:tc>
          <w:tcPr>
            <w:cnfStyle w:val="001000000000" w:firstRow="0" w:lastRow="0" w:firstColumn="1" w:lastColumn="0" w:oddVBand="0" w:evenVBand="0" w:oddHBand="0" w:evenHBand="0" w:firstRowFirstColumn="0" w:firstRowLastColumn="0" w:lastRowFirstColumn="0" w:lastRowLastColumn="0"/>
            <w:tcW w:w="2268" w:type="dxa"/>
            <w:vAlign w:val="center"/>
          </w:tcPr>
          <w:p w14:paraId="081BFCBA" w14:textId="1C310E6C" w:rsidR="00C231AA" w:rsidRPr="007917DD" w:rsidRDefault="00C231AA" w:rsidP="00E12B19">
            <w:pPr>
              <w:spacing w:line="276" w:lineRule="auto"/>
              <w:rPr>
                <w:rFonts w:asciiTheme="majorHAnsi" w:hAnsiTheme="majorHAnsi" w:cstheme="majorHAnsi"/>
                <w:sz w:val="24"/>
                <w:szCs w:val="24"/>
                <w:lang w:val="ro-MD"/>
              </w:rPr>
            </w:pPr>
            <w:r w:rsidRPr="007917DD">
              <w:rPr>
                <w:rFonts w:asciiTheme="majorHAnsi" w:hAnsiTheme="majorHAnsi" w:cstheme="majorHAnsi"/>
                <w:sz w:val="24"/>
                <w:szCs w:val="24"/>
                <w:lang w:val="ro-MD"/>
              </w:rPr>
              <w:t>Protecţia drepturilor consumatorilor</w:t>
            </w:r>
          </w:p>
        </w:tc>
        <w:tc>
          <w:tcPr>
            <w:tcW w:w="7088" w:type="dxa"/>
          </w:tcPr>
          <w:p w14:paraId="34BB1A67" w14:textId="678A0AAC" w:rsidR="00C231AA" w:rsidRPr="007917DD" w:rsidRDefault="00C231AA" w:rsidP="00E12B1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7917DD">
              <w:rPr>
                <w:rFonts w:asciiTheme="majorHAnsi" w:eastAsia="Times New Roman" w:hAnsiTheme="majorHAnsi" w:cstheme="majorHAnsi"/>
                <w:sz w:val="24"/>
                <w:szCs w:val="24"/>
                <w:lang w:val="ro-MD"/>
              </w:rPr>
              <w:t>Dreptul consumatorilor la protecţia de către stat a intereselor sale este garantat prin crearea instituţiilor publice specializate cu scopul de a supraveghea, prin mijloace specifice</w:t>
            </w:r>
            <w:r w:rsidR="00FA4F38">
              <w:rPr>
                <w:rFonts w:asciiTheme="majorHAnsi" w:eastAsia="Times New Roman" w:hAnsiTheme="majorHAnsi" w:cstheme="majorHAnsi"/>
                <w:sz w:val="24"/>
                <w:szCs w:val="24"/>
                <w:lang w:val="ro-MD"/>
              </w:rPr>
              <w:t>,</w:t>
            </w:r>
            <w:r w:rsidRPr="007917DD">
              <w:rPr>
                <w:rFonts w:asciiTheme="majorHAnsi" w:eastAsia="Times New Roman" w:hAnsiTheme="majorHAnsi" w:cstheme="majorHAnsi"/>
                <w:sz w:val="24"/>
                <w:szCs w:val="24"/>
                <w:lang w:val="ro-MD"/>
              </w:rPr>
              <w:t xml:space="preserve"> asupra modului de respectare a drepturilor consumatorilor</w:t>
            </w:r>
          </w:p>
        </w:tc>
      </w:tr>
    </w:tbl>
    <w:p w14:paraId="3354A6BB" w14:textId="35C8664A" w:rsidR="007F5D6D" w:rsidRPr="007A5342" w:rsidRDefault="007354DF" w:rsidP="007F5D6D">
      <w:pPr>
        <w:spacing w:line="276" w:lineRule="auto"/>
        <w:jc w:val="both"/>
        <w:rPr>
          <w:rFonts w:asciiTheme="majorHAnsi" w:eastAsia="Times New Roman" w:hAnsiTheme="majorHAnsi" w:cstheme="majorHAnsi"/>
          <w:i/>
          <w:sz w:val="20"/>
          <w:szCs w:val="20"/>
          <w:lang w:val="ro-MD" w:eastAsia="ro-MD"/>
        </w:rPr>
      </w:pPr>
      <w:r w:rsidRPr="007A5342">
        <w:rPr>
          <w:rFonts w:asciiTheme="majorHAnsi" w:eastAsia="Times New Roman" w:hAnsiTheme="majorHAnsi" w:cstheme="majorHAnsi"/>
          <w:b/>
          <w:bCs/>
          <w:i/>
          <w:iCs/>
          <w:sz w:val="20"/>
          <w:szCs w:val="20"/>
          <w:lang w:val="ro-MD" w:eastAsia="ro-MD"/>
        </w:rPr>
        <w:t>Notă:</w:t>
      </w:r>
      <w:r w:rsidRPr="007A5342">
        <w:rPr>
          <w:rFonts w:asciiTheme="majorHAnsi" w:eastAsia="Times New Roman" w:hAnsiTheme="majorHAnsi" w:cstheme="majorHAnsi"/>
          <w:bCs/>
          <w:i/>
          <w:iCs/>
          <w:sz w:val="20"/>
          <w:szCs w:val="20"/>
          <w:lang w:val="ro-MD" w:eastAsia="ro-MD"/>
        </w:rPr>
        <w:t xml:space="preserve"> </w:t>
      </w:r>
      <w:r w:rsidRPr="007A5342">
        <w:rPr>
          <w:rFonts w:asciiTheme="majorHAnsi" w:eastAsia="Times New Roman" w:hAnsiTheme="majorHAnsi" w:cstheme="majorHAnsi"/>
          <w:i/>
          <w:sz w:val="20"/>
          <w:szCs w:val="20"/>
          <w:lang w:val="ro-MD" w:eastAsia="ro-MD"/>
        </w:rPr>
        <w:t xml:space="preserve">Glosarul prezentat are un rol informativ și nu </w:t>
      </w:r>
      <w:r w:rsidR="004946BA">
        <w:rPr>
          <w:rFonts w:asciiTheme="majorHAnsi" w:eastAsia="Times New Roman" w:hAnsiTheme="majorHAnsi" w:cstheme="majorHAnsi"/>
          <w:i/>
          <w:sz w:val="20"/>
          <w:szCs w:val="20"/>
          <w:lang w:val="ro-MD" w:eastAsia="ro-MD"/>
        </w:rPr>
        <w:t>produce efecte de ordin juridic</w:t>
      </w:r>
      <w:r w:rsidRPr="007A5342">
        <w:rPr>
          <w:rFonts w:asciiTheme="majorHAnsi" w:eastAsia="Times New Roman" w:hAnsiTheme="majorHAnsi" w:cstheme="majorHAnsi"/>
          <w:i/>
          <w:sz w:val="20"/>
          <w:szCs w:val="20"/>
          <w:lang w:val="ro-MD" w:eastAsia="ro-MD"/>
        </w:rPr>
        <w:t>.</w:t>
      </w:r>
    </w:p>
    <w:p w14:paraId="3200DA97" w14:textId="0BF78FCF" w:rsidR="006D3CB8" w:rsidRPr="005A0937" w:rsidRDefault="006D3CB8" w:rsidP="005A0937">
      <w:pPr>
        <w:pStyle w:val="FootnoteText"/>
        <w:spacing w:line="276" w:lineRule="auto"/>
        <w:ind w:firstLine="709"/>
        <w:jc w:val="both"/>
        <w:rPr>
          <w:rFonts w:asciiTheme="majorHAnsi" w:hAnsiTheme="majorHAnsi" w:cstheme="majorHAnsi"/>
          <w:sz w:val="24"/>
          <w:szCs w:val="24"/>
          <w:vertAlign w:val="baseline"/>
          <w:lang w:val="ro-MD"/>
        </w:rPr>
      </w:pPr>
      <w:r w:rsidRPr="005A0937">
        <w:rPr>
          <w:rFonts w:asciiTheme="majorHAnsi" w:hAnsiTheme="majorHAnsi" w:cstheme="majorHAnsi"/>
          <w:sz w:val="24"/>
          <w:szCs w:val="24"/>
          <w:vertAlign w:val="baseline"/>
          <w:lang w:val="ro-MD"/>
        </w:rPr>
        <w:lastRenderedPageBreak/>
        <w:t>Prezentul Raport de audit este destinat:</w:t>
      </w:r>
    </w:p>
    <w:p w14:paraId="65CE8FEC" w14:textId="6FE026C1" w:rsidR="006D3CB8" w:rsidRPr="005A0937" w:rsidRDefault="006D3CB8" w:rsidP="005A0937">
      <w:pPr>
        <w:pStyle w:val="FootnoteText"/>
        <w:spacing w:line="276" w:lineRule="auto"/>
        <w:ind w:firstLine="709"/>
        <w:jc w:val="both"/>
        <w:rPr>
          <w:rFonts w:asciiTheme="majorHAnsi" w:hAnsiTheme="majorHAnsi" w:cstheme="majorHAnsi"/>
          <w:sz w:val="24"/>
          <w:szCs w:val="24"/>
          <w:vertAlign w:val="baseline"/>
          <w:lang w:val="ro-MD"/>
        </w:rPr>
      </w:pPr>
      <w:r w:rsidRPr="005A0937">
        <w:rPr>
          <w:rFonts w:asciiTheme="majorHAnsi" w:hAnsiTheme="majorHAnsi" w:cstheme="majorHAnsi"/>
          <w:b/>
          <w:sz w:val="24"/>
          <w:szCs w:val="24"/>
          <w:vertAlign w:val="baseline"/>
          <w:lang w:val="ro-MD"/>
        </w:rPr>
        <w:t>Parlamentului și Guvernului Republicii Moldova</w:t>
      </w:r>
      <w:r w:rsidRPr="005A0937">
        <w:rPr>
          <w:rFonts w:asciiTheme="majorHAnsi" w:hAnsiTheme="majorHAnsi" w:cstheme="majorHAnsi"/>
          <w:sz w:val="24"/>
          <w:szCs w:val="24"/>
          <w:vertAlign w:val="baseline"/>
          <w:lang w:val="ro-MD"/>
        </w:rPr>
        <w:t xml:space="preserve"> - pentru informare, luare de atitudine, dar și pentru o posibilă utilizare a informațiilor la adoptarea deciziilor/lansarea inițiativelor aferente promovării politicilor statului în domeniul </w:t>
      </w:r>
      <w:r w:rsidR="00172F4E" w:rsidRPr="005A0937">
        <w:rPr>
          <w:rFonts w:asciiTheme="majorHAnsi" w:hAnsiTheme="majorHAnsi" w:cstheme="majorHAnsi"/>
          <w:sz w:val="24"/>
          <w:szCs w:val="24"/>
          <w:vertAlign w:val="baseline"/>
          <w:lang w:val="ro-MD"/>
        </w:rPr>
        <w:t>infrastructurii calității;</w:t>
      </w:r>
    </w:p>
    <w:p w14:paraId="36A12520" w14:textId="099D5809" w:rsidR="0074446A" w:rsidRPr="005A0937" w:rsidRDefault="00F612FC" w:rsidP="005A0937">
      <w:pPr>
        <w:pStyle w:val="FootnoteText"/>
        <w:spacing w:line="276" w:lineRule="auto"/>
        <w:ind w:firstLine="709"/>
        <w:jc w:val="both"/>
        <w:rPr>
          <w:rFonts w:asciiTheme="majorHAnsi" w:hAnsiTheme="majorHAnsi" w:cstheme="majorHAnsi"/>
          <w:b/>
          <w:sz w:val="24"/>
          <w:szCs w:val="24"/>
          <w:vertAlign w:val="baseline"/>
          <w:lang w:val="ro-MD"/>
        </w:rPr>
      </w:pPr>
      <w:r w:rsidRPr="005A0937">
        <w:rPr>
          <w:rFonts w:asciiTheme="majorHAnsi" w:hAnsiTheme="majorHAnsi" w:cstheme="majorHAnsi"/>
          <w:b/>
          <w:sz w:val="24"/>
          <w:szCs w:val="24"/>
          <w:vertAlign w:val="baseline"/>
          <w:lang w:val="ro-MD"/>
        </w:rPr>
        <w:t>Ministerului</w:t>
      </w:r>
      <w:r w:rsidRPr="007917DD">
        <w:rPr>
          <w:rFonts w:asciiTheme="majorHAnsi" w:eastAsia="Times New Roman" w:hAnsiTheme="majorHAnsi" w:cstheme="majorHAnsi"/>
          <w:b/>
          <w:sz w:val="24"/>
          <w:szCs w:val="24"/>
          <w:lang w:val="ro-MD" w:eastAsia="ro-MD"/>
        </w:rPr>
        <w:t xml:space="preserve"> </w:t>
      </w:r>
      <w:r w:rsidRPr="005A0937">
        <w:rPr>
          <w:rFonts w:asciiTheme="majorHAnsi" w:eastAsia="Times New Roman" w:hAnsiTheme="majorHAnsi" w:cstheme="majorHAnsi"/>
          <w:b/>
          <w:sz w:val="24"/>
          <w:szCs w:val="24"/>
          <w:vertAlign w:val="baseline"/>
          <w:lang w:val="ro-MD" w:eastAsia="ro-MD"/>
        </w:rPr>
        <w:t>Economiei</w:t>
      </w:r>
      <w:r w:rsidR="006D3CB8" w:rsidRPr="00255E9C">
        <w:rPr>
          <w:rFonts w:asciiTheme="majorHAnsi" w:eastAsia="Times New Roman" w:hAnsiTheme="majorHAnsi" w:cstheme="majorHAnsi"/>
          <w:sz w:val="24"/>
          <w:szCs w:val="24"/>
          <w:vertAlign w:val="baseline"/>
          <w:lang w:val="ro-MD" w:eastAsia="ro-MD"/>
        </w:rPr>
        <w:t>,</w:t>
      </w:r>
      <w:r w:rsidR="006D3CB8" w:rsidRPr="005A0937">
        <w:rPr>
          <w:rFonts w:asciiTheme="majorHAnsi" w:eastAsia="Times New Roman" w:hAnsiTheme="majorHAnsi" w:cstheme="majorHAnsi"/>
          <w:b/>
          <w:sz w:val="24"/>
          <w:szCs w:val="24"/>
          <w:vertAlign w:val="baseline"/>
          <w:lang w:val="ro-MD" w:eastAsia="ro-MD"/>
        </w:rPr>
        <w:t xml:space="preserve"> </w:t>
      </w:r>
      <w:r w:rsidR="006D3CB8" w:rsidRPr="005A0937">
        <w:rPr>
          <w:rFonts w:asciiTheme="majorHAnsi" w:eastAsia="Times New Roman" w:hAnsiTheme="majorHAnsi" w:cstheme="majorHAnsi"/>
          <w:sz w:val="24"/>
          <w:szCs w:val="24"/>
          <w:vertAlign w:val="baseline"/>
          <w:lang w:val="ro-MD" w:eastAsia="ro-MD"/>
        </w:rPr>
        <w:t>ca</w:t>
      </w:r>
      <w:r w:rsidR="006D3CB8" w:rsidRPr="005A0937">
        <w:rPr>
          <w:rFonts w:asciiTheme="majorHAnsi" w:eastAsia="Times New Roman" w:hAnsiTheme="majorHAnsi" w:cstheme="majorHAnsi"/>
          <w:b/>
          <w:sz w:val="24"/>
          <w:szCs w:val="24"/>
          <w:vertAlign w:val="baseline"/>
          <w:lang w:val="ro-MD" w:eastAsia="ro-MD"/>
        </w:rPr>
        <w:t xml:space="preserve"> </w:t>
      </w:r>
      <w:r w:rsidR="006D3CB8" w:rsidRPr="005A0937">
        <w:rPr>
          <w:rFonts w:asciiTheme="majorHAnsi" w:eastAsia="Times New Roman" w:hAnsiTheme="majorHAnsi" w:cstheme="majorHAnsi"/>
          <w:sz w:val="24"/>
          <w:szCs w:val="24"/>
          <w:vertAlign w:val="baseline"/>
          <w:lang w:val="ro-MD" w:eastAsia="ro-MD"/>
        </w:rPr>
        <w:t>organ central de specialitate al administrației publice responsabil de domeniu</w:t>
      </w:r>
      <w:r w:rsidRPr="005A0937">
        <w:rPr>
          <w:rFonts w:asciiTheme="majorHAnsi" w:eastAsia="Times New Roman" w:hAnsiTheme="majorHAnsi" w:cstheme="majorHAnsi"/>
          <w:sz w:val="24"/>
          <w:szCs w:val="24"/>
          <w:vertAlign w:val="baseline"/>
          <w:lang w:val="ro-MD" w:eastAsia="ro-MD"/>
        </w:rPr>
        <w:t>, precum și în calitate de fondator al instituțiilor publice</w:t>
      </w:r>
      <w:r w:rsidR="00BA5309">
        <w:rPr>
          <w:rFonts w:asciiTheme="majorHAnsi" w:eastAsia="Times New Roman" w:hAnsiTheme="majorHAnsi" w:cstheme="majorHAnsi"/>
          <w:sz w:val="24"/>
          <w:szCs w:val="24"/>
          <w:vertAlign w:val="baseline"/>
          <w:lang w:val="ro-MD" w:eastAsia="ro-MD"/>
        </w:rPr>
        <w:t xml:space="preserve"> auditate</w:t>
      </w:r>
      <w:r w:rsidR="006D3CB8" w:rsidRPr="005A0937">
        <w:rPr>
          <w:rFonts w:asciiTheme="majorHAnsi" w:hAnsiTheme="majorHAnsi" w:cstheme="majorHAnsi"/>
          <w:sz w:val="24"/>
          <w:szCs w:val="24"/>
          <w:vertAlign w:val="baseline"/>
          <w:lang w:val="ro-MD"/>
        </w:rPr>
        <w:t xml:space="preserve"> – pentru informare, precum și pentru o posibilă utilizare a informațiilor la promovarea politicii guvernamentale în domeniul </w:t>
      </w:r>
      <w:r w:rsidRPr="005A0937">
        <w:rPr>
          <w:rFonts w:asciiTheme="majorHAnsi" w:hAnsiTheme="majorHAnsi" w:cstheme="majorHAnsi"/>
          <w:sz w:val="24"/>
          <w:szCs w:val="24"/>
          <w:vertAlign w:val="baseline"/>
          <w:lang w:val="ro-MD"/>
        </w:rPr>
        <w:t>infrastructurii calității</w:t>
      </w:r>
      <w:r w:rsidR="00492A39" w:rsidRPr="005A0937">
        <w:rPr>
          <w:rFonts w:asciiTheme="majorHAnsi" w:hAnsiTheme="majorHAnsi" w:cstheme="majorHAnsi"/>
          <w:sz w:val="24"/>
          <w:szCs w:val="24"/>
          <w:vertAlign w:val="baseline"/>
          <w:lang w:val="ro-MD"/>
        </w:rPr>
        <w:t>;</w:t>
      </w:r>
    </w:p>
    <w:p w14:paraId="1387DC54" w14:textId="6408FDBF" w:rsidR="006D3CB8" w:rsidRPr="005A0937" w:rsidRDefault="00FA4F38" w:rsidP="005A0937">
      <w:pPr>
        <w:pStyle w:val="FootnoteText"/>
        <w:spacing w:line="276" w:lineRule="auto"/>
        <w:ind w:firstLine="709"/>
        <w:jc w:val="both"/>
        <w:rPr>
          <w:rFonts w:asciiTheme="majorHAnsi" w:hAnsiTheme="majorHAnsi" w:cstheme="majorHAnsi"/>
          <w:b/>
          <w:sz w:val="24"/>
          <w:szCs w:val="24"/>
          <w:vertAlign w:val="baseline"/>
          <w:lang w:val="ro-MD"/>
        </w:rPr>
      </w:pPr>
      <w:r>
        <w:rPr>
          <w:rFonts w:asciiTheme="majorHAnsi" w:hAnsiTheme="majorHAnsi" w:cstheme="majorHAnsi"/>
          <w:b/>
          <w:sz w:val="24"/>
          <w:szCs w:val="24"/>
          <w:vertAlign w:val="baseline"/>
          <w:lang w:val="ro-MD"/>
        </w:rPr>
        <w:t>s</w:t>
      </w:r>
      <w:r w:rsidR="006D3CB8" w:rsidRPr="005A0937">
        <w:rPr>
          <w:rFonts w:asciiTheme="majorHAnsi" w:hAnsiTheme="majorHAnsi" w:cstheme="majorHAnsi"/>
          <w:b/>
          <w:sz w:val="24"/>
          <w:szCs w:val="24"/>
          <w:vertAlign w:val="baseline"/>
          <w:lang w:val="ro-MD"/>
        </w:rPr>
        <w:t>ocietății civile, altor părți interesate.</w:t>
      </w:r>
    </w:p>
    <w:p w14:paraId="5E1C31B8" w14:textId="44F5AA94" w:rsidR="006D3CB8" w:rsidRPr="007917DD" w:rsidRDefault="006D3CB8" w:rsidP="006D3CB8">
      <w:pPr>
        <w:spacing w:line="276" w:lineRule="auto"/>
        <w:ind w:firstLine="709"/>
        <w:jc w:val="both"/>
        <w:rPr>
          <w:rFonts w:asciiTheme="majorHAnsi" w:eastAsia="Times New Roman" w:hAnsiTheme="majorHAnsi" w:cstheme="majorHAnsi"/>
          <w:i/>
          <w:sz w:val="24"/>
          <w:szCs w:val="24"/>
          <w:lang w:val="ro-MD" w:eastAsia="ro-MD"/>
        </w:rPr>
      </w:pPr>
      <w:r w:rsidRPr="007917DD">
        <w:rPr>
          <w:rFonts w:asciiTheme="majorHAnsi" w:eastAsia="Times New Roman" w:hAnsiTheme="majorHAnsi" w:cstheme="majorHAnsi"/>
          <w:sz w:val="24"/>
          <w:szCs w:val="24"/>
          <w:lang w:val="ro-MD" w:eastAsia="ro-MD"/>
        </w:rPr>
        <w:t xml:space="preserve">Raportul de audit furnizează destinatarilor informații privind </w:t>
      </w:r>
      <w:r w:rsidR="00F612FC" w:rsidRPr="007917DD">
        <w:rPr>
          <w:rFonts w:asciiTheme="majorHAnsi" w:eastAsia="Times New Roman" w:hAnsiTheme="majorHAnsi" w:cstheme="majorHAnsi"/>
          <w:sz w:val="24"/>
          <w:szCs w:val="24"/>
          <w:lang w:val="ro-MD" w:eastAsia="ro-MD"/>
        </w:rPr>
        <w:t xml:space="preserve">conformitatea gestionării patrimoniului public de către </w:t>
      </w:r>
      <w:r w:rsidR="00FA4F38">
        <w:rPr>
          <w:rFonts w:asciiTheme="majorHAnsi" w:eastAsia="Times New Roman" w:hAnsiTheme="majorHAnsi" w:cstheme="majorHAnsi"/>
          <w:sz w:val="24"/>
          <w:szCs w:val="24"/>
          <w:lang w:val="ro-MD" w:eastAsia="ro-MD"/>
        </w:rPr>
        <w:t>i</w:t>
      </w:r>
      <w:r w:rsidR="00F612FC" w:rsidRPr="007917DD">
        <w:rPr>
          <w:rFonts w:asciiTheme="majorHAnsi" w:eastAsia="Times New Roman" w:hAnsiTheme="majorHAnsi" w:cstheme="majorHAnsi"/>
          <w:sz w:val="24"/>
          <w:szCs w:val="24"/>
          <w:lang w:val="ro-MD" w:eastAsia="ro-MD"/>
        </w:rPr>
        <w:t xml:space="preserve">nstituțiile </w:t>
      </w:r>
      <w:r w:rsidR="00FA4F38">
        <w:rPr>
          <w:rFonts w:asciiTheme="majorHAnsi" w:eastAsia="Times New Roman" w:hAnsiTheme="majorHAnsi" w:cstheme="majorHAnsi"/>
          <w:sz w:val="24"/>
          <w:szCs w:val="24"/>
          <w:lang w:val="ro-MD" w:eastAsia="ro-MD"/>
        </w:rPr>
        <w:t>p</w:t>
      </w:r>
      <w:r w:rsidR="00F612FC" w:rsidRPr="007917DD">
        <w:rPr>
          <w:rFonts w:asciiTheme="majorHAnsi" w:eastAsia="Times New Roman" w:hAnsiTheme="majorHAnsi" w:cstheme="majorHAnsi"/>
          <w:sz w:val="24"/>
          <w:szCs w:val="24"/>
          <w:lang w:val="ro-MD" w:eastAsia="ro-MD"/>
        </w:rPr>
        <w:t xml:space="preserve">ublice </w:t>
      </w:r>
      <w:r w:rsidR="00FA4F38">
        <w:rPr>
          <w:rFonts w:asciiTheme="majorHAnsi" w:eastAsia="Times New Roman" w:hAnsiTheme="majorHAnsi" w:cstheme="majorHAnsi"/>
          <w:sz w:val="24"/>
          <w:szCs w:val="24"/>
          <w:lang w:val="ro-MD" w:eastAsia="ro-MD"/>
        </w:rPr>
        <w:t>di</w:t>
      </w:r>
      <w:r w:rsidR="00F612FC" w:rsidRPr="007917DD">
        <w:rPr>
          <w:rFonts w:asciiTheme="majorHAnsi" w:eastAsia="Times New Roman" w:hAnsiTheme="majorHAnsi" w:cstheme="majorHAnsi"/>
          <w:sz w:val="24"/>
          <w:szCs w:val="24"/>
          <w:lang w:val="ro-MD" w:eastAsia="ro-MD"/>
        </w:rPr>
        <w:t>n domeniul infrastructurii calității în anii 2020-2021</w:t>
      </w:r>
      <w:r w:rsidRPr="007917DD">
        <w:rPr>
          <w:rFonts w:asciiTheme="majorHAnsi" w:hAnsiTheme="majorHAnsi" w:cstheme="majorHAnsi"/>
          <w:sz w:val="24"/>
          <w:szCs w:val="24"/>
          <w:lang w:val="ro-MD"/>
        </w:rPr>
        <w:t>.</w:t>
      </w:r>
    </w:p>
    <w:p w14:paraId="45186821" w14:textId="0F6E9FA6" w:rsidR="0020188F" w:rsidRPr="0025441B" w:rsidRDefault="0020188F" w:rsidP="00F92B80">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3" w:name="_Toc123116692"/>
      <w:r w:rsidRPr="0025441B">
        <w:rPr>
          <w:rFonts w:asciiTheme="majorHAnsi" w:eastAsia="Times New Roman" w:hAnsiTheme="majorHAnsi" w:cstheme="majorHAnsi"/>
          <w:b/>
          <w:bCs/>
          <w:caps/>
          <w:color w:val="0070C0"/>
          <w:sz w:val="24"/>
          <w:szCs w:val="24"/>
          <w:lang w:val="ro-MD"/>
        </w:rPr>
        <w:t>Sintez</w:t>
      </w:r>
      <w:r w:rsidR="0025441B">
        <w:rPr>
          <w:rFonts w:asciiTheme="majorHAnsi" w:eastAsia="Times New Roman" w:hAnsiTheme="majorHAnsi" w:cstheme="majorHAnsi"/>
          <w:b/>
          <w:bCs/>
          <w:caps/>
          <w:color w:val="0070C0"/>
          <w:sz w:val="24"/>
          <w:szCs w:val="24"/>
          <w:lang w:val="ro-MD"/>
        </w:rPr>
        <w:t>A</w:t>
      </w:r>
      <w:bookmarkEnd w:id="3"/>
    </w:p>
    <w:p w14:paraId="70ABC0CA" w14:textId="1F9DC2F0" w:rsidR="005A193E" w:rsidRPr="007917DD" w:rsidRDefault="00992962" w:rsidP="00C95B09">
      <w:pPr>
        <w:pStyle w:val="FootnoteText"/>
        <w:spacing w:line="276" w:lineRule="auto"/>
        <w:ind w:firstLine="709"/>
        <w:jc w:val="both"/>
        <w:rPr>
          <w:rFonts w:asciiTheme="majorHAnsi" w:hAnsiTheme="majorHAnsi" w:cstheme="majorHAnsi"/>
          <w:color w:val="FF0000"/>
          <w:sz w:val="24"/>
          <w:szCs w:val="24"/>
          <w:vertAlign w:val="baseline"/>
          <w:lang w:val="ro-MD"/>
        </w:rPr>
      </w:pPr>
      <w:r w:rsidRPr="007917DD">
        <w:rPr>
          <w:rFonts w:asciiTheme="majorHAnsi" w:hAnsiTheme="majorHAnsi" w:cstheme="majorHAnsi"/>
          <w:sz w:val="24"/>
          <w:szCs w:val="24"/>
          <w:vertAlign w:val="baseline"/>
          <w:lang w:val="ro-MD"/>
        </w:rPr>
        <w:t xml:space="preserve">Dinamica evoluției economice mondiale, precum și importanța procesului de globalizare condiționează, în mod inevitabil, necesitatea armonizării sistemelor de reglementare și a infrastructurii aferente, </w:t>
      </w:r>
      <w:r w:rsidR="00FA4F38">
        <w:rPr>
          <w:rFonts w:asciiTheme="majorHAnsi" w:hAnsiTheme="majorHAnsi" w:cstheme="majorHAnsi"/>
          <w:sz w:val="24"/>
          <w:szCs w:val="24"/>
          <w:vertAlign w:val="baseline"/>
          <w:lang w:val="ro-MD"/>
        </w:rPr>
        <w:t>pe</w:t>
      </w:r>
      <w:r w:rsidRPr="007917DD">
        <w:rPr>
          <w:rFonts w:asciiTheme="majorHAnsi" w:hAnsiTheme="majorHAnsi" w:cstheme="majorHAnsi"/>
          <w:sz w:val="24"/>
          <w:szCs w:val="24"/>
          <w:vertAlign w:val="baseline"/>
          <w:lang w:val="ro-MD"/>
        </w:rPr>
        <w:t xml:space="preserve">ntru promovarea producției și comerțului la nivel global. Or, apartenența Republicii Moldova la țările care s-au angajat să implementeze și să respecte practicile </w:t>
      </w:r>
      <w:r w:rsidRPr="001C1A69">
        <w:rPr>
          <w:rFonts w:asciiTheme="majorHAnsi" w:hAnsiTheme="majorHAnsi" w:cstheme="majorHAnsi"/>
          <w:sz w:val="24"/>
          <w:szCs w:val="24"/>
          <w:vertAlign w:val="baseline"/>
          <w:lang w:val="ro-MD"/>
        </w:rPr>
        <w:t>O</w:t>
      </w:r>
      <w:r w:rsidR="001C1A69" w:rsidRPr="00255E9C">
        <w:rPr>
          <w:rFonts w:asciiTheme="majorHAnsi" w:hAnsiTheme="majorHAnsi" w:cstheme="majorHAnsi"/>
          <w:sz w:val="24"/>
          <w:szCs w:val="24"/>
          <w:vertAlign w:val="baseline"/>
          <w:lang w:val="ro-MD"/>
        </w:rPr>
        <w:t xml:space="preserve">rganizației </w:t>
      </w:r>
      <w:r w:rsidRPr="001C1A69">
        <w:rPr>
          <w:rFonts w:asciiTheme="majorHAnsi" w:hAnsiTheme="majorHAnsi" w:cstheme="majorHAnsi"/>
          <w:sz w:val="24"/>
          <w:szCs w:val="24"/>
          <w:vertAlign w:val="baseline"/>
          <w:lang w:val="ro-MD"/>
        </w:rPr>
        <w:t>M</w:t>
      </w:r>
      <w:r w:rsidR="001C1A69" w:rsidRPr="00255E9C">
        <w:rPr>
          <w:rFonts w:asciiTheme="majorHAnsi" w:hAnsiTheme="majorHAnsi" w:cstheme="majorHAnsi"/>
          <w:sz w:val="24"/>
          <w:szCs w:val="24"/>
          <w:vertAlign w:val="baseline"/>
          <w:lang w:val="ro-MD"/>
        </w:rPr>
        <w:t xml:space="preserve">ondiale a </w:t>
      </w:r>
      <w:r w:rsidRPr="001C1A69">
        <w:rPr>
          <w:rFonts w:asciiTheme="majorHAnsi" w:hAnsiTheme="majorHAnsi" w:cstheme="majorHAnsi"/>
          <w:sz w:val="24"/>
          <w:szCs w:val="24"/>
          <w:vertAlign w:val="baseline"/>
          <w:lang w:val="ro-MD"/>
        </w:rPr>
        <w:t>C</w:t>
      </w:r>
      <w:r w:rsidR="001C1A69" w:rsidRPr="00255E9C">
        <w:rPr>
          <w:rFonts w:asciiTheme="majorHAnsi" w:hAnsiTheme="majorHAnsi" w:cstheme="majorHAnsi"/>
          <w:sz w:val="24"/>
          <w:szCs w:val="24"/>
          <w:vertAlign w:val="baseline"/>
          <w:lang w:val="ro-MD"/>
        </w:rPr>
        <w:t xml:space="preserve">omerțului </w:t>
      </w:r>
      <w:r w:rsidRPr="001C1A69">
        <w:rPr>
          <w:rFonts w:asciiTheme="majorHAnsi" w:hAnsiTheme="majorHAnsi" w:cstheme="majorHAnsi"/>
          <w:sz w:val="24"/>
          <w:szCs w:val="24"/>
          <w:vertAlign w:val="baseline"/>
          <w:lang w:val="ro-MD"/>
        </w:rPr>
        <w:t xml:space="preserve"> și ale U</w:t>
      </w:r>
      <w:r w:rsidR="001C1A69" w:rsidRPr="00255E9C">
        <w:rPr>
          <w:rFonts w:asciiTheme="majorHAnsi" w:hAnsiTheme="majorHAnsi" w:cstheme="majorHAnsi"/>
          <w:sz w:val="24"/>
          <w:szCs w:val="24"/>
          <w:vertAlign w:val="baseline"/>
          <w:lang w:val="ro-MD"/>
        </w:rPr>
        <w:t xml:space="preserve">niunii </w:t>
      </w:r>
      <w:r w:rsidRPr="001C1A69">
        <w:rPr>
          <w:rFonts w:asciiTheme="majorHAnsi" w:hAnsiTheme="majorHAnsi" w:cstheme="majorHAnsi"/>
          <w:sz w:val="24"/>
          <w:szCs w:val="24"/>
          <w:vertAlign w:val="baseline"/>
          <w:lang w:val="ro-MD"/>
        </w:rPr>
        <w:t>E</w:t>
      </w:r>
      <w:r w:rsidR="001C1A69" w:rsidRPr="001C1A69">
        <w:rPr>
          <w:rFonts w:asciiTheme="majorHAnsi" w:hAnsiTheme="majorHAnsi" w:cstheme="majorHAnsi"/>
          <w:sz w:val="24"/>
          <w:szCs w:val="24"/>
          <w:vertAlign w:val="baseline"/>
          <w:lang w:val="ro-MD"/>
        </w:rPr>
        <w:t>uropene</w:t>
      </w:r>
      <w:r w:rsidRPr="007917DD">
        <w:rPr>
          <w:rFonts w:asciiTheme="majorHAnsi" w:hAnsiTheme="majorHAnsi" w:cstheme="majorHAnsi"/>
          <w:sz w:val="24"/>
          <w:szCs w:val="24"/>
          <w:vertAlign w:val="baseline"/>
          <w:lang w:val="ro-MD"/>
        </w:rPr>
        <w:t xml:space="preserve"> în ceea ce privește comerțul internațional impune și o revizuire a sistemului propriu MSTQ</w:t>
      </w:r>
      <w:r w:rsidR="00FA4F38">
        <w:rPr>
          <w:rFonts w:asciiTheme="majorHAnsi" w:hAnsiTheme="majorHAnsi" w:cstheme="majorHAnsi"/>
          <w:sz w:val="24"/>
          <w:szCs w:val="24"/>
          <w:vertAlign w:val="baseline"/>
          <w:lang w:val="ro-MD"/>
        </w:rPr>
        <w:t xml:space="preserve"> ,</w:t>
      </w:r>
      <w:r w:rsidRPr="007917DD">
        <w:rPr>
          <w:rFonts w:asciiTheme="majorHAnsi" w:hAnsiTheme="majorHAnsi" w:cstheme="majorHAnsi"/>
          <w:sz w:val="24"/>
          <w:szCs w:val="24"/>
          <w:vertAlign w:val="baseline"/>
          <w:lang w:val="ro-MD"/>
        </w:rPr>
        <w:t xml:space="preserve"> care reprezintă unul dintre pilonii de bază ai funcționalității relațiilor comerciale</w:t>
      </w:r>
      <w:r w:rsidR="00794774" w:rsidRPr="007917DD">
        <w:rPr>
          <w:rStyle w:val="FootnoteReference"/>
          <w:rFonts w:asciiTheme="majorHAnsi" w:hAnsiTheme="majorHAnsi" w:cstheme="majorHAnsi"/>
          <w:sz w:val="24"/>
          <w:szCs w:val="24"/>
          <w:lang w:val="ro-MD"/>
        </w:rPr>
        <w:footnoteReference w:id="1"/>
      </w:r>
      <w:r w:rsidRPr="007917DD">
        <w:rPr>
          <w:rFonts w:asciiTheme="majorHAnsi" w:hAnsiTheme="majorHAnsi" w:cstheme="majorHAnsi"/>
          <w:sz w:val="24"/>
          <w:szCs w:val="24"/>
          <w:vertAlign w:val="baseline"/>
          <w:lang w:val="ro-MD"/>
        </w:rPr>
        <w:t xml:space="preserve">. </w:t>
      </w:r>
      <w:r w:rsidR="00A71680" w:rsidRPr="007917DD">
        <w:rPr>
          <w:rFonts w:asciiTheme="majorHAnsi" w:hAnsiTheme="majorHAnsi" w:cstheme="majorHAnsi"/>
          <w:color w:val="FF0000"/>
          <w:sz w:val="24"/>
          <w:szCs w:val="24"/>
          <w:vertAlign w:val="baseline"/>
          <w:lang w:val="ro-MD"/>
        </w:rPr>
        <w:t xml:space="preserve"> </w:t>
      </w:r>
    </w:p>
    <w:p w14:paraId="63D4C94E" w14:textId="4C1C82BF" w:rsidR="004542AE" w:rsidRPr="007917DD" w:rsidRDefault="004542AE" w:rsidP="00C95B09">
      <w:pPr>
        <w:pStyle w:val="FootnoteText"/>
        <w:spacing w:line="276" w:lineRule="auto"/>
        <w:ind w:firstLine="709"/>
        <w:jc w:val="both"/>
        <w:rPr>
          <w:rFonts w:asciiTheme="majorHAnsi" w:hAnsiTheme="majorHAnsi" w:cstheme="majorHAnsi"/>
          <w:sz w:val="24"/>
          <w:szCs w:val="24"/>
          <w:vertAlign w:val="baseline"/>
          <w:lang w:val="ro-MD"/>
        </w:rPr>
      </w:pPr>
      <w:r w:rsidRPr="00351A0B">
        <w:rPr>
          <w:rFonts w:asciiTheme="majorHAnsi" w:hAnsiTheme="majorHAnsi" w:cstheme="majorHAnsi"/>
          <w:sz w:val="24"/>
          <w:szCs w:val="24"/>
          <w:vertAlign w:val="baseline"/>
          <w:lang w:val="ro-MD"/>
        </w:rPr>
        <w:t xml:space="preserve">În contextul dat, Curtea de Conturi, în temeiul Legii nr.260 din 07.12.2017 și al Programului activității de audit pe anul 2021, a inițiat prezenta misiune de audit în scopul evaluării conformității gestionării patrimoniului public </w:t>
      </w:r>
      <w:r w:rsidR="003F53F7" w:rsidRPr="00351A0B">
        <w:rPr>
          <w:rFonts w:asciiTheme="majorHAnsi" w:hAnsiTheme="majorHAnsi" w:cstheme="majorHAnsi"/>
          <w:sz w:val="24"/>
          <w:szCs w:val="24"/>
          <w:vertAlign w:val="baseline"/>
          <w:lang w:val="ro-MD"/>
        </w:rPr>
        <w:t xml:space="preserve">(inclusiv subsidiile) </w:t>
      </w:r>
      <w:r w:rsidRPr="00351A0B">
        <w:rPr>
          <w:rFonts w:asciiTheme="majorHAnsi" w:hAnsiTheme="majorHAnsi" w:cstheme="majorHAnsi"/>
          <w:sz w:val="24"/>
          <w:szCs w:val="24"/>
          <w:vertAlign w:val="baseline"/>
          <w:lang w:val="ro-MD"/>
        </w:rPr>
        <w:t xml:space="preserve">de către </w:t>
      </w:r>
      <w:r w:rsidR="00FA4F38">
        <w:rPr>
          <w:rFonts w:asciiTheme="majorHAnsi" w:hAnsiTheme="majorHAnsi" w:cstheme="majorHAnsi"/>
          <w:sz w:val="24"/>
          <w:szCs w:val="24"/>
          <w:vertAlign w:val="baseline"/>
          <w:lang w:val="ro-MD"/>
        </w:rPr>
        <w:t>i</w:t>
      </w:r>
      <w:r w:rsidRPr="00351A0B">
        <w:rPr>
          <w:rFonts w:asciiTheme="majorHAnsi" w:hAnsiTheme="majorHAnsi" w:cstheme="majorHAnsi"/>
          <w:sz w:val="24"/>
          <w:szCs w:val="24"/>
          <w:vertAlign w:val="baseline"/>
          <w:lang w:val="ro-MD"/>
        </w:rPr>
        <w:t xml:space="preserve">nstituțiile </w:t>
      </w:r>
      <w:r w:rsidR="00FA4F38">
        <w:rPr>
          <w:rFonts w:asciiTheme="majorHAnsi" w:hAnsiTheme="majorHAnsi" w:cstheme="majorHAnsi"/>
          <w:sz w:val="24"/>
          <w:szCs w:val="24"/>
          <w:vertAlign w:val="baseline"/>
          <w:lang w:val="ro-MD"/>
        </w:rPr>
        <w:t>p</w:t>
      </w:r>
      <w:r w:rsidRPr="00351A0B">
        <w:rPr>
          <w:rFonts w:asciiTheme="majorHAnsi" w:hAnsiTheme="majorHAnsi" w:cstheme="majorHAnsi"/>
          <w:sz w:val="24"/>
          <w:szCs w:val="24"/>
          <w:vertAlign w:val="baseline"/>
          <w:lang w:val="ro-MD"/>
        </w:rPr>
        <w:t xml:space="preserve">ublice </w:t>
      </w:r>
      <w:r w:rsidR="00FA4F38">
        <w:rPr>
          <w:rFonts w:asciiTheme="majorHAnsi" w:hAnsiTheme="majorHAnsi" w:cstheme="majorHAnsi"/>
          <w:sz w:val="24"/>
          <w:szCs w:val="24"/>
          <w:vertAlign w:val="baseline"/>
          <w:lang w:val="ro-MD"/>
        </w:rPr>
        <w:t>di</w:t>
      </w:r>
      <w:r w:rsidRPr="00351A0B">
        <w:rPr>
          <w:rFonts w:asciiTheme="majorHAnsi" w:hAnsiTheme="majorHAnsi" w:cstheme="majorHAnsi"/>
          <w:sz w:val="24"/>
          <w:szCs w:val="24"/>
          <w:vertAlign w:val="baseline"/>
          <w:lang w:val="ro-MD"/>
        </w:rPr>
        <w:t>n domeniul infrastructurii calității în anii 2020-2021 și, ca urmare,  prezentării informațiilor relevante părților implicate și interesate, pentru furnizarea asigurărilor de rigoare privind realizarea regulamentară a activităților economice aferente acestui domeniu.</w:t>
      </w:r>
    </w:p>
    <w:p w14:paraId="211F8862" w14:textId="68460BAF" w:rsidR="0080396E" w:rsidRDefault="00512028" w:rsidP="0080396E">
      <w:pPr>
        <w:spacing w:after="0" w:line="276" w:lineRule="auto"/>
        <w:ind w:firstLine="720"/>
        <w:jc w:val="both"/>
        <w:rPr>
          <w:rFonts w:asciiTheme="majorHAnsi" w:eastAsia="Times New Roman" w:hAnsiTheme="majorHAnsi" w:cstheme="majorHAnsi"/>
          <w:iCs/>
          <w:sz w:val="24"/>
          <w:szCs w:val="24"/>
          <w:lang w:val="ro-MD" w:eastAsia="ro-MD"/>
        </w:rPr>
      </w:pPr>
      <w:r w:rsidRPr="007917DD">
        <w:rPr>
          <w:rFonts w:asciiTheme="majorHAnsi" w:eastAsia="Times New Roman" w:hAnsiTheme="majorHAnsi" w:cstheme="majorHAnsi"/>
          <w:iCs/>
          <w:sz w:val="24"/>
          <w:szCs w:val="24"/>
          <w:lang w:val="ro-MD" w:eastAsia="ro-MD"/>
        </w:rPr>
        <w:t>Generalizând constatările și concluziile formulate în p</w:t>
      </w:r>
      <w:r w:rsidRPr="007917DD">
        <w:rPr>
          <w:rFonts w:asciiTheme="majorHAnsi" w:hAnsiTheme="majorHAnsi" w:cstheme="majorHAnsi"/>
          <w:sz w:val="24"/>
          <w:szCs w:val="24"/>
          <w:lang w:val="ro-MD"/>
        </w:rPr>
        <w:t>rocesul de audit</w:t>
      </w:r>
      <w:r w:rsidR="00D60CF6" w:rsidRPr="007917DD">
        <w:rPr>
          <w:rFonts w:asciiTheme="majorHAnsi" w:hAnsiTheme="majorHAnsi" w:cstheme="majorHAnsi"/>
          <w:sz w:val="24"/>
          <w:szCs w:val="24"/>
          <w:lang w:val="ro-MD"/>
        </w:rPr>
        <w:t>are</w:t>
      </w:r>
      <w:r w:rsidR="00215172" w:rsidRPr="007917DD">
        <w:rPr>
          <w:rFonts w:asciiTheme="majorHAnsi" w:eastAsia="Times New Roman" w:hAnsiTheme="majorHAnsi" w:cstheme="majorHAnsi"/>
          <w:sz w:val="24"/>
          <w:szCs w:val="24"/>
          <w:lang w:val="ro-MD" w:eastAsia="ro-MD"/>
        </w:rPr>
        <w:t>,</w:t>
      </w:r>
      <w:r w:rsidR="00060ADE" w:rsidRPr="007917DD">
        <w:rPr>
          <w:rFonts w:asciiTheme="majorHAnsi" w:eastAsia="Times New Roman" w:hAnsiTheme="majorHAnsi" w:cstheme="majorHAnsi"/>
          <w:sz w:val="24"/>
          <w:szCs w:val="24"/>
          <w:lang w:val="ro-MD" w:eastAsia="ro-MD"/>
        </w:rPr>
        <w:t xml:space="preserve"> </w:t>
      </w:r>
      <w:r w:rsidRPr="007917DD">
        <w:rPr>
          <w:rFonts w:asciiTheme="majorHAnsi" w:eastAsia="Times New Roman" w:hAnsiTheme="majorHAnsi" w:cstheme="majorHAnsi"/>
          <w:iCs/>
          <w:sz w:val="24"/>
          <w:szCs w:val="24"/>
          <w:lang w:val="ro-MD" w:eastAsia="ro-MD"/>
        </w:rPr>
        <w:t>auditul prezintă rezumatul acestora prin prisma neconformităților propriu-zise, precum și a cauzelor</w:t>
      </w:r>
      <w:r w:rsidR="00346F09" w:rsidRPr="007917DD">
        <w:rPr>
          <w:rFonts w:asciiTheme="majorHAnsi" w:eastAsia="Times New Roman" w:hAnsiTheme="majorHAnsi" w:cstheme="majorHAnsi"/>
          <w:iCs/>
          <w:sz w:val="24"/>
          <w:szCs w:val="24"/>
          <w:lang w:val="ro-MD" w:eastAsia="ro-MD"/>
        </w:rPr>
        <w:t xml:space="preserve"> </w:t>
      </w:r>
      <w:r w:rsidRPr="007917DD">
        <w:rPr>
          <w:rFonts w:asciiTheme="majorHAnsi" w:eastAsia="Times New Roman" w:hAnsiTheme="majorHAnsi" w:cstheme="majorHAnsi"/>
          <w:iCs/>
          <w:sz w:val="24"/>
          <w:szCs w:val="24"/>
          <w:lang w:val="ro-MD" w:eastAsia="ro-MD"/>
        </w:rPr>
        <w:t>și impactului lor.</w:t>
      </w:r>
      <w:r w:rsidR="00EB648E" w:rsidRPr="007917DD">
        <w:rPr>
          <w:rFonts w:asciiTheme="majorHAnsi" w:eastAsia="Times New Roman" w:hAnsiTheme="majorHAnsi" w:cstheme="majorHAnsi"/>
          <w:iCs/>
          <w:sz w:val="24"/>
          <w:szCs w:val="24"/>
          <w:lang w:val="ro-MD" w:eastAsia="ro-MD"/>
        </w:rPr>
        <w:t xml:space="preserve"> </w:t>
      </w:r>
    </w:p>
    <w:p w14:paraId="623B16D5" w14:textId="5711B8E9" w:rsidR="00461A81" w:rsidRPr="00251041" w:rsidRDefault="00461A81" w:rsidP="0080396E">
      <w:pPr>
        <w:spacing w:after="0" w:line="276" w:lineRule="auto"/>
        <w:ind w:firstLine="720"/>
        <w:jc w:val="both"/>
        <w:rPr>
          <w:rFonts w:asciiTheme="majorHAnsi" w:hAnsiTheme="majorHAnsi" w:cstheme="minorHAnsi"/>
          <w:sz w:val="24"/>
          <w:szCs w:val="24"/>
          <w:lang w:val="ro-MD"/>
        </w:rPr>
      </w:pPr>
      <w:r w:rsidRPr="00251041">
        <w:rPr>
          <w:rFonts w:asciiTheme="majorHAnsi" w:eastAsia="Times New Roman" w:hAnsiTheme="majorHAnsi" w:cs="Times New Roman"/>
          <w:iCs/>
          <w:sz w:val="24"/>
          <w:szCs w:val="24"/>
          <w:lang w:val="ro-MD" w:eastAsia="ro-MD"/>
        </w:rPr>
        <w:t xml:space="preserve">În perioada supusă auditului, </w:t>
      </w:r>
      <w:r w:rsidRPr="00251041">
        <w:rPr>
          <w:rFonts w:asciiTheme="majorHAnsi" w:hAnsiTheme="majorHAnsi"/>
          <w:sz w:val="24"/>
          <w:szCs w:val="24"/>
          <w:lang w:val="ro-MD"/>
        </w:rPr>
        <w:t>modul de gestionare a patrimoniului public</w:t>
      </w:r>
      <w:r w:rsidRPr="00251041">
        <w:rPr>
          <w:rFonts w:asciiTheme="majorHAnsi" w:eastAsia="Times New Roman" w:hAnsiTheme="majorHAnsi" w:cs="Times New Roman"/>
          <w:iCs/>
          <w:sz w:val="24"/>
          <w:szCs w:val="24"/>
          <w:lang w:val="ro-MD" w:eastAsia="ro-MD"/>
        </w:rPr>
        <w:t xml:space="preserve">, </w:t>
      </w:r>
      <w:r w:rsidRPr="00251041">
        <w:rPr>
          <w:rFonts w:asciiTheme="majorHAnsi" w:hAnsiTheme="majorHAnsi"/>
          <w:sz w:val="24"/>
          <w:szCs w:val="24"/>
          <w:lang w:val="ro-MD"/>
        </w:rPr>
        <w:t xml:space="preserve">cu unele rezerve de îmbunătățire, per ansamblu, </w:t>
      </w:r>
      <w:r w:rsidRPr="00251041">
        <w:rPr>
          <w:rFonts w:asciiTheme="majorHAnsi" w:hAnsiTheme="majorHAnsi" w:cstheme="minorHAnsi"/>
          <w:sz w:val="24"/>
          <w:szCs w:val="24"/>
          <w:lang w:val="ro-MD"/>
        </w:rPr>
        <w:t>a întrunit principiile de legalitate, transparență și integritate. Totodată, au fost identificate unele deficiențe și neconformități aferente gestionării patrimoniului</w:t>
      </w:r>
      <w:r w:rsidR="00780619" w:rsidRPr="00251041">
        <w:rPr>
          <w:rFonts w:asciiTheme="majorHAnsi" w:hAnsiTheme="majorHAnsi" w:cstheme="minorHAnsi"/>
          <w:sz w:val="24"/>
          <w:szCs w:val="24"/>
          <w:lang w:val="ro-MD"/>
        </w:rPr>
        <w:t xml:space="preserve"> public încredințat</w:t>
      </w:r>
      <w:r w:rsidRPr="00251041">
        <w:rPr>
          <w:rFonts w:asciiTheme="majorHAnsi" w:hAnsiTheme="majorHAnsi" w:cstheme="minorHAnsi"/>
          <w:sz w:val="24"/>
          <w:szCs w:val="24"/>
          <w:lang w:val="ro-MD"/>
        </w:rPr>
        <w:t xml:space="preserve">, dar care nu au afectat semnificativ buna guvernare a </w:t>
      </w:r>
      <w:r w:rsidR="00780619" w:rsidRPr="00251041">
        <w:rPr>
          <w:rFonts w:asciiTheme="majorHAnsi" w:hAnsiTheme="majorHAnsi" w:cstheme="minorHAnsi"/>
          <w:sz w:val="24"/>
          <w:szCs w:val="24"/>
          <w:lang w:val="ro-MD"/>
        </w:rPr>
        <w:t>acestuia, exprimate prin următoarele:</w:t>
      </w:r>
    </w:p>
    <w:p w14:paraId="45EA7169" w14:textId="6E028388" w:rsidR="00461A81" w:rsidRPr="00251041" w:rsidRDefault="00780619" w:rsidP="00CD5CA6">
      <w:pPr>
        <w:pStyle w:val="ListParagraph"/>
        <w:numPr>
          <w:ilvl w:val="3"/>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251041">
        <w:rPr>
          <w:rFonts w:asciiTheme="majorHAnsi" w:hAnsiTheme="majorHAnsi" w:cstheme="majorHAnsi"/>
          <w:sz w:val="24"/>
          <w:szCs w:val="24"/>
        </w:rPr>
        <w:t>d</w:t>
      </w:r>
      <w:r w:rsidR="00461A81" w:rsidRPr="00251041">
        <w:rPr>
          <w:rFonts w:asciiTheme="majorHAnsi" w:hAnsiTheme="majorHAnsi" w:cstheme="majorHAnsi"/>
          <w:sz w:val="24"/>
          <w:szCs w:val="24"/>
        </w:rPr>
        <w:t>eși managementul procesului de gestiune a subsidiilor este eficient, corespunde unui sistem exhaustiv de planificare a subsidiilor</w:t>
      </w:r>
      <w:r w:rsidR="00B04A0C">
        <w:rPr>
          <w:rFonts w:asciiTheme="majorHAnsi" w:hAnsiTheme="majorHAnsi" w:cstheme="majorHAnsi"/>
          <w:sz w:val="24"/>
          <w:szCs w:val="24"/>
        </w:rPr>
        <w:t>,</w:t>
      </w:r>
      <w:r w:rsidR="00461A81" w:rsidRPr="00251041">
        <w:rPr>
          <w:rFonts w:asciiTheme="majorHAnsi" w:hAnsiTheme="majorHAnsi" w:cstheme="majorHAnsi"/>
          <w:sz w:val="24"/>
          <w:szCs w:val="24"/>
        </w:rPr>
        <w:t xml:space="preserve"> axat pe obiective</w:t>
      </w:r>
      <w:r w:rsidR="00B04A0C">
        <w:rPr>
          <w:rFonts w:asciiTheme="majorHAnsi" w:hAnsiTheme="majorHAnsi" w:cstheme="majorHAnsi"/>
          <w:sz w:val="24"/>
          <w:szCs w:val="24"/>
        </w:rPr>
        <w:t>le</w:t>
      </w:r>
      <w:r w:rsidR="00461A81" w:rsidRPr="00251041">
        <w:rPr>
          <w:rFonts w:asciiTheme="majorHAnsi" w:hAnsiTheme="majorHAnsi" w:cstheme="majorHAnsi"/>
          <w:sz w:val="24"/>
          <w:szCs w:val="24"/>
        </w:rPr>
        <w:t>, priorități</w:t>
      </w:r>
      <w:r w:rsidR="00B04A0C">
        <w:rPr>
          <w:rFonts w:asciiTheme="majorHAnsi" w:hAnsiTheme="majorHAnsi" w:cstheme="majorHAnsi"/>
          <w:sz w:val="24"/>
          <w:szCs w:val="24"/>
        </w:rPr>
        <w:t>le</w:t>
      </w:r>
      <w:r w:rsidR="00461A81" w:rsidRPr="00251041">
        <w:rPr>
          <w:rFonts w:asciiTheme="majorHAnsi" w:hAnsiTheme="majorHAnsi" w:cstheme="majorHAnsi"/>
          <w:sz w:val="24"/>
          <w:szCs w:val="24"/>
        </w:rPr>
        <w:t>, subprograme</w:t>
      </w:r>
      <w:r w:rsidR="00B04A0C">
        <w:rPr>
          <w:rFonts w:asciiTheme="majorHAnsi" w:hAnsiTheme="majorHAnsi" w:cstheme="majorHAnsi"/>
          <w:sz w:val="24"/>
          <w:szCs w:val="24"/>
        </w:rPr>
        <w:t>le</w:t>
      </w:r>
      <w:r w:rsidR="00461A81" w:rsidRPr="00251041">
        <w:rPr>
          <w:rFonts w:asciiTheme="majorHAnsi" w:hAnsiTheme="majorHAnsi" w:cstheme="majorHAnsi"/>
          <w:sz w:val="24"/>
          <w:szCs w:val="24"/>
        </w:rPr>
        <w:t xml:space="preserve"> și calcule</w:t>
      </w:r>
      <w:r w:rsidR="00B04A0C">
        <w:rPr>
          <w:rFonts w:asciiTheme="majorHAnsi" w:hAnsiTheme="majorHAnsi" w:cstheme="majorHAnsi"/>
          <w:sz w:val="24"/>
          <w:szCs w:val="24"/>
        </w:rPr>
        <w:t>le</w:t>
      </w:r>
      <w:r w:rsidR="00461A81" w:rsidRPr="00251041">
        <w:rPr>
          <w:rFonts w:asciiTheme="majorHAnsi" w:hAnsiTheme="majorHAnsi" w:cstheme="majorHAnsi"/>
          <w:sz w:val="24"/>
          <w:szCs w:val="24"/>
        </w:rPr>
        <w:t xml:space="preserve"> de rigoare, cu verificări</w:t>
      </w:r>
      <w:r w:rsidR="00B039BD">
        <w:rPr>
          <w:rFonts w:asciiTheme="majorHAnsi" w:hAnsiTheme="majorHAnsi" w:cstheme="majorHAnsi"/>
          <w:sz w:val="24"/>
          <w:szCs w:val="24"/>
        </w:rPr>
        <w:t>le</w:t>
      </w:r>
      <w:r w:rsidR="00461A81" w:rsidRPr="00251041">
        <w:rPr>
          <w:rFonts w:asciiTheme="majorHAnsi" w:hAnsiTheme="majorHAnsi" w:cstheme="majorHAnsi"/>
          <w:sz w:val="24"/>
          <w:szCs w:val="24"/>
        </w:rPr>
        <w:t xml:space="preserve"> și aprobări</w:t>
      </w:r>
      <w:r w:rsidR="00B039BD">
        <w:rPr>
          <w:rFonts w:asciiTheme="majorHAnsi" w:hAnsiTheme="majorHAnsi" w:cstheme="majorHAnsi"/>
          <w:sz w:val="24"/>
          <w:szCs w:val="24"/>
        </w:rPr>
        <w:t>le</w:t>
      </w:r>
      <w:r w:rsidR="00461A81" w:rsidRPr="00251041">
        <w:rPr>
          <w:rFonts w:asciiTheme="majorHAnsi" w:hAnsiTheme="majorHAnsi" w:cstheme="majorHAnsi"/>
          <w:sz w:val="24"/>
          <w:szCs w:val="24"/>
        </w:rPr>
        <w:t xml:space="preserve"> corespunzătoare de către fondator și înaintate Ministerului Finanțe</w:t>
      </w:r>
      <w:r w:rsidR="00B039BD">
        <w:rPr>
          <w:rFonts w:asciiTheme="majorHAnsi" w:hAnsiTheme="majorHAnsi" w:cstheme="majorHAnsi"/>
          <w:sz w:val="24"/>
          <w:szCs w:val="24"/>
        </w:rPr>
        <w:t>lor</w:t>
      </w:r>
      <w:r w:rsidR="00461A81" w:rsidRPr="00251041">
        <w:rPr>
          <w:rFonts w:asciiTheme="majorHAnsi" w:hAnsiTheme="majorHAnsi" w:cstheme="majorHAnsi"/>
          <w:sz w:val="24"/>
          <w:szCs w:val="24"/>
        </w:rPr>
        <w:t>,</w:t>
      </w:r>
      <w:r w:rsidRPr="00251041">
        <w:rPr>
          <w:rFonts w:asciiTheme="majorHAnsi" w:hAnsiTheme="majorHAnsi" w:cstheme="majorHAnsi"/>
          <w:sz w:val="24"/>
          <w:szCs w:val="24"/>
        </w:rPr>
        <w:t xml:space="preserve"> din </w:t>
      </w:r>
      <w:r w:rsidR="00B039BD">
        <w:rPr>
          <w:rFonts w:asciiTheme="majorHAnsi" w:hAnsiTheme="majorHAnsi" w:cstheme="majorHAnsi"/>
          <w:sz w:val="24"/>
          <w:szCs w:val="24"/>
        </w:rPr>
        <w:t xml:space="preserve">anul </w:t>
      </w:r>
      <w:r w:rsidRPr="00251041">
        <w:rPr>
          <w:rFonts w:asciiTheme="majorHAnsi" w:hAnsiTheme="majorHAnsi" w:cstheme="majorHAnsi"/>
          <w:sz w:val="24"/>
          <w:szCs w:val="24"/>
        </w:rPr>
        <w:t xml:space="preserve">2021 </w:t>
      </w:r>
      <w:r w:rsidR="00B039BD">
        <w:rPr>
          <w:rFonts w:asciiTheme="majorHAnsi" w:hAnsiTheme="majorHAnsi" w:cstheme="majorHAnsi"/>
          <w:sz w:val="24"/>
          <w:szCs w:val="24"/>
        </w:rPr>
        <w:t xml:space="preserve">până în </w:t>
      </w:r>
      <w:r w:rsidRPr="00251041">
        <w:rPr>
          <w:rFonts w:asciiTheme="majorHAnsi" w:hAnsiTheme="majorHAnsi" w:cstheme="majorHAnsi"/>
          <w:sz w:val="24"/>
          <w:szCs w:val="24"/>
        </w:rPr>
        <w:t xml:space="preserve">prezent nu există o Strategie de dezvoltare a domeniului infrastructurii calității, </w:t>
      </w:r>
      <w:r w:rsidRPr="00251041">
        <w:rPr>
          <w:rFonts w:asciiTheme="majorHAnsi" w:eastAsia="Arial" w:hAnsiTheme="majorHAnsi" w:cstheme="majorHAnsi"/>
          <w:sz w:val="24"/>
          <w:szCs w:val="24"/>
          <w:lang w:val="ro-RO"/>
        </w:rPr>
        <w:t>care să promoveze</w:t>
      </w:r>
      <w:r w:rsidRPr="00251041">
        <w:rPr>
          <w:rFonts w:asciiTheme="majorHAnsi" w:hAnsiTheme="majorHAnsi" w:cstheme="majorHAnsi"/>
          <w:sz w:val="24"/>
          <w:szCs w:val="24"/>
          <w:lang w:val="ro-MD"/>
        </w:rPr>
        <w:t xml:space="preserve"> interesul public în economia națională prin intermediul instituțiilor publice de domeniu și </w:t>
      </w:r>
      <w:r w:rsidRPr="00251041">
        <w:rPr>
          <w:rFonts w:asciiTheme="majorHAnsi" w:hAnsiTheme="majorHAnsi" w:cstheme="majorHAnsi"/>
          <w:sz w:val="24"/>
          <w:szCs w:val="24"/>
          <w:lang w:val="ro-MD"/>
        </w:rPr>
        <w:lastRenderedPageBreak/>
        <w:t xml:space="preserve">să fie fundamentată pe descrierea problemelor în domeniu, cauzelor acestora, obiectivelor și activităților planificate, surselor de finanțare, precum și </w:t>
      </w:r>
      <w:r w:rsidR="00B039BD">
        <w:rPr>
          <w:rFonts w:asciiTheme="majorHAnsi" w:hAnsiTheme="majorHAnsi" w:cstheme="majorHAnsi"/>
          <w:sz w:val="24"/>
          <w:szCs w:val="24"/>
          <w:lang w:val="ro-MD"/>
        </w:rPr>
        <w:t xml:space="preserve">a </w:t>
      </w:r>
      <w:r w:rsidRPr="00251041">
        <w:rPr>
          <w:rFonts w:asciiTheme="majorHAnsi" w:hAnsiTheme="majorHAnsi" w:cstheme="majorHAnsi"/>
          <w:sz w:val="24"/>
          <w:szCs w:val="24"/>
          <w:lang w:val="ro-MD"/>
        </w:rPr>
        <w:t>impactul</w:t>
      </w:r>
      <w:r w:rsidR="00B039BD">
        <w:rPr>
          <w:rFonts w:asciiTheme="majorHAnsi" w:hAnsiTheme="majorHAnsi" w:cstheme="majorHAnsi"/>
          <w:sz w:val="24"/>
          <w:szCs w:val="24"/>
          <w:lang w:val="ro-MD"/>
        </w:rPr>
        <w:t xml:space="preserve">ui </w:t>
      </w:r>
      <w:r w:rsidRPr="00251041">
        <w:rPr>
          <w:rFonts w:asciiTheme="majorHAnsi" w:hAnsiTheme="majorHAnsi" w:cstheme="majorHAnsi"/>
          <w:sz w:val="24"/>
          <w:szCs w:val="24"/>
          <w:lang w:val="ro-MD"/>
        </w:rPr>
        <w:t xml:space="preserve"> așteptat (</w:t>
      </w:r>
      <w:r w:rsidR="00CD5CA6" w:rsidRPr="00251041">
        <w:rPr>
          <w:rFonts w:asciiTheme="majorHAnsi" w:hAnsiTheme="majorHAnsi" w:cstheme="majorHAnsi"/>
          <w:sz w:val="24"/>
          <w:szCs w:val="24"/>
          <w:lang w:val="ro-MD"/>
        </w:rPr>
        <w:t xml:space="preserve">pct. 4.2., </w:t>
      </w:r>
      <w:r w:rsidRPr="00251041">
        <w:rPr>
          <w:rFonts w:asciiTheme="majorHAnsi" w:hAnsiTheme="majorHAnsi" w:cstheme="majorHAnsi"/>
          <w:sz w:val="24"/>
          <w:szCs w:val="24"/>
          <w:lang w:val="ro-MD"/>
        </w:rPr>
        <w:t>pct.4.3.1.)</w:t>
      </w:r>
      <w:r w:rsidR="00530801" w:rsidRPr="00251041">
        <w:rPr>
          <w:rFonts w:asciiTheme="majorHAnsi" w:hAnsiTheme="majorHAnsi" w:cstheme="majorHAnsi"/>
          <w:sz w:val="24"/>
          <w:szCs w:val="24"/>
          <w:lang w:val="ro-MD"/>
        </w:rPr>
        <w:t>;</w:t>
      </w:r>
    </w:p>
    <w:p w14:paraId="445B777C" w14:textId="6EBF42D1" w:rsidR="00530801" w:rsidRPr="00251041" w:rsidRDefault="00530801" w:rsidP="00530801">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251041">
        <w:rPr>
          <w:rFonts w:asciiTheme="majorHAnsi" w:eastAsia="Times New Roman" w:hAnsiTheme="majorHAnsi" w:cstheme="majorHAnsi"/>
          <w:iCs/>
          <w:sz w:val="24"/>
          <w:szCs w:val="24"/>
          <w:lang w:val="ro-MD" w:eastAsia="ro-MD"/>
        </w:rPr>
        <w:t>sistemul de tarifare a serviciilor prestate aplicat în cadrul instituțiilor publice din domeniul infrastructurii calității este învechit și urmează a fi reorientat pe costuri reale și principii aplicabile (pct. 4.2.);</w:t>
      </w:r>
    </w:p>
    <w:p w14:paraId="3A7350ED" w14:textId="6168D548" w:rsidR="00CD5CA6" w:rsidRPr="00251041" w:rsidRDefault="00CD5CA6" w:rsidP="00530801">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251041">
        <w:rPr>
          <w:rFonts w:asciiTheme="majorHAnsi" w:eastAsia="Times New Roman" w:hAnsiTheme="majorHAnsi" w:cstheme="majorHAnsi"/>
          <w:iCs/>
          <w:sz w:val="24"/>
          <w:szCs w:val="24"/>
          <w:lang w:val="ro-MD" w:eastAsia="ro-MD"/>
        </w:rPr>
        <w:t xml:space="preserve">neelaborarea și neaprobarea Regulamentului de constituire şi utilizare a veniturilor colectate, precum și nestabilirea în Politicile contabile ale instituției a </w:t>
      </w:r>
      <w:r w:rsidRPr="00251041">
        <w:rPr>
          <w:rFonts w:asciiTheme="majorHAnsi" w:eastAsia="Times New Roman" w:hAnsiTheme="majorHAnsi" w:cstheme="majorHAnsi"/>
          <w:iCs/>
          <w:sz w:val="24"/>
          <w:szCs w:val="24"/>
          <w:lang w:eastAsia="ro-MD"/>
        </w:rPr>
        <w:t>procedurilor/proceselor de constituire și utilizare a acestora nu a</w:t>
      </w:r>
      <w:r w:rsidR="00B039BD">
        <w:rPr>
          <w:rFonts w:asciiTheme="majorHAnsi" w:eastAsia="Times New Roman" w:hAnsiTheme="majorHAnsi" w:cstheme="majorHAnsi"/>
          <w:iCs/>
          <w:sz w:val="24"/>
          <w:szCs w:val="24"/>
          <w:lang w:eastAsia="ro-MD"/>
        </w:rPr>
        <w:t>u</w:t>
      </w:r>
      <w:r w:rsidRPr="00251041">
        <w:rPr>
          <w:rFonts w:asciiTheme="majorHAnsi" w:eastAsia="Times New Roman" w:hAnsiTheme="majorHAnsi" w:cstheme="majorHAnsi"/>
          <w:iCs/>
          <w:sz w:val="24"/>
          <w:szCs w:val="24"/>
          <w:lang w:eastAsia="ro-MD"/>
        </w:rPr>
        <w:t xml:space="preserve"> asigurat acumularea integrală a unor venituri provenite din prestarea serviciilor (pct.4.2.);</w:t>
      </w:r>
    </w:p>
    <w:p w14:paraId="169FA575" w14:textId="55AE1927" w:rsidR="00765C35" w:rsidRPr="0003245B" w:rsidRDefault="00765C35" w:rsidP="007E002D">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80396E">
        <w:rPr>
          <w:rFonts w:asciiTheme="majorHAnsi" w:eastAsia="Times New Roman" w:hAnsiTheme="majorHAnsi" w:cstheme="majorHAnsi"/>
          <w:iCs/>
          <w:sz w:val="24"/>
          <w:szCs w:val="24"/>
          <w:lang w:val="ro-MD" w:eastAsia="ro-MD"/>
        </w:rPr>
        <w:t xml:space="preserve">procesul de reorganizare a </w:t>
      </w:r>
      <w:r w:rsidR="00B039BD">
        <w:rPr>
          <w:rFonts w:asciiTheme="majorHAnsi" w:eastAsia="Times New Roman" w:hAnsiTheme="majorHAnsi" w:cstheme="majorHAnsi"/>
          <w:iCs/>
          <w:sz w:val="24"/>
          <w:szCs w:val="24"/>
          <w:lang w:val="ro-MD" w:eastAsia="ro-MD"/>
        </w:rPr>
        <w:t>i</w:t>
      </w:r>
      <w:r w:rsidRPr="0080396E">
        <w:rPr>
          <w:rFonts w:asciiTheme="majorHAnsi" w:eastAsia="Times New Roman" w:hAnsiTheme="majorHAnsi" w:cstheme="majorHAnsi"/>
          <w:iCs/>
          <w:sz w:val="24"/>
          <w:szCs w:val="24"/>
          <w:lang w:val="ro-MD" w:eastAsia="ro-MD"/>
        </w:rPr>
        <w:t xml:space="preserve">nstituțiilor </w:t>
      </w:r>
      <w:r w:rsidR="00B039BD">
        <w:rPr>
          <w:rFonts w:asciiTheme="majorHAnsi" w:eastAsia="Times New Roman" w:hAnsiTheme="majorHAnsi" w:cstheme="majorHAnsi"/>
          <w:iCs/>
          <w:sz w:val="24"/>
          <w:szCs w:val="24"/>
          <w:lang w:val="ro-MD" w:eastAsia="ro-MD"/>
        </w:rPr>
        <w:t>p</w:t>
      </w:r>
      <w:r w:rsidRPr="0080396E">
        <w:rPr>
          <w:rFonts w:asciiTheme="majorHAnsi" w:eastAsia="Times New Roman" w:hAnsiTheme="majorHAnsi" w:cstheme="majorHAnsi"/>
          <w:iCs/>
          <w:sz w:val="24"/>
          <w:szCs w:val="24"/>
          <w:lang w:val="ro-MD" w:eastAsia="ro-MD"/>
        </w:rPr>
        <w:t xml:space="preserve">ublice din domeniul infrastructurii calității s-a realizat în lipsa unor prevederi normative de delimitare a patrimoniului public supus transmiterii </w:t>
      </w:r>
      <w:r w:rsidR="00B039BD">
        <w:rPr>
          <w:rFonts w:asciiTheme="majorHAnsi" w:eastAsia="Times New Roman" w:hAnsiTheme="majorHAnsi" w:cstheme="majorHAnsi"/>
          <w:iCs/>
          <w:sz w:val="24"/>
          <w:szCs w:val="24"/>
          <w:lang w:val="ro-MD" w:eastAsia="ro-MD"/>
        </w:rPr>
        <w:t xml:space="preserve">către </w:t>
      </w:r>
      <w:r w:rsidRPr="0080396E">
        <w:rPr>
          <w:rFonts w:asciiTheme="majorHAnsi" w:eastAsia="Times New Roman" w:hAnsiTheme="majorHAnsi" w:cstheme="majorHAnsi"/>
          <w:iCs/>
          <w:sz w:val="24"/>
          <w:szCs w:val="24"/>
          <w:lang w:val="ro-MD" w:eastAsia="ro-MD"/>
        </w:rPr>
        <w:t>instituțiil</w:t>
      </w:r>
      <w:r w:rsidR="00B039BD">
        <w:rPr>
          <w:rFonts w:asciiTheme="majorHAnsi" w:eastAsia="Times New Roman" w:hAnsiTheme="majorHAnsi" w:cstheme="majorHAnsi"/>
          <w:iCs/>
          <w:sz w:val="24"/>
          <w:szCs w:val="24"/>
          <w:lang w:val="ro-MD" w:eastAsia="ro-MD"/>
        </w:rPr>
        <w:t>e</w:t>
      </w:r>
      <w:r w:rsidRPr="0080396E">
        <w:rPr>
          <w:rFonts w:asciiTheme="majorHAnsi" w:eastAsia="Times New Roman" w:hAnsiTheme="majorHAnsi" w:cstheme="majorHAnsi"/>
          <w:iCs/>
          <w:sz w:val="24"/>
          <w:szCs w:val="24"/>
          <w:lang w:val="ro-MD" w:eastAsia="ro-MD"/>
        </w:rPr>
        <w:t xml:space="preserve"> nou create,</w:t>
      </w:r>
      <w:r w:rsidRPr="0080396E">
        <w:rPr>
          <w:rFonts w:asciiTheme="majorHAnsi" w:hAnsiTheme="majorHAnsi" w:cstheme="majorHAnsi"/>
          <w:sz w:val="24"/>
          <w:szCs w:val="24"/>
          <w:lang w:val="ro-MD"/>
        </w:rPr>
        <w:t xml:space="preserve"> fiind  compromisă realizarea obiectivă și transparentă a procesului în cauză </w:t>
      </w:r>
      <w:r w:rsidRPr="00255E9C">
        <w:rPr>
          <w:rFonts w:asciiTheme="majorHAnsi" w:hAnsiTheme="majorHAnsi" w:cstheme="majorHAnsi"/>
          <w:sz w:val="24"/>
          <w:szCs w:val="24"/>
          <w:lang w:val="ro-MD"/>
        </w:rPr>
        <w:t>(pct.4.1.1.);</w:t>
      </w:r>
    </w:p>
    <w:p w14:paraId="059B2591" w14:textId="304A1CC8" w:rsidR="00765C35" w:rsidRPr="0080396E" w:rsidRDefault="00765C35" w:rsidP="007E002D">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80396E">
        <w:rPr>
          <w:rFonts w:asciiTheme="majorHAnsi" w:eastAsia="Times New Roman" w:hAnsiTheme="majorHAnsi" w:cstheme="majorHAnsi"/>
          <w:iCs/>
          <w:sz w:val="24"/>
          <w:szCs w:val="24"/>
          <w:lang w:val="ro-MD" w:eastAsia="ro-MD"/>
        </w:rPr>
        <w:t>rezultatele inventarierii</w:t>
      </w:r>
      <w:r w:rsidR="002B0467">
        <w:rPr>
          <w:rFonts w:asciiTheme="majorHAnsi" w:eastAsia="Times New Roman" w:hAnsiTheme="majorHAnsi" w:cstheme="majorHAnsi"/>
          <w:iCs/>
          <w:sz w:val="24"/>
          <w:szCs w:val="24"/>
          <w:lang w:val="ro-MD" w:eastAsia="ro-MD"/>
        </w:rPr>
        <w:t xml:space="preserve"> efectuate</w:t>
      </w:r>
      <w:r w:rsidRPr="0080396E">
        <w:rPr>
          <w:rFonts w:asciiTheme="majorHAnsi" w:eastAsia="Times New Roman" w:hAnsiTheme="majorHAnsi" w:cstheme="majorHAnsi"/>
          <w:iCs/>
          <w:sz w:val="24"/>
          <w:szCs w:val="24"/>
          <w:lang w:val="ro-MD" w:eastAsia="ro-MD"/>
        </w:rPr>
        <w:t xml:space="preserve"> în cadrul </w:t>
      </w:r>
      <w:r w:rsidR="0003245B">
        <w:rPr>
          <w:rFonts w:asciiTheme="majorHAnsi" w:eastAsia="Times New Roman" w:hAnsiTheme="majorHAnsi" w:cstheme="majorHAnsi"/>
          <w:iCs/>
          <w:sz w:val="24"/>
          <w:szCs w:val="24"/>
          <w:lang w:val="ro-MD" w:eastAsia="ro-MD"/>
        </w:rPr>
        <w:t>i</w:t>
      </w:r>
      <w:r w:rsidRPr="0080396E">
        <w:rPr>
          <w:rFonts w:asciiTheme="majorHAnsi" w:eastAsia="Times New Roman" w:hAnsiTheme="majorHAnsi" w:cstheme="majorHAnsi"/>
          <w:iCs/>
          <w:sz w:val="24"/>
          <w:szCs w:val="24"/>
          <w:lang w:val="ro-MD" w:eastAsia="ro-MD"/>
        </w:rPr>
        <w:t xml:space="preserve">nstituțiilor </w:t>
      </w:r>
      <w:r w:rsidR="0003245B">
        <w:rPr>
          <w:rFonts w:asciiTheme="majorHAnsi" w:eastAsia="Times New Roman" w:hAnsiTheme="majorHAnsi" w:cstheme="majorHAnsi"/>
          <w:iCs/>
          <w:sz w:val="24"/>
          <w:szCs w:val="24"/>
          <w:lang w:val="ro-MD" w:eastAsia="ro-MD"/>
        </w:rPr>
        <w:t>p</w:t>
      </w:r>
      <w:r w:rsidRPr="0080396E">
        <w:rPr>
          <w:rFonts w:asciiTheme="majorHAnsi" w:eastAsia="Times New Roman" w:hAnsiTheme="majorHAnsi" w:cstheme="majorHAnsi"/>
          <w:iCs/>
          <w:sz w:val="24"/>
          <w:szCs w:val="24"/>
          <w:lang w:val="ro-MD" w:eastAsia="ro-MD"/>
        </w:rPr>
        <w:t xml:space="preserve">ublice din domeniul infrastructurii calității indică doar stabilirea existenței faptice și scriptice a bunurilor aflate în gestiunea acestora, nefiind identificate bunurile neutilizate și/sau amortizate integral, neevaluate corespunzător (53 078,46 mii lei), necasate </w:t>
      </w:r>
      <w:r w:rsidR="004C6857">
        <w:rPr>
          <w:rFonts w:asciiTheme="majorHAnsi" w:eastAsia="Times New Roman" w:hAnsiTheme="majorHAnsi" w:cstheme="majorHAnsi"/>
          <w:iCs/>
          <w:sz w:val="24"/>
          <w:szCs w:val="24"/>
          <w:lang w:val="ro-MD" w:eastAsia="ro-MD"/>
        </w:rPr>
        <w:t>(cu  valoarea inițială  de 594,04</w:t>
      </w:r>
      <w:r w:rsidRPr="0080396E">
        <w:rPr>
          <w:rFonts w:asciiTheme="majorHAnsi" w:eastAsia="Times New Roman" w:hAnsiTheme="majorHAnsi" w:cstheme="majorHAnsi"/>
          <w:iCs/>
          <w:sz w:val="24"/>
          <w:szCs w:val="24"/>
          <w:lang w:val="ro-MD" w:eastAsia="ro-MD"/>
        </w:rPr>
        <w:t xml:space="preserve"> mii lei), netransmise altor entități (330,8 mii lei) și, prin urmare, nefiind luate deciziile manageriale de rigoare relevante acestora (pct.4.1.2.1., pct. 4.1.2.2., pct.4.1.2.3., pct.4.1.2.4.);</w:t>
      </w:r>
    </w:p>
    <w:p w14:paraId="1DEA39C6" w14:textId="43D92C42" w:rsidR="00765C35" w:rsidRPr="0080396E" w:rsidRDefault="00765C35" w:rsidP="007E002D">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80396E">
        <w:rPr>
          <w:rFonts w:asciiTheme="majorHAnsi" w:eastAsia="Times New Roman" w:hAnsiTheme="majorHAnsi" w:cstheme="majorHAnsi"/>
          <w:iCs/>
          <w:sz w:val="24"/>
          <w:szCs w:val="24"/>
          <w:lang w:val="ro-MD" w:eastAsia="ro-MD"/>
        </w:rPr>
        <w:t>managementul domeniului infrastructurii calității necesită o reabordare prin formularea viziunii strategice a activității instituțiilor publice pe un termen mediu  în coraport cu Programul de activitate al G</w:t>
      </w:r>
      <w:r w:rsidR="006C0402">
        <w:rPr>
          <w:rFonts w:asciiTheme="majorHAnsi" w:eastAsia="Times New Roman" w:hAnsiTheme="majorHAnsi" w:cstheme="majorHAnsi"/>
          <w:iCs/>
          <w:sz w:val="24"/>
          <w:szCs w:val="24"/>
          <w:lang w:val="ro-MD" w:eastAsia="ro-MD"/>
        </w:rPr>
        <w:t>uvernului și CBTM (pct. 4.3.1.</w:t>
      </w:r>
      <w:r w:rsidRPr="0080396E">
        <w:rPr>
          <w:rFonts w:asciiTheme="majorHAnsi" w:eastAsia="Times New Roman" w:hAnsiTheme="majorHAnsi" w:cstheme="majorHAnsi"/>
          <w:iCs/>
          <w:sz w:val="24"/>
          <w:szCs w:val="24"/>
          <w:lang w:val="ro-MD" w:eastAsia="ro-MD"/>
        </w:rPr>
        <w:t xml:space="preserve">); </w:t>
      </w:r>
    </w:p>
    <w:p w14:paraId="3DB7306E" w14:textId="263EFBBA" w:rsidR="00765C35" w:rsidRPr="0080396E" w:rsidRDefault="00765C35" w:rsidP="007E002D">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80396E">
        <w:rPr>
          <w:rFonts w:asciiTheme="majorHAnsi" w:eastAsia="Times New Roman" w:hAnsiTheme="majorHAnsi" w:cstheme="majorHAnsi"/>
          <w:iCs/>
          <w:sz w:val="24"/>
          <w:szCs w:val="24"/>
          <w:lang w:val="ro-MD" w:eastAsia="ro-MD"/>
        </w:rPr>
        <w:t xml:space="preserve">acumularea numărului semnificativ de zile de concediu anual nefolosite impune obligații legale față de personalul încadrat de </w:t>
      </w:r>
      <w:r w:rsidRPr="00C878DD">
        <w:rPr>
          <w:rFonts w:asciiTheme="majorHAnsi" w:eastAsia="Times New Roman" w:hAnsiTheme="majorHAnsi" w:cstheme="majorHAnsi"/>
          <w:iCs/>
          <w:sz w:val="24"/>
          <w:szCs w:val="24"/>
          <w:lang w:val="ro-MD" w:eastAsia="ro-MD"/>
        </w:rPr>
        <w:t>c</w:t>
      </w:r>
      <w:r w:rsidR="00C878DD">
        <w:rPr>
          <w:rFonts w:asciiTheme="majorHAnsi" w:eastAsia="Times New Roman" w:hAnsiTheme="majorHAnsi" w:cstheme="majorHAnsi"/>
          <w:iCs/>
          <w:sz w:val="24"/>
          <w:szCs w:val="24"/>
          <w:lang w:val="ro-MD" w:eastAsia="ro-MD"/>
        </w:rPr>
        <w:t>ir</w:t>
      </w:r>
      <w:r w:rsidRPr="00C878DD">
        <w:rPr>
          <w:rFonts w:asciiTheme="majorHAnsi" w:eastAsia="Times New Roman" w:hAnsiTheme="majorHAnsi" w:cstheme="majorHAnsi"/>
          <w:iCs/>
          <w:sz w:val="24"/>
          <w:szCs w:val="24"/>
          <w:lang w:val="ro-MD" w:eastAsia="ro-MD"/>
        </w:rPr>
        <w:t>ca 1</w:t>
      </w:r>
      <w:r w:rsidRPr="0080396E">
        <w:rPr>
          <w:rFonts w:asciiTheme="majorHAnsi" w:eastAsia="Times New Roman" w:hAnsiTheme="majorHAnsi" w:cstheme="majorHAnsi"/>
          <w:iCs/>
          <w:sz w:val="24"/>
          <w:szCs w:val="24"/>
          <w:lang w:val="ro-MD" w:eastAsia="ro-MD"/>
        </w:rPr>
        <w:t xml:space="preserve">176 mii lei (inclusiv contribuțiile de asigurări sociale de stat obligatorii), </w:t>
      </w:r>
      <w:r w:rsidRPr="00E14092">
        <w:rPr>
          <w:rFonts w:asciiTheme="majorHAnsi" w:eastAsia="Times New Roman" w:hAnsiTheme="majorHAnsi" w:cstheme="majorHAnsi"/>
          <w:iCs/>
          <w:sz w:val="24"/>
          <w:szCs w:val="24"/>
          <w:lang w:val="ro-MD" w:eastAsia="ro-MD"/>
        </w:rPr>
        <w:t xml:space="preserve">ceea ce </w:t>
      </w:r>
      <w:r w:rsidR="006E1AF3" w:rsidRPr="00E14092">
        <w:rPr>
          <w:rFonts w:asciiTheme="majorHAnsi" w:eastAsia="Times New Roman" w:hAnsiTheme="majorHAnsi" w:cstheme="majorHAnsi"/>
          <w:iCs/>
          <w:sz w:val="24"/>
          <w:szCs w:val="24"/>
          <w:lang w:val="ro-MD" w:eastAsia="ro-MD"/>
        </w:rPr>
        <w:t xml:space="preserve">afectează stabilitatea financiară a instituțiilor auditate </w:t>
      </w:r>
      <w:r w:rsidR="006C0402">
        <w:rPr>
          <w:rFonts w:asciiTheme="majorHAnsi" w:eastAsia="Times New Roman" w:hAnsiTheme="majorHAnsi" w:cstheme="majorHAnsi"/>
          <w:iCs/>
          <w:sz w:val="24"/>
          <w:szCs w:val="24"/>
          <w:lang w:val="ro-MD" w:eastAsia="ro-MD"/>
        </w:rPr>
        <w:t>(pct.4.3.</w:t>
      </w:r>
      <w:r w:rsidRPr="0080396E">
        <w:rPr>
          <w:rFonts w:asciiTheme="majorHAnsi" w:eastAsia="Times New Roman" w:hAnsiTheme="majorHAnsi" w:cstheme="majorHAnsi"/>
          <w:iCs/>
          <w:sz w:val="24"/>
          <w:szCs w:val="24"/>
          <w:lang w:val="ro-MD" w:eastAsia="ro-MD"/>
        </w:rPr>
        <w:t>2);</w:t>
      </w:r>
    </w:p>
    <w:p w14:paraId="37C9BB16" w14:textId="6DEA851B" w:rsidR="00765C35" w:rsidRPr="0080396E" w:rsidRDefault="00765C35" w:rsidP="007E002D">
      <w:pPr>
        <w:pStyle w:val="ListParagraph"/>
        <w:numPr>
          <w:ilvl w:val="0"/>
          <w:numId w:val="42"/>
        </w:numPr>
        <w:spacing w:after="0" w:line="276" w:lineRule="auto"/>
        <w:ind w:left="851" w:hanging="284"/>
        <w:jc w:val="both"/>
        <w:rPr>
          <w:rFonts w:asciiTheme="majorHAnsi" w:eastAsia="Times New Roman" w:hAnsiTheme="majorHAnsi" w:cstheme="majorHAnsi"/>
          <w:iCs/>
          <w:sz w:val="24"/>
          <w:szCs w:val="24"/>
          <w:lang w:val="ro-MD" w:eastAsia="ro-MD"/>
        </w:rPr>
      </w:pPr>
      <w:r w:rsidRPr="0080396E">
        <w:rPr>
          <w:rFonts w:asciiTheme="majorHAnsi" w:eastAsia="Times New Roman" w:hAnsiTheme="majorHAnsi" w:cstheme="majorHAnsi"/>
          <w:iCs/>
          <w:sz w:val="24"/>
          <w:szCs w:val="24"/>
          <w:lang w:val="ro-MD" w:eastAsia="ro-MD"/>
        </w:rPr>
        <w:t xml:space="preserve">neaplicarea și neinstituirea unor politici, proceduri și reguli interne afectează procesul de remunerare a personalului, generând în așa fel și alte riscuri în raport și în aspect </w:t>
      </w:r>
      <w:r w:rsidR="00EF2E50">
        <w:rPr>
          <w:rFonts w:asciiTheme="majorHAnsi" w:eastAsia="Times New Roman" w:hAnsiTheme="majorHAnsi" w:cstheme="majorHAnsi"/>
          <w:iCs/>
          <w:sz w:val="24"/>
          <w:szCs w:val="24"/>
          <w:lang w:val="ro-MD" w:eastAsia="ro-MD"/>
        </w:rPr>
        <w:t>de regularitate, printre care: i</w:t>
      </w:r>
      <w:r w:rsidRPr="0080396E">
        <w:rPr>
          <w:rFonts w:asciiTheme="majorHAnsi" w:eastAsia="Times New Roman" w:hAnsiTheme="majorHAnsi" w:cstheme="majorHAnsi"/>
          <w:iCs/>
          <w:sz w:val="24"/>
          <w:szCs w:val="24"/>
          <w:lang w:val="ro-MD" w:eastAsia="ro-MD"/>
        </w:rPr>
        <w:t>) aplicarea diferențiată a sporurilor în lipsa criteriilor de stabilire a acestora și a documentelor ju</w:t>
      </w:r>
      <w:r w:rsidR="00EF2E50">
        <w:rPr>
          <w:rFonts w:asciiTheme="majorHAnsi" w:eastAsia="Times New Roman" w:hAnsiTheme="majorHAnsi" w:cstheme="majorHAnsi"/>
          <w:iCs/>
          <w:sz w:val="24"/>
          <w:szCs w:val="24"/>
          <w:lang w:val="ro-MD" w:eastAsia="ro-MD"/>
        </w:rPr>
        <w:t>stificative (1.354,9 mii lei),</w:t>
      </w:r>
      <w:r w:rsidR="00C878DD">
        <w:rPr>
          <w:rFonts w:asciiTheme="majorHAnsi" w:eastAsia="Times New Roman" w:hAnsiTheme="majorHAnsi" w:cstheme="majorHAnsi"/>
          <w:iCs/>
          <w:sz w:val="24"/>
          <w:szCs w:val="24"/>
          <w:lang w:val="ro-MD" w:eastAsia="ro-MD"/>
        </w:rPr>
        <w:t xml:space="preserve"> </w:t>
      </w:r>
      <w:r w:rsidR="00EF2E50">
        <w:rPr>
          <w:rFonts w:asciiTheme="majorHAnsi" w:eastAsia="Times New Roman" w:hAnsiTheme="majorHAnsi" w:cstheme="majorHAnsi"/>
          <w:iCs/>
          <w:sz w:val="24"/>
          <w:szCs w:val="24"/>
          <w:lang w:val="ro-MD" w:eastAsia="ro-MD"/>
        </w:rPr>
        <w:t>ii</w:t>
      </w:r>
      <w:r w:rsidRPr="0080396E">
        <w:rPr>
          <w:rFonts w:asciiTheme="majorHAnsi" w:eastAsia="Times New Roman" w:hAnsiTheme="majorHAnsi" w:cstheme="majorHAnsi"/>
          <w:iCs/>
          <w:sz w:val="24"/>
          <w:szCs w:val="24"/>
          <w:lang w:val="ro-MD" w:eastAsia="ro-MD"/>
        </w:rPr>
        <w:t>)</w:t>
      </w:r>
      <w:r w:rsidRPr="00C35169">
        <w:rPr>
          <w:rFonts w:asciiTheme="majorHAnsi" w:eastAsia="Times New Roman" w:hAnsiTheme="majorHAnsi" w:cstheme="majorHAnsi"/>
          <w:iCs/>
          <w:sz w:val="24"/>
          <w:szCs w:val="24"/>
          <w:lang w:val="ro-MD" w:eastAsia="ro-MD"/>
        </w:rPr>
        <w:t xml:space="preserve"> stabilirea și calcularea neconformă a ajutorului material și a prem</w:t>
      </w:r>
      <w:r w:rsidR="00EF2E50">
        <w:rPr>
          <w:rFonts w:asciiTheme="majorHAnsi" w:eastAsia="Times New Roman" w:hAnsiTheme="majorHAnsi" w:cstheme="majorHAnsi"/>
          <w:iCs/>
          <w:sz w:val="24"/>
          <w:szCs w:val="24"/>
          <w:lang w:val="ro-MD" w:eastAsia="ro-MD"/>
        </w:rPr>
        <w:t>iilor unice (57,92 mii lei), iii</w:t>
      </w:r>
      <w:r w:rsidRPr="00C35169">
        <w:rPr>
          <w:rFonts w:asciiTheme="majorHAnsi" w:eastAsia="Times New Roman" w:hAnsiTheme="majorHAnsi" w:cstheme="majorHAnsi"/>
          <w:iCs/>
          <w:sz w:val="24"/>
          <w:szCs w:val="24"/>
          <w:lang w:val="ro-MD" w:eastAsia="ro-MD"/>
        </w:rPr>
        <w:t>)</w:t>
      </w:r>
      <w:r w:rsidR="009F6A6D" w:rsidRPr="009F6A6D">
        <w:rPr>
          <w:rFonts w:asciiTheme="majorHAnsi" w:eastAsia="Times New Roman" w:hAnsiTheme="majorHAnsi" w:cstheme="majorHAnsi"/>
          <w:iCs/>
          <w:color w:val="FF0000"/>
          <w:sz w:val="24"/>
          <w:szCs w:val="24"/>
          <w:lang w:val="ro-MD" w:eastAsia="ro-MD"/>
        </w:rPr>
        <w:t xml:space="preserve"> </w:t>
      </w:r>
      <w:r w:rsidR="009F6A6D" w:rsidRPr="009F6A6D">
        <w:rPr>
          <w:rFonts w:asciiTheme="majorHAnsi" w:eastAsia="Times New Roman" w:hAnsiTheme="majorHAnsi" w:cstheme="majorHAnsi"/>
          <w:iCs/>
          <w:sz w:val="24"/>
          <w:szCs w:val="24"/>
          <w:lang w:val="ro-MD" w:eastAsia="ro-MD"/>
        </w:rPr>
        <w:t xml:space="preserve">majorarea necorespunzătoare a cheltuielilor de salarizare aferente personalului neîncadrat în state, dar care prestează servicii </w:t>
      </w:r>
      <w:r w:rsidR="009F6A6D">
        <w:rPr>
          <w:rFonts w:asciiTheme="majorHAnsi" w:eastAsia="Times New Roman" w:hAnsiTheme="majorHAnsi" w:cstheme="majorHAnsi"/>
          <w:iCs/>
          <w:sz w:val="24"/>
          <w:szCs w:val="24"/>
          <w:lang w:val="ro-MD" w:eastAsia="ro-MD"/>
        </w:rPr>
        <w:t>(31,2 mii lei)</w:t>
      </w:r>
      <w:r w:rsidR="00C878DD">
        <w:rPr>
          <w:rFonts w:asciiTheme="majorHAnsi" w:eastAsia="Times New Roman" w:hAnsiTheme="majorHAnsi" w:cstheme="majorHAnsi"/>
          <w:iCs/>
          <w:sz w:val="24"/>
          <w:szCs w:val="24"/>
          <w:lang w:val="ro-MD" w:eastAsia="ro-MD"/>
        </w:rPr>
        <w:t>,</w:t>
      </w:r>
      <w:r w:rsidR="009F6A6D">
        <w:rPr>
          <w:rFonts w:asciiTheme="majorHAnsi" w:eastAsia="Times New Roman" w:hAnsiTheme="majorHAnsi" w:cstheme="majorHAnsi"/>
          <w:iCs/>
          <w:sz w:val="24"/>
          <w:szCs w:val="24"/>
          <w:lang w:val="ro-MD" w:eastAsia="ro-MD"/>
        </w:rPr>
        <w:t xml:space="preserve"> </w:t>
      </w:r>
      <w:r w:rsidR="00EF2E50">
        <w:rPr>
          <w:rFonts w:asciiTheme="majorHAnsi" w:eastAsia="Times New Roman" w:hAnsiTheme="majorHAnsi" w:cstheme="majorHAnsi"/>
          <w:iCs/>
          <w:sz w:val="24"/>
          <w:szCs w:val="24"/>
          <w:lang w:val="ro-MD" w:eastAsia="ro-MD"/>
        </w:rPr>
        <w:t>iv</w:t>
      </w:r>
      <w:r w:rsidRPr="0080396E">
        <w:rPr>
          <w:rFonts w:asciiTheme="majorHAnsi" w:eastAsia="Times New Roman" w:hAnsiTheme="majorHAnsi" w:cstheme="majorHAnsi"/>
          <w:iCs/>
          <w:sz w:val="24"/>
          <w:szCs w:val="24"/>
          <w:lang w:val="ro-MD" w:eastAsia="ro-MD"/>
        </w:rPr>
        <w:t xml:space="preserve">) </w:t>
      </w:r>
      <w:r w:rsidRPr="00C35169">
        <w:rPr>
          <w:rFonts w:asciiTheme="majorHAnsi" w:eastAsia="Times New Roman" w:hAnsiTheme="majorHAnsi" w:cstheme="majorHAnsi"/>
          <w:iCs/>
          <w:sz w:val="24"/>
          <w:szCs w:val="24"/>
          <w:lang w:val="ro-MD" w:eastAsia="ro-MD"/>
        </w:rPr>
        <w:t>înregistrarea neconformă a tranzacțiilor economice aferente prestării serviciilor de traduceri de către angajați</w:t>
      </w:r>
      <w:r w:rsidR="004A06BD">
        <w:rPr>
          <w:rFonts w:asciiTheme="majorHAnsi" w:eastAsia="Times New Roman" w:hAnsiTheme="majorHAnsi" w:cstheme="majorHAnsi"/>
          <w:iCs/>
          <w:sz w:val="24"/>
          <w:szCs w:val="24"/>
          <w:lang w:val="ro-MD" w:eastAsia="ro-MD"/>
        </w:rPr>
        <w:t>i instituției (518,0 mii lei), v</w:t>
      </w:r>
      <w:r w:rsidRPr="00C35169">
        <w:rPr>
          <w:rFonts w:asciiTheme="majorHAnsi" w:eastAsia="Times New Roman" w:hAnsiTheme="majorHAnsi" w:cstheme="majorHAnsi"/>
          <w:iCs/>
          <w:sz w:val="24"/>
          <w:szCs w:val="24"/>
          <w:lang w:val="ro-MD" w:eastAsia="ro-MD"/>
        </w:rPr>
        <w:t>)</w:t>
      </w:r>
      <w:r>
        <w:rPr>
          <w:rFonts w:asciiTheme="majorHAnsi" w:eastAsia="Times New Roman" w:hAnsiTheme="majorHAnsi" w:cstheme="majorHAnsi"/>
          <w:iCs/>
          <w:sz w:val="24"/>
          <w:szCs w:val="24"/>
          <w:lang w:val="ro-MD" w:eastAsia="ro-MD"/>
        </w:rPr>
        <w:t xml:space="preserve"> </w:t>
      </w:r>
      <w:r w:rsidRPr="00C35169">
        <w:rPr>
          <w:rFonts w:asciiTheme="majorHAnsi" w:eastAsia="Times New Roman" w:hAnsiTheme="majorHAnsi" w:cstheme="majorHAnsi"/>
          <w:iCs/>
          <w:sz w:val="24"/>
          <w:szCs w:val="24"/>
          <w:lang w:val="ro-MD" w:eastAsia="ro-MD"/>
        </w:rPr>
        <w:t>aplicarea prevederilor legale abrogate (247,0 mii lei)</w:t>
      </w:r>
      <w:r w:rsidR="004A06BD">
        <w:rPr>
          <w:rFonts w:asciiTheme="majorHAnsi" w:eastAsia="Times New Roman" w:hAnsiTheme="majorHAnsi" w:cstheme="majorHAnsi"/>
          <w:iCs/>
          <w:sz w:val="24"/>
          <w:szCs w:val="24"/>
          <w:lang w:val="ro-MD" w:eastAsia="ro-MD"/>
        </w:rPr>
        <w:t>,</w:t>
      </w:r>
      <w:r w:rsidR="00C878DD">
        <w:rPr>
          <w:rFonts w:asciiTheme="majorHAnsi" w:eastAsia="Times New Roman" w:hAnsiTheme="majorHAnsi" w:cstheme="majorHAnsi"/>
          <w:iCs/>
          <w:sz w:val="24"/>
          <w:szCs w:val="24"/>
          <w:lang w:val="ro-MD" w:eastAsia="ro-MD"/>
        </w:rPr>
        <w:t xml:space="preserve"> </w:t>
      </w:r>
      <w:r w:rsidR="004A06BD">
        <w:rPr>
          <w:rFonts w:asciiTheme="majorHAnsi" w:eastAsia="Times New Roman" w:hAnsiTheme="majorHAnsi" w:cstheme="majorHAnsi"/>
          <w:iCs/>
          <w:sz w:val="24"/>
          <w:szCs w:val="24"/>
          <w:lang w:val="ro-MD" w:eastAsia="ro-MD"/>
        </w:rPr>
        <w:t>vi</w:t>
      </w:r>
      <w:r>
        <w:rPr>
          <w:rFonts w:asciiTheme="majorHAnsi" w:eastAsia="Times New Roman" w:hAnsiTheme="majorHAnsi" w:cstheme="majorHAnsi"/>
          <w:iCs/>
          <w:sz w:val="24"/>
          <w:szCs w:val="24"/>
          <w:lang w:val="ro-MD" w:eastAsia="ro-MD"/>
        </w:rPr>
        <w:t>) acordarea neconformă a sporului pentru cumular</w:t>
      </w:r>
      <w:r w:rsidR="006E1AF3">
        <w:rPr>
          <w:rFonts w:asciiTheme="majorHAnsi" w:eastAsia="Times New Roman" w:hAnsiTheme="majorHAnsi" w:cstheme="majorHAnsi"/>
          <w:iCs/>
          <w:sz w:val="24"/>
          <w:szCs w:val="24"/>
          <w:lang w:val="ro-MD" w:eastAsia="ro-MD"/>
        </w:rPr>
        <w:t>e</w:t>
      </w:r>
      <w:r>
        <w:rPr>
          <w:rFonts w:asciiTheme="majorHAnsi" w:eastAsia="Times New Roman" w:hAnsiTheme="majorHAnsi" w:cstheme="majorHAnsi"/>
          <w:iCs/>
          <w:sz w:val="24"/>
          <w:szCs w:val="24"/>
          <w:lang w:val="ro-MD" w:eastAsia="ro-MD"/>
        </w:rPr>
        <w:t xml:space="preserve"> (85,0 mii lei)</w:t>
      </w:r>
      <w:r w:rsidR="009F6A6D">
        <w:rPr>
          <w:rFonts w:asciiTheme="majorHAnsi" w:eastAsia="Times New Roman" w:hAnsiTheme="majorHAnsi" w:cstheme="majorHAnsi"/>
          <w:iCs/>
          <w:sz w:val="24"/>
          <w:szCs w:val="24"/>
          <w:lang w:val="ro-MD" w:eastAsia="ro-MD"/>
        </w:rPr>
        <w:t xml:space="preserve"> </w:t>
      </w:r>
      <w:r w:rsidR="006C0402">
        <w:rPr>
          <w:rFonts w:asciiTheme="majorHAnsi" w:eastAsia="Times New Roman" w:hAnsiTheme="majorHAnsi" w:cstheme="majorHAnsi"/>
          <w:iCs/>
          <w:sz w:val="24"/>
          <w:szCs w:val="24"/>
          <w:lang w:val="ro-MD" w:eastAsia="ro-MD"/>
        </w:rPr>
        <w:t>( pct.4.3.</w:t>
      </w:r>
      <w:r w:rsidR="009F6A6D" w:rsidRPr="0080396E">
        <w:rPr>
          <w:rFonts w:asciiTheme="majorHAnsi" w:eastAsia="Times New Roman" w:hAnsiTheme="majorHAnsi" w:cstheme="majorHAnsi"/>
          <w:iCs/>
          <w:sz w:val="24"/>
          <w:szCs w:val="24"/>
          <w:lang w:val="ro-MD" w:eastAsia="ro-MD"/>
        </w:rPr>
        <w:t>2)</w:t>
      </w:r>
      <w:r w:rsidRPr="0080396E">
        <w:rPr>
          <w:rFonts w:asciiTheme="majorHAnsi" w:eastAsia="Times New Roman" w:hAnsiTheme="majorHAnsi" w:cstheme="majorHAnsi"/>
          <w:iCs/>
          <w:sz w:val="24"/>
          <w:szCs w:val="24"/>
          <w:lang w:val="ro-MD" w:eastAsia="ro-MD"/>
        </w:rPr>
        <w:t>.</w:t>
      </w:r>
    </w:p>
    <w:p w14:paraId="511B0DA3" w14:textId="77777777" w:rsidR="00765C35" w:rsidRDefault="00765C35" w:rsidP="00765C35">
      <w:pPr>
        <w:spacing w:after="0" w:line="276" w:lineRule="auto"/>
        <w:ind w:firstLine="720"/>
        <w:jc w:val="both"/>
        <w:rPr>
          <w:rFonts w:asciiTheme="majorHAnsi" w:hAnsiTheme="majorHAnsi" w:cstheme="majorHAnsi"/>
          <w:sz w:val="24"/>
          <w:szCs w:val="24"/>
        </w:rPr>
      </w:pPr>
      <w:r>
        <w:rPr>
          <w:rFonts w:asciiTheme="majorHAnsi" w:eastAsia="Times New Roman" w:hAnsiTheme="majorHAnsi" w:cstheme="majorHAnsi"/>
          <w:iCs/>
          <w:sz w:val="24"/>
          <w:szCs w:val="24"/>
          <w:lang w:val="ro-MD" w:eastAsia="ro-MD"/>
        </w:rPr>
        <w:t xml:space="preserve">Deficiențele menționate sunt </w:t>
      </w:r>
      <w:r w:rsidRPr="008D05CA">
        <w:rPr>
          <w:rFonts w:asciiTheme="majorHAnsi" w:hAnsiTheme="majorHAnsi" w:cstheme="majorHAnsi"/>
          <w:sz w:val="24"/>
          <w:szCs w:val="24"/>
        </w:rPr>
        <w:t xml:space="preserve">cauzate atât de </w:t>
      </w:r>
      <w:r>
        <w:rPr>
          <w:rFonts w:asciiTheme="majorHAnsi" w:hAnsiTheme="majorHAnsi" w:cstheme="majorHAnsi"/>
          <w:sz w:val="24"/>
          <w:szCs w:val="24"/>
        </w:rPr>
        <w:t>unele lacune ale sistemului de control</w:t>
      </w:r>
      <w:r w:rsidRPr="008D05CA">
        <w:rPr>
          <w:rFonts w:asciiTheme="majorHAnsi" w:hAnsiTheme="majorHAnsi" w:cstheme="majorHAnsi"/>
          <w:sz w:val="24"/>
          <w:szCs w:val="24"/>
        </w:rPr>
        <w:t xml:space="preserve"> intern managerial, cât și de neconforma</w:t>
      </w:r>
      <w:r>
        <w:rPr>
          <w:rFonts w:asciiTheme="majorHAnsi" w:hAnsiTheme="majorHAnsi" w:cstheme="majorHAnsi"/>
          <w:sz w:val="24"/>
          <w:szCs w:val="24"/>
        </w:rPr>
        <w:t xml:space="preserve">rea responsabililor din cadrul entităților la prevederile legale. </w:t>
      </w:r>
    </w:p>
    <w:p w14:paraId="5BFC739B" w14:textId="77777777" w:rsidR="00765C35" w:rsidRPr="007917DD" w:rsidRDefault="00765C35" w:rsidP="00765C35">
      <w:pPr>
        <w:spacing w:line="276" w:lineRule="auto"/>
        <w:ind w:firstLine="720"/>
        <w:jc w:val="both"/>
        <w:rPr>
          <w:rFonts w:asciiTheme="majorHAnsi" w:eastAsia="Times New Roman" w:hAnsiTheme="majorHAnsi" w:cstheme="majorHAnsi"/>
          <w:sz w:val="24"/>
          <w:szCs w:val="24"/>
          <w:lang w:val="ro-MD" w:eastAsia="ro-MD"/>
        </w:rPr>
      </w:pPr>
      <w:r w:rsidRPr="007917DD">
        <w:rPr>
          <w:rFonts w:asciiTheme="majorHAnsi" w:hAnsiTheme="majorHAnsi" w:cstheme="majorHAnsi"/>
          <w:sz w:val="24"/>
          <w:szCs w:val="24"/>
          <w:lang w:val="ro-MD"/>
        </w:rPr>
        <w:lastRenderedPageBreak/>
        <w:t>În baza constatărilor și concluziilor auditului public extern, au fost înaintate recomandări, menite să asigure remedierea lacunelor cadrului de control intern instituit, precum și a neconformităților propriu-zise.</w:t>
      </w:r>
    </w:p>
    <w:p w14:paraId="45186823" w14:textId="3629FDA5" w:rsidR="00110B40" w:rsidRPr="00BF3EEA" w:rsidRDefault="0020188F" w:rsidP="00BF3EEA">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4" w:name="_Toc123116693"/>
      <w:r w:rsidRPr="00BF3EEA">
        <w:rPr>
          <w:rFonts w:asciiTheme="majorHAnsi" w:eastAsia="Times New Roman" w:hAnsiTheme="majorHAnsi" w:cstheme="majorHAnsi"/>
          <w:b/>
          <w:bCs/>
          <w:caps/>
          <w:color w:val="0070C0"/>
          <w:sz w:val="24"/>
          <w:szCs w:val="24"/>
          <w:lang w:val="ro-MD"/>
        </w:rPr>
        <w:t xml:space="preserve">Prezentare </w:t>
      </w:r>
      <w:r w:rsidR="00E620AC" w:rsidRPr="00BF3EEA">
        <w:rPr>
          <w:rFonts w:asciiTheme="majorHAnsi" w:eastAsia="Times New Roman" w:hAnsiTheme="majorHAnsi" w:cstheme="majorHAnsi"/>
          <w:b/>
          <w:bCs/>
          <w:caps/>
          <w:color w:val="0070C0"/>
          <w:sz w:val="24"/>
          <w:szCs w:val="24"/>
          <w:lang w:val="ro-MD"/>
        </w:rPr>
        <w:t>generală</w:t>
      </w:r>
      <w:bookmarkEnd w:id="4"/>
    </w:p>
    <w:p w14:paraId="45186824" w14:textId="5B69508C" w:rsidR="00110B40" w:rsidRPr="00BF3EEA" w:rsidRDefault="00110B40" w:rsidP="002A0A4E">
      <w:pPr>
        <w:pStyle w:val="ListParagraph"/>
        <w:numPr>
          <w:ilvl w:val="1"/>
          <w:numId w:val="2"/>
        </w:numPr>
        <w:tabs>
          <w:tab w:val="left" w:pos="720"/>
        </w:tabs>
        <w:spacing w:after="0" w:line="276" w:lineRule="auto"/>
        <w:ind w:left="709" w:firstLine="0"/>
        <w:outlineLvl w:val="1"/>
        <w:rPr>
          <w:rFonts w:asciiTheme="majorHAnsi" w:eastAsia="Times New Roman" w:hAnsiTheme="majorHAnsi" w:cstheme="majorHAnsi"/>
          <w:b/>
          <w:bCs/>
          <w:color w:val="00B0F0"/>
          <w:sz w:val="24"/>
          <w:szCs w:val="24"/>
          <w:lang w:val="ro-MD"/>
        </w:rPr>
      </w:pPr>
      <w:bookmarkStart w:id="5" w:name="_Toc123116694"/>
      <w:r w:rsidRPr="00BF3EEA">
        <w:rPr>
          <w:rFonts w:asciiTheme="majorHAnsi" w:hAnsiTheme="majorHAnsi" w:cstheme="majorHAnsi"/>
          <w:b/>
          <w:color w:val="00B0F0"/>
          <w:sz w:val="24"/>
          <w:szCs w:val="24"/>
          <w:lang w:val="ro-MD"/>
        </w:rPr>
        <w:t>Domeniul de activitate</w:t>
      </w:r>
      <w:bookmarkEnd w:id="5"/>
    </w:p>
    <w:p w14:paraId="0C26C0D8" w14:textId="17C54F8E" w:rsidR="00E92908" w:rsidRDefault="00E92908" w:rsidP="004173D6">
      <w:pPr>
        <w:pStyle w:val="ListParagraph"/>
        <w:shd w:val="clear" w:color="auto" w:fill="FFFFFF"/>
        <w:spacing w:after="0" w:line="240" w:lineRule="auto"/>
        <w:ind w:left="0" w:firstLine="709"/>
        <w:jc w:val="both"/>
        <w:rPr>
          <w:rFonts w:asciiTheme="majorHAnsi" w:eastAsia="Times New Roman" w:hAnsiTheme="majorHAnsi" w:cstheme="majorHAnsi"/>
          <w:color w:val="333333"/>
          <w:sz w:val="24"/>
          <w:szCs w:val="24"/>
          <w:lang w:val="ro-MD"/>
        </w:rPr>
      </w:pPr>
      <w:r w:rsidRPr="007917DD">
        <w:rPr>
          <w:rFonts w:asciiTheme="majorHAnsi" w:eastAsia="Times New Roman" w:hAnsiTheme="majorHAnsi" w:cstheme="majorHAnsi"/>
          <w:color w:val="333333"/>
          <w:sz w:val="24"/>
          <w:szCs w:val="24"/>
          <w:lang w:val="ro-MD"/>
        </w:rPr>
        <w:t>Optimizarea reglementărilor tehnice depinde foarte mult de infrastructura calității, ale cărei elemente-cheie s</w:t>
      </w:r>
      <w:r w:rsidR="003F53F7" w:rsidRPr="007917DD">
        <w:rPr>
          <w:rFonts w:asciiTheme="majorHAnsi" w:eastAsia="Times New Roman" w:hAnsiTheme="majorHAnsi" w:cstheme="majorHAnsi"/>
          <w:color w:val="333333"/>
          <w:sz w:val="24"/>
          <w:szCs w:val="24"/>
          <w:lang w:val="ro-MD"/>
        </w:rPr>
        <w:t>u</w:t>
      </w:r>
      <w:r w:rsidRPr="007917DD">
        <w:rPr>
          <w:rFonts w:asciiTheme="majorHAnsi" w:eastAsia="Times New Roman" w:hAnsiTheme="majorHAnsi" w:cstheme="majorHAnsi"/>
          <w:color w:val="333333"/>
          <w:sz w:val="24"/>
          <w:szCs w:val="24"/>
          <w:lang w:val="ro-MD"/>
        </w:rPr>
        <w:t>nt următoarele: standardizarea (pentru reguli), inspecția și acreditarea (pentru monitorizare), certificarea (pentru atestarea conformității sau neconformității) și încercările (pentru verificarea parametrilor în condiții de laborator). Sistemul c</w:t>
      </w:r>
      <w:r w:rsidR="00C878DD">
        <w:rPr>
          <w:rFonts w:asciiTheme="majorHAnsi" w:eastAsia="Times New Roman" w:hAnsiTheme="majorHAnsi" w:cstheme="majorHAnsi"/>
          <w:color w:val="333333"/>
          <w:sz w:val="24"/>
          <w:szCs w:val="24"/>
          <w:lang w:val="ro-MD"/>
        </w:rPr>
        <w:t>ar</w:t>
      </w:r>
      <w:r w:rsidRPr="007917DD">
        <w:rPr>
          <w:rFonts w:asciiTheme="majorHAnsi" w:eastAsia="Times New Roman" w:hAnsiTheme="majorHAnsi" w:cstheme="majorHAnsi"/>
          <w:color w:val="333333"/>
          <w:sz w:val="24"/>
          <w:szCs w:val="24"/>
          <w:lang w:val="ro-MD"/>
        </w:rPr>
        <w:t>e întrunește toate aceste elemente este numit pe scurt sistemul MSTQ.</w:t>
      </w:r>
    </w:p>
    <w:p w14:paraId="1413C7C0" w14:textId="7DFD7F69" w:rsidR="002A71D2" w:rsidRPr="007917DD" w:rsidRDefault="00E92908" w:rsidP="00E92908">
      <w:pPr>
        <w:pStyle w:val="cn"/>
        <w:ind w:right="71" w:firstLine="709"/>
        <w:jc w:val="both"/>
        <w:rPr>
          <w:rFonts w:asciiTheme="majorHAnsi" w:hAnsiTheme="majorHAnsi" w:cstheme="majorHAnsi"/>
          <w:lang w:val="ro-MD"/>
        </w:rPr>
      </w:pPr>
      <w:r w:rsidRPr="007917DD">
        <w:rPr>
          <w:rFonts w:asciiTheme="majorHAnsi" w:hAnsiTheme="majorHAnsi" w:cstheme="majorHAnsi"/>
          <w:color w:val="333333"/>
          <w:lang w:val="ro-MD"/>
        </w:rPr>
        <w:t>În multe ț</w:t>
      </w:r>
      <w:r w:rsidR="00F058F9">
        <w:rPr>
          <w:rFonts w:asciiTheme="majorHAnsi" w:hAnsiTheme="majorHAnsi" w:cstheme="majorHAnsi"/>
          <w:color w:val="333333"/>
          <w:lang w:val="ro-MD"/>
        </w:rPr>
        <w:t>ă</w:t>
      </w:r>
      <w:r w:rsidRPr="007917DD">
        <w:rPr>
          <w:rFonts w:asciiTheme="majorHAnsi" w:hAnsiTheme="majorHAnsi" w:cstheme="majorHAnsi"/>
          <w:color w:val="333333"/>
          <w:lang w:val="ro-MD"/>
        </w:rPr>
        <w:t xml:space="preserve">ri sistemele avansate de măsurări reprezintă una din forțele motrice pentru dezvoltarea industriei, iar multiplele oportunități de testare se utilizează pentru fabricarea noilor produse. Un sistem MSTQ eficient contribuie, de asemenea, la dezvoltarea sectorului de producere a echipamentului de măsurare. </w:t>
      </w:r>
    </w:p>
    <w:p w14:paraId="1421E1DC" w14:textId="4AC1D3A2" w:rsidR="008E20CA" w:rsidRPr="00CD7F07" w:rsidRDefault="00CD7F07" w:rsidP="008E20CA">
      <w:pPr>
        <w:pStyle w:val="FootnoteText"/>
        <w:spacing w:line="276" w:lineRule="auto"/>
        <w:ind w:firstLine="709"/>
        <w:jc w:val="both"/>
        <w:rPr>
          <w:rFonts w:asciiTheme="majorHAnsi" w:hAnsiTheme="majorHAnsi" w:cstheme="majorHAnsi"/>
          <w:sz w:val="24"/>
          <w:szCs w:val="24"/>
          <w:vertAlign w:val="baseline"/>
          <w:lang w:val="ro-MD"/>
        </w:rPr>
      </w:pPr>
      <w:r w:rsidRPr="007917DD">
        <w:rPr>
          <w:rFonts w:asciiTheme="majorHAnsi" w:hAnsiTheme="majorHAnsi" w:cstheme="majorHAnsi"/>
          <w:sz w:val="24"/>
          <w:szCs w:val="24"/>
          <w:vertAlign w:val="baseline"/>
          <w:lang w:val="ro-MD"/>
        </w:rPr>
        <w:t>Asigurarea organizării şi coordonării activităților de standardizare, metrologie și supraveghere metrologică, acreditare și evaluare a conformităţii, reglementare tehnică, securitate industrială, supraveghere a pieț</w:t>
      </w:r>
      <w:r w:rsidR="00C878DD">
        <w:rPr>
          <w:rFonts w:asciiTheme="majorHAnsi" w:hAnsiTheme="majorHAnsi" w:cstheme="majorHAnsi"/>
          <w:sz w:val="24"/>
          <w:szCs w:val="24"/>
          <w:vertAlign w:val="baseline"/>
          <w:lang w:val="ro-MD"/>
        </w:rPr>
        <w:t>e</w:t>
      </w:r>
      <w:r w:rsidRPr="007917DD">
        <w:rPr>
          <w:rFonts w:asciiTheme="majorHAnsi" w:hAnsiTheme="majorHAnsi" w:cstheme="majorHAnsi"/>
          <w:sz w:val="24"/>
          <w:szCs w:val="24"/>
          <w:vertAlign w:val="baseline"/>
          <w:lang w:val="ro-MD"/>
        </w:rPr>
        <w:t>i, protecție a consumatorilor la nivel naţional constituie misiunea Ministerului Economiei</w:t>
      </w:r>
      <w:r>
        <w:rPr>
          <w:rFonts w:asciiTheme="majorHAnsi" w:hAnsiTheme="majorHAnsi" w:cstheme="majorHAnsi"/>
          <w:sz w:val="24"/>
          <w:szCs w:val="24"/>
          <w:vertAlign w:val="baseline"/>
          <w:lang w:val="ro-MD"/>
        </w:rPr>
        <w:t>, iar a</w:t>
      </w:r>
      <w:r w:rsidR="008E20CA" w:rsidRPr="00CD7F07">
        <w:rPr>
          <w:rFonts w:asciiTheme="majorHAnsi" w:hAnsiTheme="majorHAnsi" w:cstheme="majorHAnsi"/>
          <w:sz w:val="24"/>
          <w:szCs w:val="24"/>
          <w:vertAlign w:val="baseline"/>
          <w:lang w:val="ro-MD"/>
        </w:rPr>
        <w:t>tivităţile în domeniul infrastruc</w:t>
      </w:r>
      <w:r w:rsidR="00A31AC1">
        <w:rPr>
          <w:rFonts w:asciiTheme="majorHAnsi" w:hAnsiTheme="majorHAnsi" w:cstheme="majorHAnsi"/>
          <w:sz w:val="24"/>
          <w:szCs w:val="24"/>
          <w:vertAlign w:val="baseline"/>
          <w:lang w:val="ro-MD"/>
        </w:rPr>
        <w:t>turii calității sunt exe</w:t>
      </w:r>
      <w:r w:rsidR="00C878DD">
        <w:rPr>
          <w:rFonts w:asciiTheme="majorHAnsi" w:hAnsiTheme="majorHAnsi" w:cstheme="majorHAnsi"/>
          <w:sz w:val="24"/>
          <w:szCs w:val="24"/>
          <w:vertAlign w:val="baseline"/>
          <w:lang w:val="ro-MD"/>
        </w:rPr>
        <w:t>cu</w:t>
      </w:r>
      <w:r w:rsidR="00A31AC1">
        <w:rPr>
          <w:rFonts w:asciiTheme="majorHAnsi" w:hAnsiTheme="majorHAnsi" w:cstheme="majorHAnsi"/>
          <w:sz w:val="24"/>
          <w:szCs w:val="24"/>
          <w:vertAlign w:val="baseline"/>
          <w:lang w:val="ro-MD"/>
        </w:rPr>
        <w:t>tate</w:t>
      </w:r>
      <w:r w:rsidR="008E20CA" w:rsidRPr="00CD7F07">
        <w:rPr>
          <w:rFonts w:asciiTheme="majorHAnsi" w:hAnsiTheme="majorHAnsi" w:cstheme="majorHAnsi"/>
          <w:sz w:val="24"/>
          <w:szCs w:val="24"/>
          <w:vertAlign w:val="baseline"/>
          <w:lang w:val="ro-MD"/>
        </w:rPr>
        <w:t xml:space="preserve"> de către</w:t>
      </w:r>
      <w:r w:rsidR="008E20CA" w:rsidRPr="00CD7F07">
        <w:rPr>
          <w:rFonts w:asciiTheme="majorHAnsi" w:hAnsiTheme="majorHAnsi" w:cstheme="majorHAnsi"/>
          <w:sz w:val="24"/>
          <w:szCs w:val="24"/>
        </w:rPr>
        <w:t xml:space="preserve"> </w:t>
      </w:r>
      <w:r w:rsidRPr="00CD7F07">
        <w:rPr>
          <w:rFonts w:asciiTheme="majorHAnsi" w:hAnsiTheme="majorHAnsi" w:cstheme="majorHAnsi"/>
          <w:sz w:val="24"/>
          <w:szCs w:val="24"/>
          <w:vertAlign w:val="baseline"/>
        </w:rPr>
        <w:t xml:space="preserve">următoarele </w:t>
      </w:r>
      <w:r w:rsidR="001559B7">
        <w:rPr>
          <w:rFonts w:asciiTheme="majorHAnsi" w:hAnsiTheme="majorHAnsi" w:cstheme="majorHAnsi"/>
          <w:sz w:val="24"/>
          <w:szCs w:val="24"/>
          <w:vertAlign w:val="baseline"/>
          <w:lang w:val="ro-MD"/>
        </w:rPr>
        <w:t>instituții</w:t>
      </w:r>
      <w:r w:rsidR="008E20CA" w:rsidRPr="00CD7F07">
        <w:rPr>
          <w:rFonts w:asciiTheme="majorHAnsi" w:hAnsiTheme="majorHAnsi" w:cstheme="majorHAnsi"/>
          <w:sz w:val="24"/>
          <w:szCs w:val="24"/>
          <w:vertAlign w:val="baseline"/>
          <w:lang w:val="ro-MD"/>
        </w:rPr>
        <w:t xml:space="preserve"> publice</w:t>
      </w:r>
      <w:r w:rsidR="002F1A8F">
        <w:rPr>
          <w:rFonts w:asciiTheme="majorHAnsi" w:hAnsiTheme="majorHAnsi" w:cstheme="majorHAnsi"/>
          <w:sz w:val="24"/>
          <w:szCs w:val="24"/>
          <w:vertAlign w:val="baseline"/>
          <w:lang w:val="ro-MD"/>
        </w:rPr>
        <w:t>,</w:t>
      </w:r>
      <w:r w:rsidR="008E20CA" w:rsidRPr="00CD7F07">
        <w:rPr>
          <w:rFonts w:asciiTheme="majorHAnsi" w:hAnsiTheme="majorHAnsi" w:cstheme="majorHAnsi"/>
          <w:sz w:val="24"/>
          <w:szCs w:val="24"/>
          <w:vertAlign w:val="baseline"/>
          <w:lang w:val="ro-MD"/>
        </w:rPr>
        <w:t xml:space="preserve"> în care Ministerul Economiei are calitate</w:t>
      </w:r>
      <w:r w:rsidR="00C878DD">
        <w:rPr>
          <w:rFonts w:asciiTheme="majorHAnsi" w:hAnsiTheme="majorHAnsi" w:cstheme="majorHAnsi"/>
          <w:sz w:val="24"/>
          <w:szCs w:val="24"/>
          <w:vertAlign w:val="baseline"/>
          <w:lang w:val="ro-MD"/>
        </w:rPr>
        <w:t>a</w:t>
      </w:r>
      <w:r w:rsidR="008E20CA" w:rsidRPr="00CD7F07">
        <w:rPr>
          <w:rFonts w:asciiTheme="majorHAnsi" w:hAnsiTheme="majorHAnsi" w:cstheme="majorHAnsi"/>
          <w:sz w:val="24"/>
          <w:szCs w:val="24"/>
          <w:vertAlign w:val="baseline"/>
          <w:lang w:val="ro-MD"/>
        </w:rPr>
        <w:t xml:space="preserve"> de fondator:</w:t>
      </w:r>
    </w:p>
    <w:p w14:paraId="72E26B04" w14:textId="2CDD68CB" w:rsidR="008E20CA" w:rsidRPr="00CD7F07" w:rsidRDefault="008E20CA" w:rsidP="007E002D">
      <w:pPr>
        <w:pStyle w:val="FootnoteText"/>
        <w:numPr>
          <w:ilvl w:val="0"/>
          <w:numId w:val="5"/>
        </w:numPr>
        <w:spacing w:line="276" w:lineRule="auto"/>
        <w:ind w:left="0" w:firstLine="0"/>
        <w:jc w:val="both"/>
        <w:rPr>
          <w:rFonts w:asciiTheme="majorHAnsi" w:hAnsiTheme="majorHAnsi" w:cstheme="majorHAnsi"/>
          <w:sz w:val="24"/>
          <w:szCs w:val="24"/>
          <w:vertAlign w:val="baseline"/>
          <w:lang w:val="ro-MD"/>
        </w:rPr>
      </w:pPr>
      <w:r w:rsidRPr="00CD7F07">
        <w:rPr>
          <w:rFonts w:asciiTheme="majorHAnsi" w:hAnsiTheme="majorHAnsi" w:cstheme="majorHAnsi"/>
          <w:sz w:val="24"/>
          <w:szCs w:val="24"/>
          <w:vertAlign w:val="baseline"/>
          <w:lang w:val="ro-MD"/>
        </w:rPr>
        <w:t>Institutul de Standardizare din Moldova - în domeniul standardizării;</w:t>
      </w:r>
    </w:p>
    <w:p w14:paraId="73307E33" w14:textId="00D4DE57" w:rsidR="008E20CA" w:rsidRPr="00CD7F07" w:rsidRDefault="008E20CA" w:rsidP="007E002D">
      <w:pPr>
        <w:pStyle w:val="FootnoteText"/>
        <w:numPr>
          <w:ilvl w:val="0"/>
          <w:numId w:val="5"/>
        </w:numPr>
        <w:spacing w:line="276" w:lineRule="auto"/>
        <w:ind w:left="0" w:firstLine="0"/>
        <w:jc w:val="both"/>
        <w:rPr>
          <w:rFonts w:asciiTheme="majorHAnsi" w:hAnsiTheme="majorHAnsi" w:cstheme="majorHAnsi"/>
          <w:sz w:val="24"/>
          <w:szCs w:val="24"/>
          <w:vertAlign w:val="baseline"/>
          <w:lang w:val="ro-MD"/>
        </w:rPr>
      </w:pPr>
      <w:r w:rsidRPr="00CD7F07">
        <w:rPr>
          <w:rFonts w:asciiTheme="majorHAnsi" w:hAnsiTheme="majorHAnsi" w:cstheme="majorHAnsi"/>
          <w:sz w:val="24"/>
          <w:szCs w:val="24"/>
          <w:vertAlign w:val="baseline"/>
          <w:lang w:val="ro-MD"/>
        </w:rPr>
        <w:t>Institutul Național de Metrologie - în domeniul metrologiei;</w:t>
      </w:r>
    </w:p>
    <w:p w14:paraId="26664D36" w14:textId="08E0D495" w:rsidR="008E20CA" w:rsidRPr="00CD7F07" w:rsidRDefault="008E20CA" w:rsidP="007E002D">
      <w:pPr>
        <w:pStyle w:val="FootnoteText"/>
        <w:numPr>
          <w:ilvl w:val="0"/>
          <w:numId w:val="5"/>
        </w:numPr>
        <w:tabs>
          <w:tab w:val="left" w:pos="709"/>
        </w:tabs>
        <w:spacing w:line="276" w:lineRule="auto"/>
        <w:ind w:left="0" w:firstLine="0"/>
        <w:jc w:val="both"/>
        <w:rPr>
          <w:rFonts w:asciiTheme="majorHAnsi" w:hAnsiTheme="majorHAnsi" w:cstheme="majorHAnsi"/>
          <w:sz w:val="24"/>
          <w:szCs w:val="24"/>
          <w:vertAlign w:val="baseline"/>
          <w:lang w:val="ro-MD"/>
        </w:rPr>
      </w:pPr>
      <w:r w:rsidRPr="00CD7F07">
        <w:rPr>
          <w:rFonts w:asciiTheme="majorHAnsi" w:hAnsiTheme="majorHAnsi" w:cstheme="majorHAnsi"/>
          <w:sz w:val="24"/>
          <w:szCs w:val="24"/>
          <w:vertAlign w:val="baseline"/>
          <w:lang w:val="ro-MD"/>
        </w:rPr>
        <w:t xml:space="preserve">Inspectoratul de Stat pentru Supravegherea  Produselor Nealimentare și Protecția Consumatorilor (succesor de drepturi al  APCSP) - în domeniile de supraveghere a pieței și </w:t>
      </w:r>
      <w:r w:rsidR="006C4F0E">
        <w:rPr>
          <w:rFonts w:asciiTheme="majorHAnsi" w:hAnsiTheme="majorHAnsi" w:cstheme="majorHAnsi"/>
          <w:sz w:val="24"/>
          <w:szCs w:val="24"/>
          <w:vertAlign w:val="baseline"/>
          <w:lang w:val="ro-MD"/>
        </w:rPr>
        <w:t xml:space="preserve">de </w:t>
      </w:r>
      <w:r w:rsidRPr="00CD7F07">
        <w:rPr>
          <w:rFonts w:asciiTheme="majorHAnsi" w:hAnsiTheme="majorHAnsi" w:cstheme="majorHAnsi"/>
          <w:sz w:val="24"/>
          <w:szCs w:val="24"/>
          <w:vertAlign w:val="baseline"/>
          <w:lang w:val="ro-MD"/>
        </w:rPr>
        <w:t>protecție</w:t>
      </w:r>
      <w:r w:rsidR="006C4F0E">
        <w:rPr>
          <w:rFonts w:asciiTheme="majorHAnsi" w:hAnsiTheme="majorHAnsi" w:cstheme="majorHAnsi"/>
          <w:sz w:val="24"/>
          <w:szCs w:val="24"/>
          <w:vertAlign w:val="baseline"/>
          <w:lang w:val="ro-MD"/>
        </w:rPr>
        <w:t xml:space="preserve"> a</w:t>
      </w:r>
      <w:r w:rsidRPr="00CD7F07">
        <w:rPr>
          <w:rFonts w:asciiTheme="majorHAnsi" w:hAnsiTheme="majorHAnsi" w:cstheme="majorHAnsi"/>
          <w:sz w:val="24"/>
          <w:szCs w:val="24"/>
          <w:vertAlign w:val="baseline"/>
          <w:lang w:val="ro-MD"/>
        </w:rPr>
        <w:t xml:space="preserve"> consumatorilor;</w:t>
      </w:r>
      <w:r w:rsidRPr="00CD7F07">
        <w:rPr>
          <w:rFonts w:asciiTheme="majorHAnsi" w:hAnsiTheme="majorHAnsi" w:cstheme="majorHAnsi"/>
          <w:i/>
          <w:sz w:val="24"/>
          <w:szCs w:val="24"/>
          <w:vertAlign w:val="baseline"/>
          <w:lang w:val="ro-MD"/>
        </w:rPr>
        <w:t xml:space="preserve"> </w:t>
      </w:r>
    </w:p>
    <w:p w14:paraId="3DACCCA3" w14:textId="781DC3C6" w:rsidR="008E20CA" w:rsidRPr="00CD7F07" w:rsidRDefault="008E20CA" w:rsidP="007E002D">
      <w:pPr>
        <w:pStyle w:val="FootnoteText"/>
        <w:numPr>
          <w:ilvl w:val="0"/>
          <w:numId w:val="5"/>
        </w:numPr>
        <w:spacing w:line="276" w:lineRule="auto"/>
        <w:ind w:left="0" w:firstLine="0"/>
        <w:jc w:val="both"/>
        <w:rPr>
          <w:rFonts w:asciiTheme="majorHAnsi" w:hAnsiTheme="majorHAnsi" w:cstheme="majorHAnsi"/>
          <w:sz w:val="24"/>
          <w:szCs w:val="24"/>
          <w:vertAlign w:val="baseline"/>
          <w:lang w:val="ro-MD"/>
        </w:rPr>
      </w:pPr>
      <w:r w:rsidRPr="00CD7F07">
        <w:rPr>
          <w:rFonts w:asciiTheme="majorHAnsi" w:hAnsiTheme="majorHAnsi" w:cstheme="majorHAnsi"/>
          <w:sz w:val="24"/>
          <w:szCs w:val="24"/>
          <w:vertAlign w:val="baseline"/>
          <w:lang w:val="ro-MD"/>
        </w:rPr>
        <w:t>Centrul Naţional de Acreditare din Republica Moldova - în domeniul acredit</w:t>
      </w:r>
      <w:r w:rsidR="006C4F0E">
        <w:rPr>
          <w:rFonts w:asciiTheme="majorHAnsi" w:hAnsiTheme="majorHAnsi" w:cstheme="majorHAnsi"/>
          <w:sz w:val="24"/>
          <w:szCs w:val="24"/>
          <w:vertAlign w:val="baseline"/>
          <w:lang w:val="ro-MD"/>
        </w:rPr>
        <w:t>ării</w:t>
      </w:r>
      <w:r w:rsidRPr="00CD7F07">
        <w:rPr>
          <w:rFonts w:asciiTheme="majorHAnsi" w:hAnsiTheme="majorHAnsi" w:cstheme="majorHAnsi"/>
          <w:sz w:val="24"/>
          <w:szCs w:val="24"/>
          <w:vertAlign w:val="baseline"/>
          <w:lang w:val="ro-MD"/>
        </w:rPr>
        <w:t xml:space="preserve"> şi evalu</w:t>
      </w:r>
      <w:r w:rsidR="006C4F0E">
        <w:rPr>
          <w:rFonts w:asciiTheme="majorHAnsi" w:hAnsiTheme="majorHAnsi" w:cstheme="majorHAnsi"/>
          <w:sz w:val="24"/>
          <w:szCs w:val="24"/>
          <w:vertAlign w:val="baseline"/>
          <w:lang w:val="ro-MD"/>
        </w:rPr>
        <w:t xml:space="preserve">ării </w:t>
      </w:r>
      <w:r w:rsidRPr="00CD7F07">
        <w:rPr>
          <w:rFonts w:asciiTheme="majorHAnsi" w:hAnsiTheme="majorHAnsi" w:cstheme="majorHAnsi"/>
          <w:sz w:val="24"/>
          <w:szCs w:val="24"/>
          <w:vertAlign w:val="baseline"/>
          <w:lang w:val="ro-MD"/>
        </w:rPr>
        <w:t xml:space="preserve"> conformităţii.</w:t>
      </w:r>
    </w:p>
    <w:p w14:paraId="071887CD" w14:textId="28EC7319" w:rsidR="00BB312B" w:rsidRPr="00255E9C" w:rsidRDefault="00BB312B" w:rsidP="00BB312B">
      <w:pPr>
        <w:pStyle w:val="ListParagraph"/>
        <w:tabs>
          <w:tab w:val="left" w:pos="0"/>
          <w:tab w:val="left" w:pos="270"/>
          <w:tab w:val="left" w:pos="990"/>
          <w:tab w:val="left" w:pos="1080"/>
        </w:tabs>
        <w:spacing w:after="0" w:line="276" w:lineRule="auto"/>
        <w:jc w:val="right"/>
        <w:rPr>
          <w:rFonts w:asciiTheme="majorHAnsi" w:hAnsiTheme="majorHAnsi" w:cstheme="majorHAnsi"/>
          <w:b/>
          <w:i/>
          <w:lang w:val="ro-MD"/>
        </w:rPr>
      </w:pPr>
      <w:r w:rsidRPr="00255E9C">
        <w:rPr>
          <w:rFonts w:asciiTheme="majorHAnsi" w:eastAsia="Times New Roman" w:hAnsiTheme="majorHAnsi" w:cs="Times New Roman"/>
          <w:b/>
          <w:i/>
          <w:sz w:val="24"/>
          <w:szCs w:val="24"/>
          <w:lang w:val="ro-MD"/>
        </w:rPr>
        <w:t>Figura nr.2.1</w:t>
      </w:r>
      <w:r w:rsidR="00184FC1">
        <w:rPr>
          <w:rFonts w:asciiTheme="majorHAnsi" w:eastAsia="Times New Roman" w:hAnsiTheme="majorHAnsi" w:cs="Times New Roman"/>
          <w:b/>
          <w:i/>
          <w:sz w:val="24"/>
          <w:szCs w:val="24"/>
          <w:lang w:val="ro-MD"/>
        </w:rPr>
        <w:t>.</w:t>
      </w:r>
    </w:p>
    <w:p w14:paraId="7C6F3C18" w14:textId="73348794" w:rsidR="003E0ABF" w:rsidRDefault="003E0ABF" w:rsidP="00E92908">
      <w:pPr>
        <w:pStyle w:val="cn"/>
        <w:ind w:right="71" w:firstLine="709"/>
        <w:jc w:val="both"/>
        <w:rPr>
          <w:rFonts w:asciiTheme="majorHAnsi" w:hAnsiTheme="majorHAnsi" w:cstheme="majorHAnsi"/>
          <w:b/>
          <w:lang w:val="ro-MD"/>
        </w:rPr>
      </w:pPr>
      <w:r w:rsidRPr="002F1A8F">
        <w:rPr>
          <w:rFonts w:asciiTheme="majorHAnsi" w:hAnsiTheme="majorHAnsi" w:cstheme="majorHAnsi"/>
          <w:b/>
          <w:lang w:val="ro-MD"/>
        </w:rPr>
        <w:t xml:space="preserve">Instituțiile </w:t>
      </w:r>
      <w:r w:rsidR="006C4F0E">
        <w:rPr>
          <w:rFonts w:asciiTheme="majorHAnsi" w:hAnsiTheme="majorHAnsi" w:cstheme="majorHAnsi"/>
          <w:b/>
          <w:lang w:val="ro-MD"/>
        </w:rPr>
        <w:t>p</w:t>
      </w:r>
      <w:r w:rsidRPr="002F1A8F">
        <w:rPr>
          <w:rFonts w:asciiTheme="majorHAnsi" w:hAnsiTheme="majorHAnsi" w:cstheme="majorHAnsi"/>
          <w:b/>
          <w:lang w:val="ro-MD"/>
        </w:rPr>
        <w:t>ublice din domeniul infrastructurii ca</w:t>
      </w:r>
      <w:r w:rsidR="00BB312B" w:rsidRPr="002F1A8F">
        <w:rPr>
          <w:rFonts w:asciiTheme="majorHAnsi" w:hAnsiTheme="majorHAnsi" w:cstheme="majorHAnsi"/>
          <w:b/>
          <w:lang w:val="ro-MD"/>
        </w:rPr>
        <w:t>l</w:t>
      </w:r>
      <w:r w:rsidRPr="002F1A8F">
        <w:rPr>
          <w:rFonts w:asciiTheme="majorHAnsi" w:hAnsiTheme="majorHAnsi" w:cstheme="majorHAnsi"/>
          <w:b/>
          <w:lang w:val="ro-MD"/>
        </w:rPr>
        <w:t>ității</w:t>
      </w:r>
      <w:r w:rsidR="00BB312B" w:rsidRPr="002F1A8F">
        <w:rPr>
          <w:rFonts w:asciiTheme="majorHAnsi" w:hAnsiTheme="majorHAnsi" w:cstheme="majorHAnsi"/>
          <w:b/>
          <w:lang w:val="ro-MD"/>
        </w:rPr>
        <w:t xml:space="preserve"> și atribuțiile principale ale acestora</w:t>
      </w:r>
      <w:r w:rsidRPr="002F1A8F">
        <w:rPr>
          <w:rFonts w:asciiTheme="majorHAnsi" w:hAnsiTheme="majorHAnsi" w:cstheme="majorHAnsi"/>
          <w:b/>
          <w:lang w:val="ro-MD"/>
        </w:rPr>
        <w:t>:</w:t>
      </w:r>
    </w:p>
    <w:p w14:paraId="41421D65" w14:textId="4E30643F" w:rsidR="00C94AB4" w:rsidRDefault="00C94AB4" w:rsidP="00E92908">
      <w:pPr>
        <w:pStyle w:val="cn"/>
        <w:ind w:right="71" w:firstLine="709"/>
        <w:jc w:val="both"/>
        <w:rPr>
          <w:rFonts w:asciiTheme="majorHAnsi" w:hAnsiTheme="majorHAnsi" w:cstheme="majorHAnsi"/>
          <w:b/>
          <w:lang w:val="ro-MD"/>
        </w:rPr>
      </w:pPr>
    </w:p>
    <w:p w14:paraId="3182A0FA" w14:textId="5F78FBE9" w:rsidR="00C94AB4" w:rsidRDefault="00C94AB4" w:rsidP="00E92908">
      <w:pPr>
        <w:pStyle w:val="cn"/>
        <w:ind w:right="71" w:firstLine="709"/>
        <w:jc w:val="both"/>
        <w:rPr>
          <w:rFonts w:asciiTheme="majorHAnsi" w:hAnsiTheme="majorHAnsi" w:cstheme="majorHAnsi"/>
          <w:b/>
          <w:lang w:val="ro-MD"/>
        </w:rPr>
      </w:pPr>
    </w:p>
    <w:p w14:paraId="3F650E3C" w14:textId="3D459105" w:rsidR="00C94AB4" w:rsidRDefault="00C94AB4" w:rsidP="00E92908">
      <w:pPr>
        <w:pStyle w:val="cn"/>
        <w:ind w:right="71" w:firstLine="709"/>
        <w:jc w:val="both"/>
        <w:rPr>
          <w:rFonts w:asciiTheme="majorHAnsi" w:hAnsiTheme="majorHAnsi" w:cstheme="majorHAnsi"/>
          <w:b/>
          <w:lang w:val="ro-MD"/>
        </w:rPr>
      </w:pPr>
    </w:p>
    <w:p w14:paraId="30D94EF9" w14:textId="05B21D5A" w:rsidR="00C94AB4" w:rsidRDefault="00C94AB4" w:rsidP="00E92908">
      <w:pPr>
        <w:pStyle w:val="cn"/>
        <w:ind w:right="71" w:firstLine="709"/>
        <w:jc w:val="both"/>
        <w:rPr>
          <w:rFonts w:asciiTheme="majorHAnsi" w:hAnsiTheme="majorHAnsi" w:cstheme="majorHAnsi"/>
          <w:b/>
          <w:lang w:val="ro-MD"/>
        </w:rPr>
      </w:pPr>
    </w:p>
    <w:p w14:paraId="1D1CBF78" w14:textId="577B0773" w:rsidR="00C94AB4" w:rsidRDefault="00C94AB4" w:rsidP="00E92908">
      <w:pPr>
        <w:pStyle w:val="cn"/>
        <w:ind w:right="71" w:firstLine="709"/>
        <w:jc w:val="both"/>
        <w:rPr>
          <w:rFonts w:asciiTheme="majorHAnsi" w:hAnsiTheme="majorHAnsi" w:cstheme="majorHAnsi"/>
          <w:b/>
          <w:lang w:val="ro-MD"/>
        </w:rPr>
      </w:pPr>
    </w:p>
    <w:p w14:paraId="25D9BAB1" w14:textId="1919F129" w:rsidR="00C94AB4" w:rsidRDefault="00C94AB4" w:rsidP="00E92908">
      <w:pPr>
        <w:pStyle w:val="cn"/>
        <w:ind w:right="71" w:firstLine="709"/>
        <w:jc w:val="both"/>
        <w:rPr>
          <w:rFonts w:asciiTheme="majorHAnsi" w:hAnsiTheme="majorHAnsi" w:cstheme="majorHAnsi"/>
          <w:b/>
          <w:lang w:val="ro-MD"/>
        </w:rPr>
      </w:pPr>
    </w:p>
    <w:p w14:paraId="4FD87B44" w14:textId="7CFF2311" w:rsidR="00804E59" w:rsidRPr="007917DD" w:rsidRDefault="00804E59" w:rsidP="00501FB7">
      <w:pPr>
        <w:pStyle w:val="cn"/>
        <w:ind w:right="71"/>
        <w:jc w:val="both"/>
        <w:rPr>
          <w:rFonts w:asciiTheme="majorHAnsi" w:hAnsiTheme="majorHAnsi" w:cstheme="majorHAnsi"/>
          <w:color w:val="333333"/>
          <w:lang w:val="ro-MD"/>
        </w:rPr>
      </w:pPr>
      <w:r w:rsidRPr="00A6650E">
        <w:rPr>
          <w:rFonts w:asciiTheme="majorHAnsi" w:hAnsiTheme="majorHAnsi" w:cstheme="majorHAnsi"/>
          <w:b/>
          <w:bCs/>
          <w:caps/>
          <w:noProof/>
          <w:shd w:val="clear" w:color="auto" w:fill="FFFFFF" w:themeFill="background1"/>
          <w:lang w:val="en-US" w:eastAsia="en-US"/>
        </w:rPr>
        <w:lastRenderedPageBreak/>
        <w:drawing>
          <wp:inline distT="0" distB="0" distL="0" distR="0" wp14:anchorId="750CA4AC" wp14:editId="6EE94519">
            <wp:extent cx="5895109" cy="3505200"/>
            <wp:effectExtent l="57150" t="0" r="4889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3C6970" w14:textId="749A5717" w:rsidR="004A0304" w:rsidRPr="00B24DEC" w:rsidRDefault="002C4498" w:rsidP="00501FB7">
      <w:pPr>
        <w:pStyle w:val="cn"/>
        <w:ind w:right="71"/>
        <w:jc w:val="both"/>
        <w:rPr>
          <w:rFonts w:asciiTheme="majorHAnsi" w:hAnsiTheme="majorHAnsi" w:cstheme="majorHAnsi"/>
          <w:i/>
          <w:sz w:val="20"/>
          <w:szCs w:val="20"/>
          <w:lang w:val="ro-MD"/>
        </w:rPr>
      </w:pPr>
      <w:r w:rsidRPr="001E1342">
        <w:rPr>
          <w:rFonts w:asciiTheme="majorHAnsi" w:hAnsiTheme="majorHAnsi" w:cstheme="majorHAnsi"/>
          <w:b/>
          <w:i/>
          <w:sz w:val="20"/>
          <w:szCs w:val="20"/>
          <w:lang w:val="ro-MD"/>
        </w:rPr>
        <w:t>Sursă</w:t>
      </w:r>
      <w:r w:rsidRPr="00B24DEC">
        <w:rPr>
          <w:rFonts w:asciiTheme="majorHAnsi" w:hAnsiTheme="majorHAnsi" w:cstheme="majorHAnsi"/>
          <w:i/>
          <w:sz w:val="20"/>
          <w:szCs w:val="20"/>
          <w:lang w:val="ro-MD"/>
        </w:rPr>
        <w:t>:</w:t>
      </w:r>
      <w:r w:rsidR="003E0ABF" w:rsidRPr="00B24DEC">
        <w:rPr>
          <w:rFonts w:asciiTheme="majorHAnsi" w:hAnsiTheme="majorHAnsi" w:cstheme="majorHAnsi"/>
          <w:i/>
          <w:sz w:val="20"/>
          <w:szCs w:val="20"/>
          <w:lang w:val="ro-MD"/>
        </w:rPr>
        <w:t xml:space="preserve"> Prevederile cadrulu</w:t>
      </w:r>
      <w:r w:rsidR="007A080F">
        <w:rPr>
          <w:rFonts w:asciiTheme="majorHAnsi" w:hAnsiTheme="majorHAnsi" w:cstheme="majorHAnsi"/>
          <w:i/>
          <w:sz w:val="20"/>
          <w:szCs w:val="20"/>
          <w:lang w:val="ro-MD"/>
        </w:rPr>
        <w:t>i normativ aplicabil</w:t>
      </w:r>
      <w:r w:rsidR="001108CA" w:rsidRPr="00B24DEC">
        <w:rPr>
          <w:rFonts w:asciiTheme="majorHAnsi" w:hAnsiTheme="majorHAnsi" w:cstheme="majorHAnsi"/>
          <w:i/>
          <w:sz w:val="20"/>
          <w:szCs w:val="20"/>
          <w:lang w:val="ro-MD"/>
        </w:rPr>
        <w:t>.</w:t>
      </w:r>
    </w:p>
    <w:p w14:paraId="551875CD" w14:textId="77777777" w:rsidR="00B24DEC" w:rsidRDefault="00B24DEC" w:rsidP="00B24DEC">
      <w:pPr>
        <w:spacing w:after="0" w:line="276" w:lineRule="auto"/>
        <w:ind w:firstLine="720"/>
        <w:jc w:val="both"/>
        <w:rPr>
          <w:rFonts w:asciiTheme="majorHAnsi" w:hAnsiTheme="majorHAnsi" w:cstheme="majorHAnsi"/>
          <w:color w:val="333333"/>
          <w:sz w:val="24"/>
          <w:szCs w:val="24"/>
          <w:lang w:val="ro-MD"/>
        </w:rPr>
      </w:pPr>
    </w:p>
    <w:p w14:paraId="1703F977" w14:textId="19D3D560" w:rsidR="00D54CF0" w:rsidRPr="007917DD" w:rsidRDefault="00D54CF0" w:rsidP="00CD7F07">
      <w:pPr>
        <w:pStyle w:val="cn"/>
        <w:ind w:right="71" w:firstLine="567"/>
        <w:jc w:val="both"/>
        <w:rPr>
          <w:rFonts w:asciiTheme="majorHAnsi" w:hAnsiTheme="majorHAnsi" w:cstheme="majorHAnsi"/>
          <w:color w:val="333333"/>
          <w:lang w:val="ro-MD"/>
        </w:rPr>
      </w:pPr>
      <w:r w:rsidRPr="00D74E85">
        <w:rPr>
          <w:rFonts w:asciiTheme="majorHAnsi" w:hAnsiTheme="majorHAnsi" w:cstheme="majorHAnsi"/>
          <w:bCs/>
          <w:lang w:val="ro-MD"/>
        </w:rPr>
        <w:t>C</w:t>
      </w:r>
      <w:r w:rsidRPr="00D74E85">
        <w:rPr>
          <w:rFonts w:asciiTheme="majorHAnsi" w:hAnsiTheme="majorHAnsi" w:cstheme="majorHAnsi"/>
          <w:spacing w:val="6"/>
          <w:lang w:val="ro-MD"/>
        </w:rPr>
        <w:t xml:space="preserve">onform  </w:t>
      </w:r>
      <w:r w:rsidRPr="00D74E85">
        <w:rPr>
          <w:rFonts w:asciiTheme="majorHAnsi" w:hAnsiTheme="majorHAnsi" w:cstheme="majorHAnsi"/>
          <w:lang w:val="ro-MD"/>
        </w:rPr>
        <w:t>prevederilor</w:t>
      </w:r>
      <w:r w:rsidR="00FB23B6">
        <w:rPr>
          <w:rFonts w:asciiTheme="majorHAnsi" w:hAnsiTheme="majorHAnsi" w:cstheme="majorHAnsi"/>
          <w:lang w:val="ro-MD"/>
        </w:rPr>
        <w:t xml:space="preserve"> legale</w:t>
      </w:r>
      <w:r w:rsidR="00794774" w:rsidRPr="00D74E85">
        <w:rPr>
          <w:rStyle w:val="FootnoteReference"/>
          <w:rFonts w:asciiTheme="majorHAnsi" w:hAnsiTheme="majorHAnsi" w:cstheme="majorHAnsi"/>
          <w:sz w:val="24"/>
          <w:lang w:val="ro-MD"/>
        </w:rPr>
        <w:footnoteReference w:id="2"/>
      </w:r>
      <w:r w:rsidRPr="00D74E85">
        <w:rPr>
          <w:rFonts w:asciiTheme="majorHAnsi" w:hAnsiTheme="majorHAnsi" w:cstheme="majorHAnsi"/>
          <w:lang w:val="ro-MD"/>
        </w:rPr>
        <w:t xml:space="preserve">, </w:t>
      </w:r>
      <w:r w:rsidR="009367A0">
        <w:rPr>
          <w:rFonts w:asciiTheme="majorHAnsi" w:hAnsiTheme="majorHAnsi" w:cstheme="majorHAnsi"/>
          <w:lang w:val="ro-MD"/>
        </w:rPr>
        <w:t xml:space="preserve"> în anii 2020 și 2021</w:t>
      </w:r>
      <w:r w:rsidR="006C4F0E">
        <w:rPr>
          <w:rFonts w:asciiTheme="majorHAnsi" w:hAnsiTheme="majorHAnsi" w:cstheme="majorHAnsi"/>
          <w:lang w:val="ro-MD"/>
        </w:rPr>
        <w:t>,</w:t>
      </w:r>
      <w:r w:rsidR="009367A0">
        <w:rPr>
          <w:rFonts w:asciiTheme="majorHAnsi" w:hAnsiTheme="majorHAnsi" w:cstheme="majorHAnsi"/>
          <w:lang w:val="ro-MD"/>
        </w:rPr>
        <w:t xml:space="preserve"> din bugetul de stat, </w:t>
      </w:r>
      <w:r w:rsidRPr="00D74E85">
        <w:rPr>
          <w:rFonts w:asciiTheme="majorHAnsi" w:hAnsiTheme="majorHAnsi" w:cstheme="majorHAnsi"/>
          <w:lang w:val="ro-MD"/>
        </w:rPr>
        <w:t>instituțiilor în cauză le-au fost alocate mij</w:t>
      </w:r>
      <w:r w:rsidRPr="007917DD">
        <w:rPr>
          <w:rFonts w:asciiTheme="majorHAnsi" w:hAnsiTheme="majorHAnsi" w:cstheme="majorHAnsi"/>
          <w:lang w:val="ro-MD"/>
        </w:rPr>
        <w:t>loace financiare sub formă de subsidii</w:t>
      </w:r>
      <w:r w:rsidR="006C4F0E">
        <w:rPr>
          <w:rFonts w:asciiTheme="majorHAnsi" w:hAnsiTheme="majorHAnsi" w:cstheme="majorHAnsi"/>
          <w:lang w:val="ro-MD"/>
        </w:rPr>
        <w:t>,</w:t>
      </w:r>
      <w:r w:rsidRPr="007917DD">
        <w:rPr>
          <w:rFonts w:asciiTheme="majorHAnsi" w:hAnsiTheme="majorHAnsi" w:cstheme="majorHAnsi"/>
          <w:lang w:val="ro-MD"/>
        </w:rPr>
        <w:t xml:space="preserve"> în următorul raport:</w:t>
      </w:r>
    </w:p>
    <w:p w14:paraId="0E85F9AA" w14:textId="77777777" w:rsidR="00D54CF0" w:rsidRPr="007917DD" w:rsidRDefault="00D54CF0" w:rsidP="00D54CF0">
      <w:pPr>
        <w:pStyle w:val="ListParagraph"/>
        <w:tabs>
          <w:tab w:val="left" w:pos="327"/>
          <w:tab w:val="left" w:pos="709"/>
        </w:tabs>
        <w:spacing w:after="0" w:line="240" w:lineRule="auto"/>
        <w:ind w:left="0"/>
        <w:jc w:val="both"/>
        <w:rPr>
          <w:rFonts w:asciiTheme="majorHAnsi" w:hAnsiTheme="majorHAnsi" w:cstheme="majorHAnsi"/>
          <w:bCs/>
          <w:sz w:val="24"/>
          <w:szCs w:val="24"/>
          <w:lang w:val="ro-MD"/>
        </w:rPr>
      </w:pPr>
    </w:p>
    <w:tbl>
      <w:tblPr>
        <w:tblW w:w="4983" w:type="pct"/>
        <w:tblInd w:w="-8" w:type="dxa"/>
        <w:tblCellMar>
          <w:top w:w="15" w:type="dxa"/>
          <w:left w:w="15" w:type="dxa"/>
          <w:bottom w:w="15" w:type="dxa"/>
          <w:right w:w="15" w:type="dxa"/>
        </w:tblCellMar>
        <w:tblLook w:val="04A0" w:firstRow="1" w:lastRow="0" w:firstColumn="1" w:lastColumn="0" w:noHBand="0" w:noVBand="1"/>
      </w:tblPr>
      <w:tblGrid>
        <w:gridCol w:w="4662"/>
        <w:gridCol w:w="1413"/>
        <w:gridCol w:w="1830"/>
        <w:gridCol w:w="1401"/>
      </w:tblGrid>
      <w:tr w:rsidR="00D54CF0" w:rsidRPr="0089113F" w14:paraId="07FED48C" w14:textId="77777777" w:rsidTr="0089113F">
        <w:trPr>
          <w:trHeight w:val="230"/>
        </w:trPr>
        <w:tc>
          <w:tcPr>
            <w:tcW w:w="2505" w:type="pct"/>
            <w:vMerge w:val="restart"/>
            <w:tcBorders>
              <w:top w:val="single" w:sz="6" w:space="0" w:color="000000"/>
              <w:left w:val="single" w:sz="6" w:space="0" w:color="000000"/>
              <w:right w:val="single" w:sz="6" w:space="0" w:color="000000"/>
            </w:tcBorders>
            <w:tcMar>
              <w:top w:w="15" w:type="dxa"/>
              <w:left w:w="45" w:type="dxa"/>
              <w:bottom w:w="15" w:type="dxa"/>
              <w:right w:w="45" w:type="dxa"/>
            </w:tcMar>
            <w:vAlign w:val="center"/>
            <w:hideMark/>
          </w:tcPr>
          <w:p w14:paraId="44C7A169" w14:textId="49D057AC"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Denumirea</w:t>
            </w:r>
            <w:r w:rsidR="0044616E" w:rsidRPr="0089113F">
              <w:rPr>
                <w:rFonts w:asciiTheme="majorHAnsi" w:eastAsia="Times New Roman" w:hAnsiTheme="majorHAnsi" w:cstheme="majorHAnsi"/>
                <w:b/>
                <w:iCs/>
                <w:sz w:val="20"/>
                <w:szCs w:val="20"/>
                <w:lang w:val="ro-MD"/>
              </w:rPr>
              <w:t xml:space="preserve"> subprogramului</w:t>
            </w:r>
          </w:p>
        </w:tc>
        <w:tc>
          <w:tcPr>
            <w:tcW w:w="759" w:type="pct"/>
            <w:vMerge w:val="restart"/>
            <w:tcBorders>
              <w:top w:val="single" w:sz="6" w:space="0" w:color="000000"/>
              <w:left w:val="single" w:sz="6" w:space="0" w:color="000000"/>
              <w:right w:val="single" w:sz="6" w:space="0" w:color="000000"/>
            </w:tcBorders>
            <w:tcMar>
              <w:top w:w="15" w:type="dxa"/>
              <w:left w:w="45" w:type="dxa"/>
              <w:bottom w:w="15" w:type="dxa"/>
              <w:right w:w="45" w:type="dxa"/>
            </w:tcMar>
            <w:vAlign w:val="center"/>
            <w:hideMark/>
          </w:tcPr>
          <w:p w14:paraId="39880AE4"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Cod</w:t>
            </w:r>
          </w:p>
        </w:tc>
        <w:tc>
          <w:tcPr>
            <w:tcW w:w="173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16AD30"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Suma, mii lei</w:t>
            </w:r>
          </w:p>
        </w:tc>
      </w:tr>
      <w:tr w:rsidR="00D54CF0" w:rsidRPr="0089113F" w14:paraId="3F588C62" w14:textId="77777777" w:rsidTr="0089113F">
        <w:trPr>
          <w:trHeight w:val="237"/>
        </w:trPr>
        <w:tc>
          <w:tcPr>
            <w:tcW w:w="2505"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562CA49F"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p>
        </w:tc>
        <w:tc>
          <w:tcPr>
            <w:tcW w:w="759" w:type="pct"/>
            <w:vMerge/>
            <w:tcBorders>
              <w:left w:val="single" w:sz="6" w:space="0" w:color="000000"/>
              <w:bottom w:val="single" w:sz="6" w:space="0" w:color="000000"/>
              <w:right w:val="single" w:sz="6" w:space="0" w:color="000000"/>
            </w:tcBorders>
            <w:tcMar>
              <w:top w:w="15" w:type="dxa"/>
              <w:left w:w="45" w:type="dxa"/>
              <w:bottom w:w="15" w:type="dxa"/>
              <w:right w:w="45" w:type="dxa"/>
            </w:tcMar>
          </w:tcPr>
          <w:p w14:paraId="09B45696"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6A5E67"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Anul 2020</w:t>
            </w:r>
          </w:p>
        </w:tc>
        <w:tc>
          <w:tcPr>
            <w:tcW w:w="753" w:type="pct"/>
            <w:tcBorders>
              <w:top w:val="single" w:sz="6" w:space="0" w:color="000000"/>
              <w:left w:val="single" w:sz="6" w:space="0" w:color="000000"/>
              <w:bottom w:val="single" w:sz="6" w:space="0" w:color="000000"/>
              <w:right w:val="single" w:sz="6" w:space="0" w:color="000000"/>
            </w:tcBorders>
          </w:tcPr>
          <w:p w14:paraId="19B4922D" w14:textId="77777777" w:rsidR="00D54CF0" w:rsidRPr="0089113F" w:rsidRDefault="00D54CF0" w:rsidP="0089113F">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Anul 2021</w:t>
            </w:r>
          </w:p>
        </w:tc>
      </w:tr>
      <w:tr w:rsidR="00D54CF0" w:rsidRPr="0089113F" w14:paraId="39E74DAB" w14:textId="77777777" w:rsidTr="0089113F">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0E62BE" w14:textId="77777777" w:rsidR="00D54CF0" w:rsidRPr="0089113F" w:rsidRDefault="00D54CF0" w:rsidP="00B706C0">
            <w:pPr>
              <w:spacing w:after="0" w:line="240" w:lineRule="auto"/>
              <w:rPr>
                <w:rFonts w:asciiTheme="majorHAnsi" w:eastAsia="Times New Roman" w:hAnsiTheme="majorHAnsi" w:cstheme="majorHAnsi"/>
                <w:sz w:val="20"/>
                <w:szCs w:val="20"/>
                <w:lang w:val="ro-MD"/>
              </w:rPr>
            </w:pPr>
            <w:r w:rsidRPr="0089113F">
              <w:rPr>
                <w:rFonts w:asciiTheme="majorHAnsi" w:eastAsia="Times New Roman" w:hAnsiTheme="majorHAnsi" w:cstheme="majorHAnsi"/>
                <w:i/>
                <w:iCs/>
                <w:sz w:val="20"/>
                <w:szCs w:val="20"/>
                <w:lang w:val="ro-MD"/>
              </w:rPr>
              <w:t>Protecția drepturilor consumatorilor</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EEF662" w14:textId="77777777" w:rsidR="00D54CF0" w:rsidRPr="0089113F" w:rsidRDefault="00D54CF0" w:rsidP="00B706C0">
            <w:pPr>
              <w:spacing w:after="0" w:line="240" w:lineRule="auto"/>
              <w:jc w:val="center"/>
              <w:rPr>
                <w:rFonts w:asciiTheme="majorHAnsi" w:eastAsia="Times New Roman" w:hAnsiTheme="majorHAnsi" w:cstheme="majorHAnsi"/>
                <w:sz w:val="20"/>
                <w:szCs w:val="20"/>
                <w:lang w:val="ro-MD"/>
              </w:rPr>
            </w:pPr>
            <w:r w:rsidRPr="0089113F">
              <w:rPr>
                <w:rFonts w:asciiTheme="majorHAnsi" w:eastAsia="Times New Roman" w:hAnsiTheme="majorHAnsi" w:cstheme="majorHAnsi"/>
                <w:i/>
                <w:iCs/>
                <w:sz w:val="20"/>
                <w:szCs w:val="20"/>
                <w:lang w:val="ro-MD"/>
              </w:rPr>
              <w:t>5008</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6EBB87" w14:textId="017F3255" w:rsidR="00D54CF0" w:rsidRPr="0089113F" w:rsidRDefault="00D54CF0" w:rsidP="00B706C0">
            <w:pPr>
              <w:spacing w:after="0" w:line="240" w:lineRule="auto"/>
              <w:jc w:val="center"/>
              <w:rPr>
                <w:rFonts w:asciiTheme="majorHAnsi" w:eastAsia="Times New Roman" w:hAnsiTheme="majorHAnsi" w:cstheme="majorHAnsi"/>
                <w:sz w:val="20"/>
                <w:szCs w:val="20"/>
                <w:lang w:val="ro-MD"/>
              </w:rPr>
            </w:pPr>
            <w:r w:rsidRPr="0089113F">
              <w:rPr>
                <w:rFonts w:asciiTheme="majorHAnsi" w:eastAsia="Times New Roman" w:hAnsiTheme="majorHAnsi" w:cstheme="majorHAnsi"/>
                <w:i/>
                <w:iCs/>
                <w:sz w:val="20"/>
                <w:szCs w:val="20"/>
                <w:lang w:val="ro-MD"/>
              </w:rPr>
              <w:t>12</w:t>
            </w:r>
            <w:r w:rsidR="0044616E" w:rsidRPr="0089113F">
              <w:rPr>
                <w:rFonts w:asciiTheme="majorHAnsi" w:eastAsia="Times New Roman" w:hAnsiTheme="majorHAnsi" w:cstheme="majorHAnsi"/>
                <w:i/>
                <w:iCs/>
                <w:sz w:val="20"/>
                <w:szCs w:val="20"/>
                <w:lang w:val="ro-MD"/>
              </w:rPr>
              <w:t xml:space="preserve"> </w:t>
            </w:r>
            <w:r w:rsidRPr="0089113F">
              <w:rPr>
                <w:rFonts w:asciiTheme="majorHAnsi" w:eastAsia="Times New Roman" w:hAnsiTheme="majorHAnsi" w:cstheme="majorHAnsi"/>
                <w:i/>
                <w:iCs/>
                <w:sz w:val="20"/>
                <w:szCs w:val="20"/>
                <w:lang w:val="ro-MD"/>
              </w:rPr>
              <w:t>612,5</w:t>
            </w:r>
          </w:p>
        </w:tc>
        <w:tc>
          <w:tcPr>
            <w:tcW w:w="753" w:type="pct"/>
            <w:tcBorders>
              <w:top w:val="single" w:sz="6" w:space="0" w:color="000000"/>
              <w:left w:val="single" w:sz="6" w:space="0" w:color="000000"/>
              <w:bottom w:val="single" w:sz="6" w:space="0" w:color="000000"/>
              <w:right w:val="single" w:sz="6" w:space="0" w:color="000000"/>
            </w:tcBorders>
          </w:tcPr>
          <w:p w14:paraId="561D3782" w14:textId="3C6AABB4" w:rsidR="00D54CF0" w:rsidRPr="0089113F" w:rsidRDefault="003B322B"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hAnsiTheme="majorHAnsi" w:cstheme="majorHAnsi"/>
                <w:i/>
                <w:iCs/>
                <w:sz w:val="20"/>
                <w:szCs w:val="20"/>
                <w:lang w:val="ro-MD"/>
              </w:rPr>
              <w:t>14121,5</w:t>
            </w:r>
          </w:p>
        </w:tc>
      </w:tr>
      <w:tr w:rsidR="00D54CF0" w:rsidRPr="0089113F" w14:paraId="75599DA0" w14:textId="77777777" w:rsidTr="0089113F">
        <w:trPr>
          <w:trHeight w:val="211"/>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9B71FC" w14:textId="77777777" w:rsidR="00D54CF0" w:rsidRPr="0089113F" w:rsidRDefault="00D54CF0" w:rsidP="00B706C0">
            <w:pPr>
              <w:spacing w:after="0" w:line="240" w:lineRule="auto"/>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Dezvoltarea sistemului național de standardizare</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70BAB8" w14:textId="77777777"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6802</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EB80D86" w14:textId="6BA4AF5F"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5</w:t>
            </w:r>
            <w:r w:rsidR="0044616E" w:rsidRPr="0089113F">
              <w:rPr>
                <w:rFonts w:asciiTheme="majorHAnsi" w:eastAsia="Times New Roman" w:hAnsiTheme="majorHAnsi" w:cstheme="majorHAnsi"/>
                <w:i/>
                <w:iCs/>
                <w:sz w:val="20"/>
                <w:szCs w:val="20"/>
                <w:lang w:val="ro-MD"/>
              </w:rPr>
              <w:t xml:space="preserve"> </w:t>
            </w:r>
            <w:r w:rsidRPr="0089113F">
              <w:rPr>
                <w:rFonts w:asciiTheme="majorHAnsi" w:eastAsia="Times New Roman" w:hAnsiTheme="majorHAnsi" w:cstheme="majorHAnsi"/>
                <w:i/>
                <w:iCs/>
                <w:sz w:val="20"/>
                <w:szCs w:val="20"/>
                <w:lang w:val="ro-MD"/>
              </w:rPr>
              <w:t>050,0</w:t>
            </w:r>
          </w:p>
        </w:tc>
        <w:tc>
          <w:tcPr>
            <w:tcW w:w="753" w:type="pct"/>
            <w:tcBorders>
              <w:top w:val="single" w:sz="6" w:space="0" w:color="000000"/>
              <w:left w:val="single" w:sz="6" w:space="0" w:color="000000"/>
              <w:bottom w:val="single" w:sz="6" w:space="0" w:color="000000"/>
              <w:right w:val="single" w:sz="6" w:space="0" w:color="000000"/>
            </w:tcBorders>
          </w:tcPr>
          <w:p w14:paraId="45EB77A4" w14:textId="5919F913" w:rsidR="00D54CF0" w:rsidRPr="0089113F" w:rsidRDefault="003B322B"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3900</w:t>
            </w:r>
            <w:r w:rsidR="00A511CC" w:rsidRPr="0089113F">
              <w:rPr>
                <w:rFonts w:asciiTheme="majorHAnsi" w:eastAsia="Times New Roman" w:hAnsiTheme="majorHAnsi" w:cstheme="majorHAnsi"/>
                <w:i/>
                <w:iCs/>
                <w:sz w:val="20"/>
                <w:szCs w:val="20"/>
                <w:lang w:val="ro-MD"/>
              </w:rPr>
              <w:t>,0</w:t>
            </w:r>
          </w:p>
        </w:tc>
      </w:tr>
      <w:tr w:rsidR="00D54CF0" w:rsidRPr="0089113F" w14:paraId="49D871F1" w14:textId="77777777" w:rsidTr="0089113F">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00F52B" w14:textId="77777777" w:rsidR="00D54CF0" w:rsidRPr="0089113F" w:rsidRDefault="00D54CF0" w:rsidP="00B706C0">
            <w:pPr>
              <w:spacing w:after="0" w:line="240" w:lineRule="auto"/>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Dezvoltarea sistemului național de metrologie</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CA37C7" w14:textId="77777777"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6804</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CAC03C" w14:textId="414D20DE"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12</w:t>
            </w:r>
            <w:r w:rsidR="0044616E" w:rsidRPr="0089113F">
              <w:rPr>
                <w:rFonts w:asciiTheme="majorHAnsi" w:eastAsia="Times New Roman" w:hAnsiTheme="majorHAnsi" w:cstheme="majorHAnsi"/>
                <w:i/>
                <w:iCs/>
                <w:sz w:val="20"/>
                <w:szCs w:val="20"/>
                <w:lang w:val="ro-MD"/>
              </w:rPr>
              <w:t xml:space="preserve"> </w:t>
            </w:r>
            <w:r w:rsidRPr="0089113F">
              <w:rPr>
                <w:rFonts w:asciiTheme="majorHAnsi" w:eastAsia="Times New Roman" w:hAnsiTheme="majorHAnsi" w:cstheme="majorHAnsi"/>
                <w:i/>
                <w:iCs/>
                <w:sz w:val="20"/>
                <w:szCs w:val="20"/>
                <w:lang w:val="ro-MD"/>
              </w:rPr>
              <w:t>520,3</w:t>
            </w:r>
          </w:p>
        </w:tc>
        <w:tc>
          <w:tcPr>
            <w:tcW w:w="753" w:type="pct"/>
            <w:tcBorders>
              <w:top w:val="single" w:sz="6" w:space="0" w:color="000000"/>
              <w:left w:val="single" w:sz="6" w:space="0" w:color="000000"/>
              <w:bottom w:val="single" w:sz="6" w:space="0" w:color="000000"/>
              <w:right w:val="single" w:sz="6" w:space="0" w:color="000000"/>
            </w:tcBorders>
          </w:tcPr>
          <w:p w14:paraId="6E3D89B2" w14:textId="11FD2592" w:rsidR="00D54CF0" w:rsidRPr="0089113F" w:rsidRDefault="00A511CC" w:rsidP="003B322B">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1</w:t>
            </w:r>
            <w:r w:rsidR="003B322B" w:rsidRPr="0089113F">
              <w:rPr>
                <w:rFonts w:asciiTheme="majorHAnsi" w:eastAsia="Times New Roman" w:hAnsiTheme="majorHAnsi" w:cstheme="majorHAnsi"/>
                <w:i/>
                <w:iCs/>
                <w:sz w:val="20"/>
                <w:szCs w:val="20"/>
                <w:lang w:val="ro-MD"/>
              </w:rPr>
              <w:t>42</w:t>
            </w:r>
            <w:r w:rsidRPr="0089113F">
              <w:rPr>
                <w:rFonts w:asciiTheme="majorHAnsi" w:eastAsia="Times New Roman" w:hAnsiTheme="majorHAnsi" w:cstheme="majorHAnsi"/>
                <w:i/>
                <w:iCs/>
                <w:sz w:val="20"/>
                <w:szCs w:val="20"/>
                <w:lang w:val="ro-MD"/>
              </w:rPr>
              <w:t>00,5</w:t>
            </w:r>
          </w:p>
        </w:tc>
      </w:tr>
      <w:tr w:rsidR="00D54CF0" w:rsidRPr="0089113F" w14:paraId="39A6AA6F" w14:textId="77777777" w:rsidTr="0089113F">
        <w:trPr>
          <w:trHeight w:val="211"/>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980332" w14:textId="77777777" w:rsidR="00D54CF0" w:rsidRPr="0089113F" w:rsidRDefault="00D54CF0" w:rsidP="00B706C0">
            <w:pPr>
              <w:spacing w:after="0" w:line="240" w:lineRule="auto"/>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Dezvoltarea sistemului național de acreditare</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BF4411" w14:textId="77777777"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6805</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A33524" w14:textId="67C7D7B4" w:rsidR="00D54CF0" w:rsidRPr="0089113F" w:rsidRDefault="00D54CF0" w:rsidP="00B706C0">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3</w:t>
            </w:r>
            <w:r w:rsidR="0044616E" w:rsidRPr="0089113F">
              <w:rPr>
                <w:rFonts w:asciiTheme="majorHAnsi" w:eastAsia="Times New Roman" w:hAnsiTheme="majorHAnsi" w:cstheme="majorHAnsi"/>
                <w:i/>
                <w:iCs/>
                <w:sz w:val="20"/>
                <w:szCs w:val="20"/>
                <w:lang w:val="ro-MD"/>
              </w:rPr>
              <w:t xml:space="preserve"> </w:t>
            </w:r>
            <w:r w:rsidRPr="0089113F">
              <w:rPr>
                <w:rFonts w:asciiTheme="majorHAnsi" w:eastAsia="Times New Roman" w:hAnsiTheme="majorHAnsi" w:cstheme="majorHAnsi"/>
                <w:i/>
                <w:iCs/>
                <w:sz w:val="20"/>
                <w:szCs w:val="20"/>
                <w:lang w:val="ro-MD"/>
              </w:rPr>
              <w:t>200,0</w:t>
            </w:r>
          </w:p>
        </w:tc>
        <w:tc>
          <w:tcPr>
            <w:tcW w:w="753" w:type="pct"/>
            <w:tcBorders>
              <w:top w:val="single" w:sz="6" w:space="0" w:color="000000"/>
              <w:left w:val="single" w:sz="6" w:space="0" w:color="000000"/>
              <w:bottom w:val="single" w:sz="6" w:space="0" w:color="000000"/>
              <w:right w:val="single" w:sz="6" w:space="0" w:color="000000"/>
            </w:tcBorders>
          </w:tcPr>
          <w:p w14:paraId="013A6E50" w14:textId="2B627D3A" w:rsidR="00D54CF0" w:rsidRPr="0089113F" w:rsidRDefault="00A511CC" w:rsidP="00A511CC">
            <w:pPr>
              <w:spacing w:after="0" w:line="240" w:lineRule="auto"/>
              <w:jc w:val="center"/>
              <w:rPr>
                <w:rFonts w:asciiTheme="majorHAnsi" w:eastAsia="Times New Roman" w:hAnsiTheme="majorHAnsi" w:cstheme="majorHAnsi"/>
                <w:i/>
                <w:iCs/>
                <w:sz w:val="20"/>
                <w:szCs w:val="20"/>
                <w:lang w:val="ro-MD"/>
              </w:rPr>
            </w:pPr>
            <w:r w:rsidRPr="0089113F">
              <w:rPr>
                <w:rFonts w:asciiTheme="majorHAnsi" w:eastAsia="Times New Roman" w:hAnsiTheme="majorHAnsi" w:cstheme="majorHAnsi"/>
                <w:i/>
                <w:iCs/>
                <w:sz w:val="20"/>
                <w:szCs w:val="20"/>
                <w:lang w:val="ro-MD"/>
              </w:rPr>
              <w:t xml:space="preserve">2 </w:t>
            </w:r>
            <w:r w:rsidR="00D54CF0" w:rsidRPr="0089113F">
              <w:rPr>
                <w:rFonts w:asciiTheme="majorHAnsi" w:eastAsia="Times New Roman" w:hAnsiTheme="majorHAnsi" w:cstheme="majorHAnsi"/>
                <w:i/>
                <w:iCs/>
                <w:sz w:val="20"/>
                <w:szCs w:val="20"/>
                <w:lang w:val="ro-MD"/>
              </w:rPr>
              <w:t>800,0</w:t>
            </w:r>
          </w:p>
        </w:tc>
      </w:tr>
      <w:tr w:rsidR="00C90A99" w:rsidRPr="0089113F" w14:paraId="48F69C05" w14:textId="77777777" w:rsidTr="0089113F">
        <w:trPr>
          <w:trHeight w:val="218"/>
        </w:trPr>
        <w:tc>
          <w:tcPr>
            <w:tcW w:w="25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32E07" w14:textId="554491CB" w:rsidR="00C90A99" w:rsidRPr="0089113F" w:rsidRDefault="00C90A99" w:rsidP="00B706C0">
            <w:pPr>
              <w:spacing w:after="0" w:line="240" w:lineRule="auto"/>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TOTAL</w:t>
            </w:r>
          </w:p>
        </w:tc>
        <w:tc>
          <w:tcPr>
            <w:tcW w:w="7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9B4F5" w14:textId="5C625C69" w:rsidR="00C90A99" w:rsidRPr="0089113F" w:rsidRDefault="00D842B1" w:rsidP="00B706C0">
            <w:pPr>
              <w:spacing w:after="0" w:line="240" w:lineRule="auto"/>
              <w:jc w:val="center"/>
              <w:rPr>
                <w:rFonts w:asciiTheme="majorHAnsi" w:eastAsia="Times New Roman" w:hAnsiTheme="majorHAnsi" w:cstheme="majorHAnsi"/>
                <w:b/>
                <w:iCs/>
                <w:sz w:val="20"/>
                <w:szCs w:val="20"/>
                <w:lang w:val="ro-MD"/>
              </w:rPr>
            </w:pPr>
            <w:r>
              <w:rPr>
                <w:rFonts w:asciiTheme="majorHAnsi" w:eastAsia="Times New Roman" w:hAnsiTheme="majorHAnsi" w:cstheme="majorHAnsi"/>
                <w:b/>
                <w:iCs/>
                <w:sz w:val="20"/>
                <w:szCs w:val="20"/>
                <w:lang w:val="ro-MD"/>
              </w:rPr>
              <w:t>X</w:t>
            </w:r>
          </w:p>
        </w:tc>
        <w:tc>
          <w:tcPr>
            <w:tcW w:w="98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5002DA" w14:textId="44792718" w:rsidR="00C90A99" w:rsidRPr="0089113F" w:rsidRDefault="00C90A99" w:rsidP="00B706C0">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33382,8</w:t>
            </w:r>
          </w:p>
        </w:tc>
        <w:tc>
          <w:tcPr>
            <w:tcW w:w="753" w:type="pct"/>
            <w:tcBorders>
              <w:top w:val="single" w:sz="6" w:space="0" w:color="000000"/>
              <w:left w:val="single" w:sz="6" w:space="0" w:color="000000"/>
              <w:bottom w:val="single" w:sz="6" w:space="0" w:color="000000"/>
              <w:right w:val="single" w:sz="6" w:space="0" w:color="000000"/>
            </w:tcBorders>
          </w:tcPr>
          <w:p w14:paraId="1A8A5BF6" w14:textId="3B2BF6D8" w:rsidR="00C90A99" w:rsidRPr="0089113F" w:rsidRDefault="003B322B" w:rsidP="00A511CC">
            <w:pPr>
              <w:spacing w:after="0" w:line="240" w:lineRule="auto"/>
              <w:jc w:val="center"/>
              <w:rPr>
                <w:rFonts w:asciiTheme="majorHAnsi" w:eastAsia="Times New Roman" w:hAnsiTheme="majorHAnsi" w:cstheme="majorHAnsi"/>
                <w:b/>
                <w:iCs/>
                <w:sz w:val="20"/>
                <w:szCs w:val="20"/>
                <w:lang w:val="ro-MD"/>
              </w:rPr>
            </w:pPr>
            <w:r w:rsidRPr="0089113F">
              <w:rPr>
                <w:rFonts w:asciiTheme="majorHAnsi" w:eastAsia="Times New Roman" w:hAnsiTheme="majorHAnsi" w:cstheme="majorHAnsi"/>
                <w:b/>
                <w:iCs/>
                <w:sz w:val="20"/>
                <w:szCs w:val="20"/>
                <w:lang w:val="ro-MD"/>
              </w:rPr>
              <w:t>35022,0</w:t>
            </w:r>
          </w:p>
        </w:tc>
      </w:tr>
    </w:tbl>
    <w:p w14:paraId="44A4C090" w14:textId="42BFB9C3" w:rsidR="00D54CF0" w:rsidRPr="0089113F" w:rsidRDefault="00794774" w:rsidP="007F3C33">
      <w:pPr>
        <w:pStyle w:val="cn"/>
        <w:ind w:right="71"/>
        <w:jc w:val="both"/>
        <w:rPr>
          <w:rFonts w:asciiTheme="majorHAnsi" w:hAnsiTheme="majorHAnsi" w:cstheme="majorHAnsi"/>
          <w:i/>
          <w:color w:val="FF0000"/>
          <w:sz w:val="20"/>
          <w:szCs w:val="20"/>
          <w:lang w:val="ro-MD"/>
        </w:rPr>
      </w:pPr>
      <w:r w:rsidRPr="00255E9C">
        <w:rPr>
          <w:rFonts w:asciiTheme="majorHAnsi" w:hAnsiTheme="majorHAnsi" w:cstheme="majorHAnsi"/>
          <w:b/>
          <w:i/>
          <w:sz w:val="20"/>
          <w:szCs w:val="20"/>
          <w:lang w:val="ro-MD"/>
        </w:rPr>
        <w:t>Surs</w:t>
      </w:r>
      <w:r w:rsidR="006C4F0E">
        <w:rPr>
          <w:rFonts w:asciiTheme="majorHAnsi" w:hAnsiTheme="majorHAnsi" w:cstheme="majorHAnsi"/>
          <w:b/>
          <w:i/>
          <w:sz w:val="20"/>
          <w:szCs w:val="20"/>
          <w:lang w:val="ro-MD"/>
        </w:rPr>
        <w:t>ă</w:t>
      </w:r>
      <w:r w:rsidRPr="00255E9C">
        <w:rPr>
          <w:rFonts w:asciiTheme="majorHAnsi" w:hAnsiTheme="majorHAnsi" w:cstheme="majorHAnsi"/>
          <w:b/>
          <w:i/>
          <w:sz w:val="20"/>
          <w:szCs w:val="20"/>
          <w:lang w:val="ro-MD"/>
        </w:rPr>
        <w:t>:</w:t>
      </w:r>
      <w:r w:rsidRPr="0089113F">
        <w:rPr>
          <w:rFonts w:asciiTheme="majorHAnsi" w:hAnsiTheme="majorHAnsi" w:cstheme="majorHAnsi"/>
          <w:i/>
          <w:sz w:val="20"/>
          <w:szCs w:val="20"/>
          <w:lang w:val="ro-MD"/>
        </w:rPr>
        <w:t xml:space="preserve"> </w:t>
      </w:r>
      <w:r w:rsidR="00DB1298">
        <w:rPr>
          <w:rFonts w:asciiTheme="majorHAnsi" w:hAnsiTheme="majorHAnsi" w:cstheme="majorHAnsi"/>
          <w:i/>
          <w:sz w:val="20"/>
          <w:szCs w:val="20"/>
          <w:lang w:val="ro-MD"/>
        </w:rPr>
        <w:t>Legile</w:t>
      </w:r>
      <w:r w:rsidR="0044616E" w:rsidRPr="0089113F">
        <w:rPr>
          <w:rFonts w:asciiTheme="majorHAnsi" w:hAnsiTheme="majorHAnsi" w:cstheme="majorHAnsi"/>
          <w:i/>
          <w:sz w:val="20"/>
          <w:szCs w:val="20"/>
          <w:lang w:val="ro-MD"/>
        </w:rPr>
        <w:t xml:space="preserve"> bugetului</w:t>
      </w:r>
      <w:r w:rsidR="00DB1298">
        <w:rPr>
          <w:rFonts w:asciiTheme="majorHAnsi" w:hAnsiTheme="majorHAnsi" w:cstheme="majorHAnsi"/>
          <w:i/>
          <w:sz w:val="20"/>
          <w:szCs w:val="20"/>
          <w:lang w:val="ro-MD"/>
        </w:rPr>
        <w:t xml:space="preserve"> de stat</w:t>
      </w:r>
      <w:r w:rsidR="0044616E" w:rsidRPr="0089113F">
        <w:rPr>
          <w:rFonts w:asciiTheme="majorHAnsi" w:hAnsiTheme="majorHAnsi" w:cstheme="majorHAnsi"/>
          <w:i/>
          <w:sz w:val="20"/>
          <w:szCs w:val="20"/>
          <w:lang w:val="ro-MD"/>
        </w:rPr>
        <w:t xml:space="preserve"> pentru anii 2020</w:t>
      </w:r>
      <w:r w:rsidR="006C4F0E">
        <w:rPr>
          <w:rFonts w:asciiTheme="majorHAnsi" w:hAnsiTheme="majorHAnsi" w:cstheme="majorHAnsi"/>
          <w:i/>
          <w:sz w:val="20"/>
          <w:szCs w:val="20"/>
          <w:lang w:val="ro-MD"/>
        </w:rPr>
        <w:t xml:space="preserve"> și </w:t>
      </w:r>
      <w:r w:rsidR="0044616E" w:rsidRPr="0089113F">
        <w:rPr>
          <w:rFonts w:asciiTheme="majorHAnsi" w:hAnsiTheme="majorHAnsi" w:cstheme="majorHAnsi"/>
          <w:i/>
          <w:sz w:val="20"/>
          <w:szCs w:val="20"/>
          <w:lang w:val="ro-MD"/>
        </w:rPr>
        <w:t>2021</w:t>
      </w:r>
      <w:r w:rsidR="006C4F0E">
        <w:rPr>
          <w:rFonts w:asciiTheme="majorHAnsi" w:hAnsiTheme="majorHAnsi" w:cstheme="majorHAnsi"/>
          <w:i/>
          <w:sz w:val="20"/>
          <w:szCs w:val="20"/>
          <w:lang w:val="ro-MD"/>
        </w:rPr>
        <w:t>,</w:t>
      </w:r>
      <w:r w:rsidR="00293450" w:rsidRPr="0089113F">
        <w:rPr>
          <w:rFonts w:asciiTheme="majorHAnsi" w:hAnsiTheme="majorHAnsi" w:cstheme="majorHAnsi"/>
          <w:i/>
          <w:sz w:val="20"/>
          <w:szCs w:val="20"/>
          <w:lang w:val="ro-MD"/>
        </w:rPr>
        <w:t xml:space="preserve"> cu modificările și completă</w:t>
      </w:r>
      <w:r w:rsidR="00C76CC7" w:rsidRPr="0089113F">
        <w:rPr>
          <w:rFonts w:asciiTheme="majorHAnsi" w:hAnsiTheme="majorHAnsi" w:cstheme="majorHAnsi"/>
          <w:i/>
          <w:sz w:val="20"/>
          <w:szCs w:val="20"/>
          <w:lang w:val="ro-MD"/>
        </w:rPr>
        <w:t>rile ulterioare</w:t>
      </w:r>
      <w:r w:rsidR="006C4F0E">
        <w:rPr>
          <w:rFonts w:asciiTheme="majorHAnsi" w:hAnsiTheme="majorHAnsi" w:cstheme="majorHAnsi"/>
          <w:i/>
          <w:sz w:val="20"/>
          <w:szCs w:val="20"/>
          <w:lang w:val="ro-MD"/>
        </w:rPr>
        <w:t>.</w:t>
      </w:r>
    </w:p>
    <w:p w14:paraId="724403B7" w14:textId="5A414CDE" w:rsidR="00E92908" w:rsidRPr="007917DD" w:rsidRDefault="00E92908" w:rsidP="00E92908">
      <w:pPr>
        <w:pStyle w:val="ListParagraph"/>
        <w:tabs>
          <w:tab w:val="left" w:pos="720"/>
        </w:tabs>
        <w:spacing w:after="0" w:line="276" w:lineRule="auto"/>
        <w:ind w:left="709"/>
        <w:outlineLvl w:val="1"/>
        <w:rPr>
          <w:rFonts w:asciiTheme="majorHAnsi" w:eastAsia="Times New Roman" w:hAnsiTheme="majorHAnsi" w:cstheme="majorHAnsi"/>
          <w:b/>
          <w:bCs/>
          <w:sz w:val="24"/>
          <w:szCs w:val="24"/>
          <w:lang w:val="ro-MD"/>
        </w:rPr>
      </w:pPr>
    </w:p>
    <w:p w14:paraId="27AAE743" w14:textId="440F6448" w:rsidR="00985A61" w:rsidRPr="00467FC8" w:rsidRDefault="00285AAF" w:rsidP="00AF44F1">
      <w:pPr>
        <w:spacing w:after="0" w:line="276" w:lineRule="auto"/>
        <w:ind w:firstLine="720"/>
        <w:jc w:val="both"/>
        <w:rPr>
          <w:rFonts w:asciiTheme="majorHAnsi" w:eastAsia="Times New Roman" w:hAnsiTheme="majorHAnsi" w:cstheme="majorHAnsi"/>
          <w:sz w:val="24"/>
          <w:szCs w:val="24"/>
          <w:lang w:val="ro-MD" w:eastAsia="ro-MD"/>
        </w:rPr>
      </w:pPr>
      <w:r w:rsidRPr="00467FC8">
        <w:rPr>
          <w:rFonts w:asciiTheme="majorHAnsi" w:eastAsia="Times New Roman" w:hAnsiTheme="majorHAnsi" w:cstheme="majorHAnsi"/>
          <w:sz w:val="24"/>
          <w:szCs w:val="24"/>
          <w:lang w:val="ro-MD" w:eastAsia="ro-MD"/>
        </w:rPr>
        <w:t xml:space="preserve">Efectivul-limită al </w:t>
      </w:r>
      <w:r w:rsidR="002875AA">
        <w:rPr>
          <w:rFonts w:asciiTheme="majorHAnsi" w:eastAsia="Times New Roman" w:hAnsiTheme="majorHAnsi" w:cstheme="majorHAnsi"/>
          <w:sz w:val="24"/>
          <w:szCs w:val="24"/>
          <w:lang w:val="ro-MD" w:eastAsia="ro-MD"/>
        </w:rPr>
        <w:t>i</w:t>
      </w:r>
      <w:r w:rsidRPr="00467FC8">
        <w:rPr>
          <w:rFonts w:asciiTheme="majorHAnsi" w:eastAsia="Times New Roman" w:hAnsiTheme="majorHAnsi" w:cstheme="majorHAnsi"/>
          <w:sz w:val="24"/>
          <w:szCs w:val="24"/>
          <w:lang w:val="ro-MD" w:eastAsia="ro-MD"/>
        </w:rPr>
        <w:t xml:space="preserve">nstituțiilor </w:t>
      </w:r>
      <w:r w:rsidR="002875AA">
        <w:rPr>
          <w:rFonts w:asciiTheme="majorHAnsi" w:eastAsia="Times New Roman" w:hAnsiTheme="majorHAnsi" w:cstheme="majorHAnsi"/>
          <w:sz w:val="24"/>
          <w:szCs w:val="24"/>
          <w:lang w:val="ro-MD" w:eastAsia="ro-MD"/>
        </w:rPr>
        <w:t>p</w:t>
      </w:r>
      <w:r w:rsidRPr="00467FC8">
        <w:rPr>
          <w:rFonts w:asciiTheme="majorHAnsi" w:eastAsia="Times New Roman" w:hAnsiTheme="majorHAnsi" w:cstheme="majorHAnsi"/>
          <w:sz w:val="24"/>
          <w:szCs w:val="24"/>
          <w:lang w:val="ro-MD" w:eastAsia="ro-MD"/>
        </w:rPr>
        <w:t xml:space="preserve">ublice din domeniul infrastructurii calității </w:t>
      </w:r>
      <w:r w:rsidR="00985A61" w:rsidRPr="00467FC8">
        <w:rPr>
          <w:rFonts w:asciiTheme="majorHAnsi" w:eastAsia="Times New Roman" w:hAnsiTheme="majorHAnsi" w:cstheme="majorHAnsi"/>
          <w:sz w:val="24"/>
          <w:szCs w:val="24"/>
          <w:lang w:val="ro-MD" w:eastAsia="ro-MD"/>
        </w:rPr>
        <w:t xml:space="preserve">la situația din 31 decembrie 2021 a fost </w:t>
      </w:r>
      <w:r w:rsidR="00467FC8" w:rsidRPr="00467FC8">
        <w:rPr>
          <w:rFonts w:asciiTheme="majorHAnsi" w:eastAsia="Times New Roman" w:hAnsiTheme="majorHAnsi" w:cstheme="majorHAnsi"/>
          <w:sz w:val="24"/>
          <w:szCs w:val="24"/>
          <w:lang w:val="ro-MD" w:eastAsia="ro-MD"/>
        </w:rPr>
        <w:t>aprobat</w:t>
      </w:r>
      <w:r w:rsidRPr="00467FC8">
        <w:rPr>
          <w:rFonts w:asciiTheme="majorHAnsi" w:eastAsia="Times New Roman" w:hAnsiTheme="majorHAnsi" w:cstheme="majorHAnsi"/>
          <w:sz w:val="24"/>
          <w:szCs w:val="24"/>
          <w:lang w:val="ro-MD" w:eastAsia="ro-MD"/>
        </w:rPr>
        <w:t xml:space="preserve"> în număr de </w:t>
      </w:r>
      <w:r w:rsidR="005C050E" w:rsidRPr="00467FC8">
        <w:rPr>
          <w:rFonts w:asciiTheme="majorHAnsi" w:eastAsia="Times New Roman" w:hAnsiTheme="majorHAnsi" w:cstheme="majorHAnsi"/>
          <w:sz w:val="24"/>
          <w:szCs w:val="24"/>
          <w:lang w:val="ro-MD" w:eastAsia="ro-MD"/>
        </w:rPr>
        <w:t>180 unități</w:t>
      </w:r>
      <w:r w:rsidR="00985A61" w:rsidRPr="00467FC8">
        <w:rPr>
          <w:rFonts w:asciiTheme="majorHAnsi" w:eastAsia="Times New Roman" w:hAnsiTheme="majorHAnsi" w:cstheme="majorHAnsi"/>
          <w:sz w:val="24"/>
          <w:szCs w:val="24"/>
          <w:lang w:val="ro-MD" w:eastAsia="ro-MD"/>
        </w:rPr>
        <w:t>, dintre care real încadrate</w:t>
      </w:r>
      <w:r w:rsidR="00892DC2">
        <w:rPr>
          <w:rFonts w:asciiTheme="majorHAnsi" w:eastAsia="Times New Roman" w:hAnsiTheme="majorHAnsi" w:cstheme="majorHAnsi"/>
          <w:sz w:val="24"/>
          <w:szCs w:val="24"/>
          <w:lang w:val="ro-MD" w:eastAsia="ro-MD"/>
        </w:rPr>
        <w:t xml:space="preserve"> </w:t>
      </w:r>
      <w:r w:rsidR="00985A61" w:rsidRPr="00467FC8">
        <w:rPr>
          <w:rFonts w:asciiTheme="majorHAnsi" w:eastAsia="Times New Roman" w:hAnsiTheme="majorHAnsi" w:cstheme="majorHAnsi"/>
          <w:sz w:val="24"/>
          <w:szCs w:val="24"/>
          <w:lang w:val="ro-MD" w:eastAsia="ro-MD"/>
        </w:rPr>
        <w:t>– 136 unități</w:t>
      </w:r>
      <w:r w:rsidR="00985A61" w:rsidRPr="00467FC8">
        <w:rPr>
          <w:rStyle w:val="FootnoteReference"/>
          <w:rFonts w:asciiTheme="majorHAnsi" w:eastAsia="Times New Roman" w:hAnsiTheme="majorHAnsi" w:cstheme="majorHAnsi"/>
          <w:szCs w:val="24"/>
          <w:lang w:val="ro-MD" w:eastAsia="ro-MD"/>
        </w:rPr>
        <w:footnoteReference w:id="3"/>
      </w:r>
      <w:r w:rsidR="00985A61" w:rsidRPr="00467FC8">
        <w:rPr>
          <w:rFonts w:asciiTheme="majorHAnsi" w:eastAsia="Times New Roman" w:hAnsiTheme="majorHAnsi" w:cstheme="majorHAnsi"/>
          <w:sz w:val="24"/>
          <w:szCs w:val="24"/>
          <w:lang w:val="ro-MD" w:eastAsia="ro-MD"/>
        </w:rPr>
        <w:t>.</w:t>
      </w:r>
    </w:p>
    <w:p w14:paraId="752B9B3F" w14:textId="25B1D82E" w:rsidR="00C6595C" w:rsidRPr="007917DD" w:rsidRDefault="00285AAF" w:rsidP="00AF44F1">
      <w:pPr>
        <w:spacing w:after="0" w:line="276" w:lineRule="auto"/>
        <w:ind w:firstLine="720"/>
        <w:jc w:val="both"/>
        <w:rPr>
          <w:rFonts w:asciiTheme="majorHAnsi" w:hAnsiTheme="majorHAnsi" w:cstheme="majorHAnsi"/>
          <w:b/>
          <w:sz w:val="24"/>
          <w:szCs w:val="24"/>
          <w:shd w:val="clear" w:color="auto" w:fill="FFFFFF"/>
          <w:lang w:val="ro-MD"/>
        </w:rPr>
      </w:pPr>
      <w:r w:rsidRPr="00A60A74">
        <w:rPr>
          <w:rFonts w:asciiTheme="majorHAnsi" w:eastAsia="Times New Roman" w:hAnsiTheme="majorHAnsi" w:cstheme="majorHAnsi"/>
          <w:color w:val="000000" w:themeColor="text1"/>
          <w:sz w:val="24"/>
          <w:szCs w:val="24"/>
          <w:lang w:val="ro-MD" w:eastAsia="ro-MD"/>
        </w:rPr>
        <w:t xml:space="preserve"> </w:t>
      </w:r>
      <w:r w:rsidR="0089113F">
        <w:rPr>
          <w:rFonts w:asciiTheme="majorHAnsi" w:hAnsiTheme="majorHAnsi" w:cstheme="majorHAnsi"/>
          <w:sz w:val="24"/>
          <w:szCs w:val="24"/>
          <w:shd w:val="clear" w:color="auto" w:fill="FFFFFF"/>
          <w:lang w:val="ro-MD"/>
        </w:rPr>
        <w:t xml:space="preserve">Rolul și funcțiile de bază ale </w:t>
      </w:r>
      <w:r w:rsidR="002875AA">
        <w:rPr>
          <w:rFonts w:asciiTheme="majorHAnsi" w:hAnsiTheme="majorHAnsi" w:cstheme="majorHAnsi"/>
          <w:sz w:val="24"/>
          <w:szCs w:val="24"/>
          <w:shd w:val="clear" w:color="auto" w:fill="FFFFFF"/>
          <w:lang w:val="ro-MD"/>
        </w:rPr>
        <w:t>i</w:t>
      </w:r>
      <w:r w:rsidR="004A0304">
        <w:rPr>
          <w:rFonts w:asciiTheme="majorHAnsi" w:hAnsiTheme="majorHAnsi" w:cstheme="majorHAnsi"/>
          <w:sz w:val="24"/>
          <w:szCs w:val="24"/>
          <w:shd w:val="clear" w:color="auto" w:fill="FFFFFF"/>
          <w:lang w:val="ro-MD"/>
        </w:rPr>
        <w:t xml:space="preserve">nstituțiilor </w:t>
      </w:r>
      <w:r w:rsidR="002875AA">
        <w:rPr>
          <w:rFonts w:asciiTheme="majorHAnsi" w:hAnsiTheme="majorHAnsi" w:cstheme="majorHAnsi"/>
          <w:sz w:val="24"/>
          <w:szCs w:val="24"/>
          <w:shd w:val="clear" w:color="auto" w:fill="FFFFFF"/>
          <w:lang w:val="ro-MD"/>
        </w:rPr>
        <w:t>p</w:t>
      </w:r>
      <w:r w:rsidR="004A0304">
        <w:rPr>
          <w:rFonts w:asciiTheme="majorHAnsi" w:hAnsiTheme="majorHAnsi" w:cstheme="majorHAnsi"/>
          <w:sz w:val="24"/>
          <w:szCs w:val="24"/>
          <w:shd w:val="clear" w:color="auto" w:fill="FFFFFF"/>
          <w:lang w:val="ro-MD"/>
        </w:rPr>
        <w:t>ublice, efectivul</w:t>
      </w:r>
      <w:r w:rsidR="002875AA">
        <w:rPr>
          <w:rFonts w:asciiTheme="majorHAnsi" w:hAnsiTheme="majorHAnsi" w:cstheme="majorHAnsi"/>
          <w:sz w:val="24"/>
          <w:szCs w:val="24"/>
          <w:shd w:val="clear" w:color="auto" w:fill="FFFFFF"/>
          <w:lang w:val="ro-MD"/>
        </w:rPr>
        <w:t>-</w:t>
      </w:r>
      <w:r w:rsidR="004A0304">
        <w:rPr>
          <w:rFonts w:asciiTheme="majorHAnsi" w:hAnsiTheme="majorHAnsi" w:cstheme="majorHAnsi"/>
          <w:sz w:val="24"/>
          <w:szCs w:val="24"/>
          <w:shd w:val="clear" w:color="auto" w:fill="FFFFFF"/>
          <w:lang w:val="ro-MD"/>
        </w:rPr>
        <w:t>limită, c</w:t>
      </w:r>
      <w:r w:rsidR="006D4E28" w:rsidRPr="007917DD">
        <w:rPr>
          <w:rFonts w:asciiTheme="majorHAnsi" w:hAnsiTheme="majorHAnsi" w:cstheme="majorHAnsi"/>
          <w:sz w:val="24"/>
          <w:szCs w:val="24"/>
          <w:shd w:val="clear" w:color="auto" w:fill="FFFFFF"/>
          <w:lang w:val="ro-MD"/>
        </w:rPr>
        <w:t>adrul de reglementare</w:t>
      </w:r>
      <w:r w:rsidR="006351ED" w:rsidRPr="007917DD">
        <w:rPr>
          <w:rFonts w:asciiTheme="majorHAnsi" w:hAnsiTheme="majorHAnsi" w:cstheme="majorHAnsi"/>
          <w:sz w:val="24"/>
          <w:szCs w:val="24"/>
          <w:shd w:val="clear" w:color="auto" w:fill="FFFFFF"/>
          <w:lang w:val="ro-MD"/>
        </w:rPr>
        <w:t xml:space="preserve"> relevant</w:t>
      </w:r>
      <w:r w:rsidR="001A3F53" w:rsidRPr="007917DD">
        <w:rPr>
          <w:rFonts w:asciiTheme="majorHAnsi" w:hAnsiTheme="majorHAnsi" w:cstheme="majorHAnsi"/>
          <w:sz w:val="24"/>
          <w:szCs w:val="24"/>
          <w:shd w:val="clear" w:color="auto" w:fill="FFFFFF"/>
          <w:lang w:val="ro-MD"/>
        </w:rPr>
        <w:t xml:space="preserve"> </w:t>
      </w:r>
      <w:r w:rsidR="001A3F53" w:rsidRPr="007917DD">
        <w:rPr>
          <w:rFonts w:asciiTheme="majorHAnsi" w:eastAsia="Calibri" w:hAnsiTheme="majorHAnsi" w:cstheme="majorHAnsi"/>
          <w:sz w:val="24"/>
          <w:szCs w:val="24"/>
          <w:lang w:val="ro-MD"/>
        </w:rPr>
        <w:t>b</w:t>
      </w:r>
      <w:r w:rsidR="001A3F53" w:rsidRPr="007917DD">
        <w:rPr>
          <w:rFonts w:asciiTheme="majorHAnsi" w:eastAsia="Times New Roman" w:hAnsiTheme="majorHAnsi" w:cstheme="majorHAnsi"/>
          <w:iCs/>
          <w:sz w:val="24"/>
          <w:szCs w:val="24"/>
          <w:lang w:val="ro-MD" w:eastAsia="ro-MD"/>
        </w:rPr>
        <w:t>azelor juridice, organizatorice și financiare de constituire și utilizare a  resurselor financiare publice</w:t>
      </w:r>
      <w:r w:rsidR="0089113F">
        <w:rPr>
          <w:rFonts w:asciiTheme="majorHAnsi" w:eastAsia="Times New Roman" w:hAnsiTheme="majorHAnsi" w:cstheme="majorHAnsi"/>
          <w:iCs/>
          <w:sz w:val="24"/>
          <w:szCs w:val="24"/>
          <w:lang w:val="ro-MD" w:eastAsia="ro-MD"/>
        </w:rPr>
        <w:t>,</w:t>
      </w:r>
      <w:r w:rsidR="001A3F53" w:rsidRPr="007917DD">
        <w:rPr>
          <w:rFonts w:asciiTheme="majorHAnsi" w:eastAsia="Times New Roman" w:hAnsiTheme="majorHAnsi" w:cstheme="majorHAnsi"/>
          <w:iCs/>
          <w:sz w:val="24"/>
          <w:szCs w:val="24"/>
          <w:lang w:val="ro-MD" w:eastAsia="ro-MD"/>
        </w:rPr>
        <w:t xml:space="preserve"> în perioada auditată</w:t>
      </w:r>
      <w:r w:rsidR="0089113F">
        <w:rPr>
          <w:rFonts w:asciiTheme="majorHAnsi" w:hAnsiTheme="majorHAnsi" w:cstheme="majorHAnsi"/>
          <w:sz w:val="24"/>
          <w:szCs w:val="24"/>
          <w:shd w:val="clear" w:color="auto" w:fill="FFFFFF"/>
          <w:lang w:val="ro-MD"/>
        </w:rPr>
        <w:t>,</w:t>
      </w:r>
      <w:r w:rsidR="0060499F">
        <w:rPr>
          <w:rFonts w:asciiTheme="majorHAnsi" w:hAnsiTheme="majorHAnsi" w:cstheme="majorHAnsi"/>
          <w:sz w:val="24"/>
          <w:szCs w:val="24"/>
          <w:shd w:val="clear" w:color="auto" w:fill="FFFFFF"/>
          <w:lang w:val="ro-MD"/>
        </w:rPr>
        <w:t xml:space="preserve"> </w:t>
      </w:r>
      <w:r w:rsidR="006351ED" w:rsidRPr="007917DD">
        <w:rPr>
          <w:rFonts w:asciiTheme="majorHAnsi" w:hAnsiTheme="majorHAnsi" w:cstheme="majorHAnsi"/>
          <w:sz w:val="24"/>
          <w:szCs w:val="24"/>
          <w:shd w:val="clear" w:color="auto" w:fill="FFFFFF"/>
          <w:lang w:val="ro-MD"/>
        </w:rPr>
        <w:t>se expun</w:t>
      </w:r>
      <w:r w:rsidR="00B849F5" w:rsidRPr="007917DD">
        <w:rPr>
          <w:rFonts w:asciiTheme="majorHAnsi" w:hAnsiTheme="majorHAnsi" w:cstheme="majorHAnsi"/>
          <w:sz w:val="24"/>
          <w:szCs w:val="24"/>
          <w:shd w:val="clear" w:color="auto" w:fill="FFFFFF"/>
          <w:lang w:val="ro-MD"/>
        </w:rPr>
        <w:t xml:space="preserve"> în </w:t>
      </w:r>
      <w:r w:rsidR="00B849F5" w:rsidRPr="00255E9C">
        <w:rPr>
          <w:rFonts w:asciiTheme="majorHAnsi" w:hAnsiTheme="majorHAnsi" w:cstheme="majorHAnsi"/>
          <w:sz w:val="24"/>
          <w:szCs w:val="24"/>
          <w:shd w:val="clear" w:color="auto" w:fill="FFFFFF"/>
          <w:lang w:val="ro-MD"/>
        </w:rPr>
        <w:t>Anexa nr. 1</w:t>
      </w:r>
      <w:r w:rsidR="0060499F" w:rsidRPr="00255E9C">
        <w:rPr>
          <w:rFonts w:asciiTheme="majorHAnsi" w:eastAsia="Times New Roman" w:hAnsiTheme="majorHAnsi" w:cstheme="majorHAnsi"/>
          <w:b/>
          <w:sz w:val="24"/>
          <w:szCs w:val="24"/>
          <w:lang w:val="ro-MD" w:eastAsia="ro-MD"/>
        </w:rPr>
        <w:t>.</w:t>
      </w:r>
      <w:r w:rsidR="0060499F" w:rsidRPr="00255E9C">
        <w:rPr>
          <w:rFonts w:asciiTheme="majorHAnsi" w:eastAsia="Times New Roman" w:hAnsiTheme="majorHAnsi" w:cstheme="majorHAnsi"/>
          <w:b/>
          <w:i/>
          <w:sz w:val="24"/>
          <w:szCs w:val="24"/>
          <w:lang w:val="ro-MD" w:eastAsia="ro-MD"/>
        </w:rPr>
        <w:t xml:space="preserve"> </w:t>
      </w:r>
      <w:r w:rsidR="00B849F5" w:rsidRPr="0060499F">
        <w:rPr>
          <w:rFonts w:asciiTheme="majorHAnsi" w:hAnsiTheme="majorHAnsi" w:cstheme="majorHAnsi"/>
          <w:i/>
          <w:sz w:val="24"/>
          <w:szCs w:val="24"/>
          <w:lang w:val="ro-MD"/>
        </w:rPr>
        <w:t>Informații aferente domeniului auditat</w:t>
      </w:r>
      <w:r w:rsidR="00CF3CB2" w:rsidRPr="007917DD">
        <w:rPr>
          <w:rFonts w:asciiTheme="majorHAnsi" w:eastAsia="Times New Roman" w:hAnsiTheme="majorHAnsi" w:cstheme="majorHAnsi"/>
          <w:i/>
          <w:sz w:val="24"/>
          <w:szCs w:val="24"/>
          <w:lang w:val="ro-MD" w:eastAsia="ro-MD"/>
        </w:rPr>
        <w:t xml:space="preserve"> </w:t>
      </w:r>
      <w:r w:rsidR="00CF3CB2" w:rsidRPr="00255E9C">
        <w:rPr>
          <w:rFonts w:asciiTheme="majorHAnsi" w:eastAsia="Times New Roman" w:hAnsiTheme="majorHAnsi" w:cstheme="majorHAnsi"/>
          <w:sz w:val="24"/>
          <w:szCs w:val="24"/>
          <w:lang w:val="ro-MD" w:eastAsia="ro-MD"/>
        </w:rPr>
        <w:t xml:space="preserve">la </w:t>
      </w:r>
      <w:r w:rsidR="00C76CC7" w:rsidRPr="00255E9C">
        <w:rPr>
          <w:rFonts w:asciiTheme="majorHAnsi" w:eastAsia="Times New Roman" w:hAnsiTheme="majorHAnsi" w:cstheme="majorHAnsi"/>
          <w:sz w:val="24"/>
          <w:szCs w:val="24"/>
          <w:lang w:val="ro-MD" w:eastAsia="ro-MD"/>
        </w:rPr>
        <w:t xml:space="preserve">prezentul </w:t>
      </w:r>
      <w:r w:rsidR="00CF3CB2" w:rsidRPr="00255E9C">
        <w:rPr>
          <w:rFonts w:asciiTheme="majorHAnsi" w:eastAsia="Times New Roman" w:hAnsiTheme="majorHAnsi" w:cstheme="majorHAnsi"/>
          <w:sz w:val="24"/>
          <w:szCs w:val="24"/>
          <w:lang w:val="ro-MD" w:eastAsia="ro-MD"/>
        </w:rPr>
        <w:t>Raport de audit</w:t>
      </w:r>
      <w:r w:rsidR="00B849F5" w:rsidRPr="00255E9C">
        <w:rPr>
          <w:rFonts w:asciiTheme="majorHAnsi" w:eastAsia="Times New Roman" w:hAnsiTheme="majorHAnsi" w:cstheme="majorHAnsi"/>
          <w:sz w:val="24"/>
          <w:szCs w:val="24"/>
          <w:lang w:val="ro-MD" w:eastAsia="ro-MD"/>
        </w:rPr>
        <w:t>.</w:t>
      </w:r>
    </w:p>
    <w:p w14:paraId="4518682A" w14:textId="68479FE4" w:rsidR="007948B5" w:rsidRPr="00BF3EEA" w:rsidRDefault="00C6595C" w:rsidP="00BF3EEA">
      <w:pPr>
        <w:pStyle w:val="ListParagraph"/>
        <w:numPr>
          <w:ilvl w:val="1"/>
          <w:numId w:val="2"/>
        </w:numPr>
        <w:tabs>
          <w:tab w:val="left" w:pos="720"/>
        </w:tabs>
        <w:spacing w:after="0" w:line="276" w:lineRule="auto"/>
        <w:ind w:left="709" w:firstLine="0"/>
        <w:outlineLvl w:val="1"/>
        <w:rPr>
          <w:rFonts w:asciiTheme="majorHAnsi" w:hAnsiTheme="majorHAnsi" w:cstheme="majorHAnsi"/>
          <w:b/>
          <w:color w:val="00B0F0"/>
          <w:sz w:val="24"/>
          <w:szCs w:val="24"/>
          <w:lang w:val="ro-MD"/>
        </w:rPr>
      </w:pPr>
      <w:bookmarkStart w:id="6" w:name="_Toc123116695"/>
      <w:r w:rsidRPr="00BF3EEA">
        <w:rPr>
          <w:rFonts w:asciiTheme="majorHAnsi" w:hAnsiTheme="majorHAnsi" w:cstheme="majorHAnsi"/>
          <w:b/>
          <w:color w:val="00B0F0"/>
          <w:sz w:val="24"/>
          <w:szCs w:val="24"/>
          <w:lang w:val="ro-MD"/>
        </w:rPr>
        <w:t xml:space="preserve">Patrimoniul </w:t>
      </w:r>
      <w:r w:rsidR="007948B5" w:rsidRPr="00BF3EEA">
        <w:rPr>
          <w:rFonts w:asciiTheme="majorHAnsi" w:hAnsiTheme="majorHAnsi" w:cstheme="majorHAnsi"/>
          <w:b/>
          <w:color w:val="00B0F0"/>
          <w:sz w:val="24"/>
          <w:szCs w:val="24"/>
          <w:lang w:val="ro-MD"/>
        </w:rPr>
        <w:t>gestionat</w:t>
      </w:r>
      <w:bookmarkEnd w:id="6"/>
      <w:r w:rsidRPr="00BF3EEA">
        <w:rPr>
          <w:rFonts w:asciiTheme="majorHAnsi" w:hAnsiTheme="majorHAnsi" w:cstheme="majorHAnsi"/>
          <w:b/>
          <w:color w:val="00B0F0"/>
          <w:sz w:val="24"/>
          <w:szCs w:val="24"/>
          <w:lang w:val="ro-MD"/>
        </w:rPr>
        <w:t xml:space="preserve"> </w:t>
      </w:r>
    </w:p>
    <w:p w14:paraId="14DF5101" w14:textId="40DA90D6" w:rsidR="00285AAF" w:rsidRPr="00467FC8" w:rsidRDefault="0060499F" w:rsidP="00863272">
      <w:pPr>
        <w:jc w:val="both"/>
        <w:rPr>
          <w:rFonts w:asciiTheme="majorHAnsi" w:eastAsia="Times New Roman" w:hAnsiTheme="majorHAnsi" w:cstheme="majorHAnsi"/>
          <w:sz w:val="24"/>
          <w:szCs w:val="24"/>
          <w:highlight w:val="yellow"/>
          <w:lang w:val="ro-MD" w:eastAsia="ro-MD"/>
        </w:rPr>
      </w:pPr>
      <w:r>
        <w:rPr>
          <w:rFonts w:asciiTheme="majorHAnsi" w:hAnsiTheme="majorHAnsi" w:cstheme="majorHAnsi"/>
          <w:color w:val="000000" w:themeColor="text1"/>
          <w:sz w:val="24"/>
          <w:szCs w:val="24"/>
          <w:lang w:val="ro-MD"/>
        </w:rPr>
        <w:t xml:space="preserve">             </w:t>
      </w:r>
      <w:r w:rsidR="00285AAF" w:rsidRPr="00285AAF">
        <w:rPr>
          <w:rFonts w:asciiTheme="majorHAnsi" w:hAnsiTheme="majorHAnsi" w:cstheme="majorHAnsi"/>
          <w:color w:val="000000" w:themeColor="text1"/>
          <w:sz w:val="24"/>
          <w:szCs w:val="24"/>
          <w:lang w:val="ro-MD"/>
        </w:rPr>
        <w:t>Patrimoniul gestionat de instituțiile publice din domeniul infrastructurii calității aparține în totalitate statului și, în aspectul existenței și componenței materiale, la finele anului 2021</w:t>
      </w:r>
      <w:r w:rsidR="00154790" w:rsidRPr="00E62256">
        <w:rPr>
          <w:rFonts w:asciiTheme="majorHAnsi" w:hAnsiTheme="majorHAnsi" w:cstheme="majorHAnsi"/>
          <w:sz w:val="24"/>
          <w:szCs w:val="24"/>
          <w:lang w:val="ro-MD"/>
        </w:rPr>
        <w:t xml:space="preserve"> </w:t>
      </w:r>
      <w:r w:rsidRPr="00285AAF">
        <w:rPr>
          <w:rFonts w:asciiTheme="majorHAnsi" w:hAnsiTheme="majorHAnsi" w:cstheme="majorHAnsi"/>
          <w:color w:val="000000" w:themeColor="text1"/>
          <w:sz w:val="24"/>
          <w:szCs w:val="24"/>
          <w:lang w:val="ro-MD"/>
        </w:rPr>
        <w:t xml:space="preserve">a constituit </w:t>
      </w:r>
      <w:r w:rsidR="00E62256" w:rsidRPr="00E62256">
        <w:rPr>
          <w:rFonts w:asciiTheme="majorHAnsi" w:hAnsiTheme="majorHAnsi" w:cstheme="majorHAnsi"/>
          <w:sz w:val="24"/>
          <w:szCs w:val="24"/>
          <w:lang w:val="ro-MD"/>
        </w:rPr>
        <w:t>37 269,13</w:t>
      </w:r>
      <w:r w:rsidR="00154790" w:rsidRPr="00E62256">
        <w:rPr>
          <w:rFonts w:asciiTheme="majorHAnsi" w:hAnsiTheme="majorHAnsi" w:cstheme="majorHAnsi"/>
          <w:sz w:val="24"/>
          <w:szCs w:val="24"/>
          <w:lang w:val="ro-MD"/>
        </w:rPr>
        <w:t xml:space="preserve"> </w:t>
      </w:r>
      <w:r w:rsidR="00FB4FD3" w:rsidRPr="00285AAF">
        <w:rPr>
          <w:rFonts w:asciiTheme="majorHAnsi" w:hAnsiTheme="majorHAnsi" w:cstheme="majorHAnsi"/>
          <w:sz w:val="24"/>
          <w:szCs w:val="24"/>
          <w:lang w:val="ro-MD"/>
        </w:rPr>
        <w:t>mii lei</w:t>
      </w:r>
      <w:r>
        <w:rPr>
          <w:rFonts w:asciiTheme="majorHAnsi" w:hAnsiTheme="majorHAnsi" w:cstheme="majorHAnsi"/>
          <w:sz w:val="24"/>
          <w:szCs w:val="24"/>
          <w:lang w:val="ro-MD"/>
        </w:rPr>
        <w:t>,</w:t>
      </w:r>
      <w:r w:rsidR="00FB4FD3" w:rsidRPr="00285AAF">
        <w:rPr>
          <w:rFonts w:asciiTheme="majorHAnsi" w:hAnsiTheme="majorHAnsi" w:cstheme="majorHAnsi"/>
          <w:sz w:val="24"/>
          <w:szCs w:val="24"/>
          <w:lang w:val="ro-MD"/>
        </w:rPr>
        <w:t xml:space="preserve"> </w:t>
      </w:r>
      <w:r w:rsidR="00285AAF" w:rsidRPr="00285AAF">
        <w:rPr>
          <w:rFonts w:asciiTheme="majorHAnsi" w:hAnsiTheme="majorHAnsi" w:cstheme="majorHAnsi"/>
          <w:sz w:val="24"/>
          <w:szCs w:val="24"/>
          <w:lang w:val="ro-MD"/>
        </w:rPr>
        <w:t>cu o diminuare față de perioada precedentă de</w:t>
      </w:r>
      <w:r w:rsidR="00FB4FD3">
        <w:rPr>
          <w:rFonts w:asciiTheme="majorHAnsi" w:hAnsiTheme="majorHAnsi" w:cstheme="majorHAnsi"/>
          <w:sz w:val="24"/>
          <w:szCs w:val="24"/>
          <w:lang w:val="ro-MD"/>
        </w:rPr>
        <w:t xml:space="preserve"> </w:t>
      </w:r>
      <w:r w:rsidR="00E62256" w:rsidRPr="00E62256">
        <w:rPr>
          <w:rFonts w:asciiTheme="majorHAnsi" w:hAnsiTheme="majorHAnsi" w:cstheme="majorHAnsi"/>
          <w:sz w:val="24"/>
          <w:szCs w:val="24"/>
          <w:lang w:val="ro-MD"/>
        </w:rPr>
        <w:t>2 841,29</w:t>
      </w:r>
      <w:r w:rsidR="00154790" w:rsidRPr="00E62256">
        <w:rPr>
          <w:rFonts w:asciiTheme="majorHAnsi" w:hAnsiTheme="majorHAnsi" w:cstheme="majorHAnsi"/>
          <w:sz w:val="24"/>
          <w:szCs w:val="24"/>
          <w:lang w:val="ro-MD"/>
        </w:rPr>
        <w:t xml:space="preserve"> </w:t>
      </w:r>
      <w:r w:rsidR="00FB4FD3" w:rsidRPr="00467FC8">
        <w:rPr>
          <w:rFonts w:asciiTheme="majorHAnsi" w:hAnsiTheme="majorHAnsi" w:cstheme="majorHAnsi"/>
          <w:sz w:val="24"/>
          <w:szCs w:val="24"/>
          <w:lang w:val="ro-MD"/>
        </w:rPr>
        <w:t>mii lei</w:t>
      </w:r>
      <w:r w:rsidR="001002D1" w:rsidRPr="00467FC8">
        <w:rPr>
          <w:rFonts w:asciiTheme="majorHAnsi" w:hAnsiTheme="majorHAnsi" w:cstheme="majorHAnsi"/>
          <w:sz w:val="24"/>
          <w:szCs w:val="24"/>
          <w:lang w:val="ro-MD"/>
        </w:rPr>
        <w:t>.</w:t>
      </w:r>
      <w:r w:rsidR="00221915" w:rsidRPr="00467FC8">
        <w:rPr>
          <w:rFonts w:asciiTheme="majorHAnsi" w:hAnsiTheme="majorHAnsi" w:cstheme="majorHAnsi"/>
          <w:sz w:val="24"/>
          <w:szCs w:val="24"/>
          <w:lang w:val="ro-MD"/>
        </w:rPr>
        <w:t xml:space="preserve"> Dat </w:t>
      </w:r>
      <w:r w:rsidR="00221915" w:rsidRPr="002C25A0">
        <w:rPr>
          <w:rFonts w:asciiTheme="majorHAnsi" w:hAnsiTheme="majorHAnsi" w:cstheme="majorHAnsi"/>
          <w:sz w:val="24"/>
          <w:szCs w:val="24"/>
          <w:lang w:val="ro-MD"/>
        </w:rPr>
        <w:t>fiind că instituțiile</w:t>
      </w:r>
      <w:r w:rsidR="00221915" w:rsidRPr="00467FC8">
        <w:rPr>
          <w:rFonts w:asciiTheme="majorHAnsi" w:hAnsiTheme="majorHAnsi" w:cstheme="majorHAnsi"/>
          <w:sz w:val="24"/>
          <w:szCs w:val="24"/>
          <w:lang w:val="ro-MD"/>
        </w:rPr>
        <w:t xml:space="preserve"> publice </w:t>
      </w:r>
      <w:r w:rsidR="002C25A0">
        <w:rPr>
          <w:rFonts w:asciiTheme="majorHAnsi" w:hAnsiTheme="majorHAnsi" w:cstheme="majorHAnsi"/>
          <w:sz w:val="24"/>
          <w:szCs w:val="24"/>
          <w:lang w:val="ro-MD"/>
        </w:rPr>
        <w:t xml:space="preserve">- </w:t>
      </w:r>
      <w:r w:rsidR="00221915" w:rsidRPr="00467FC8">
        <w:rPr>
          <w:rFonts w:asciiTheme="majorHAnsi" w:hAnsiTheme="majorHAnsi" w:cstheme="majorHAnsi"/>
          <w:sz w:val="24"/>
          <w:szCs w:val="24"/>
          <w:lang w:val="ro-MD"/>
        </w:rPr>
        <w:t xml:space="preserve">ISM, INM și MOLDAC aplică normele de evidență contabilă și raportare financiară în conformitate cu </w:t>
      </w:r>
      <w:r w:rsidR="00221915" w:rsidRPr="00B52EC6">
        <w:rPr>
          <w:rFonts w:asciiTheme="majorHAnsi" w:hAnsiTheme="majorHAnsi" w:cstheme="majorHAnsi"/>
          <w:sz w:val="24"/>
          <w:szCs w:val="24"/>
          <w:lang w:val="ro-MD"/>
        </w:rPr>
        <w:t>SNC,</w:t>
      </w:r>
      <w:r w:rsidR="00863272" w:rsidRPr="00467FC8">
        <w:rPr>
          <w:rFonts w:asciiTheme="majorHAnsi" w:hAnsiTheme="majorHAnsi" w:cstheme="majorHAnsi"/>
          <w:sz w:val="24"/>
          <w:szCs w:val="24"/>
          <w:lang w:val="ro-MD"/>
        </w:rPr>
        <w:t xml:space="preserve"> specifice sistemului corporativ, </w:t>
      </w:r>
      <w:r w:rsidR="00221915" w:rsidRPr="00467FC8">
        <w:rPr>
          <w:rFonts w:asciiTheme="majorHAnsi" w:hAnsiTheme="majorHAnsi" w:cstheme="majorHAnsi"/>
          <w:sz w:val="24"/>
          <w:szCs w:val="24"/>
          <w:lang w:val="ro-MD"/>
        </w:rPr>
        <w:t xml:space="preserve">iar instituția publică </w:t>
      </w:r>
      <w:r w:rsidR="005608B8" w:rsidRPr="00467FC8">
        <w:rPr>
          <w:rFonts w:asciiTheme="majorHAnsi" w:hAnsiTheme="majorHAnsi" w:cstheme="majorHAnsi"/>
          <w:sz w:val="24"/>
          <w:szCs w:val="24"/>
          <w:lang w:val="ro-MD"/>
        </w:rPr>
        <w:t>ISSPNPC</w:t>
      </w:r>
      <w:r w:rsidR="00D85694" w:rsidRPr="00467FC8">
        <w:rPr>
          <w:rFonts w:asciiTheme="majorHAnsi" w:hAnsiTheme="majorHAnsi" w:cstheme="majorHAnsi"/>
          <w:sz w:val="24"/>
          <w:szCs w:val="24"/>
          <w:lang w:val="ro-MD"/>
        </w:rPr>
        <w:t xml:space="preserve"> – </w:t>
      </w:r>
      <w:r w:rsidR="00D85694" w:rsidRPr="00467FC8">
        <w:rPr>
          <w:rFonts w:asciiTheme="majorHAnsi" w:hAnsiTheme="majorHAnsi" w:cstheme="majorHAnsi"/>
          <w:sz w:val="24"/>
          <w:szCs w:val="24"/>
          <w:lang w:val="ro-MD"/>
        </w:rPr>
        <w:lastRenderedPageBreak/>
        <w:t>cele specifice sistemului bugetar, informațiile privind situația patrimonial</w:t>
      </w:r>
      <w:r>
        <w:rPr>
          <w:rFonts w:asciiTheme="majorHAnsi" w:hAnsiTheme="majorHAnsi" w:cstheme="majorHAnsi"/>
          <w:sz w:val="24"/>
          <w:szCs w:val="24"/>
          <w:lang w:val="ro-MD"/>
        </w:rPr>
        <w:t>-</w:t>
      </w:r>
      <w:r w:rsidR="00D85694" w:rsidRPr="00467FC8">
        <w:rPr>
          <w:rFonts w:asciiTheme="majorHAnsi" w:hAnsiTheme="majorHAnsi" w:cstheme="majorHAnsi"/>
          <w:sz w:val="24"/>
          <w:szCs w:val="24"/>
          <w:lang w:val="ro-MD"/>
        </w:rPr>
        <w:t xml:space="preserve">financiară a instituțiilor </w:t>
      </w:r>
      <w:r w:rsidR="00456EF2" w:rsidRPr="00467FC8">
        <w:rPr>
          <w:rFonts w:asciiTheme="majorHAnsi" w:hAnsiTheme="majorHAnsi" w:cstheme="majorHAnsi"/>
          <w:sz w:val="24"/>
          <w:szCs w:val="24"/>
          <w:lang w:val="ro-MD"/>
        </w:rPr>
        <w:t xml:space="preserve">publice nominalizate </w:t>
      </w:r>
      <w:r w:rsidR="00D85694" w:rsidRPr="00467FC8">
        <w:rPr>
          <w:rFonts w:asciiTheme="majorHAnsi" w:hAnsiTheme="majorHAnsi" w:cstheme="majorHAnsi"/>
          <w:sz w:val="24"/>
          <w:szCs w:val="24"/>
          <w:lang w:val="ro-MD"/>
        </w:rPr>
        <w:t xml:space="preserve">se prezintă </w:t>
      </w:r>
      <w:r w:rsidR="00863272" w:rsidRPr="00467FC8">
        <w:rPr>
          <w:rFonts w:asciiTheme="majorHAnsi" w:hAnsiTheme="majorHAnsi" w:cstheme="majorHAnsi"/>
          <w:sz w:val="24"/>
          <w:szCs w:val="24"/>
          <w:lang w:val="ro-MD"/>
        </w:rPr>
        <w:t>separat.</w:t>
      </w:r>
    </w:p>
    <w:p w14:paraId="21D26705" w14:textId="5E9C7950" w:rsidR="003E795B" w:rsidRPr="00255E9C" w:rsidRDefault="003E795B" w:rsidP="003E795B">
      <w:pPr>
        <w:pStyle w:val="ListParagraph"/>
        <w:spacing w:after="0"/>
        <w:ind w:left="0"/>
        <w:jc w:val="right"/>
        <w:rPr>
          <w:rFonts w:asciiTheme="majorHAnsi" w:hAnsiTheme="majorHAnsi" w:cstheme="majorHAnsi"/>
          <w:b/>
          <w:i/>
          <w:sz w:val="24"/>
          <w:szCs w:val="24"/>
          <w:lang w:val="ro-MD"/>
        </w:rPr>
      </w:pPr>
      <w:r w:rsidRPr="00255E9C">
        <w:rPr>
          <w:rFonts w:asciiTheme="majorHAnsi" w:hAnsiTheme="majorHAnsi" w:cstheme="majorHAnsi"/>
          <w:b/>
          <w:i/>
          <w:sz w:val="24"/>
          <w:szCs w:val="24"/>
          <w:lang w:val="ro-MD"/>
        </w:rPr>
        <w:t xml:space="preserve">Tabelul </w:t>
      </w:r>
      <w:r w:rsidR="00184FC1">
        <w:rPr>
          <w:rFonts w:asciiTheme="majorHAnsi" w:hAnsiTheme="majorHAnsi" w:cstheme="majorHAnsi"/>
          <w:b/>
          <w:i/>
          <w:sz w:val="24"/>
          <w:szCs w:val="24"/>
          <w:lang w:val="ro-MD"/>
        </w:rPr>
        <w:t xml:space="preserve">nr. </w:t>
      </w:r>
      <w:r w:rsidR="00456EF2" w:rsidRPr="00255E9C">
        <w:rPr>
          <w:rFonts w:asciiTheme="majorHAnsi" w:hAnsiTheme="majorHAnsi" w:cstheme="majorHAnsi"/>
          <w:b/>
          <w:i/>
          <w:sz w:val="24"/>
          <w:szCs w:val="24"/>
          <w:lang w:val="ro-MD"/>
        </w:rPr>
        <w:t>2.</w:t>
      </w:r>
      <w:r w:rsidRPr="00255E9C">
        <w:rPr>
          <w:rFonts w:asciiTheme="majorHAnsi" w:hAnsiTheme="majorHAnsi" w:cstheme="majorHAnsi"/>
          <w:b/>
          <w:i/>
          <w:sz w:val="24"/>
          <w:szCs w:val="24"/>
          <w:lang w:val="ro-MD"/>
        </w:rPr>
        <w:t>2.1</w:t>
      </w:r>
      <w:r w:rsidR="00184FC1">
        <w:rPr>
          <w:rFonts w:asciiTheme="majorHAnsi" w:hAnsiTheme="majorHAnsi" w:cstheme="majorHAnsi"/>
          <w:b/>
          <w:i/>
          <w:sz w:val="24"/>
          <w:szCs w:val="24"/>
          <w:lang w:val="ro-MD"/>
        </w:rPr>
        <w:t>.</w:t>
      </w:r>
    </w:p>
    <w:p w14:paraId="50123FA7" w14:textId="1A18B8BB" w:rsidR="0089113F" w:rsidRDefault="003E795B" w:rsidP="003E795B">
      <w:pPr>
        <w:pStyle w:val="ListParagraph"/>
        <w:spacing w:after="0"/>
        <w:ind w:left="0"/>
        <w:jc w:val="center"/>
        <w:rPr>
          <w:rFonts w:asciiTheme="majorHAnsi" w:hAnsiTheme="majorHAnsi" w:cstheme="majorHAnsi"/>
          <w:b/>
          <w:sz w:val="24"/>
          <w:szCs w:val="24"/>
          <w:lang w:val="ro-MD"/>
        </w:rPr>
      </w:pPr>
      <w:r w:rsidRPr="0026228B">
        <w:rPr>
          <w:rFonts w:asciiTheme="majorHAnsi" w:hAnsiTheme="majorHAnsi" w:cstheme="majorHAnsi"/>
          <w:b/>
          <w:sz w:val="24"/>
          <w:szCs w:val="24"/>
          <w:lang w:val="ro-MD"/>
        </w:rPr>
        <w:t>Situația patrimonial</w:t>
      </w:r>
      <w:r w:rsidR="0060499F">
        <w:rPr>
          <w:rFonts w:asciiTheme="majorHAnsi" w:hAnsiTheme="majorHAnsi" w:cstheme="majorHAnsi"/>
          <w:b/>
          <w:sz w:val="24"/>
          <w:szCs w:val="24"/>
          <w:lang w:val="ro-MD"/>
        </w:rPr>
        <w:t>-</w:t>
      </w:r>
      <w:r w:rsidRPr="0026228B">
        <w:rPr>
          <w:rFonts w:asciiTheme="majorHAnsi" w:hAnsiTheme="majorHAnsi" w:cstheme="majorHAnsi"/>
          <w:b/>
          <w:sz w:val="24"/>
          <w:szCs w:val="24"/>
          <w:lang w:val="ro-MD"/>
        </w:rPr>
        <w:t xml:space="preserve">financiară a </w:t>
      </w:r>
      <w:r w:rsidR="0060499F">
        <w:rPr>
          <w:rFonts w:asciiTheme="majorHAnsi" w:hAnsiTheme="majorHAnsi" w:cstheme="majorHAnsi"/>
          <w:b/>
          <w:sz w:val="24"/>
          <w:szCs w:val="24"/>
          <w:lang w:val="ro-MD"/>
        </w:rPr>
        <w:t>i</w:t>
      </w:r>
      <w:r w:rsidRPr="0026228B">
        <w:rPr>
          <w:rFonts w:asciiTheme="majorHAnsi" w:hAnsiTheme="majorHAnsi" w:cstheme="majorHAnsi"/>
          <w:b/>
          <w:sz w:val="24"/>
          <w:szCs w:val="24"/>
          <w:lang w:val="ro-MD"/>
        </w:rPr>
        <w:t xml:space="preserve">nstituțiilor </w:t>
      </w:r>
      <w:r w:rsidR="0060499F">
        <w:rPr>
          <w:rFonts w:asciiTheme="majorHAnsi" w:hAnsiTheme="majorHAnsi" w:cstheme="majorHAnsi"/>
          <w:b/>
          <w:sz w:val="24"/>
          <w:szCs w:val="24"/>
          <w:lang w:val="ro-MD"/>
        </w:rPr>
        <w:t>p</w:t>
      </w:r>
      <w:r w:rsidRPr="0026228B">
        <w:rPr>
          <w:rFonts w:asciiTheme="majorHAnsi" w:hAnsiTheme="majorHAnsi" w:cstheme="majorHAnsi"/>
          <w:b/>
          <w:sz w:val="24"/>
          <w:szCs w:val="24"/>
          <w:lang w:val="ro-MD"/>
        </w:rPr>
        <w:t>ublice din domeniul infrastructurii calității</w:t>
      </w:r>
    </w:p>
    <w:p w14:paraId="01422B46" w14:textId="0BF41FEC" w:rsidR="00CC5C00" w:rsidRDefault="003E795B" w:rsidP="003E795B">
      <w:pPr>
        <w:pStyle w:val="ListParagraph"/>
        <w:spacing w:after="0"/>
        <w:ind w:left="0"/>
        <w:jc w:val="center"/>
        <w:rPr>
          <w:rFonts w:asciiTheme="majorHAnsi" w:hAnsiTheme="majorHAnsi" w:cstheme="majorHAnsi"/>
          <w:b/>
          <w:sz w:val="24"/>
          <w:szCs w:val="24"/>
          <w:lang w:val="ro-MD"/>
        </w:rPr>
      </w:pPr>
      <w:r w:rsidRPr="0026228B">
        <w:rPr>
          <w:rFonts w:asciiTheme="majorHAnsi" w:hAnsiTheme="majorHAnsi" w:cstheme="majorHAnsi"/>
          <w:b/>
          <w:sz w:val="24"/>
          <w:szCs w:val="24"/>
          <w:lang w:val="ro-MD"/>
        </w:rPr>
        <w:t xml:space="preserve"> </w:t>
      </w:r>
      <w:r w:rsidR="00D85694">
        <w:rPr>
          <w:rFonts w:asciiTheme="majorHAnsi" w:hAnsiTheme="majorHAnsi" w:cstheme="majorHAnsi"/>
          <w:b/>
          <w:sz w:val="24"/>
          <w:szCs w:val="24"/>
          <w:lang w:val="ro-MD"/>
        </w:rPr>
        <w:t>(ISM</w:t>
      </w:r>
      <w:r w:rsidR="002C25A0">
        <w:rPr>
          <w:rFonts w:asciiTheme="majorHAnsi" w:hAnsiTheme="majorHAnsi" w:cstheme="majorHAnsi"/>
          <w:b/>
          <w:sz w:val="24"/>
          <w:szCs w:val="24"/>
          <w:lang w:val="ro-MD"/>
        </w:rPr>
        <w:t>,</w:t>
      </w:r>
      <w:r w:rsidR="00D85694">
        <w:rPr>
          <w:rFonts w:asciiTheme="majorHAnsi" w:hAnsiTheme="majorHAnsi" w:cstheme="majorHAnsi"/>
          <w:b/>
          <w:sz w:val="24"/>
          <w:szCs w:val="24"/>
          <w:lang w:val="ro-MD"/>
        </w:rPr>
        <w:t xml:space="preserve"> INM</w:t>
      </w:r>
      <w:r w:rsidR="002C25A0">
        <w:rPr>
          <w:rFonts w:asciiTheme="majorHAnsi" w:hAnsiTheme="majorHAnsi" w:cstheme="majorHAnsi"/>
          <w:b/>
          <w:sz w:val="24"/>
          <w:szCs w:val="24"/>
          <w:lang w:val="ro-MD"/>
        </w:rPr>
        <w:t>,</w:t>
      </w:r>
      <w:r w:rsidR="00D85694">
        <w:rPr>
          <w:rFonts w:asciiTheme="majorHAnsi" w:hAnsiTheme="majorHAnsi" w:cstheme="majorHAnsi"/>
          <w:b/>
          <w:sz w:val="24"/>
          <w:szCs w:val="24"/>
          <w:lang w:val="ro-MD"/>
        </w:rPr>
        <w:t xml:space="preserve"> MOL</w:t>
      </w:r>
      <w:r w:rsidR="00456EF2">
        <w:rPr>
          <w:rFonts w:asciiTheme="majorHAnsi" w:hAnsiTheme="majorHAnsi" w:cstheme="majorHAnsi"/>
          <w:b/>
          <w:sz w:val="24"/>
          <w:szCs w:val="24"/>
          <w:lang w:val="ro-MD"/>
        </w:rPr>
        <w:t>D</w:t>
      </w:r>
      <w:r w:rsidR="00D85694">
        <w:rPr>
          <w:rFonts w:asciiTheme="majorHAnsi" w:hAnsiTheme="majorHAnsi" w:cstheme="majorHAnsi"/>
          <w:b/>
          <w:sz w:val="24"/>
          <w:szCs w:val="24"/>
          <w:lang w:val="ro-MD"/>
        </w:rPr>
        <w:t xml:space="preserve">AC) </w:t>
      </w:r>
      <w:r w:rsidRPr="0026228B">
        <w:rPr>
          <w:rFonts w:asciiTheme="majorHAnsi" w:hAnsiTheme="majorHAnsi" w:cstheme="majorHAnsi"/>
          <w:b/>
          <w:sz w:val="24"/>
          <w:szCs w:val="24"/>
          <w:lang w:val="ro-MD"/>
        </w:rPr>
        <w:t xml:space="preserve">pe anii </w:t>
      </w:r>
      <w:r w:rsidR="00CC5C00" w:rsidRPr="0026228B">
        <w:rPr>
          <w:rFonts w:asciiTheme="majorHAnsi" w:hAnsiTheme="majorHAnsi" w:cstheme="majorHAnsi"/>
          <w:b/>
          <w:sz w:val="24"/>
          <w:szCs w:val="24"/>
          <w:lang w:val="ro-MD"/>
        </w:rPr>
        <w:t>2020-2021</w:t>
      </w:r>
    </w:p>
    <w:p w14:paraId="1539F59A" w14:textId="12F35F1F" w:rsidR="009B656A" w:rsidRPr="007C3E40" w:rsidRDefault="009B656A" w:rsidP="009B656A">
      <w:pPr>
        <w:pStyle w:val="ListParagraph"/>
        <w:spacing w:after="0"/>
        <w:ind w:left="0"/>
        <w:jc w:val="right"/>
        <w:rPr>
          <w:rFonts w:asciiTheme="majorHAnsi" w:hAnsiTheme="majorHAnsi" w:cstheme="majorHAnsi"/>
          <w:sz w:val="24"/>
          <w:szCs w:val="24"/>
          <w:lang w:val="ro-MD"/>
        </w:rPr>
      </w:pPr>
      <w:r w:rsidRPr="007C3E40">
        <w:rPr>
          <w:rFonts w:asciiTheme="majorHAnsi" w:hAnsiTheme="majorHAnsi" w:cstheme="majorHAnsi"/>
          <w:sz w:val="24"/>
          <w:szCs w:val="24"/>
          <w:lang w:val="ro-MD"/>
        </w:rPr>
        <w:t>(mii lei)</w:t>
      </w:r>
    </w:p>
    <w:tbl>
      <w:tblPr>
        <w:tblStyle w:val="PlainTable2"/>
        <w:tblW w:w="8962" w:type="dxa"/>
        <w:tblLook w:val="04A0" w:firstRow="1" w:lastRow="0" w:firstColumn="1" w:lastColumn="0" w:noHBand="0" w:noVBand="1"/>
      </w:tblPr>
      <w:tblGrid>
        <w:gridCol w:w="3402"/>
        <w:gridCol w:w="1418"/>
        <w:gridCol w:w="1417"/>
        <w:gridCol w:w="1560"/>
        <w:gridCol w:w="1165"/>
      </w:tblGrid>
      <w:tr w:rsidR="009B656A" w:rsidRPr="00547D5E" w14:paraId="553F1F9E" w14:textId="77777777" w:rsidTr="009B656A">
        <w:trPr>
          <w:cnfStyle w:val="100000000000" w:firstRow="1" w:lastRow="0" w:firstColumn="0" w:lastColumn="0" w:oddVBand="0" w:evenVBand="0" w:oddHBand="0"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3402" w:type="dxa"/>
            <w:vMerge w:val="restart"/>
            <w:tcBorders>
              <w:bottom w:val="none" w:sz="0" w:space="0" w:color="auto"/>
            </w:tcBorders>
            <w:hideMark/>
          </w:tcPr>
          <w:p w14:paraId="66F3261F" w14:textId="77777777" w:rsidR="009B656A" w:rsidRPr="00547D5E" w:rsidRDefault="009B656A">
            <w:pPr>
              <w:jc w:val="center"/>
              <w:rPr>
                <w:rFonts w:asciiTheme="majorHAnsi" w:hAnsiTheme="majorHAnsi" w:cs="Calibri Light"/>
                <w:b w:val="0"/>
                <w:bCs w:val="0"/>
                <w:color w:val="000000"/>
                <w:sz w:val="24"/>
                <w:szCs w:val="24"/>
              </w:rPr>
            </w:pPr>
          </w:p>
          <w:p w14:paraId="19DDDF89" w14:textId="77777777" w:rsidR="009B656A" w:rsidRPr="00547D5E" w:rsidRDefault="009B656A">
            <w:pPr>
              <w:jc w:val="center"/>
              <w:rPr>
                <w:rFonts w:asciiTheme="majorHAnsi" w:hAnsiTheme="majorHAnsi" w:cs="Calibri Light"/>
                <w:b w:val="0"/>
                <w:bCs w:val="0"/>
                <w:color w:val="000000"/>
                <w:sz w:val="24"/>
                <w:szCs w:val="24"/>
              </w:rPr>
            </w:pPr>
          </w:p>
          <w:p w14:paraId="0CAF987A" w14:textId="77777777" w:rsidR="009B656A" w:rsidRPr="00547D5E" w:rsidRDefault="009B656A">
            <w:pPr>
              <w:jc w:val="center"/>
              <w:rPr>
                <w:rFonts w:asciiTheme="majorHAnsi" w:hAnsiTheme="majorHAnsi" w:cs="Calibri Light"/>
                <w:b w:val="0"/>
                <w:bCs w:val="0"/>
                <w:color w:val="000000"/>
                <w:sz w:val="24"/>
                <w:szCs w:val="24"/>
              </w:rPr>
            </w:pPr>
          </w:p>
          <w:p w14:paraId="6DA3CD14" w14:textId="376A2E79" w:rsidR="009B656A" w:rsidRPr="00547D5E" w:rsidRDefault="009B656A">
            <w:pPr>
              <w:jc w:val="center"/>
              <w:rPr>
                <w:rFonts w:asciiTheme="majorHAnsi" w:hAnsiTheme="majorHAnsi" w:cs="Calibri Light"/>
                <w:color w:val="000000"/>
                <w:sz w:val="24"/>
                <w:szCs w:val="24"/>
              </w:rPr>
            </w:pPr>
            <w:r w:rsidRPr="00547D5E">
              <w:rPr>
                <w:rFonts w:asciiTheme="majorHAnsi" w:hAnsiTheme="majorHAnsi" w:cs="Calibri Light"/>
                <w:bCs w:val="0"/>
                <w:color w:val="000000"/>
                <w:sz w:val="24"/>
                <w:szCs w:val="24"/>
              </w:rPr>
              <w:t>Denumirea indicatorului</w:t>
            </w:r>
          </w:p>
        </w:tc>
        <w:tc>
          <w:tcPr>
            <w:tcW w:w="4395" w:type="dxa"/>
            <w:gridSpan w:val="3"/>
            <w:tcBorders>
              <w:bottom w:val="none" w:sz="0" w:space="0" w:color="auto"/>
            </w:tcBorders>
            <w:hideMark/>
          </w:tcPr>
          <w:p w14:paraId="0D1ABC4C" w14:textId="77777777" w:rsidR="007B4A27" w:rsidRDefault="007B4A2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000000"/>
                <w:sz w:val="24"/>
                <w:szCs w:val="24"/>
              </w:rPr>
            </w:pPr>
          </w:p>
          <w:p w14:paraId="3FFF7805" w14:textId="1A717178" w:rsidR="009B656A" w:rsidRPr="00547D5E" w:rsidRDefault="009B65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000000"/>
                <w:sz w:val="24"/>
                <w:szCs w:val="24"/>
              </w:rPr>
            </w:pPr>
            <w:r w:rsidRPr="00547D5E">
              <w:rPr>
                <w:rFonts w:asciiTheme="majorHAnsi" w:hAnsiTheme="majorHAnsi" w:cs="Calibri"/>
                <w:bCs w:val="0"/>
                <w:color w:val="000000"/>
                <w:sz w:val="24"/>
                <w:szCs w:val="24"/>
              </w:rPr>
              <w:t xml:space="preserve">Situația patrimonial-financiară </w:t>
            </w:r>
          </w:p>
        </w:tc>
        <w:tc>
          <w:tcPr>
            <w:tcW w:w="1165" w:type="dxa"/>
            <w:tcBorders>
              <w:bottom w:val="none" w:sz="0" w:space="0" w:color="auto"/>
            </w:tcBorders>
            <w:noWrap/>
            <w:hideMark/>
          </w:tcPr>
          <w:p w14:paraId="73E305AF" w14:textId="77777777" w:rsidR="009B656A" w:rsidRPr="00547D5E" w:rsidRDefault="009B65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4"/>
                <w:szCs w:val="24"/>
              </w:rPr>
            </w:pPr>
          </w:p>
          <w:p w14:paraId="6481A6C9" w14:textId="77777777" w:rsidR="009B656A" w:rsidRPr="00547D5E" w:rsidRDefault="009B65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4"/>
                <w:szCs w:val="24"/>
              </w:rPr>
            </w:pPr>
          </w:p>
          <w:p w14:paraId="41502591" w14:textId="77777777" w:rsidR="00DC08C4" w:rsidRDefault="00DC08C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000000"/>
                <w:sz w:val="24"/>
                <w:szCs w:val="24"/>
              </w:rPr>
            </w:pPr>
          </w:p>
          <w:p w14:paraId="46AC261E" w14:textId="7352A636" w:rsidR="009B656A" w:rsidRPr="00547D5E" w:rsidRDefault="009B65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000000"/>
                <w:sz w:val="24"/>
                <w:szCs w:val="24"/>
              </w:rPr>
            </w:pPr>
            <w:r w:rsidRPr="00547D5E">
              <w:rPr>
                <w:rFonts w:asciiTheme="majorHAnsi" w:hAnsiTheme="majorHAnsi" w:cs="Calibri"/>
                <w:bCs w:val="0"/>
                <w:color w:val="000000"/>
                <w:sz w:val="24"/>
                <w:szCs w:val="24"/>
              </w:rPr>
              <w:t>Devieri</w:t>
            </w:r>
          </w:p>
        </w:tc>
      </w:tr>
      <w:tr w:rsidR="009B656A" w:rsidRPr="00547D5E" w14:paraId="648DB26F" w14:textId="77777777" w:rsidTr="009B656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02" w:type="dxa"/>
            <w:vMerge/>
            <w:tcBorders>
              <w:top w:val="none" w:sz="0" w:space="0" w:color="auto"/>
              <w:bottom w:val="none" w:sz="0" w:space="0" w:color="auto"/>
            </w:tcBorders>
            <w:hideMark/>
          </w:tcPr>
          <w:p w14:paraId="71ACDE9E" w14:textId="77777777" w:rsidR="009B656A" w:rsidRPr="00547D5E" w:rsidRDefault="009B656A">
            <w:pPr>
              <w:rPr>
                <w:rFonts w:asciiTheme="majorHAnsi" w:hAnsiTheme="majorHAnsi" w:cs="Calibri Light"/>
                <w:color w:val="000000"/>
                <w:sz w:val="24"/>
                <w:szCs w:val="24"/>
              </w:rPr>
            </w:pPr>
          </w:p>
        </w:tc>
        <w:tc>
          <w:tcPr>
            <w:tcW w:w="1418" w:type="dxa"/>
            <w:tcBorders>
              <w:top w:val="none" w:sz="0" w:space="0" w:color="auto"/>
              <w:bottom w:val="none" w:sz="0" w:space="0" w:color="auto"/>
            </w:tcBorders>
            <w:hideMark/>
          </w:tcPr>
          <w:p w14:paraId="0FE534A9" w14:textId="77777777" w:rsidR="009B656A" w:rsidRPr="00547D5E" w:rsidRDefault="009B656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 xml:space="preserve"> la 01 ianuarie 2020</w:t>
            </w:r>
          </w:p>
        </w:tc>
        <w:tc>
          <w:tcPr>
            <w:tcW w:w="1417" w:type="dxa"/>
            <w:tcBorders>
              <w:top w:val="none" w:sz="0" w:space="0" w:color="auto"/>
              <w:bottom w:val="none" w:sz="0" w:space="0" w:color="auto"/>
            </w:tcBorders>
            <w:hideMark/>
          </w:tcPr>
          <w:p w14:paraId="6721E22D" w14:textId="77777777" w:rsidR="009B656A" w:rsidRPr="00547D5E" w:rsidRDefault="009B656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la 31 decembrie 2020</w:t>
            </w:r>
          </w:p>
        </w:tc>
        <w:tc>
          <w:tcPr>
            <w:tcW w:w="1560" w:type="dxa"/>
            <w:tcBorders>
              <w:top w:val="none" w:sz="0" w:space="0" w:color="auto"/>
              <w:bottom w:val="none" w:sz="0" w:space="0" w:color="auto"/>
            </w:tcBorders>
            <w:hideMark/>
          </w:tcPr>
          <w:p w14:paraId="19EECDB0" w14:textId="2063912E" w:rsidR="009B656A" w:rsidRPr="00547D5E" w:rsidRDefault="009B656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la 31 decembrie 2021</w:t>
            </w:r>
          </w:p>
        </w:tc>
        <w:tc>
          <w:tcPr>
            <w:tcW w:w="1165" w:type="dxa"/>
            <w:tcBorders>
              <w:top w:val="none" w:sz="0" w:space="0" w:color="auto"/>
              <w:bottom w:val="none" w:sz="0" w:space="0" w:color="auto"/>
            </w:tcBorders>
            <w:hideMark/>
          </w:tcPr>
          <w:p w14:paraId="79559DA5" w14:textId="77777777" w:rsidR="009B656A" w:rsidRPr="00547D5E" w:rsidRDefault="009B656A">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p>
        </w:tc>
      </w:tr>
      <w:tr w:rsidR="00BA7731" w:rsidRPr="00547D5E" w14:paraId="535EC46A"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2B0330F4" w14:textId="77777777" w:rsidR="00BA7731" w:rsidRPr="00547D5E" w:rsidRDefault="00BA7731" w:rsidP="00BA7731">
            <w:pPr>
              <w:rPr>
                <w:rFonts w:asciiTheme="majorHAnsi" w:hAnsiTheme="majorHAnsi" w:cs="Calibri Light"/>
                <w:b w:val="0"/>
                <w:bCs w:val="0"/>
                <w:color w:val="000000"/>
                <w:sz w:val="24"/>
                <w:szCs w:val="24"/>
              </w:rPr>
            </w:pPr>
            <w:r w:rsidRPr="00547D5E">
              <w:rPr>
                <w:rFonts w:asciiTheme="majorHAnsi" w:hAnsiTheme="majorHAnsi" w:cs="Calibri Light"/>
                <w:b w:val="0"/>
                <w:bCs w:val="0"/>
                <w:color w:val="000000"/>
                <w:sz w:val="24"/>
                <w:szCs w:val="24"/>
              </w:rPr>
              <w:t>Active imobilizate, TOTAL:</w:t>
            </w:r>
          </w:p>
        </w:tc>
        <w:tc>
          <w:tcPr>
            <w:tcW w:w="1418" w:type="dxa"/>
            <w:noWrap/>
            <w:hideMark/>
          </w:tcPr>
          <w:p w14:paraId="3479D84F"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31.342,67</w:t>
            </w:r>
          </w:p>
        </w:tc>
        <w:tc>
          <w:tcPr>
            <w:tcW w:w="1417" w:type="dxa"/>
            <w:noWrap/>
            <w:hideMark/>
          </w:tcPr>
          <w:p w14:paraId="416C161B"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26.681,64</w:t>
            </w:r>
          </w:p>
        </w:tc>
        <w:tc>
          <w:tcPr>
            <w:tcW w:w="1560" w:type="dxa"/>
            <w:noWrap/>
            <w:hideMark/>
          </w:tcPr>
          <w:p w14:paraId="6A98E79E"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26.368,31</w:t>
            </w:r>
          </w:p>
        </w:tc>
        <w:tc>
          <w:tcPr>
            <w:tcW w:w="1165" w:type="dxa"/>
            <w:noWrap/>
            <w:hideMark/>
          </w:tcPr>
          <w:p w14:paraId="06FA8220" w14:textId="2EF5A01E"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CC7D5A">
              <w:t>-4.974,36</w:t>
            </w:r>
          </w:p>
        </w:tc>
      </w:tr>
      <w:tr w:rsidR="00BA7731" w:rsidRPr="00547D5E" w14:paraId="4237931C"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75A1F896" w14:textId="77777777" w:rsidR="00BA7731" w:rsidRPr="00547D5E" w:rsidRDefault="00BA7731" w:rsidP="00BA7731">
            <w:pPr>
              <w:ind w:firstLineChars="100" w:firstLine="240"/>
              <w:rPr>
                <w:rFonts w:asciiTheme="majorHAnsi" w:hAnsiTheme="majorHAnsi" w:cs="Calibri Light"/>
                <w:b w:val="0"/>
                <w:bCs w:val="0"/>
                <w:color w:val="000000"/>
                <w:sz w:val="24"/>
                <w:szCs w:val="24"/>
              </w:rPr>
            </w:pPr>
            <w:r w:rsidRPr="00547D5E">
              <w:rPr>
                <w:rFonts w:asciiTheme="majorHAnsi" w:hAnsiTheme="majorHAnsi" w:cs="Calibri Light"/>
                <w:color w:val="000000"/>
                <w:sz w:val="24"/>
                <w:szCs w:val="24"/>
              </w:rPr>
              <w:t>Imobilizări necorporale</w:t>
            </w:r>
          </w:p>
        </w:tc>
        <w:tc>
          <w:tcPr>
            <w:tcW w:w="1418" w:type="dxa"/>
            <w:tcBorders>
              <w:top w:val="none" w:sz="0" w:space="0" w:color="auto"/>
              <w:bottom w:val="none" w:sz="0" w:space="0" w:color="auto"/>
            </w:tcBorders>
            <w:noWrap/>
            <w:hideMark/>
          </w:tcPr>
          <w:p w14:paraId="61CA89C7"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2.403,64</w:t>
            </w:r>
          </w:p>
        </w:tc>
        <w:tc>
          <w:tcPr>
            <w:tcW w:w="1417" w:type="dxa"/>
            <w:tcBorders>
              <w:top w:val="none" w:sz="0" w:space="0" w:color="auto"/>
              <w:bottom w:val="none" w:sz="0" w:space="0" w:color="auto"/>
            </w:tcBorders>
            <w:noWrap/>
            <w:hideMark/>
          </w:tcPr>
          <w:p w14:paraId="321477BA"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2.010,93</w:t>
            </w:r>
          </w:p>
        </w:tc>
        <w:tc>
          <w:tcPr>
            <w:tcW w:w="1560" w:type="dxa"/>
            <w:tcBorders>
              <w:top w:val="none" w:sz="0" w:space="0" w:color="auto"/>
              <w:bottom w:val="none" w:sz="0" w:space="0" w:color="auto"/>
            </w:tcBorders>
            <w:noWrap/>
            <w:hideMark/>
          </w:tcPr>
          <w:p w14:paraId="5641EBA4"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1.689,88</w:t>
            </w:r>
          </w:p>
        </w:tc>
        <w:tc>
          <w:tcPr>
            <w:tcW w:w="1165" w:type="dxa"/>
            <w:tcBorders>
              <w:top w:val="none" w:sz="0" w:space="0" w:color="auto"/>
              <w:bottom w:val="none" w:sz="0" w:space="0" w:color="auto"/>
            </w:tcBorders>
            <w:noWrap/>
            <w:hideMark/>
          </w:tcPr>
          <w:p w14:paraId="39F9E0F3" w14:textId="17C61040"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-713,76</w:t>
            </w:r>
          </w:p>
        </w:tc>
      </w:tr>
      <w:tr w:rsidR="00BA7731" w:rsidRPr="00547D5E" w14:paraId="60CA0C1D"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691361ED"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Imobilizări corporale</w:t>
            </w:r>
          </w:p>
        </w:tc>
        <w:tc>
          <w:tcPr>
            <w:tcW w:w="1418" w:type="dxa"/>
            <w:noWrap/>
            <w:hideMark/>
          </w:tcPr>
          <w:p w14:paraId="27A0A940"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28.874,65</w:t>
            </w:r>
          </w:p>
        </w:tc>
        <w:tc>
          <w:tcPr>
            <w:tcW w:w="1417" w:type="dxa"/>
            <w:noWrap/>
            <w:hideMark/>
          </w:tcPr>
          <w:p w14:paraId="5989C228"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24.638,60</w:t>
            </w:r>
          </w:p>
        </w:tc>
        <w:tc>
          <w:tcPr>
            <w:tcW w:w="1560" w:type="dxa"/>
            <w:noWrap/>
            <w:hideMark/>
          </w:tcPr>
          <w:p w14:paraId="14EA646E"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24.646,32</w:t>
            </w:r>
          </w:p>
        </w:tc>
        <w:tc>
          <w:tcPr>
            <w:tcW w:w="1165" w:type="dxa"/>
            <w:noWrap/>
            <w:hideMark/>
          </w:tcPr>
          <w:p w14:paraId="7F1B9903" w14:textId="189E0011"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-4.228,33</w:t>
            </w:r>
          </w:p>
        </w:tc>
      </w:tr>
      <w:tr w:rsidR="00BA7731" w:rsidRPr="00547D5E" w14:paraId="6F309555" w14:textId="77777777" w:rsidTr="009B656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423F9079"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Creanțe pe termen lung și alte active imobilizate</w:t>
            </w:r>
          </w:p>
        </w:tc>
        <w:tc>
          <w:tcPr>
            <w:tcW w:w="1418" w:type="dxa"/>
            <w:tcBorders>
              <w:top w:val="none" w:sz="0" w:space="0" w:color="auto"/>
              <w:bottom w:val="none" w:sz="0" w:space="0" w:color="auto"/>
            </w:tcBorders>
            <w:noWrap/>
            <w:hideMark/>
          </w:tcPr>
          <w:p w14:paraId="1B9646EE"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64,38</w:t>
            </w:r>
          </w:p>
        </w:tc>
        <w:tc>
          <w:tcPr>
            <w:tcW w:w="1417" w:type="dxa"/>
            <w:tcBorders>
              <w:top w:val="none" w:sz="0" w:space="0" w:color="auto"/>
              <w:bottom w:val="none" w:sz="0" w:space="0" w:color="auto"/>
            </w:tcBorders>
            <w:noWrap/>
            <w:hideMark/>
          </w:tcPr>
          <w:p w14:paraId="6F2BCB2F"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32,11</w:t>
            </w:r>
          </w:p>
        </w:tc>
        <w:tc>
          <w:tcPr>
            <w:tcW w:w="1560" w:type="dxa"/>
            <w:tcBorders>
              <w:top w:val="none" w:sz="0" w:space="0" w:color="auto"/>
              <w:bottom w:val="none" w:sz="0" w:space="0" w:color="auto"/>
            </w:tcBorders>
            <w:noWrap/>
            <w:hideMark/>
          </w:tcPr>
          <w:p w14:paraId="7E1EC926"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32,11</w:t>
            </w:r>
          </w:p>
        </w:tc>
        <w:tc>
          <w:tcPr>
            <w:tcW w:w="1165" w:type="dxa"/>
            <w:tcBorders>
              <w:top w:val="none" w:sz="0" w:space="0" w:color="auto"/>
              <w:bottom w:val="none" w:sz="0" w:space="0" w:color="auto"/>
            </w:tcBorders>
            <w:noWrap/>
            <w:hideMark/>
          </w:tcPr>
          <w:p w14:paraId="7E17B967" w14:textId="31844863"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-32,27</w:t>
            </w:r>
          </w:p>
        </w:tc>
      </w:tr>
      <w:tr w:rsidR="00BA7731" w:rsidRPr="00547D5E" w14:paraId="0270267D"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35DDD3E4" w14:textId="77777777" w:rsidR="00BA7731" w:rsidRPr="00547D5E" w:rsidRDefault="00BA7731" w:rsidP="00BA7731">
            <w:pPr>
              <w:rPr>
                <w:rFonts w:asciiTheme="majorHAnsi" w:hAnsiTheme="majorHAnsi" w:cs="Calibri Light"/>
                <w:color w:val="000000"/>
                <w:sz w:val="24"/>
                <w:szCs w:val="24"/>
              </w:rPr>
            </w:pPr>
            <w:r w:rsidRPr="00547D5E">
              <w:rPr>
                <w:rFonts w:asciiTheme="majorHAnsi" w:hAnsiTheme="majorHAnsi" w:cs="Calibri Light"/>
                <w:b w:val="0"/>
                <w:bCs w:val="0"/>
                <w:color w:val="000000"/>
                <w:sz w:val="24"/>
                <w:szCs w:val="24"/>
              </w:rPr>
              <w:t>Active circulante, TOTAL:</w:t>
            </w:r>
          </w:p>
        </w:tc>
        <w:tc>
          <w:tcPr>
            <w:tcW w:w="1418" w:type="dxa"/>
            <w:noWrap/>
            <w:hideMark/>
          </w:tcPr>
          <w:p w14:paraId="1A16AEF7"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6.487,16</w:t>
            </w:r>
          </w:p>
        </w:tc>
        <w:tc>
          <w:tcPr>
            <w:tcW w:w="1417" w:type="dxa"/>
            <w:noWrap/>
            <w:hideMark/>
          </w:tcPr>
          <w:p w14:paraId="73430B1A"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10.779,54</w:t>
            </w:r>
          </w:p>
        </w:tc>
        <w:tc>
          <w:tcPr>
            <w:tcW w:w="1560" w:type="dxa"/>
            <w:noWrap/>
            <w:hideMark/>
          </w:tcPr>
          <w:p w14:paraId="6E0DC852"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9.194,08</w:t>
            </w:r>
          </w:p>
        </w:tc>
        <w:tc>
          <w:tcPr>
            <w:tcW w:w="1165" w:type="dxa"/>
            <w:noWrap/>
            <w:hideMark/>
          </w:tcPr>
          <w:p w14:paraId="21CAF6F0" w14:textId="504A6D41"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rPr>
            </w:pPr>
            <w:r w:rsidRPr="00CC7D5A">
              <w:t>2.706,92</w:t>
            </w:r>
          </w:p>
        </w:tc>
      </w:tr>
      <w:tr w:rsidR="00BA7731" w:rsidRPr="00547D5E" w14:paraId="36E6EC92"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23813FF6" w14:textId="77777777" w:rsidR="00BA7731" w:rsidRPr="00547D5E" w:rsidRDefault="00BA7731" w:rsidP="00BA7731">
            <w:pPr>
              <w:ind w:firstLineChars="100" w:firstLine="240"/>
              <w:rPr>
                <w:rFonts w:asciiTheme="majorHAnsi" w:hAnsiTheme="majorHAnsi" w:cs="Calibri Light"/>
                <w:b w:val="0"/>
                <w:bCs w:val="0"/>
                <w:color w:val="000000"/>
                <w:sz w:val="24"/>
                <w:szCs w:val="24"/>
              </w:rPr>
            </w:pPr>
            <w:r w:rsidRPr="00547D5E">
              <w:rPr>
                <w:rFonts w:asciiTheme="majorHAnsi" w:hAnsiTheme="majorHAnsi" w:cs="Calibri Light"/>
                <w:color w:val="000000"/>
                <w:sz w:val="24"/>
                <w:szCs w:val="24"/>
              </w:rPr>
              <w:t>Stocuri</w:t>
            </w:r>
          </w:p>
        </w:tc>
        <w:tc>
          <w:tcPr>
            <w:tcW w:w="1418" w:type="dxa"/>
            <w:tcBorders>
              <w:top w:val="none" w:sz="0" w:space="0" w:color="auto"/>
              <w:bottom w:val="none" w:sz="0" w:space="0" w:color="auto"/>
            </w:tcBorders>
            <w:noWrap/>
            <w:hideMark/>
          </w:tcPr>
          <w:p w14:paraId="307F7CD7"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932,47</w:t>
            </w:r>
          </w:p>
        </w:tc>
        <w:tc>
          <w:tcPr>
            <w:tcW w:w="1417" w:type="dxa"/>
            <w:tcBorders>
              <w:top w:val="none" w:sz="0" w:space="0" w:color="auto"/>
              <w:bottom w:val="none" w:sz="0" w:space="0" w:color="auto"/>
            </w:tcBorders>
            <w:noWrap/>
            <w:hideMark/>
          </w:tcPr>
          <w:p w14:paraId="25E4FEA0"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1.259,35</w:t>
            </w:r>
          </w:p>
        </w:tc>
        <w:tc>
          <w:tcPr>
            <w:tcW w:w="1560" w:type="dxa"/>
            <w:tcBorders>
              <w:top w:val="none" w:sz="0" w:space="0" w:color="auto"/>
              <w:bottom w:val="none" w:sz="0" w:space="0" w:color="auto"/>
            </w:tcBorders>
            <w:noWrap/>
            <w:hideMark/>
          </w:tcPr>
          <w:p w14:paraId="5D0914A5"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1.230,13</w:t>
            </w:r>
          </w:p>
        </w:tc>
        <w:tc>
          <w:tcPr>
            <w:tcW w:w="1165" w:type="dxa"/>
            <w:tcBorders>
              <w:top w:val="none" w:sz="0" w:space="0" w:color="auto"/>
              <w:bottom w:val="none" w:sz="0" w:space="0" w:color="auto"/>
            </w:tcBorders>
            <w:noWrap/>
            <w:hideMark/>
          </w:tcPr>
          <w:p w14:paraId="4069D396" w14:textId="1BC28E08"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297,66</w:t>
            </w:r>
          </w:p>
        </w:tc>
      </w:tr>
      <w:tr w:rsidR="00BA7731" w:rsidRPr="00547D5E" w14:paraId="4CCD84DC"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540E7707"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Creanțe comerciale curente</w:t>
            </w:r>
          </w:p>
        </w:tc>
        <w:tc>
          <w:tcPr>
            <w:tcW w:w="1418" w:type="dxa"/>
            <w:noWrap/>
            <w:hideMark/>
          </w:tcPr>
          <w:p w14:paraId="49F92727"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113,41</w:t>
            </w:r>
          </w:p>
        </w:tc>
        <w:tc>
          <w:tcPr>
            <w:tcW w:w="1417" w:type="dxa"/>
            <w:noWrap/>
            <w:hideMark/>
          </w:tcPr>
          <w:p w14:paraId="765FD450"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146,68</w:t>
            </w:r>
          </w:p>
        </w:tc>
        <w:tc>
          <w:tcPr>
            <w:tcW w:w="1560" w:type="dxa"/>
            <w:noWrap/>
            <w:hideMark/>
          </w:tcPr>
          <w:p w14:paraId="5560F666"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215,50</w:t>
            </w:r>
          </w:p>
        </w:tc>
        <w:tc>
          <w:tcPr>
            <w:tcW w:w="1165" w:type="dxa"/>
            <w:noWrap/>
            <w:hideMark/>
          </w:tcPr>
          <w:p w14:paraId="03D99248" w14:textId="629E0DD8"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102,09</w:t>
            </w:r>
          </w:p>
        </w:tc>
      </w:tr>
      <w:tr w:rsidR="00BA7731" w:rsidRPr="00547D5E" w14:paraId="6F432159"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036EC850"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Creanțe ale bugetului</w:t>
            </w:r>
          </w:p>
        </w:tc>
        <w:tc>
          <w:tcPr>
            <w:tcW w:w="1418" w:type="dxa"/>
            <w:tcBorders>
              <w:top w:val="none" w:sz="0" w:space="0" w:color="auto"/>
              <w:bottom w:val="none" w:sz="0" w:space="0" w:color="auto"/>
            </w:tcBorders>
            <w:noWrap/>
            <w:hideMark/>
          </w:tcPr>
          <w:p w14:paraId="4C07571D"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10,44</w:t>
            </w:r>
          </w:p>
        </w:tc>
        <w:tc>
          <w:tcPr>
            <w:tcW w:w="1417" w:type="dxa"/>
            <w:tcBorders>
              <w:top w:val="none" w:sz="0" w:space="0" w:color="auto"/>
              <w:bottom w:val="none" w:sz="0" w:space="0" w:color="auto"/>
            </w:tcBorders>
            <w:noWrap/>
            <w:hideMark/>
          </w:tcPr>
          <w:p w14:paraId="50A5DA43"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55,24</w:t>
            </w:r>
          </w:p>
        </w:tc>
        <w:tc>
          <w:tcPr>
            <w:tcW w:w="1560" w:type="dxa"/>
            <w:tcBorders>
              <w:top w:val="none" w:sz="0" w:space="0" w:color="auto"/>
              <w:bottom w:val="none" w:sz="0" w:space="0" w:color="auto"/>
            </w:tcBorders>
            <w:noWrap/>
            <w:hideMark/>
          </w:tcPr>
          <w:p w14:paraId="05B3174F"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57,18</w:t>
            </w:r>
          </w:p>
        </w:tc>
        <w:tc>
          <w:tcPr>
            <w:tcW w:w="1165" w:type="dxa"/>
            <w:tcBorders>
              <w:top w:val="none" w:sz="0" w:space="0" w:color="auto"/>
              <w:bottom w:val="none" w:sz="0" w:space="0" w:color="auto"/>
            </w:tcBorders>
            <w:noWrap/>
            <w:hideMark/>
          </w:tcPr>
          <w:p w14:paraId="4291D271" w14:textId="069D5ACA"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46,74</w:t>
            </w:r>
          </w:p>
        </w:tc>
      </w:tr>
      <w:tr w:rsidR="00BA7731" w:rsidRPr="00547D5E" w14:paraId="5DBF25E4"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7D634D89"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Creanțe ale personalului</w:t>
            </w:r>
          </w:p>
        </w:tc>
        <w:tc>
          <w:tcPr>
            <w:tcW w:w="1418" w:type="dxa"/>
            <w:noWrap/>
            <w:hideMark/>
          </w:tcPr>
          <w:p w14:paraId="65A28ADC"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74,62</w:t>
            </w:r>
          </w:p>
        </w:tc>
        <w:tc>
          <w:tcPr>
            <w:tcW w:w="1417" w:type="dxa"/>
            <w:noWrap/>
            <w:hideMark/>
          </w:tcPr>
          <w:p w14:paraId="27B61122"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52,25</w:t>
            </w:r>
          </w:p>
        </w:tc>
        <w:tc>
          <w:tcPr>
            <w:tcW w:w="1560" w:type="dxa"/>
            <w:noWrap/>
            <w:hideMark/>
          </w:tcPr>
          <w:p w14:paraId="0EBC1ED2"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0,00</w:t>
            </w:r>
          </w:p>
        </w:tc>
        <w:tc>
          <w:tcPr>
            <w:tcW w:w="1165" w:type="dxa"/>
            <w:noWrap/>
            <w:hideMark/>
          </w:tcPr>
          <w:p w14:paraId="61F70D1E" w14:textId="5F7795FF"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-74,62</w:t>
            </w:r>
          </w:p>
        </w:tc>
      </w:tr>
      <w:tr w:rsidR="00BA7731" w:rsidRPr="00547D5E" w14:paraId="39E43D41"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091D8E8C"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Alte creanțe curente</w:t>
            </w:r>
          </w:p>
        </w:tc>
        <w:tc>
          <w:tcPr>
            <w:tcW w:w="1418" w:type="dxa"/>
            <w:tcBorders>
              <w:top w:val="none" w:sz="0" w:space="0" w:color="auto"/>
              <w:bottom w:val="none" w:sz="0" w:space="0" w:color="auto"/>
            </w:tcBorders>
            <w:noWrap/>
            <w:hideMark/>
          </w:tcPr>
          <w:p w14:paraId="4DF247DB"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5,31</w:t>
            </w:r>
          </w:p>
        </w:tc>
        <w:tc>
          <w:tcPr>
            <w:tcW w:w="1417" w:type="dxa"/>
            <w:tcBorders>
              <w:top w:val="none" w:sz="0" w:space="0" w:color="auto"/>
              <w:bottom w:val="none" w:sz="0" w:space="0" w:color="auto"/>
            </w:tcBorders>
            <w:noWrap/>
            <w:hideMark/>
          </w:tcPr>
          <w:p w14:paraId="62BB82D5"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10,54</w:t>
            </w:r>
          </w:p>
        </w:tc>
        <w:tc>
          <w:tcPr>
            <w:tcW w:w="1560" w:type="dxa"/>
            <w:tcBorders>
              <w:top w:val="none" w:sz="0" w:space="0" w:color="auto"/>
              <w:bottom w:val="none" w:sz="0" w:space="0" w:color="auto"/>
            </w:tcBorders>
            <w:noWrap/>
            <w:hideMark/>
          </w:tcPr>
          <w:p w14:paraId="4E972342"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21,87</w:t>
            </w:r>
          </w:p>
        </w:tc>
        <w:tc>
          <w:tcPr>
            <w:tcW w:w="1165" w:type="dxa"/>
            <w:tcBorders>
              <w:top w:val="none" w:sz="0" w:space="0" w:color="auto"/>
              <w:bottom w:val="none" w:sz="0" w:space="0" w:color="auto"/>
            </w:tcBorders>
            <w:noWrap/>
            <w:hideMark/>
          </w:tcPr>
          <w:p w14:paraId="17307AD0" w14:textId="7A38C3C1"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16,56</w:t>
            </w:r>
          </w:p>
        </w:tc>
      </w:tr>
      <w:tr w:rsidR="00BA7731" w:rsidRPr="00547D5E" w14:paraId="0B5C4B68"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040EA93B"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Cheltuieli anticipate curente</w:t>
            </w:r>
          </w:p>
        </w:tc>
        <w:tc>
          <w:tcPr>
            <w:tcW w:w="1418" w:type="dxa"/>
            <w:noWrap/>
            <w:hideMark/>
          </w:tcPr>
          <w:p w14:paraId="417EDBE7"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33,19</w:t>
            </w:r>
          </w:p>
        </w:tc>
        <w:tc>
          <w:tcPr>
            <w:tcW w:w="1417" w:type="dxa"/>
            <w:noWrap/>
            <w:hideMark/>
          </w:tcPr>
          <w:p w14:paraId="3AC711D9"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205,18</w:t>
            </w:r>
          </w:p>
        </w:tc>
        <w:tc>
          <w:tcPr>
            <w:tcW w:w="1560" w:type="dxa"/>
            <w:noWrap/>
            <w:hideMark/>
          </w:tcPr>
          <w:p w14:paraId="02047F03"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88,34</w:t>
            </w:r>
          </w:p>
        </w:tc>
        <w:tc>
          <w:tcPr>
            <w:tcW w:w="1165" w:type="dxa"/>
            <w:noWrap/>
            <w:hideMark/>
          </w:tcPr>
          <w:p w14:paraId="01894D04" w14:textId="0FA15835"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55,15</w:t>
            </w:r>
          </w:p>
        </w:tc>
      </w:tr>
      <w:tr w:rsidR="00BA7731" w:rsidRPr="00547D5E" w14:paraId="2F6C2E6F"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6EC57AB0"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Alte active circulante</w:t>
            </w:r>
          </w:p>
        </w:tc>
        <w:tc>
          <w:tcPr>
            <w:tcW w:w="1418" w:type="dxa"/>
            <w:tcBorders>
              <w:top w:val="none" w:sz="0" w:space="0" w:color="auto"/>
              <w:bottom w:val="none" w:sz="0" w:space="0" w:color="auto"/>
            </w:tcBorders>
            <w:noWrap/>
            <w:hideMark/>
          </w:tcPr>
          <w:p w14:paraId="29009B92"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51,77</w:t>
            </w:r>
          </w:p>
        </w:tc>
        <w:tc>
          <w:tcPr>
            <w:tcW w:w="1417" w:type="dxa"/>
            <w:tcBorders>
              <w:top w:val="none" w:sz="0" w:space="0" w:color="auto"/>
              <w:bottom w:val="none" w:sz="0" w:space="0" w:color="auto"/>
            </w:tcBorders>
            <w:noWrap/>
            <w:hideMark/>
          </w:tcPr>
          <w:p w14:paraId="175CEFCE"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11,70</w:t>
            </w:r>
          </w:p>
        </w:tc>
        <w:tc>
          <w:tcPr>
            <w:tcW w:w="1560" w:type="dxa"/>
            <w:tcBorders>
              <w:top w:val="none" w:sz="0" w:space="0" w:color="auto"/>
              <w:bottom w:val="none" w:sz="0" w:space="0" w:color="auto"/>
            </w:tcBorders>
            <w:noWrap/>
            <w:hideMark/>
          </w:tcPr>
          <w:p w14:paraId="63687B6A"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29,14</w:t>
            </w:r>
          </w:p>
        </w:tc>
        <w:tc>
          <w:tcPr>
            <w:tcW w:w="1165" w:type="dxa"/>
            <w:tcBorders>
              <w:top w:val="none" w:sz="0" w:space="0" w:color="auto"/>
              <w:bottom w:val="none" w:sz="0" w:space="0" w:color="auto"/>
            </w:tcBorders>
            <w:noWrap/>
            <w:hideMark/>
          </w:tcPr>
          <w:p w14:paraId="3A537995" w14:textId="0BF19744"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-22,63</w:t>
            </w:r>
          </w:p>
        </w:tc>
      </w:tr>
      <w:tr w:rsidR="00BA7731" w:rsidRPr="00547D5E" w14:paraId="040ACA2D"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643E21FA" w14:textId="77777777" w:rsidR="00BA7731" w:rsidRPr="00547D5E" w:rsidRDefault="00BA7731" w:rsidP="00BA7731">
            <w:pPr>
              <w:ind w:firstLineChars="100" w:firstLine="240"/>
              <w:rPr>
                <w:rFonts w:asciiTheme="majorHAnsi" w:hAnsiTheme="majorHAnsi" w:cs="Calibri Light"/>
                <w:color w:val="000000"/>
                <w:sz w:val="24"/>
                <w:szCs w:val="24"/>
              </w:rPr>
            </w:pPr>
            <w:r w:rsidRPr="00547D5E">
              <w:rPr>
                <w:rFonts w:asciiTheme="majorHAnsi" w:hAnsiTheme="majorHAnsi" w:cs="Calibri Light"/>
                <w:color w:val="000000"/>
                <w:sz w:val="24"/>
                <w:szCs w:val="24"/>
              </w:rPr>
              <w:t>Numerar și documente bănești</w:t>
            </w:r>
          </w:p>
        </w:tc>
        <w:tc>
          <w:tcPr>
            <w:tcW w:w="1418" w:type="dxa"/>
            <w:noWrap/>
            <w:hideMark/>
          </w:tcPr>
          <w:p w14:paraId="3EAA62DD"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5.265,92</w:t>
            </w:r>
          </w:p>
        </w:tc>
        <w:tc>
          <w:tcPr>
            <w:tcW w:w="1417" w:type="dxa"/>
            <w:noWrap/>
            <w:hideMark/>
          </w:tcPr>
          <w:p w14:paraId="299F9978"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9.038,60</w:t>
            </w:r>
          </w:p>
        </w:tc>
        <w:tc>
          <w:tcPr>
            <w:tcW w:w="1560" w:type="dxa"/>
            <w:noWrap/>
            <w:hideMark/>
          </w:tcPr>
          <w:p w14:paraId="6ACF5A9F"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7.551,92</w:t>
            </w:r>
          </w:p>
        </w:tc>
        <w:tc>
          <w:tcPr>
            <w:tcW w:w="1165" w:type="dxa"/>
            <w:noWrap/>
            <w:hideMark/>
          </w:tcPr>
          <w:p w14:paraId="2FD47149" w14:textId="4038C46F"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2.286,00</w:t>
            </w:r>
          </w:p>
        </w:tc>
      </w:tr>
      <w:tr w:rsidR="00BA7731" w:rsidRPr="00547D5E" w14:paraId="746794FD"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2CFACCDB" w14:textId="77777777" w:rsidR="00BA7731" w:rsidRPr="00547D5E" w:rsidRDefault="00BA7731" w:rsidP="00BA7731">
            <w:pPr>
              <w:rPr>
                <w:rFonts w:asciiTheme="majorHAnsi" w:hAnsiTheme="majorHAnsi" w:cs="Calibri Light"/>
                <w:color w:val="000000"/>
                <w:sz w:val="24"/>
                <w:szCs w:val="24"/>
              </w:rPr>
            </w:pPr>
            <w:r w:rsidRPr="00547D5E">
              <w:rPr>
                <w:rFonts w:asciiTheme="majorHAnsi" w:hAnsiTheme="majorHAnsi" w:cs="Calibri Light"/>
                <w:b w:val="0"/>
                <w:bCs w:val="0"/>
                <w:color w:val="000000"/>
                <w:sz w:val="24"/>
                <w:szCs w:val="24"/>
              </w:rPr>
              <w:t>Total ACTIV:</w:t>
            </w:r>
          </w:p>
        </w:tc>
        <w:tc>
          <w:tcPr>
            <w:tcW w:w="1418" w:type="dxa"/>
            <w:tcBorders>
              <w:top w:val="none" w:sz="0" w:space="0" w:color="auto"/>
              <w:bottom w:val="none" w:sz="0" w:space="0" w:color="auto"/>
            </w:tcBorders>
            <w:noWrap/>
            <w:hideMark/>
          </w:tcPr>
          <w:p w14:paraId="2C91C35A"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37.829,83</w:t>
            </w:r>
          </w:p>
        </w:tc>
        <w:tc>
          <w:tcPr>
            <w:tcW w:w="1417" w:type="dxa"/>
            <w:tcBorders>
              <w:top w:val="none" w:sz="0" w:space="0" w:color="auto"/>
              <w:bottom w:val="none" w:sz="0" w:space="0" w:color="auto"/>
            </w:tcBorders>
            <w:noWrap/>
            <w:hideMark/>
          </w:tcPr>
          <w:p w14:paraId="6F002CB5"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37.461,18</w:t>
            </w:r>
          </w:p>
        </w:tc>
        <w:tc>
          <w:tcPr>
            <w:tcW w:w="1560" w:type="dxa"/>
            <w:tcBorders>
              <w:top w:val="none" w:sz="0" w:space="0" w:color="auto"/>
              <w:bottom w:val="none" w:sz="0" w:space="0" w:color="auto"/>
            </w:tcBorders>
            <w:noWrap/>
            <w:hideMark/>
          </w:tcPr>
          <w:p w14:paraId="74C013DC"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35.562,39</w:t>
            </w:r>
          </w:p>
        </w:tc>
        <w:tc>
          <w:tcPr>
            <w:tcW w:w="1165" w:type="dxa"/>
            <w:tcBorders>
              <w:top w:val="none" w:sz="0" w:space="0" w:color="auto"/>
              <w:bottom w:val="none" w:sz="0" w:space="0" w:color="auto"/>
            </w:tcBorders>
            <w:noWrap/>
            <w:hideMark/>
          </w:tcPr>
          <w:p w14:paraId="07C6E5B9" w14:textId="6415A858"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CC7D5A">
              <w:t>-2.267,44</w:t>
            </w:r>
          </w:p>
        </w:tc>
      </w:tr>
      <w:tr w:rsidR="00BA7731" w:rsidRPr="00547D5E" w14:paraId="61D53B28" w14:textId="77777777" w:rsidTr="009B656A">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44CBA33F" w14:textId="77777777" w:rsidR="00BA7731" w:rsidRPr="00547D5E" w:rsidRDefault="00BA7731" w:rsidP="00BA7731">
            <w:pPr>
              <w:rPr>
                <w:rFonts w:asciiTheme="majorHAnsi" w:hAnsiTheme="majorHAnsi" w:cs="Calibri Light"/>
                <w:b w:val="0"/>
                <w:bCs w:val="0"/>
                <w:color w:val="000000"/>
                <w:sz w:val="24"/>
                <w:szCs w:val="24"/>
              </w:rPr>
            </w:pPr>
            <w:r w:rsidRPr="00547D5E">
              <w:rPr>
                <w:rFonts w:asciiTheme="majorHAnsi" w:hAnsiTheme="majorHAnsi" w:cs="Calibri Light"/>
                <w:b w:val="0"/>
                <w:bCs w:val="0"/>
                <w:color w:val="000000"/>
                <w:sz w:val="24"/>
                <w:szCs w:val="24"/>
              </w:rPr>
              <w:t>Capital propriu, TOTAL:</w:t>
            </w:r>
          </w:p>
        </w:tc>
        <w:tc>
          <w:tcPr>
            <w:tcW w:w="1418" w:type="dxa"/>
            <w:noWrap/>
            <w:hideMark/>
          </w:tcPr>
          <w:p w14:paraId="5342931C"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-536,52</w:t>
            </w:r>
          </w:p>
        </w:tc>
        <w:tc>
          <w:tcPr>
            <w:tcW w:w="1417" w:type="dxa"/>
            <w:noWrap/>
            <w:hideMark/>
          </w:tcPr>
          <w:p w14:paraId="3C12703D"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35,65</w:t>
            </w:r>
          </w:p>
        </w:tc>
        <w:tc>
          <w:tcPr>
            <w:tcW w:w="1560" w:type="dxa"/>
            <w:noWrap/>
            <w:hideMark/>
          </w:tcPr>
          <w:p w14:paraId="2A68B08C"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-438,33</w:t>
            </w:r>
          </w:p>
        </w:tc>
        <w:tc>
          <w:tcPr>
            <w:tcW w:w="1165" w:type="dxa"/>
            <w:noWrap/>
            <w:hideMark/>
          </w:tcPr>
          <w:p w14:paraId="0D49C347" w14:textId="3F61116F"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98,19</w:t>
            </w:r>
          </w:p>
        </w:tc>
      </w:tr>
      <w:tr w:rsidR="00BA7731" w:rsidRPr="00547D5E" w14:paraId="2706B78D"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4C4B487E" w14:textId="77777777" w:rsidR="00BA7731" w:rsidRPr="00547D5E" w:rsidRDefault="00BA7731" w:rsidP="00BA7731">
            <w:pPr>
              <w:rPr>
                <w:rFonts w:asciiTheme="majorHAnsi" w:hAnsiTheme="majorHAnsi" w:cs="Calibri Light"/>
                <w:color w:val="000000"/>
                <w:sz w:val="24"/>
                <w:szCs w:val="24"/>
              </w:rPr>
            </w:pPr>
            <w:r w:rsidRPr="00547D5E">
              <w:rPr>
                <w:rFonts w:asciiTheme="majorHAnsi" w:hAnsiTheme="majorHAnsi" w:cs="Calibri Light"/>
                <w:b w:val="0"/>
                <w:bCs w:val="0"/>
                <w:color w:val="000000"/>
                <w:sz w:val="24"/>
                <w:szCs w:val="24"/>
              </w:rPr>
              <w:t>Datorii pe termen lung, TOTAL:</w:t>
            </w:r>
          </w:p>
        </w:tc>
        <w:tc>
          <w:tcPr>
            <w:tcW w:w="1418" w:type="dxa"/>
            <w:tcBorders>
              <w:top w:val="none" w:sz="0" w:space="0" w:color="auto"/>
              <w:bottom w:val="none" w:sz="0" w:space="0" w:color="auto"/>
            </w:tcBorders>
            <w:noWrap/>
            <w:hideMark/>
          </w:tcPr>
          <w:p w14:paraId="7F28F73D"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30.110,07</w:t>
            </w:r>
          </w:p>
        </w:tc>
        <w:tc>
          <w:tcPr>
            <w:tcW w:w="1417" w:type="dxa"/>
            <w:tcBorders>
              <w:top w:val="none" w:sz="0" w:space="0" w:color="auto"/>
              <w:bottom w:val="none" w:sz="0" w:space="0" w:color="auto"/>
            </w:tcBorders>
            <w:noWrap/>
            <w:hideMark/>
          </w:tcPr>
          <w:p w14:paraId="61A1EDD2"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25.910,34</w:t>
            </w:r>
          </w:p>
        </w:tc>
        <w:tc>
          <w:tcPr>
            <w:tcW w:w="1560" w:type="dxa"/>
            <w:tcBorders>
              <w:top w:val="none" w:sz="0" w:space="0" w:color="auto"/>
              <w:bottom w:val="none" w:sz="0" w:space="0" w:color="auto"/>
            </w:tcBorders>
            <w:noWrap/>
            <w:hideMark/>
          </w:tcPr>
          <w:p w14:paraId="1C2D8B80"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25.208,19</w:t>
            </w:r>
          </w:p>
        </w:tc>
        <w:tc>
          <w:tcPr>
            <w:tcW w:w="1165" w:type="dxa"/>
            <w:tcBorders>
              <w:top w:val="none" w:sz="0" w:space="0" w:color="auto"/>
              <w:bottom w:val="none" w:sz="0" w:space="0" w:color="auto"/>
            </w:tcBorders>
            <w:noWrap/>
            <w:hideMark/>
          </w:tcPr>
          <w:p w14:paraId="1A4D6ACB" w14:textId="717E7BB8"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rPr>
            </w:pPr>
            <w:r w:rsidRPr="00CC7D5A">
              <w:t>-4.901,88</w:t>
            </w:r>
          </w:p>
        </w:tc>
      </w:tr>
      <w:tr w:rsidR="00BA7731" w:rsidRPr="00547D5E" w14:paraId="533BC4D7" w14:textId="77777777" w:rsidTr="00FF1DED">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47BC72D7" w14:textId="77777777" w:rsidR="00BA7731" w:rsidRPr="00547D5E" w:rsidRDefault="00BA7731" w:rsidP="00BA7731">
            <w:pPr>
              <w:rPr>
                <w:rFonts w:asciiTheme="majorHAnsi" w:hAnsiTheme="majorHAnsi" w:cs="Calibri Light"/>
                <w:color w:val="000000"/>
                <w:sz w:val="24"/>
                <w:szCs w:val="24"/>
              </w:rPr>
            </w:pPr>
            <w:r w:rsidRPr="00547D5E">
              <w:rPr>
                <w:rFonts w:asciiTheme="majorHAnsi" w:hAnsiTheme="majorHAnsi" w:cs="Calibri Light"/>
                <w:b w:val="0"/>
                <w:bCs w:val="0"/>
                <w:color w:val="000000"/>
                <w:sz w:val="24"/>
                <w:szCs w:val="24"/>
              </w:rPr>
              <w:t>Datorii curente, TOTAL:</w:t>
            </w:r>
          </w:p>
        </w:tc>
        <w:tc>
          <w:tcPr>
            <w:tcW w:w="1418" w:type="dxa"/>
            <w:noWrap/>
            <w:hideMark/>
          </w:tcPr>
          <w:p w14:paraId="238E7B0C"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8.256,28</w:t>
            </w:r>
          </w:p>
        </w:tc>
        <w:tc>
          <w:tcPr>
            <w:tcW w:w="1417" w:type="dxa"/>
            <w:noWrap/>
            <w:hideMark/>
          </w:tcPr>
          <w:p w14:paraId="2C134624"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11.515,19</w:t>
            </w:r>
          </w:p>
        </w:tc>
        <w:tc>
          <w:tcPr>
            <w:tcW w:w="1560" w:type="dxa"/>
            <w:noWrap/>
            <w:hideMark/>
          </w:tcPr>
          <w:p w14:paraId="7A769131" w14:textId="77777777" w:rsidR="00BA7731" w:rsidRPr="00547D5E" w:rsidRDefault="00BA7731" w:rsidP="00BA7731">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547D5E">
              <w:rPr>
                <w:rFonts w:asciiTheme="majorHAnsi" w:hAnsiTheme="majorHAnsi" w:cs="Calibri"/>
                <w:color w:val="000000"/>
                <w:sz w:val="24"/>
                <w:szCs w:val="24"/>
              </w:rPr>
              <w:t>10.792,53</w:t>
            </w:r>
          </w:p>
        </w:tc>
        <w:tc>
          <w:tcPr>
            <w:tcW w:w="1165" w:type="dxa"/>
            <w:noWrap/>
            <w:hideMark/>
          </w:tcPr>
          <w:p w14:paraId="31ACF4E5" w14:textId="3FC4633A" w:rsidR="00BA7731" w:rsidRPr="00547D5E" w:rsidRDefault="00BA7731" w:rsidP="00BA7731">
            <w:pPr>
              <w:ind w:hanging="11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rPr>
            </w:pPr>
            <w:r w:rsidRPr="00CC7D5A">
              <w:t>2.536,25</w:t>
            </w:r>
          </w:p>
        </w:tc>
      </w:tr>
      <w:tr w:rsidR="00BA7731" w:rsidRPr="00547D5E" w14:paraId="71058AE3" w14:textId="77777777" w:rsidTr="009B6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36FB492B" w14:textId="77777777" w:rsidR="00BA7731" w:rsidRPr="00547D5E" w:rsidRDefault="00BA7731" w:rsidP="00BA7731">
            <w:pPr>
              <w:rPr>
                <w:rFonts w:asciiTheme="majorHAnsi" w:hAnsiTheme="majorHAnsi" w:cs="Calibri Light"/>
                <w:color w:val="000000"/>
                <w:sz w:val="24"/>
                <w:szCs w:val="24"/>
              </w:rPr>
            </w:pPr>
            <w:r w:rsidRPr="00547D5E">
              <w:rPr>
                <w:rFonts w:asciiTheme="majorHAnsi" w:hAnsiTheme="majorHAnsi" w:cs="Calibri Light"/>
                <w:b w:val="0"/>
                <w:bCs w:val="0"/>
                <w:color w:val="000000"/>
                <w:sz w:val="24"/>
                <w:szCs w:val="24"/>
              </w:rPr>
              <w:t>Total PASIV:</w:t>
            </w:r>
          </w:p>
        </w:tc>
        <w:tc>
          <w:tcPr>
            <w:tcW w:w="1418" w:type="dxa"/>
            <w:tcBorders>
              <w:top w:val="none" w:sz="0" w:space="0" w:color="auto"/>
              <w:bottom w:val="none" w:sz="0" w:space="0" w:color="auto"/>
            </w:tcBorders>
            <w:noWrap/>
            <w:hideMark/>
          </w:tcPr>
          <w:p w14:paraId="6132C106"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37.829,83</w:t>
            </w:r>
          </w:p>
        </w:tc>
        <w:tc>
          <w:tcPr>
            <w:tcW w:w="1417" w:type="dxa"/>
            <w:tcBorders>
              <w:top w:val="none" w:sz="0" w:space="0" w:color="auto"/>
              <w:bottom w:val="none" w:sz="0" w:space="0" w:color="auto"/>
            </w:tcBorders>
            <w:noWrap/>
            <w:hideMark/>
          </w:tcPr>
          <w:p w14:paraId="7323EB2D"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37.461,18</w:t>
            </w:r>
          </w:p>
        </w:tc>
        <w:tc>
          <w:tcPr>
            <w:tcW w:w="1560" w:type="dxa"/>
            <w:tcBorders>
              <w:top w:val="none" w:sz="0" w:space="0" w:color="auto"/>
              <w:bottom w:val="none" w:sz="0" w:space="0" w:color="auto"/>
            </w:tcBorders>
            <w:noWrap/>
            <w:hideMark/>
          </w:tcPr>
          <w:p w14:paraId="4402220C" w14:textId="77777777"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547D5E">
              <w:rPr>
                <w:rFonts w:asciiTheme="majorHAnsi" w:hAnsiTheme="majorHAnsi" w:cs="Calibri"/>
                <w:b/>
                <w:bCs/>
                <w:color w:val="000000"/>
                <w:sz w:val="24"/>
                <w:szCs w:val="24"/>
              </w:rPr>
              <w:t>35.562,39</w:t>
            </w:r>
          </w:p>
        </w:tc>
        <w:tc>
          <w:tcPr>
            <w:tcW w:w="1165" w:type="dxa"/>
            <w:tcBorders>
              <w:top w:val="none" w:sz="0" w:space="0" w:color="auto"/>
              <w:bottom w:val="none" w:sz="0" w:space="0" w:color="auto"/>
            </w:tcBorders>
            <w:noWrap/>
            <w:hideMark/>
          </w:tcPr>
          <w:p w14:paraId="20E0F436" w14:textId="12205E4A" w:rsidR="00BA7731" w:rsidRPr="00547D5E" w:rsidRDefault="00BA7731" w:rsidP="00BA7731">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4"/>
                <w:szCs w:val="24"/>
              </w:rPr>
            </w:pPr>
            <w:r w:rsidRPr="00CC7D5A">
              <w:t>-2.267,44</w:t>
            </w:r>
          </w:p>
        </w:tc>
      </w:tr>
    </w:tbl>
    <w:p w14:paraId="7574803D" w14:textId="3FD03F04" w:rsidR="003E795B" w:rsidRPr="00354287" w:rsidRDefault="003E795B" w:rsidP="003E795B">
      <w:pPr>
        <w:pStyle w:val="ListParagraph"/>
        <w:spacing w:after="0"/>
        <w:ind w:left="0"/>
        <w:rPr>
          <w:rFonts w:asciiTheme="majorHAnsi" w:hAnsiTheme="majorHAnsi" w:cstheme="majorHAnsi"/>
          <w:b/>
          <w:i/>
          <w:sz w:val="20"/>
          <w:szCs w:val="20"/>
          <w:lang w:val="ro-MD"/>
        </w:rPr>
      </w:pPr>
      <w:r w:rsidRPr="00354287">
        <w:rPr>
          <w:rFonts w:asciiTheme="majorHAnsi" w:hAnsiTheme="majorHAnsi" w:cstheme="majorHAnsi"/>
          <w:b/>
          <w:i/>
          <w:sz w:val="20"/>
          <w:szCs w:val="20"/>
          <w:lang w:val="ro-MD"/>
        </w:rPr>
        <w:t xml:space="preserve">Sursă: </w:t>
      </w:r>
      <w:r w:rsidR="00254D02" w:rsidRPr="00354287">
        <w:rPr>
          <w:rFonts w:asciiTheme="majorHAnsi" w:hAnsiTheme="majorHAnsi" w:cstheme="majorHAnsi"/>
          <w:i/>
          <w:sz w:val="20"/>
          <w:szCs w:val="20"/>
          <w:lang w:val="ro-MD"/>
        </w:rPr>
        <w:t>Bilanțul</w:t>
      </w:r>
      <w:r w:rsidRPr="00354287">
        <w:rPr>
          <w:rFonts w:asciiTheme="majorHAnsi" w:hAnsiTheme="majorHAnsi" w:cstheme="majorHAnsi"/>
          <w:i/>
          <w:sz w:val="20"/>
          <w:szCs w:val="20"/>
          <w:lang w:val="ro-MD"/>
        </w:rPr>
        <w:t xml:space="preserve"> contabil al  INM, ISM și MOLDAC la</w:t>
      </w:r>
      <w:r w:rsidR="00254D02" w:rsidRPr="00354287">
        <w:rPr>
          <w:rFonts w:asciiTheme="majorHAnsi" w:hAnsiTheme="majorHAnsi" w:cstheme="majorHAnsi"/>
          <w:i/>
          <w:sz w:val="20"/>
          <w:szCs w:val="20"/>
          <w:lang w:val="ro-MD"/>
        </w:rPr>
        <w:t xml:space="preserve"> situația din</w:t>
      </w:r>
      <w:r w:rsidRPr="00354287">
        <w:rPr>
          <w:rFonts w:asciiTheme="majorHAnsi" w:hAnsiTheme="majorHAnsi" w:cstheme="majorHAnsi"/>
          <w:i/>
          <w:sz w:val="20"/>
          <w:szCs w:val="20"/>
          <w:lang w:val="ro-MD"/>
        </w:rPr>
        <w:t xml:space="preserve"> 31 decembrie</w:t>
      </w:r>
      <w:r w:rsidR="00254D02" w:rsidRPr="00354287">
        <w:rPr>
          <w:rFonts w:asciiTheme="majorHAnsi" w:hAnsiTheme="majorHAnsi" w:cstheme="majorHAnsi"/>
          <w:i/>
          <w:sz w:val="20"/>
          <w:szCs w:val="20"/>
          <w:lang w:val="ro-MD"/>
        </w:rPr>
        <w:t xml:space="preserve"> 2020 și 31 decembrie</w:t>
      </w:r>
      <w:r w:rsidRPr="00354287">
        <w:rPr>
          <w:rFonts w:asciiTheme="majorHAnsi" w:hAnsiTheme="majorHAnsi" w:cstheme="majorHAnsi"/>
          <w:i/>
          <w:sz w:val="20"/>
          <w:szCs w:val="20"/>
          <w:lang w:val="ro-MD"/>
        </w:rPr>
        <w:t xml:space="preserve"> 2021</w:t>
      </w:r>
      <w:r w:rsidRPr="00354287">
        <w:rPr>
          <w:rFonts w:asciiTheme="majorHAnsi" w:hAnsiTheme="majorHAnsi" w:cstheme="majorHAnsi"/>
          <w:b/>
          <w:i/>
          <w:sz w:val="20"/>
          <w:szCs w:val="20"/>
          <w:lang w:val="ro-MD"/>
        </w:rPr>
        <w:t>.</w:t>
      </w:r>
    </w:p>
    <w:p w14:paraId="3225AF5F" w14:textId="77777777" w:rsidR="00154790" w:rsidRDefault="00154790" w:rsidP="003E795B">
      <w:pPr>
        <w:pStyle w:val="ListParagraph"/>
        <w:spacing w:after="0"/>
        <w:ind w:left="0"/>
        <w:jc w:val="right"/>
        <w:rPr>
          <w:rFonts w:asciiTheme="majorHAnsi" w:hAnsiTheme="majorHAnsi" w:cstheme="majorHAnsi"/>
          <w:b/>
          <w:sz w:val="24"/>
          <w:szCs w:val="24"/>
          <w:highlight w:val="green"/>
          <w:lang w:val="ro-MD"/>
        </w:rPr>
      </w:pPr>
    </w:p>
    <w:p w14:paraId="09EBA082" w14:textId="4B50F6C8" w:rsidR="003E795B" w:rsidRPr="00255E9C" w:rsidRDefault="003E795B" w:rsidP="003E795B">
      <w:pPr>
        <w:pStyle w:val="ListParagraph"/>
        <w:spacing w:after="0"/>
        <w:ind w:left="0"/>
        <w:jc w:val="right"/>
        <w:rPr>
          <w:rFonts w:asciiTheme="majorHAnsi" w:hAnsiTheme="majorHAnsi" w:cstheme="majorHAnsi"/>
          <w:b/>
          <w:i/>
          <w:sz w:val="24"/>
          <w:szCs w:val="24"/>
          <w:lang w:val="ro-MD"/>
        </w:rPr>
      </w:pPr>
      <w:r w:rsidRPr="00255E9C">
        <w:rPr>
          <w:rFonts w:asciiTheme="majorHAnsi" w:hAnsiTheme="majorHAnsi" w:cstheme="majorHAnsi"/>
          <w:b/>
          <w:i/>
          <w:sz w:val="24"/>
          <w:szCs w:val="24"/>
          <w:lang w:val="ro-MD"/>
        </w:rPr>
        <w:t xml:space="preserve">Tabelul </w:t>
      </w:r>
      <w:r w:rsidR="00184FC1">
        <w:rPr>
          <w:rFonts w:asciiTheme="majorHAnsi" w:hAnsiTheme="majorHAnsi" w:cstheme="majorHAnsi"/>
          <w:b/>
          <w:i/>
          <w:sz w:val="24"/>
          <w:szCs w:val="24"/>
          <w:lang w:val="ro-MD"/>
        </w:rPr>
        <w:t xml:space="preserve">nr. </w:t>
      </w:r>
      <w:r w:rsidR="00456EF2" w:rsidRPr="00255E9C">
        <w:rPr>
          <w:rFonts w:asciiTheme="majorHAnsi" w:hAnsiTheme="majorHAnsi" w:cstheme="majorHAnsi"/>
          <w:b/>
          <w:i/>
          <w:sz w:val="24"/>
          <w:szCs w:val="24"/>
          <w:lang w:val="ro-MD"/>
        </w:rPr>
        <w:t>2.</w:t>
      </w:r>
      <w:r w:rsidRPr="00255E9C">
        <w:rPr>
          <w:rFonts w:asciiTheme="majorHAnsi" w:hAnsiTheme="majorHAnsi" w:cstheme="majorHAnsi"/>
          <w:b/>
          <w:i/>
          <w:sz w:val="24"/>
          <w:szCs w:val="24"/>
          <w:lang w:val="ro-MD"/>
        </w:rPr>
        <w:t>2.2</w:t>
      </w:r>
      <w:r w:rsidR="00184FC1">
        <w:rPr>
          <w:rFonts w:asciiTheme="majorHAnsi" w:hAnsiTheme="majorHAnsi" w:cstheme="majorHAnsi"/>
          <w:b/>
          <w:i/>
          <w:sz w:val="24"/>
          <w:szCs w:val="24"/>
          <w:lang w:val="ro-MD"/>
        </w:rPr>
        <w:t>.</w:t>
      </w:r>
    </w:p>
    <w:p w14:paraId="3BA653F7" w14:textId="5A9544D3" w:rsidR="0089113F" w:rsidRDefault="003E795B" w:rsidP="001601CC">
      <w:pPr>
        <w:pStyle w:val="ListParagraph"/>
        <w:tabs>
          <w:tab w:val="left" w:pos="3686"/>
        </w:tabs>
        <w:spacing w:after="0"/>
        <w:ind w:left="0"/>
        <w:jc w:val="center"/>
        <w:rPr>
          <w:rFonts w:asciiTheme="majorHAnsi" w:hAnsiTheme="majorHAnsi" w:cstheme="majorHAnsi"/>
          <w:b/>
          <w:sz w:val="24"/>
          <w:szCs w:val="24"/>
          <w:lang w:val="ro-MD"/>
        </w:rPr>
      </w:pPr>
      <w:r w:rsidRPr="00A258E1">
        <w:rPr>
          <w:rFonts w:asciiTheme="majorHAnsi" w:hAnsiTheme="majorHAnsi" w:cstheme="majorHAnsi"/>
          <w:b/>
          <w:sz w:val="24"/>
          <w:szCs w:val="24"/>
          <w:lang w:val="ro-MD"/>
        </w:rPr>
        <w:t xml:space="preserve">Situația de profit și pierdere a </w:t>
      </w:r>
      <w:r w:rsidR="006D3DE4">
        <w:rPr>
          <w:rFonts w:asciiTheme="majorHAnsi" w:hAnsiTheme="majorHAnsi" w:cstheme="majorHAnsi"/>
          <w:b/>
          <w:sz w:val="24"/>
          <w:szCs w:val="24"/>
          <w:lang w:val="ro-MD"/>
        </w:rPr>
        <w:t>i</w:t>
      </w:r>
      <w:r w:rsidRPr="00A258E1">
        <w:rPr>
          <w:rFonts w:asciiTheme="majorHAnsi" w:hAnsiTheme="majorHAnsi" w:cstheme="majorHAnsi"/>
          <w:b/>
          <w:sz w:val="24"/>
          <w:szCs w:val="24"/>
          <w:lang w:val="ro-MD"/>
        </w:rPr>
        <w:t xml:space="preserve">nstituțiilor </w:t>
      </w:r>
      <w:r w:rsidR="006D3DE4">
        <w:rPr>
          <w:rFonts w:asciiTheme="majorHAnsi" w:hAnsiTheme="majorHAnsi" w:cstheme="majorHAnsi"/>
          <w:b/>
          <w:sz w:val="24"/>
          <w:szCs w:val="24"/>
          <w:lang w:val="ro-MD"/>
        </w:rPr>
        <w:t>p</w:t>
      </w:r>
      <w:r w:rsidRPr="00A258E1">
        <w:rPr>
          <w:rFonts w:asciiTheme="majorHAnsi" w:hAnsiTheme="majorHAnsi" w:cstheme="majorHAnsi"/>
          <w:b/>
          <w:sz w:val="24"/>
          <w:szCs w:val="24"/>
          <w:lang w:val="ro-MD"/>
        </w:rPr>
        <w:t>ublice din domeniul infrastructurii calității</w:t>
      </w:r>
    </w:p>
    <w:p w14:paraId="522D159B" w14:textId="21F8AA90" w:rsidR="001601CC" w:rsidRDefault="00863272" w:rsidP="001601CC">
      <w:pPr>
        <w:pStyle w:val="ListParagraph"/>
        <w:tabs>
          <w:tab w:val="left" w:pos="3686"/>
        </w:tabs>
        <w:spacing w:after="0"/>
        <w:ind w:left="0"/>
        <w:jc w:val="center"/>
        <w:rPr>
          <w:rFonts w:asciiTheme="majorHAnsi" w:hAnsiTheme="majorHAnsi" w:cstheme="majorHAnsi"/>
          <w:b/>
          <w:sz w:val="24"/>
          <w:szCs w:val="24"/>
          <w:lang w:val="ro-MD"/>
        </w:rPr>
      </w:pPr>
      <w:r>
        <w:rPr>
          <w:rFonts w:asciiTheme="majorHAnsi" w:hAnsiTheme="majorHAnsi" w:cstheme="majorHAnsi"/>
          <w:b/>
          <w:sz w:val="24"/>
          <w:szCs w:val="24"/>
          <w:lang w:val="ro-MD"/>
        </w:rPr>
        <w:t>(ISM; INM; MOL</w:t>
      </w:r>
      <w:r w:rsidR="00456EF2">
        <w:rPr>
          <w:rFonts w:asciiTheme="majorHAnsi" w:hAnsiTheme="majorHAnsi" w:cstheme="majorHAnsi"/>
          <w:b/>
          <w:sz w:val="24"/>
          <w:szCs w:val="24"/>
          <w:lang w:val="ro-MD"/>
        </w:rPr>
        <w:t>D</w:t>
      </w:r>
      <w:r>
        <w:rPr>
          <w:rFonts w:asciiTheme="majorHAnsi" w:hAnsiTheme="majorHAnsi" w:cstheme="majorHAnsi"/>
          <w:b/>
          <w:sz w:val="24"/>
          <w:szCs w:val="24"/>
          <w:lang w:val="ro-MD"/>
        </w:rPr>
        <w:t xml:space="preserve">AC) </w:t>
      </w:r>
      <w:r w:rsidR="003E795B" w:rsidRPr="00A258E1">
        <w:rPr>
          <w:rFonts w:asciiTheme="majorHAnsi" w:hAnsiTheme="majorHAnsi" w:cstheme="majorHAnsi"/>
          <w:b/>
          <w:sz w:val="24"/>
          <w:szCs w:val="24"/>
          <w:lang w:val="ro-MD"/>
        </w:rPr>
        <w:t>pe anii 2020</w:t>
      </w:r>
      <w:r w:rsidR="00184FC1">
        <w:rPr>
          <w:rFonts w:asciiTheme="majorHAnsi" w:hAnsiTheme="majorHAnsi" w:cstheme="majorHAnsi"/>
          <w:b/>
          <w:sz w:val="24"/>
          <w:szCs w:val="24"/>
          <w:lang w:val="ro-MD"/>
        </w:rPr>
        <w:t xml:space="preserve"> </w:t>
      </w:r>
      <w:r w:rsidR="003E795B" w:rsidRPr="00A258E1">
        <w:rPr>
          <w:rFonts w:asciiTheme="majorHAnsi" w:hAnsiTheme="majorHAnsi" w:cstheme="majorHAnsi"/>
          <w:b/>
          <w:sz w:val="24"/>
          <w:szCs w:val="24"/>
          <w:lang w:val="ro-MD"/>
        </w:rPr>
        <w:t>-2021</w:t>
      </w:r>
    </w:p>
    <w:p w14:paraId="60044DEA" w14:textId="75FEFC97" w:rsidR="001601CC" w:rsidRPr="007C3E40" w:rsidRDefault="00863272" w:rsidP="001601CC">
      <w:pPr>
        <w:pStyle w:val="ListParagraph"/>
        <w:tabs>
          <w:tab w:val="left" w:pos="3686"/>
        </w:tabs>
        <w:spacing w:after="0"/>
        <w:ind w:left="0"/>
        <w:jc w:val="right"/>
        <w:rPr>
          <w:rFonts w:asciiTheme="majorHAnsi" w:hAnsiTheme="majorHAnsi" w:cstheme="majorHAnsi"/>
          <w:sz w:val="24"/>
          <w:szCs w:val="24"/>
          <w:lang w:val="ro-MD"/>
        </w:rPr>
      </w:pPr>
      <w:r w:rsidRPr="007C3E40">
        <w:rPr>
          <w:rFonts w:asciiTheme="majorHAnsi" w:hAnsiTheme="majorHAnsi" w:cstheme="majorHAnsi"/>
          <w:sz w:val="24"/>
          <w:szCs w:val="24"/>
          <w:lang w:val="ro-MD"/>
        </w:rPr>
        <w:t xml:space="preserve"> </w:t>
      </w:r>
      <w:r w:rsidR="001601CC" w:rsidRPr="007C3E40">
        <w:rPr>
          <w:rFonts w:asciiTheme="majorHAnsi" w:hAnsiTheme="majorHAnsi" w:cstheme="majorHAnsi"/>
          <w:sz w:val="24"/>
          <w:szCs w:val="24"/>
          <w:lang w:val="ro-MD"/>
        </w:rPr>
        <w:t xml:space="preserve"> (mii lei)</w:t>
      </w:r>
    </w:p>
    <w:tbl>
      <w:tblPr>
        <w:tblStyle w:val="PlainTable2"/>
        <w:tblW w:w="9215" w:type="dxa"/>
        <w:tblLook w:val="04A0" w:firstRow="1" w:lastRow="0" w:firstColumn="1" w:lastColumn="0" w:noHBand="0" w:noVBand="1"/>
      </w:tblPr>
      <w:tblGrid>
        <w:gridCol w:w="3402"/>
        <w:gridCol w:w="1276"/>
        <w:gridCol w:w="1418"/>
        <w:gridCol w:w="1701"/>
        <w:gridCol w:w="1418"/>
      </w:tblGrid>
      <w:tr w:rsidR="001601CC" w:rsidRPr="006D3DE4" w14:paraId="51A61EA4" w14:textId="77777777" w:rsidTr="00FF1DE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vMerge w:val="restart"/>
            <w:tcBorders>
              <w:bottom w:val="none" w:sz="0" w:space="0" w:color="auto"/>
            </w:tcBorders>
            <w:hideMark/>
          </w:tcPr>
          <w:p w14:paraId="7F9E874D" w14:textId="43958EC7" w:rsidR="001601CC" w:rsidRPr="006D3DE4" w:rsidRDefault="001601CC">
            <w:pPr>
              <w:jc w:val="center"/>
              <w:rPr>
                <w:rFonts w:asciiTheme="majorHAnsi" w:hAnsiTheme="majorHAnsi"/>
                <w:color w:val="000000"/>
                <w:sz w:val="24"/>
                <w:szCs w:val="24"/>
              </w:rPr>
            </w:pPr>
            <w:r w:rsidRPr="006D3DE4">
              <w:rPr>
                <w:rFonts w:asciiTheme="majorHAnsi" w:hAnsiTheme="majorHAnsi" w:cstheme="majorHAnsi"/>
                <w:sz w:val="24"/>
                <w:szCs w:val="24"/>
                <w:lang w:val="ro-MD"/>
              </w:rPr>
              <w:t xml:space="preserve">         </w:t>
            </w:r>
            <w:r w:rsidRPr="006D3DE4">
              <w:rPr>
                <w:rFonts w:asciiTheme="majorHAnsi" w:hAnsiTheme="majorHAnsi"/>
                <w:color w:val="000000"/>
                <w:sz w:val="24"/>
                <w:szCs w:val="24"/>
              </w:rPr>
              <w:t>Denumirea indicatorului</w:t>
            </w:r>
          </w:p>
        </w:tc>
        <w:tc>
          <w:tcPr>
            <w:tcW w:w="4395" w:type="dxa"/>
            <w:gridSpan w:val="3"/>
            <w:tcBorders>
              <w:bottom w:val="none" w:sz="0" w:space="0" w:color="auto"/>
            </w:tcBorders>
            <w:noWrap/>
            <w:hideMark/>
          </w:tcPr>
          <w:p w14:paraId="7FB98463" w14:textId="77777777" w:rsidR="001601CC" w:rsidRPr="00255E9C" w:rsidRDefault="001601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24"/>
                <w:szCs w:val="24"/>
              </w:rPr>
            </w:pPr>
            <w:r w:rsidRPr="006D3DE4">
              <w:rPr>
                <w:rFonts w:asciiTheme="majorHAnsi" w:hAnsiTheme="majorHAnsi"/>
                <w:color w:val="000000"/>
                <w:sz w:val="24"/>
                <w:szCs w:val="24"/>
              </w:rPr>
              <w:t xml:space="preserve">Situația </w:t>
            </w:r>
          </w:p>
        </w:tc>
        <w:tc>
          <w:tcPr>
            <w:tcW w:w="1418" w:type="dxa"/>
            <w:vMerge w:val="restart"/>
            <w:tcBorders>
              <w:bottom w:val="none" w:sz="0" w:space="0" w:color="auto"/>
            </w:tcBorders>
            <w:hideMark/>
          </w:tcPr>
          <w:p w14:paraId="553F2B04" w14:textId="77777777" w:rsidR="00497BD3" w:rsidRPr="00255E9C" w:rsidRDefault="00497B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24"/>
                <w:szCs w:val="24"/>
              </w:rPr>
            </w:pPr>
          </w:p>
          <w:p w14:paraId="0B18CE11" w14:textId="42C1864E" w:rsidR="001601CC" w:rsidRPr="00255E9C" w:rsidRDefault="00276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sz w:val="24"/>
                <w:szCs w:val="24"/>
              </w:rPr>
            </w:pPr>
            <w:r w:rsidRPr="006D3DE4">
              <w:rPr>
                <w:rFonts w:asciiTheme="majorHAnsi" w:hAnsiTheme="majorHAnsi"/>
                <w:color w:val="000000"/>
                <w:sz w:val="24"/>
                <w:szCs w:val="24"/>
              </w:rPr>
              <w:t xml:space="preserve">         </w:t>
            </w:r>
            <w:r w:rsidR="001601CC" w:rsidRPr="006D3DE4">
              <w:rPr>
                <w:rFonts w:asciiTheme="majorHAnsi" w:hAnsiTheme="majorHAnsi"/>
                <w:color w:val="000000"/>
                <w:sz w:val="24"/>
                <w:szCs w:val="24"/>
              </w:rPr>
              <w:t>Devieri</w:t>
            </w:r>
          </w:p>
        </w:tc>
      </w:tr>
      <w:tr w:rsidR="001601CC" w:rsidRPr="006D3DE4" w14:paraId="1F6C384B" w14:textId="77777777" w:rsidTr="00FF1DED">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hideMark/>
          </w:tcPr>
          <w:p w14:paraId="6CF269D1" w14:textId="77777777" w:rsidR="001601CC" w:rsidRPr="00547D5E" w:rsidRDefault="001601CC">
            <w:pPr>
              <w:rPr>
                <w:rFonts w:asciiTheme="majorHAnsi" w:hAnsiTheme="majorHAnsi"/>
                <w:color w:val="000000"/>
                <w:sz w:val="24"/>
                <w:szCs w:val="24"/>
              </w:rPr>
            </w:pPr>
          </w:p>
        </w:tc>
        <w:tc>
          <w:tcPr>
            <w:tcW w:w="1276" w:type="dxa"/>
            <w:tcBorders>
              <w:top w:val="none" w:sz="0" w:space="0" w:color="auto"/>
              <w:bottom w:val="none" w:sz="0" w:space="0" w:color="auto"/>
            </w:tcBorders>
            <w:hideMark/>
          </w:tcPr>
          <w:p w14:paraId="31EEDD84" w14:textId="77777777" w:rsidR="00D2363C" w:rsidRDefault="00D236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Pr>
                <w:rFonts w:asciiTheme="majorHAnsi" w:hAnsiTheme="majorHAnsi"/>
                <w:b/>
                <w:bCs/>
                <w:color w:val="000000"/>
                <w:sz w:val="24"/>
                <w:szCs w:val="24"/>
              </w:rPr>
              <w:t xml:space="preserve">Anul </w:t>
            </w:r>
          </w:p>
          <w:p w14:paraId="2AD27AE0" w14:textId="45E30976" w:rsidR="001601CC" w:rsidRPr="00547D5E" w:rsidRDefault="001601C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 xml:space="preserve">2020 </w:t>
            </w:r>
          </w:p>
        </w:tc>
        <w:tc>
          <w:tcPr>
            <w:tcW w:w="1418" w:type="dxa"/>
            <w:tcBorders>
              <w:top w:val="none" w:sz="0" w:space="0" w:color="auto"/>
              <w:bottom w:val="none" w:sz="0" w:space="0" w:color="auto"/>
            </w:tcBorders>
            <w:hideMark/>
          </w:tcPr>
          <w:p w14:paraId="59201B9A" w14:textId="77777777" w:rsidR="00D2363C" w:rsidRDefault="00D236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Pr>
                <w:rFonts w:asciiTheme="majorHAnsi" w:hAnsiTheme="majorHAnsi"/>
                <w:b/>
                <w:bCs/>
                <w:color w:val="000000"/>
                <w:sz w:val="24"/>
                <w:szCs w:val="24"/>
              </w:rPr>
              <w:t xml:space="preserve">Anul </w:t>
            </w:r>
          </w:p>
          <w:p w14:paraId="67C0B844" w14:textId="2C8082A1" w:rsidR="001601CC" w:rsidRPr="00547D5E" w:rsidRDefault="001601C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2020</w:t>
            </w:r>
          </w:p>
        </w:tc>
        <w:tc>
          <w:tcPr>
            <w:tcW w:w="1701" w:type="dxa"/>
            <w:tcBorders>
              <w:top w:val="none" w:sz="0" w:space="0" w:color="auto"/>
              <w:bottom w:val="none" w:sz="0" w:space="0" w:color="auto"/>
            </w:tcBorders>
            <w:hideMark/>
          </w:tcPr>
          <w:p w14:paraId="57806E5F" w14:textId="77777777" w:rsidR="00D2363C" w:rsidRDefault="00D2363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Pr>
                <w:rFonts w:asciiTheme="majorHAnsi" w:hAnsiTheme="majorHAnsi"/>
                <w:b/>
                <w:bCs/>
                <w:color w:val="000000"/>
                <w:sz w:val="24"/>
                <w:szCs w:val="24"/>
              </w:rPr>
              <w:t>Anul</w:t>
            </w:r>
          </w:p>
          <w:p w14:paraId="676A0130" w14:textId="5E7F5F86" w:rsidR="001601CC" w:rsidRPr="00547D5E" w:rsidRDefault="001601C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2021</w:t>
            </w:r>
          </w:p>
        </w:tc>
        <w:tc>
          <w:tcPr>
            <w:tcW w:w="1418" w:type="dxa"/>
            <w:vMerge/>
            <w:tcBorders>
              <w:top w:val="none" w:sz="0" w:space="0" w:color="auto"/>
              <w:bottom w:val="none" w:sz="0" w:space="0" w:color="auto"/>
            </w:tcBorders>
            <w:hideMark/>
          </w:tcPr>
          <w:p w14:paraId="68BC6B46" w14:textId="77777777" w:rsidR="001601CC" w:rsidRPr="006D3DE4" w:rsidRDefault="001601CC">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p>
        </w:tc>
      </w:tr>
      <w:tr w:rsidR="001601CC" w:rsidRPr="00547D5E" w14:paraId="5285A927" w14:textId="77777777" w:rsidTr="00FF1DED">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15B86340" w14:textId="77777777" w:rsidR="001601CC" w:rsidRPr="00547D5E" w:rsidRDefault="001601CC">
            <w:pPr>
              <w:rPr>
                <w:rFonts w:asciiTheme="majorHAnsi" w:hAnsiTheme="majorHAnsi"/>
                <w:b w:val="0"/>
                <w:bCs w:val="0"/>
                <w:color w:val="000000"/>
                <w:sz w:val="24"/>
                <w:szCs w:val="24"/>
              </w:rPr>
            </w:pPr>
            <w:r w:rsidRPr="00547D5E">
              <w:rPr>
                <w:rFonts w:asciiTheme="majorHAnsi" w:hAnsiTheme="majorHAnsi"/>
                <w:color w:val="000000"/>
                <w:sz w:val="24"/>
                <w:szCs w:val="24"/>
              </w:rPr>
              <w:t>Venituri din vânzări</w:t>
            </w:r>
          </w:p>
        </w:tc>
        <w:tc>
          <w:tcPr>
            <w:tcW w:w="1276" w:type="dxa"/>
            <w:noWrap/>
            <w:hideMark/>
          </w:tcPr>
          <w:p w14:paraId="5DC44519"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9140,86</w:t>
            </w:r>
          </w:p>
        </w:tc>
        <w:tc>
          <w:tcPr>
            <w:tcW w:w="1418" w:type="dxa"/>
            <w:noWrap/>
            <w:hideMark/>
          </w:tcPr>
          <w:p w14:paraId="4D9BA86C"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9353,76</w:t>
            </w:r>
          </w:p>
        </w:tc>
        <w:tc>
          <w:tcPr>
            <w:tcW w:w="1701" w:type="dxa"/>
            <w:noWrap/>
            <w:hideMark/>
          </w:tcPr>
          <w:p w14:paraId="679916FE"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9679,31</w:t>
            </w:r>
          </w:p>
        </w:tc>
        <w:tc>
          <w:tcPr>
            <w:tcW w:w="1418" w:type="dxa"/>
            <w:noWrap/>
            <w:hideMark/>
          </w:tcPr>
          <w:p w14:paraId="7713ED5B"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325,55</w:t>
            </w:r>
          </w:p>
        </w:tc>
      </w:tr>
      <w:tr w:rsidR="001601CC" w:rsidRPr="00547D5E" w14:paraId="039AD38E" w14:textId="77777777" w:rsidTr="00FF1D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6CB728FD" w14:textId="77777777" w:rsidR="001601CC" w:rsidRPr="00547D5E" w:rsidRDefault="001601CC">
            <w:pPr>
              <w:rPr>
                <w:rFonts w:asciiTheme="majorHAnsi" w:hAnsiTheme="majorHAnsi"/>
                <w:color w:val="000000"/>
                <w:sz w:val="24"/>
                <w:szCs w:val="24"/>
              </w:rPr>
            </w:pPr>
            <w:r w:rsidRPr="00547D5E">
              <w:rPr>
                <w:rFonts w:asciiTheme="majorHAnsi" w:hAnsiTheme="majorHAnsi"/>
                <w:color w:val="000000"/>
                <w:sz w:val="24"/>
                <w:szCs w:val="24"/>
              </w:rPr>
              <w:t>Costul vânzărilor</w:t>
            </w:r>
          </w:p>
        </w:tc>
        <w:tc>
          <w:tcPr>
            <w:tcW w:w="1276" w:type="dxa"/>
            <w:tcBorders>
              <w:top w:val="none" w:sz="0" w:space="0" w:color="auto"/>
              <w:bottom w:val="none" w:sz="0" w:space="0" w:color="auto"/>
            </w:tcBorders>
            <w:noWrap/>
            <w:hideMark/>
          </w:tcPr>
          <w:p w14:paraId="49AC5A5C"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6532,56</w:t>
            </w:r>
          </w:p>
        </w:tc>
        <w:tc>
          <w:tcPr>
            <w:tcW w:w="1418" w:type="dxa"/>
            <w:tcBorders>
              <w:top w:val="none" w:sz="0" w:space="0" w:color="auto"/>
              <w:bottom w:val="none" w:sz="0" w:space="0" w:color="auto"/>
            </w:tcBorders>
            <w:noWrap/>
            <w:hideMark/>
          </w:tcPr>
          <w:p w14:paraId="74135D5A"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6245,9</w:t>
            </w:r>
          </w:p>
        </w:tc>
        <w:tc>
          <w:tcPr>
            <w:tcW w:w="1701" w:type="dxa"/>
            <w:tcBorders>
              <w:top w:val="none" w:sz="0" w:space="0" w:color="auto"/>
              <w:bottom w:val="none" w:sz="0" w:space="0" w:color="auto"/>
            </w:tcBorders>
            <w:noWrap/>
            <w:hideMark/>
          </w:tcPr>
          <w:p w14:paraId="25F12F0C"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7087,59</w:t>
            </w:r>
          </w:p>
        </w:tc>
        <w:tc>
          <w:tcPr>
            <w:tcW w:w="1418" w:type="dxa"/>
            <w:tcBorders>
              <w:top w:val="none" w:sz="0" w:space="0" w:color="auto"/>
              <w:bottom w:val="none" w:sz="0" w:space="0" w:color="auto"/>
            </w:tcBorders>
            <w:noWrap/>
            <w:hideMark/>
          </w:tcPr>
          <w:p w14:paraId="30A6A1D2"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841,69</w:t>
            </w:r>
          </w:p>
        </w:tc>
      </w:tr>
      <w:tr w:rsidR="001601CC" w:rsidRPr="00547D5E" w14:paraId="14295BA9" w14:textId="77777777" w:rsidTr="00FF1DED">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65B28F07" w14:textId="77777777" w:rsidR="001601CC" w:rsidRPr="00547D5E" w:rsidRDefault="001601CC">
            <w:pPr>
              <w:rPr>
                <w:rFonts w:asciiTheme="majorHAnsi" w:hAnsiTheme="majorHAnsi"/>
                <w:color w:val="000000"/>
                <w:sz w:val="24"/>
                <w:szCs w:val="24"/>
              </w:rPr>
            </w:pPr>
            <w:r w:rsidRPr="00547D5E">
              <w:rPr>
                <w:rFonts w:asciiTheme="majorHAnsi" w:hAnsiTheme="majorHAnsi"/>
                <w:b w:val="0"/>
                <w:bCs w:val="0"/>
                <w:color w:val="000000"/>
                <w:sz w:val="24"/>
                <w:szCs w:val="24"/>
              </w:rPr>
              <w:t>Profit brut (pierdere brută)</w:t>
            </w:r>
          </w:p>
        </w:tc>
        <w:tc>
          <w:tcPr>
            <w:tcW w:w="1276" w:type="dxa"/>
            <w:noWrap/>
            <w:hideMark/>
          </w:tcPr>
          <w:p w14:paraId="0E25F256"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2608,3</w:t>
            </w:r>
          </w:p>
        </w:tc>
        <w:tc>
          <w:tcPr>
            <w:tcW w:w="1418" w:type="dxa"/>
            <w:noWrap/>
            <w:hideMark/>
          </w:tcPr>
          <w:p w14:paraId="60CE8B35"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3107,86</w:t>
            </w:r>
          </w:p>
        </w:tc>
        <w:tc>
          <w:tcPr>
            <w:tcW w:w="1701" w:type="dxa"/>
            <w:noWrap/>
            <w:hideMark/>
          </w:tcPr>
          <w:p w14:paraId="6EBF5268"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2591,72</w:t>
            </w:r>
          </w:p>
        </w:tc>
        <w:tc>
          <w:tcPr>
            <w:tcW w:w="1418" w:type="dxa"/>
            <w:noWrap/>
            <w:hideMark/>
          </w:tcPr>
          <w:p w14:paraId="3CC95E09"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-516,14</w:t>
            </w:r>
          </w:p>
        </w:tc>
      </w:tr>
      <w:tr w:rsidR="001601CC" w:rsidRPr="00547D5E" w14:paraId="3091013C" w14:textId="77777777" w:rsidTr="00FF1D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11AE1473" w14:textId="77777777" w:rsidR="001601CC" w:rsidRPr="00547D5E" w:rsidRDefault="001601CC">
            <w:pPr>
              <w:rPr>
                <w:rFonts w:asciiTheme="majorHAnsi" w:hAnsiTheme="majorHAnsi"/>
                <w:b w:val="0"/>
                <w:bCs w:val="0"/>
                <w:color w:val="000000"/>
                <w:sz w:val="24"/>
                <w:szCs w:val="24"/>
              </w:rPr>
            </w:pPr>
            <w:r w:rsidRPr="00547D5E">
              <w:rPr>
                <w:rFonts w:asciiTheme="majorHAnsi" w:hAnsiTheme="majorHAnsi"/>
                <w:color w:val="000000"/>
                <w:sz w:val="24"/>
                <w:szCs w:val="24"/>
              </w:rPr>
              <w:lastRenderedPageBreak/>
              <w:t>Alte venituri din activitatea operațională</w:t>
            </w:r>
          </w:p>
        </w:tc>
        <w:tc>
          <w:tcPr>
            <w:tcW w:w="1276" w:type="dxa"/>
            <w:tcBorders>
              <w:top w:val="none" w:sz="0" w:space="0" w:color="auto"/>
              <w:bottom w:val="none" w:sz="0" w:space="0" w:color="auto"/>
            </w:tcBorders>
            <w:noWrap/>
            <w:hideMark/>
          </w:tcPr>
          <w:p w14:paraId="5E534024"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10,87</w:t>
            </w:r>
          </w:p>
        </w:tc>
        <w:tc>
          <w:tcPr>
            <w:tcW w:w="1418" w:type="dxa"/>
            <w:tcBorders>
              <w:top w:val="none" w:sz="0" w:space="0" w:color="auto"/>
              <w:bottom w:val="none" w:sz="0" w:space="0" w:color="auto"/>
            </w:tcBorders>
            <w:noWrap/>
            <w:hideMark/>
          </w:tcPr>
          <w:p w14:paraId="3AD0800B"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14116,75</w:t>
            </w:r>
          </w:p>
        </w:tc>
        <w:tc>
          <w:tcPr>
            <w:tcW w:w="1701" w:type="dxa"/>
            <w:tcBorders>
              <w:top w:val="none" w:sz="0" w:space="0" w:color="auto"/>
              <w:bottom w:val="none" w:sz="0" w:space="0" w:color="auto"/>
            </w:tcBorders>
            <w:noWrap/>
            <w:hideMark/>
          </w:tcPr>
          <w:p w14:paraId="6BCCED1A"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15115,45</w:t>
            </w:r>
          </w:p>
        </w:tc>
        <w:tc>
          <w:tcPr>
            <w:tcW w:w="1418" w:type="dxa"/>
            <w:tcBorders>
              <w:top w:val="none" w:sz="0" w:space="0" w:color="auto"/>
              <w:bottom w:val="none" w:sz="0" w:space="0" w:color="auto"/>
            </w:tcBorders>
            <w:noWrap/>
            <w:hideMark/>
          </w:tcPr>
          <w:p w14:paraId="2FB0E6BF"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998,7</w:t>
            </w:r>
          </w:p>
        </w:tc>
      </w:tr>
      <w:tr w:rsidR="001601CC" w:rsidRPr="00547D5E" w14:paraId="4281D08E" w14:textId="77777777" w:rsidTr="00FF1DED">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45E91817" w14:textId="77777777" w:rsidR="001601CC" w:rsidRPr="00547D5E" w:rsidRDefault="001601CC">
            <w:pPr>
              <w:rPr>
                <w:rFonts w:asciiTheme="majorHAnsi" w:hAnsiTheme="majorHAnsi"/>
                <w:color w:val="000000"/>
                <w:sz w:val="24"/>
                <w:szCs w:val="24"/>
              </w:rPr>
            </w:pPr>
            <w:r w:rsidRPr="00547D5E">
              <w:rPr>
                <w:rFonts w:asciiTheme="majorHAnsi" w:hAnsiTheme="majorHAnsi"/>
                <w:color w:val="000000"/>
                <w:sz w:val="24"/>
                <w:szCs w:val="24"/>
              </w:rPr>
              <w:t>Cheltuieli administrative</w:t>
            </w:r>
          </w:p>
        </w:tc>
        <w:tc>
          <w:tcPr>
            <w:tcW w:w="1276" w:type="dxa"/>
            <w:noWrap/>
            <w:hideMark/>
          </w:tcPr>
          <w:p w14:paraId="1A4DF42A"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16078,29</w:t>
            </w:r>
          </w:p>
        </w:tc>
        <w:tc>
          <w:tcPr>
            <w:tcW w:w="1418" w:type="dxa"/>
            <w:noWrap/>
            <w:hideMark/>
          </w:tcPr>
          <w:p w14:paraId="3B9C9F83"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14634,47</w:t>
            </w:r>
          </w:p>
        </w:tc>
        <w:tc>
          <w:tcPr>
            <w:tcW w:w="1701" w:type="dxa"/>
            <w:noWrap/>
            <w:hideMark/>
          </w:tcPr>
          <w:p w14:paraId="02A03D89"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19601,31</w:t>
            </w:r>
          </w:p>
        </w:tc>
        <w:tc>
          <w:tcPr>
            <w:tcW w:w="1418" w:type="dxa"/>
            <w:noWrap/>
            <w:hideMark/>
          </w:tcPr>
          <w:p w14:paraId="5865552F"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4966,84</w:t>
            </w:r>
          </w:p>
        </w:tc>
      </w:tr>
      <w:tr w:rsidR="001601CC" w:rsidRPr="00547D5E" w14:paraId="7E044E4E" w14:textId="77777777" w:rsidTr="00FF1D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092AB852" w14:textId="77777777" w:rsidR="001601CC" w:rsidRPr="00547D5E" w:rsidRDefault="001601CC">
            <w:pPr>
              <w:rPr>
                <w:rFonts w:asciiTheme="majorHAnsi" w:hAnsiTheme="majorHAnsi"/>
                <w:color w:val="000000"/>
                <w:sz w:val="24"/>
                <w:szCs w:val="24"/>
              </w:rPr>
            </w:pPr>
            <w:r w:rsidRPr="00547D5E">
              <w:rPr>
                <w:rFonts w:asciiTheme="majorHAnsi" w:hAnsiTheme="majorHAnsi"/>
                <w:color w:val="000000"/>
                <w:sz w:val="24"/>
                <w:szCs w:val="24"/>
              </w:rPr>
              <w:t>Alte cheltuieli din activitatea operațională</w:t>
            </w:r>
          </w:p>
        </w:tc>
        <w:tc>
          <w:tcPr>
            <w:tcW w:w="1276" w:type="dxa"/>
            <w:tcBorders>
              <w:top w:val="none" w:sz="0" w:space="0" w:color="auto"/>
              <w:bottom w:val="none" w:sz="0" w:space="0" w:color="auto"/>
            </w:tcBorders>
            <w:noWrap/>
            <w:hideMark/>
          </w:tcPr>
          <w:p w14:paraId="46EDE85F"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9,622</w:t>
            </w:r>
          </w:p>
        </w:tc>
        <w:tc>
          <w:tcPr>
            <w:tcW w:w="1418" w:type="dxa"/>
            <w:tcBorders>
              <w:top w:val="none" w:sz="0" w:space="0" w:color="auto"/>
              <w:bottom w:val="none" w:sz="0" w:space="0" w:color="auto"/>
            </w:tcBorders>
            <w:noWrap/>
            <w:hideMark/>
          </w:tcPr>
          <w:p w14:paraId="2FF86266"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286,68</w:t>
            </w:r>
          </w:p>
        </w:tc>
        <w:tc>
          <w:tcPr>
            <w:tcW w:w="1701" w:type="dxa"/>
            <w:tcBorders>
              <w:top w:val="none" w:sz="0" w:space="0" w:color="auto"/>
              <w:bottom w:val="none" w:sz="0" w:space="0" w:color="auto"/>
            </w:tcBorders>
            <w:noWrap/>
            <w:hideMark/>
          </w:tcPr>
          <w:p w14:paraId="66E3AD62"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136,52</w:t>
            </w:r>
          </w:p>
        </w:tc>
        <w:tc>
          <w:tcPr>
            <w:tcW w:w="1418" w:type="dxa"/>
            <w:tcBorders>
              <w:top w:val="none" w:sz="0" w:space="0" w:color="auto"/>
              <w:bottom w:val="none" w:sz="0" w:space="0" w:color="auto"/>
            </w:tcBorders>
            <w:noWrap/>
            <w:hideMark/>
          </w:tcPr>
          <w:p w14:paraId="477F69A2"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4"/>
                <w:szCs w:val="24"/>
              </w:rPr>
            </w:pPr>
            <w:r w:rsidRPr="00547D5E">
              <w:rPr>
                <w:rFonts w:asciiTheme="majorHAnsi" w:hAnsiTheme="majorHAnsi"/>
                <w:color w:val="000000"/>
                <w:sz w:val="24"/>
                <w:szCs w:val="24"/>
              </w:rPr>
              <w:t>-150,16</w:t>
            </w:r>
          </w:p>
        </w:tc>
      </w:tr>
      <w:tr w:rsidR="001601CC" w:rsidRPr="00547D5E" w14:paraId="04C5CFAB" w14:textId="77777777" w:rsidTr="00FF1DED">
        <w:trPr>
          <w:trHeight w:val="300"/>
        </w:trPr>
        <w:tc>
          <w:tcPr>
            <w:cnfStyle w:val="001000000000" w:firstRow="0" w:lastRow="0" w:firstColumn="1" w:lastColumn="0" w:oddVBand="0" w:evenVBand="0" w:oddHBand="0" w:evenHBand="0" w:firstRowFirstColumn="0" w:firstRowLastColumn="0" w:lastRowFirstColumn="0" w:lastRowLastColumn="0"/>
            <w:tcW w:w="3402" w:type="dxa"/>
            <w:hideMark/>
          </w:tcPr>
          <w:p w14:paraId="063CFA1B" w14:textId="77777777" w:rsidR="001601CC" w:rsidRPr="00547D5E" w:rsidRDefault="001601CC">
            <w:pPr>
              <w:rPr>
                <w:rFonts w:asciiTheme="majorHAnsi" w:hAnsiTheme="majorHAnsi"/>
                <w:color w:val="000000"/>
                <w:sz w:val="24"/>
                <w:szCs w:val="24"/>
              </w:rPr>
            </w:pPr>
            <w:r w:rsidRPr="00547D5E">
              <w:rPr>
                <w:rFonts w:asciiTheme="majorHAnsi" w:hAnsiTheme="majorHAnsi"/>
                <w:b w:val="0"/>
                <w:bCs w:val="0"/>
                <w:color w:val="000000"/>
                <w:sz w:val="24"/>
                <w:szCs w:val="24"/>
              </w:rPr>
              <w:t>Rezultatul din activitatea operațională</w:t>
            </w:r>
          </w:p>
        </w:tc>
        <w:tc>
          <w:tcPr>
            <w:tcW w:w="1276" w:type="dxa"/>
            <w:noWrap/>
            <w:hideMark/>
          </w:tcPr>
          <w:p w14:paraId="6C538358"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-13468,8</w:t>
            </w:r>
          </w:p>
        </w:tc>
        <w:tc>
          <w:tcPr>
            <w:tcW w:w="1418" w:type="dxa"/>
            <w:noWrap/>
            <w:hideMark/>
          </w:tcPr>
          <w:p w14:paraId="5AE2C73F"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2303,46</w:t>
            </w:r>
          </w:p>
        </w:tc>
        <w:tc>
          <w:tcPr>
            <w:tcW w:w="1701" w:type="dxa"/>
            <w:noWrap/>
            <w:hideMark/>
          </w:tcPr>
          <w:p w14:paraId="49029487"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-2030,66</w:t>
            </w:r>
          </w:p>
        </w:tc>
        <w:tc>
          <w:tcPr>
            <w:tcW w:w="1418" w:type="dxa"/>
            <w:noWrap/>
            <w:hideMark/>
          </w:tcPr>
          <w:p w14:paraId="0308D451"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-4334,12</w:t>
            </w:r>
          </w:p>
        </w:tc>
      </w:tr>
      <w:tr w:rsidR="001601CC" w:rsidRPr="00547D5E" w14:paraId="40300214" w14:textId="77777777" w:rsidTr="00FF1D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33BC74FE" w14:textId="77777777" w:rsidR="001601CC" w:rsidRPr="00547D5E" w:rsidRDefault="001601CC">
            <w:pPr>
              <w:rPr>
                <w:rFonts w:asciiTheme="majorHAnsi" w:hAnsiTheme="majorHAnsi"/>
                <w:b w:val="0"/>
                <w:bCs w:val="0"/>
                <w:color w:val="000000"/>
                <w:sz w:val="24"/>
                <w:szCs w:val="24"/>
              </w:rPr>
            </w:pPr>
            <w:r w:rsidRPr="00547D5E">
              <w:rPr>
                <w:rFonts w:asciiTheme="majorHAnsi" w:hAnsiTheme="majorHAnsi"/>
                <w:b w:val="0"/>
                <w:bCs w:val="0"/>
                <w:color w:val="000000"/>
                <w:sz w:val="24"/>
                <w:szCs w:val="24"/>
              </w:rPr>
              <w:t>Rezultatul din alte activități</w:t>
            </w:r>
          </w:p>
        </w:tc>
        <w:tc>
          <w:tcPr>
            <w:tcW w:w="1276" w:type="dxa"/>
            <w:tcBorders>
              <w:top w:val="none" w:sz="0" w:space="0" w:color="auto"/>
              <w:bottom w:val="none" w:sz="0" w:space="0" w:color="auto"/>
            </w:tcBorders>
            <w:noWrap/>
            <w:hideMark/>
          </w:tcPr>
          <w:p w14:paraId="5FE102A3"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13503,9</w:t>
            </w:r>
          </w:p>
        </w:tc>
        <w:tc>
          <w:tcPr>
            <w:tcW w:w="1418" w:type="dxa"/>
            <w:tcBorders>
              <w:top w:val="none" w:sz="0" w:space="0" w:color="auto"/>
              <w:bottom w:val="none" w:sz="0" w:space="0" w:color="auto"/>
            </w:tcBorders>
            <w:noWrap/>
            <w:hideMark/>
          </w:tcPr>
          <w:p w14:paraId="562F1805"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-1738,26</w:t>
            </w:r>
          </w:p>
        </w:tc>
        <w:tc>
          <w:tcPr>
            <w:tcW w:w="1701" w:type="dxa"/>
            <w:tcBorders>
              <w:top w:val="none" w:sz="0" w:space="0" w:color="auto"/>
              <w:bottom w:val="none" w:sz="0" w:space="0" w:color="auto"/>
            </w:tcBorders>
            <w:noWrap/>
            <w:hideMark/>
          </w:tcPr>
          <w:p w14:paraId="67B95014"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1524,75</w:t>
            </w:r>
          </w:p>
        </w:tc>
        <w:tc>
          <w:tcPr>
            <w:tcW w:w="1418" w:type="dxa"/>
            <w:tcBorders>
              <w:top w:val="none" w:sz="0" w:space="0" w:color="auto"/>
              <w:bottom w:val="none" w:sz="0" w:space="0" w:color="auto"/>
            </w:tcBorders>
            <w:noWrap/>
            <w:hideMark/>
          </w:tcPr>
          <w:p w14:paraId="4B420E6B"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3263,01</w:t>
            </w:r>
          </w:p>
        </w:tc>
      </w:tr>
      <w:tr w:rsidR="001601CC" w:rsidRPr="00547D5E" w14:paraId="42460554" w14:textId="77777777" w:rsidTr="00FF1DED">
        <w:trPr>
          <w:trHeight w:val="288"/>
        </w:trPr>
        <w:tc>
          <w:tcPr>
            <w:cnfStyle w:val="001000000000" w:firstRow="0" w:lastRow="0" w:firstColumn="1" w:lastColumn="0" w:oddVBand="0" w:evenVBand="0" w:oddHBand="0" w:evenHBand="0" w:firstRowFirstColumn="0" w:firstRowLastColumn="0" w:lastRowFirstColumn="0" w:lastRowLastColumn="0"/>
            <w:tcW w:w="3402" w:type="dxa"/>
            <w:hideMark/>
          </w:tcPr>
          <w:p w14:paraId="0CCC7FA0" w14:textId="77777777" w:rsidR="001601CC" w:rsidRPr="00547D5E" w:rsidRDefault="001601CC">
            <w:pPr>
              <w:rPr>
                <w:rFonts w:asciiTheme="majorHAnsi" w:hAnsiTheme="majorHAnsi"/>
                <w:b w:val="0"/>
                <w:bCs w:val="0"/>
                <w:color w:val="000000"/>
                <w:sz w:val="24"/>
                <w:szCs w:val="24"/>
              </w:rPr>
            </w:pPr>
            <w:r w:rsidRPr="00547D5E">
              <w:rPr>
                <w:rFonts w:asciiTheme="majorHAnsi" w:hAnsiTheme="majorHAnsi"/>
                <w:b w:val="0"/>
                <w:bCs w:val="0"/>
                <w:color w:val="000000"/>
                <w:sz w:val="24"/>
                <w:szCs w:val="24"/>
              </w:rPr>
              <w:t>Profit (pierdere) până la impozitare</w:t>
            </w:r>
          </w:p>
        </w:tc>
        <w:tc>
          <w:tcPr>
            <w:tcW w:w="1276" w:type="dxa"/>
            <w:noWrap/>
            <w:hideMark/>
          </w:tcPr>
          <w:p w14:paraId="1C48E61C"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35,15</w:t>
            </w:r>
          </w:p>
        </w:tc>
        <w:tc>
          <w:tcPr>
            <w:tcW w:w="1418" w:type="dxa"/>
            <w:noWrap/>
            <w:hideMark/>
          </w:tcPr>
          <w:p w14:paraId="33B07080"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565,2</w:t>
            </w:r>
          </w:p>
        </w:tc>
        <w:tc>
          <w:tcPr>
            <w:tcW w:w="1701" w:type="dxa"/>
            <w:noWrap/>
            <w:hideMark/>
          </w:tcPr>
          <w:p w14:paraId="12D8BE69"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-505,91</w:t>
            </w:r>
          </w:p>
        </w:tc>
        <w:tc>
          <w:tcPr>
            <w:tcW w:w="1418" w:type="dxa"/>
            <w:noWrap/>
            <w:hideMark/>
          </w:tcPr>
          <w:p w14:paraId="200D88CE" w14:textId="77777777" w:rsidR="001601CC" w:rsidRPr="00547D5E" w:rsidRDefault="001601C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-1071,11</w:t>
            </w:r>
          </w:p>
        </w:tc>
      </w:tr>
      <w:tr w:rsidR="001601CC" w:rsidRPr="00547D5E" w14:paraId="7883D0C3" w14:textId="77777777" w:rsidTr="00FF1D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hideMark/>
          </w:tcPr>
          <w:p w14:paraId="13472DBA" w14:textId="77777777" w:rsidR="001601CC" w:rsidRPr="00547D5E" w:rsidRDefault="001601CC">
            <w:pPr>
              <w:rPr>
                <w:rFonts w:asciiTheme="majorHAnsi" w:hAnsiTheme="majorHAnsi"/>
                <w:b w:val="0"/>
                <w:bCs w:val="0"/>
                <w:color w:val="000000"/>
                <w:sz w:val="24"/>
                <w:szCs w:val="24"/>
              </w:rPr>
            </w:pPr>
            <w:r w:rsidRPr="00547D5E">
              <w:rPr>
                <w:rFonts w:asciiTheme="majorHAnsi" w:hAnsiTheme="majorHAnsi"/>
                <w:b w:val="0"/>
                <w:bCs w:val="0"/>
                <w:color w:val="000000"/>
                <w:sz w:val="24"/>
                <w:szCs w:val="24"/>
              </w:rPr>
              <w:t>Profit net (pierdere netă)</w:t>
            </w:r>
          </w:p>
        </w:tc>
        <w:tc>
          <w:tcPr>
            <w:tcW w:w="1276" w:type="dxa"/>
            <w:tcBorders>
              <w:top w:val="none" w:sz="0" w:space="0" w:color="auto"/>
              <w:bottom w:val="none" w:sz="0" w:space="0" w:color="auto"/>
            </w:tcBorders>
            <w:noWrap/>
            <w:hideMark/>
          </w:tcPr>
          <w:p w14:paraId="2CB1F39E"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35,15</w:t>
            </w:r>
          </w:p>
        </w:tc>
        <w:tc>
          <w:tcPr>
            <w:tcW w:w="1418" w:type="dxa"/>
            <w:tcBorders>
              <w:top w:val="none" w:sz="0" w:space="0" w:color="auto"/>
              <w:bottom w:val="none" w:sz="0" w:space="0" w:color="auto"/>
            </w:tcBorders>
            <w:noWrap/>
            <w:hideMark/>
          </w:tcPr>
          <w:p w14:paraId="41DBACF8"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565,2</w:t>
            </w:r>
          </w:p>
        </w:tc>
        <w:tc>
          <w:tcPr>
            <w:tcW w:w="1701" w:type="dxa"/>
            <w:tcBorders>
              <w:top w:val="none" w:sz="0" w:space="0" w:color="auto"/>
              <w:bottom w:val="none" w:sz="0" w:space="0" w:color="auto"/>
            </w:tcBorders>
            <w:noWrap/>
            <w:hideMark/>
          </w:tcPr>
          <w:p w14:paraId="23878541"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-505,91</w:t>
            </w:r>
          </w:p>
        </w:tc>
        <w:tc>
          <w:tcPr>
            <w:tcW w:w="1418" w:type="dxa"/>
            <w:tcBorders>
              <w:top w:val="none" w:sz="0" w:space="0" w:color="auto"/>
              <w:bottom w:val="none" w:sz="0" w:space="0" w:color="auto"/>
            </w:tcBorders>
            <w:noWrap/>
            <w:hideMark/>
          </w:tcPr>
          <w:p w14:paraId="210FDC51" w14:textId="77777777" w:rsidR="001601CC" w:rsidRPr="00547D5E" w:rsidRDefault="001601C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4"/>
                <w:szCs w:val="24"/>
              </w:rPr>
            </w:pPr>
            <w:r w:rsidRPr="00547D5E">
              <w:rPr>
                <w:rFonts w:asciiTheme="majorHAnsi" w:hAnsiTheme="majorHAnsi"/>
                <w:b/>
                <w:bCs/>
                <w:color w:val="000000"/>
                <w:sz w:val="24"/>
                <w:szCs w:val="24"/>
              </w:rPr>
              <w:t>-1071,11</w:t>
            </w:r>
          </w:p>
        </w:tc>
      </w:tr>
    </w:tbl>
    <w:p w14:paraId="462A5AD4" w14:textId="2B7E412C" w:rsidR="003E795B" w:rsidRDefault="003E795B" w:rsidP="00FF045C">
      <w:pPr>
        <w:pStyle w:val="ListParagraph"/>
        <w:tabs>
          <w:tab w:val="left" w:pos="6946"/>
        </w:tabs>
        <w:spacing w:after="0"/>
        <w:ind w:left="0"/>
        <w:rPr>
          <w:rFonts w:asciiTheme="majorHAnsi" w:hAnsiTheme="majorHAnsi" w:cstheme="majorHAnsi"/>
          <w:i/>
          <w:sz w:val="20"/>
          <w:szCs w:val="20"/>
          <w:lang w:val="ro-MD"/>
        </w:rPr>
      </w:pPr>
      <w:r w:rsidRPr="005E0539">
        <w:rPr>
          <w:rFonts w:asciiTheme="majorHAnsi" w:hAnsiTheme="majorHAnsi" w:cstheme="majorHAnsi"/>
          <w:b/>
          <w:i/>
          <w:sz w:val="20"/>
          <w:szCs w:val="20"/>
          <w:lang w:val="ro-MD"/>
        </w:rPr>
        <w:t xml:space="preserve">Sursă: </w:t>
      </w:r>
      <w:r w:rsidRPr="005E0539">
        <w:rPr>
          <w:rFonts w:asciiTheme="majorHAnsi" w:hAnsiTheme="majorHAnsi" w:cstheme="majorHAnsi"/>
          <w:i/>
          <w:sz w:val="20"/>
          <w:szCs w:val="20"/>
          <w:lang w:val="ro-MD"/>
        </w:rPr>
        <w:t>Situația d</w:t>
      </w:r>
      <w:r w:rsidR="00113089" w:rsidRPr="005E0539">
        <w:rPr>
          <w:rFonts w:asciiTheme="majorHAnsi" w:hAnsiTheme="majorHAnsi" w:cstheme="majorHAnsi"/>
          <w:i/>
          <w:sz w:val="20"/>
          <w:szCs w:val="20"/>
          <w:lang w:val="ro-MD"/>
        </w:rPr>
        <w:t>e profit și pierdere pe anii 2020 și</w:t>
      </w:r>
      <w:r w:rsidRPr="005E0539">
        <w:rPr>
          <w:rFonts w:asciiTheme="majorHAnsi" w:hAnsiTheme="majorHAnsi" w:cstheme="majorHAnsi"/>
          <w:i/>
          <w:sz w:val="20"/>
          <w:szCs w:val="20"/>
          <w:lang w:val="ro-MD"/>
        </w:rPr>
        <w:t xml:space="preserve"> 2021  a</w:t>
      </w:r>
      <w:r w:rsidRPr="005E0539">
        <w:rPr>
          <w:rFonts w:asciiTheme="majorHAnsi" w:hAnsiTheme="majorHAnsi" w:cstheme="majorHAnsi"/>
          <w:b/>
          <w:i/>
          <w:sz w:val="20"/>
          <w:szCs w:val="20"/>
          <w:lang w:val="ro-MD"/>
        </w:rPr>
        <w:t xml:space="preserve"> </w:t>
      </w:r>
      <w:r w:rsidRPr="005E0539">
        <w:rPr>
          <w:rFonts w:asciiTheme="majorHAnsi" w:hAnsiTheme="majorHAnsi" w:cstheme="majorHAnsi"/>
          <w:i/>
          <w:sz w:val="20"/>
          <w:szCs w:val="20"/>
          <w:lang w:val="ro-MD"/>
        </w:rPr>
        <w:t>INM, ISM și MOLDAC.</w:t>
      </w:r>
    </w:p>
    <w:p w14:paraId="162C03B0" w14:textId="1320220D" w:rsidR="00863272" w:rsidRPr="00255E9C" w:rsidRDefault="00863272" w:rsidP="00863272">
      <w:pPr>
        <w:pStyle w:val="ListParagraph"/>
        <w:spacing w:after="0"/>
        <w:ind w:left="0"/>
        <w:jc w:val="right"/>
        <w:rPr>
          <w:rFonts w:asciiTheme="majorHAnsi" w:hAnsiTheme="majorHAnsi" w:cstheme="majorHAnsi"/>
          <w:b/>
          <w:i/>
          <w:sz w:val="24"/>
          <w:szCs w:val="24"/>
          <w:lang w:val="ro-MD"/>
        </w:rPr>
      </w:pPr>
      <w:r w:rsidRPr="00255E9C">
        <w:rPr>
          <w:rFonts w:asciiTheme="majorHAnsi" w:hAnsiTheme="majorHAnsi" w:cstheme="majorHAnsi"/>
          <w:b/>
          <w:i/>
          <w:sz w:val="24"/>
          <w:szCs w:val="24"/>
          <w:lang w:val="ro-MD"/>
        </w:rPr>
        <w:t xml:space="preserve">Tabelul </w:t>
      </w:r>
      <w:r w:rsidR="00184FC1">
        <w:rPr>
          <w:rFonts w:asciiTheme="majorHAnsi" w:hAnsiTheme="majorHAnsi" w:cstheme="majorHAnsi"/>
          <w:b/>
          <w:i/>
          <w:sz w:val="24"/>
          <w:szCs w:val="24"/>
          <w:lang w:val="ro-MD"/>
        </w:rPr>
        <w:t xml:space="preserve">nr. </w:t>
      </w:r>
      <w:r w:rsidR="00456EF2" w:rsidRPr="00255E9C">
        <w:rPr>
          <w:rFonts w:asciiTheme="majorHAnsi" w:hAnsiTheme="majorHAnsi" w:cstheme="majorHAnsi"/>
          <w:b/>
          <w:i/>
          <w:sz w:val="24"/>
          <w:szCs w:val="24"/>
          <w:lang w:val="ro-MD"/>
        </w:rPr>
        <w:t>2.</w:t>
      </w:r>
      <w:r w:rsidRPr="00255E9C">
        <w:rPr>
          <w:rFonts w:asciiTheme="majorHAnsi" w:hAnsiTheme="majorHAnsi" w:cstheme="majorHAnsi"/>
          <w:b/>
          <w:i/>
          <w:sz w:val="24"/>
          <w:szCs w:val="24"/>
          <w:lang w:val="ro-MD"/>
        </w:rPr>
        <w:t>2.3</w:t>
      </w:r>
      <w:r w:rsidR="00184FC1">
        <w:rPr>
          <w:rFonts w:asciiTheme="majorHAnsi" w:hAnsiTheme="majorHAnsi" w:cstheme="majorHAnsi"/>
          <w:b/>
          <w:i/>
          <w:sz w:val="24"/>
          <w:szCs w:val="24"/>
          <w:lang w:val="ro-MD"/>
        </w:rPr>
        <w:t>.</w:t>
      </w:r>
    </w:p>
    <w:p w14:paraId="30B08350" w14:textId="28DAF95A" w:rsidR="00F75330" w:rsidRDefault="00F75330" w:rsidP="005D34EE">
      <w:pPr>
        <w:pStyle w:val="ListParagraph"/>
        <w:spacing w:after="0"/>
        <w:ind w:left="0"/>
        <w:jc w:val="center"/>
        <w:rPr>
          <w:rFonts w:ascii="Calibri Light" w:eastAsia="Times New Roman" w:hAnsi="Calibri Light" w:cs="Calibri Light"/>
          <w:b/>
          <w:bCs/>
          <w:color w:val="000000"/>
          <w:sz w:val="24"/>
          <w:szCs w:val="24"/>
        </w:rPr>
      </w:pPr>
      <w:r w:rsidRPr="0089113F">
        <w:rPr>
          <w:rFonts w:ascii="Calibri Light" w:eastAsia="Times New Roman" w:hAnsi="Calibri Light" w:cs="Calibri Light"/>
          <w:b/>
          <w:bCs/>
          <w:color w:val="000000"/>
          <w:sz w:val="24"/>
          <w:szCs w:val="24"/>
        </w:rPr>
        <w:t xml:space="preserve">Situația patrimonial-financiară a APCSP pe anii 2020 </w:t>
      </w:r>
      <w:r>
        <w:rPr>
          <w:rFonts w:ascii="Calibri Light" w:eastAsia="Times New Roman" w:hAnsi="Calibri Light" w:cs="Calibri Light"/>
          <w:b/>
          <w:bCs/>
          <w:color w:val="000000"/>
          <w:sz w:val="24"/>
          <w:szCs w:val="24"/>
        </w:rPr>
        <w:t>–</w:t>
      </w:r>
      <w:r w:rsidRPr="0089113F">
        <w:rPr>
          <w:rFonts w:ascii="Calibri Light" w:eastAsia="Times New Roman" w:hAnsi="Calibri Light" w:cs="Calibri Light"/>
          <w:b/>
          <w:bCs/>
          <w:color w:val="000000"/>
          <w:sz w:val="24"/>
          <w:szCs w:val="24"/>
        </w:rPr>
        <w:t xml:space="preserve"> 2021</w:t>
      </w:r>
    </w:p>
    <w:p w14:paraId="739CABE9" w14:textId="79EA71E5" w:rsidR="005D34EE" w:rsidRPr="007C3E40" w:rsidRDefault="005D34EE" w:rsidP="005D34EE">
      <w:pPr>
        <w:pStyle w:val="ListParagraph"/>
        <w:spacing w:after="0"/>
        <w:ind w:left="0"/>
        <w:jc w:val="right"/>
        <w:rPr>
          <w:rFonts w:ascii="Calibri Light" w:eastAsia="Times New Roman" w:hAnsi="Calibri Light" w:cs="Calibri Light"/>
          <w:bCs/>
          <w:color w:val="000000"/>
          <w:sz w:val="24"/>
          <w:szCs w:val="24"/>
        </w:rPr>
      </w:pPr>
      <w:r w:rsidRPr="007C3E40">
        <w:rPr>
          <w:rFonts w:ascii="Calibri Light" w:eastAsia="Times New Roman" w:hAnsi="Calibri Light" w:cs="Calibri Light"/>
          <w:bCs/>
          <w:color w:val="000000"/>
          <w:sz w:val="24"/>
          <w:szCs w:val="24"/>
        </w:rPr>
        <w:t>(mii lei)</w:t>
      </w:r>
    </w:p>
    <w:tbl>
      <w:tblPr>
        <w:tblStyle w:val="PlainTable2"/>
        <w:tblW w:w="9072" w:type="dxa"/>
        <w:tblLook w:val="04A0" w:firstRow="1" w:lastRow="0" w:firstColumn="1" w:lastColumn="0" w:noHBand="0" w:noVBand="1"/>
      </w:tblPr>
      <w:tblGrid>
        <w:gridCol w:w="2660"/>
        <w:gridCol w:w="2018"/>
        <w:gridCol w:w="1559"/>
        <w:gridCol w:w="1701"/>
        <w:gridCol w:w="1134"/>
      </w:tblGrid>
      <w:tr w:rsidR="00F75330" w:rsidRPr="006D3DE4" w14:paraId="76B19150" w14:textId="77777777" w:rsidTr="00F7533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60" w:type="dxa"/>
            <w:tcBorders>
              <w:bottom w:val="none" w:sz="0" w:space="0" w:color="auto"/>
            </w:tcBorders>
            <w:hideMark/>
          </w:tcPr>
          <w:p w14:paraId="5173C6FF" w14:textId="77777777" w:rsidR="00F75330" w:rsidRPr="00255E9C" w:rsidRDefault="00F75330" w:rsidP="00F75330">
            <w:pPr>
              <w:rPr>
                <w:rFonts w:asciiTheme="majorHAnsi" w:eastAsia="Times New Roman" w:hAnsiTheme="majorHAnsi" w:cs="Calibri Light"/>
                <w:color w:val="000000"/>
                <w:sz w:val="24"/>
                <w:szCs w:val="24"/>
              </w:rPr>
            </w:pPr>
          </w:p>
          <w:p w14:paraId="4B1D73C5" w14:textId="2916241A"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Denumirea indicatorului</w:t>
            </w:r>
          </w:p>
        </w:tc>
        <w:tc>
          <w:tcPr>
            <w:tcW w:w="2018" w:type="dxa"/>
            <w:tcBorders>
              <w:bottom w:val="none" w:sz="0" w:space="0" w:color="auto"/>
            </w:tcBorders>
            <w:hideMark/>
          </w:tcPr>
          <w:p w14:paraId="32234D13" w14:textId="77777777"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p>
          <w:p w14:paraId="4BB073D7" w14:textId="7654E6B3"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la 01 ianuarie</w:t>
            </w:r>
          </w:p>
          <w:p w14:paraId="43EF1BFE" w14:textId="18C15397"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2020</w:t>
            </w:r>
          </w:p>
        </w:tc>
        <w:tc>
          <w:tcPr>
            <w:tcW w:w="1559" w:type="dxa"/>
            <w:tcBorders>
              <w:bottom w:val="none" w:sz="0" w:space="0" w:color="auto"/>
            </w:tcBorders>
            <w:hideMark/>
          </w:tcPr>
          <w:p w14:paraId="2E9D9B4E" w14:textId="77777777"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p>
          <w:p w14:paraId="4711A76E" w14:textId="51D9E11B"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la 31 decembrie 2020</w:t>
            </w:r>
          </w:p>
        </w:tc>
        <w:tc>
          <w:tcPr>
            <w:tcW w:w="1701" w:type="dxa"/>
            <w:tcBorders>
              <w:bottom w:val="none" w:sz="0" w:space="0" w:color="auto"/>
            </w:tcBorders>
            <w:hideMark/>
          </w:tcPr>
          <w:p w14:paraId="4BD9CCE2" w14:textId="77777777"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p>
          <w:p w14:paraId="0B50FDBB" w14:textId="02568285" w:rsidR="00F75330" w:rsidRPr="00255E9C" w:rsidRDefault="00F75330" w:rsidP="00F7533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la 31 decembrie 2021</w:t>
            </w:r>
          </w:p>
        </w:tc>
        <w:tc>
          <w:tcPr>
            <w:tcW w:w="1134" w:type="dxa"/>
            <w:tcBorders>
              <w:bottom w:val="none" w:sz="0" w:space="0" w:color="auto"/>
            </w:tcBorders>
            <w:hideMark/>
          </w:tcPr>
          <w:p w14:paraId="76F8F05D" w14:textId="77777777" w:rsidR="00F75330" w:rsidRPr="00255E9C" w:rsidRDefault="00F75330" w:rsidP="00F7533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 xml:space="preserve"> </w:t>
            </w:r>
          </w:p>
          <w:p w14:paraId="3D22AF73" w14:textId="7BDA0B85" w:rsidR="00F75330" w:rsidRPr="00255E9C" w:rsidRDefault="00F75330" w:rsidP="00F75330">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 xml:space="preserve"> Devieri</w:t>
            </w:r>
          </w:p>
        </w:tc>
      </w:tr>
      <w:tr w:rsidR="00F75330" w:rsidRPr="006D3DE4" w14:paraId="1EAE4703" w14:textId="77777777" w:rsidTr="00F753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bottom w:val="none" w:sz="0" w:space="0" w:color="auto"/>
            </w:tcBorders>
            <w:hideMark/>
          </w:tcPr>
          <w:p w14:paraId="15208F4B"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Mijloace fixe</w:t>
            </w:r>
          </w:p>
        </w:tc>
        <w:tc>
          <w:tcPr>
            <w:tcW w:w="2018" w:type="dxa"/>
            <w:tcBorders>
              <w:top w:val="none" w:sz="0" w:space="0" w:color="auto"/>
              <w:bottom w:val="none" w:sz="0" w:space="0" w:color="auto"/>
            </w:tcBorders>
            <w:hideMark/>
          </w:tcPr>
          <w:p w14:paraId="1D25F302"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9.218,74</w:t>
            </w:r>
          </w:p>
        </w:tc>
        <w:tc>
          <w:tcPr>
            <w:tcW w:w="1559" w:type="dxa"/>
            <w:tcBorders>
              <w:top w:val="none" w:sz="0" w:space="0" w:color="auto"/>
              <w:bottom w:val="none" w:sz="0" w:space="0" w:color="auto"/>
            </w:tcBorders>
            <w:hideMark/>
          </w:tcPr>
          <w:p w14:paraId="53E8677F"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9.451,90</w:t>
            </w:r>
          </w:p>
        </w:tc>
        <w:tc>
          <w:tcPr>
            <w:tcW w:w="1701" w:type="dxa"/>
            <w:tcBorders>
              <w:top w:val="none" w:sz="0" w:space="0" w:color="auto"/>
              <w:bottom w:val="none" w:sz="0" w:space="0" w:color="auto"/>
            </w:tcBorders>
            <w:hideMark/>
          </w:tcPr>
          <w:p w14:paraId="15D74FD3"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9.416,08</w:t>
            </w:r>
          </w:p>
        </w:tc>
        <w:tc>
          <w:tcPr>
            <w:tcW w:w="1134" w:type="dxa"/>
            <w:tcBorders>
              <w:top w:val="none" w:sz="0" w:space="0" w:color="auto"/>
              <w:bottom w:val="none" w:sz="0" w:space="0" w:color="auto"/>
            </w:tcBorders>
            <w:hideMark/>
          </w:tcPr>
          <w:p w14:paraId="001E1F95"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-35,82</w:t>
            </w:r>
          </w:p>
        </w:tc>
      </w:tr>
      <w:tr w:rsidR="00F75330" w:rsidRPr="006D3DE4" w14:paraId="72BAC0F6" w14:textId="77777777" w:rsidTr="00F75330">
        <w:trPr>
          <w:trHeight w:val="840"/>
        </w:trPr>
        <w:tc>
          <w:tcPr>
            <w:cnfStyle w:val="001000000000" w:firstRow="0" w:lastRow="0" w:firstColumn="1" w:lastColumn="0" w:oddVBand="0" w:evenVBand="0" w:oddHBand="0" w:evenHBand="0" w:firstRowFirstColumn="0" w:firstRowLastColumn="0" w:lastRowFirstColumn="0" w:lastRowLastColumn="0"/>
            <w:tcW w:w="2660" w:type="dxa"/>
            <w:hideMark/>
          </w:tcPr>
          <w:p w14:paraId="1EE6F431"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Uzura mijloacelor fixe și amortizarea activelor nemateriale</w:t>
            </w:r>
          </w:p>
        </w:tc>
        <w:tc>
          <w:tcPr>
            <w:tcW w:w="2018" w:type="dxa"/>
            <w:hideMark/>
          </w:tcPr>
          <w:p w14:paraId="1D32C336"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5.900,31</w:t>
            </w:r>
          </w:p>
        </w:tc>
        <w:tc>
          <w:tcPr>
            <w:tcW w:w="1559" w:type="dxa"/>
            <w:hideMark/>
          </w:tcPr>
          <w:p w14:paraId="3F77A611"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7.121,71</w:t>
            </w:r>
          </w:p>
        </w:tc>
        <w:tc>
          <w:tcPr>
            <w:tcW w:w="1701" w:type="dxa"/>
            <w:hideMark/>
          </w:tcPr>
          <w:p w14:paraId="6C2A9D89"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8.040,33</w:t>
            </w:r>
          </w:p>
        </w:tc>
        <w:tc>
          <w:tcPr>
            <w:tcW w:w="1134" w:type="dxa"/>
            <w:hideMark/>
          </w:tcPr>
          <w:p w14:paraId="39EA75EC"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918,62</w:t>
            </w:r>
          </w:p>
        </w:tc>
      </w:tr>
      <w:tr w:rsidR="00F75330" w:rsidRPr="006D3DE4" w14:paraId="23F52CCB" w14:textId="77777777" w:rsidTr="00F753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bottom w:val="none" w:sz="0" w:space="0" w:color="auto"/>
            </w:tcBorders>
            <w:hideMark/>
          </w:tcPr>
          <w:p w14:paraId="0189A298"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Stocuri de materiale circulante</w:t>
            </w:r>
          </w:p>
        </w:tc>
        <w:tc>
          <w:tcPr>
            <w:tcW w:w="2018" w:type="dxa"/>
            <w:tcBorders>
              <w:top w:val="none" w:sz="0" w:space="0" w:color="auto"/>
              <w:bottom w:val="none" w:sz="0" w:space="0" w:color="auto"/>
            </w:tcBorders>
            <w:hideMark/>
          </w:tcPr>
          <w:p w14:paraId="182F5333"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408,64</w:t>
            </w:r>
          </w:p>
        </w:tc>
        <w:tc>
          <w:tcPr>
            <w:tcW w:w="1559" w:type="dxa"/>
            <w:tcBorders>
              <w:top w:val="none" w:sz="0" w:space="0" w:color="auto"/>
              <w:bottom w:val="none" w:sz="0" w:space="0" w:color="auto"/>
            </w:tcBorders>
            <w:hideMark/>
          </w:tcPr>
          <w:p w14:paraId="6A9784EC"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318,65</w:t>
            </w:r>
          </w:p>
        </w:tc>
        <w:tc>
          <w:tcPr>
            <w:tcW w:w="1701" w:type="dxa"/>
            <w:tcBorders>
              <w:top w:val="none" w:sz="0" w:space="0" w:color="auto"/>
              <w:bottom w:val="none" w:sz="0" w:space="0" w:color="auto"/>
            </w:tcBorders>
            <w:hideMark/>
          </w:tcPr>
          <w:p w14:paraId="51D33C52"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330,99</w:t>
            </w:r>
          </w:p>
        </w:tc>
        <w:tc>
          <w:tcPr>
            <w:tcW w:w="1134" w:type="dxa"/>
            <w:tcBorders>
              <w:top w:val="none" w:sz="0" w:space="0" w:color="auto"/>
              <w:bottom w:val="none" w:sz="0" w:space="0" w:color="auto"/>
            </w:tcBorders>
            <w:hideMark/>
          </w:tcPr>
          <w:p w14:paraId="2FBDEB35"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12,34</w:t>
            </w:r>
          </w:p>
        </w:tc>
      </w:tr>
      <w:tr w:rsidR="00F75330" w:rsidRPr="006D3DE4" w14:paraId="2E5AAA27" w14:textId="77777777" w:rsidTr="00F75330">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14:paraId="0FC427BD"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Total active nefinanciare</w:t>
            </w:r>
          </w:p>
        </w:tc>
        <w:tc>
          <w:tcPr>
            <w:tcW w:w="2018" w:type="dxa"/>
            <w:hideMark/>
          </w:tcPr>
          <w:p w14:paraId="733535C7"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3.727,39</w:t>
            </w:r>
          </w:p>
        </w:tc>
        <w:tc>
          <w:tcPr>
            <w:tcW w:w="1559" w:type="dxa"/>
            <w:hideMark/>
          </w:tcPr>
          <w:p w14:paraId="5B5D155E"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2.648,85</w:t>
            </w:r>
          </w:p>
        </w:tc>
        <w:tc>
          <w:tcPr>
            <w:tcW w:w="1701" w:type="dxa"/>
            <w:hideMark/>
          </w:tcPr>
          <w:p w14:paraId="1D099D94"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1.706,74</w:t>
            </w:r>
          </w:p>
        </w:tc>
        <w:tc>
          <w:tcPr>
            <w:tcW w:w="1134" w:type="dxa"/>
            <w:hideMark/>
          </w:tcPr>
          <w:p w14:paraId="14EEF5DC"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-942,10</w:t>
            </w:r>
          </w:p>
        </w:tc>
      </w:tr>
      <w:tr w:rsidR="00F75330" w:rsidRPr="006D3DE4" w14:paraId="4B503993" w14:textId="77777777" w:rsidTr="00F753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bottom w:val="none" w:sz="0" w:space="0" w:color="auto"/>
            </w:tcBorders>
            <w:hideMark/>
          </w:tcPr>
          <w:p w14:paraId="673E5A9B"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Creanțe interne</w:t>
            </w:r>
          </w:p>
        </w:tc>
        <w:tc>
          <w:tcPr>
            <w:tcW w:w="2018" w:type="dxa"/>
            <w:tcBorders>
              <w:top w:val="none" w:sz="0" w:space="0" w:color="auto"/>
              <w:bottom w:val="none" w:sz="0" w:space="0" w:color="auto"/>
            </w:tcBorders>
            <w:hideMark/>
          </w:tcPr>
          <w:p w14:paraId="5E26CE3D"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1,38</w:t>
            </w:r>
          </w:p>
        </w:tc>
        <w:tc>
          <w:tcPr>
            <w:tcW w:w="1559" w:type="dxa"/>
            <w:tcBorders>
              <w:top w:val="none" w:sz="0" w:space="0" w:color="auto"/>
              <w:bottom w:val="none" w:sz="0" w:space="0" w:color="auto"/>
            </w:tcBorders>
            <w:hideMark/>
          </w:tcPr>
          <w:p w14:paraId="11C2E383"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0,07</w:t>
            </w:r>
          </w:p>
        </w:tc>
        <w:tc>
          <w:tcPr>
            <w:tcW w:w="1701" w:type="dxa"/>
            <w:tcBorders>
              <w:top w:val="none" w:sz="0" w:space="0" w:color="auto"/>
              <w:bottom w:val="none" w:sz="0" w:space="0" w:color="auto"/>
            </w:tcBorders>
            <w:hideMark/>
          </w:tcPr>
          <w:p w14:paraId="7C9EDAE6"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0,00</w:t>
            </w:r>
          </w:p>
        </w:tc>
        <w:tc>
          <w:tcPr>
            <w:tcW w:w="1134" w:type="dxa"/>
            <w:tcBorders>
              <w:top w:val="none" w:sz="0" w:space="0" w:color="auto"/>
              <w:bottom w:val="none" w:sz="0" w:space="0" w:color="auto"/>
            </w:tcBorders>
            <w:hideMark/>
          </w:tcPr>
          <w:p w14:paraId="7540A03D"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-0,07</w:t>
            </w:r>
          </w:p>
        </w:tc>
      </w:tr>
      <w:tr w:rsidR="00F75330" w:rsidRPr="006D3DE4" w14:paraId="6B4071FD" w14:textId="77777777" w:rsidTr="00F75330">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14:paraId="5FBD8827"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Mijloace bănești</w:t>
            </w:r>
          </w:p>
        </w:tc>
        <w:tc>
          <w:tcPr>
            <w:tcW w:w="2018" w:type="dxa"/>
            <w:hideMark/>
          </w:tcPr>
          <w:p w14:paraId="051D3283"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0,32</w:t>
            </w:r>
          </w:p>
        </w:tc>
        <w:tc>
          <w:tcPr>
            <w:tcW w:w="1559" w:type="dxa"/>
            <w:hideMark/>
          </w:tcPr>
          <w:p w14:paraId="4C27861C"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0,32</w:t>
            </w:r>
          </w:p>
        </w:tc>
        <w:tc>
          <w:tcPr>
            <w:tcW w:w="1701" w:type="dxa"/>
            <w:hideMark/>
          </w:tcPr>
          <w:p w14:paraId="2350B4B1"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0,00</w:t>
            </w:r>
          </w:p>
        </w:tc>
        <w:tc>
          <w:tcPr>
            <w:tcW w:w="1134" w:type="dxa"/>
            <w:hideMark/>
          </w:tcPr>
          <w:p w14:paraId="6A30BFF1"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-0,32</w:t>
            </w:r>
          </w:p>
        </w:tc>
      </w:tr>
      <w:tr w:rsidR="00F75330" w:rsidRPr="006D3DE4" w14:paraId="0DAD43E9" w14:textId="77777777" w:rsidTr="00F753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bottom w:val="none" w:sz="0" w:space="0" w:color="auto"/>
            </w:tcBorders>
            <w:hideMark/>
          </w:tcPr>
          <w:p w14:paraId="2261F744"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Total ACTIV:</w:t>
            </w:r>
          </w:p>
        </w:tc>
        <w:tc>
          <w:tcPr>
            <w:tcW w:w="2018" w:type="dxa"/>
            <w:tcBorders>
              <w:top w:val="none" w:sz="0" w:space="0" w:color="auto"/>
              <w:bottom w:val="none" w:sz="0" w:space="0" w:color="auto"/>
            </w:tcBorders>
            <w:hideMark/>
          </w:tcPr>
          <w:p w14:paraId="2357A506"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b/>
                <w:bCs/>
                <w:color w:val="000000"/>
                <w:sz w:val="24"/>
                <w:szCs w:val="24"/>
              </w:rPr>
            </w:pPr>
            <w:r w:rsidRPr="00255E9C">
              <w:rPr>
                <w:rFonts w:asciiTheme="majorHAnsi" w:eastAsia="Times New Roman" w:hAnsiTheme="majorHAnsi" w:cs="Calibri Light"/>
                <w:b/>
                <w:bCs/>
                <w:color w:val="000000"/>
                <w:sz w:val="24"/>
                <w:szCs w:val="24"/>
              </w:rPr>
              <w:t>3.729,09</w:t>
            </w:r>
          </w:p>
        </w:tc>
        <w:tc>
          <w:tcPr>
            <w:tcW w:w="1559" w:type="dxa"/>
            <w:tcBorders>
              <w:top w:val="none" w:sz="0" w:space="0" w:color="auto"/>
              <w:bottom w:val="none" w:sz="0" w:space="0" w:color="auto"/>
            </w:tcBorders>
            <w:hideMark/>
          </w:tcPr>
          <w:p w14:paraId="7462AF4B"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b/>
                <w:bCs/>
                <w:color w:val="000000"/>
                <w:sz w:val="24"/>
                <w:szCs w:val="24"/>
              </w:rPr>
            </w:pPr>
            <w:r w:rsidRPr="00255E9C">
              <w:rPr>
                <w:rFonts w:asciiTheme="majorHAnsi" w:eastAsia="Times New Roman" w:hAnsiTheme="majorHAnsi" w:cs="Calibri Light"/>
                <w:b/>
                <w:bCs/>
                <w:color w:val="000000"/>
                <w:sz w:val="24"/>
                <w:szCs w:val="24"/>
              </w:rPr>
              <w:t>2.649,24</w:t>
            </w:r>
          </w:p>
        </w:tc>
        <w:tc>
          <w:tcPr>
            <w:tcW w:w="1701" w:type="dxa"/>
            <w:tcBorders>
              <w:top w:val="none" w:sz="0" w:space="0" w:color="auto"/>
              <w:bottom w:val="none" w:sz="0" w:space="0" w:color="auto"/>
            </w:tcBorders>
            <w:hideMark/>
          </w:tcPr>
          <w:p w14:paraId="08EBC177"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b/>
                <w:bCs/>
                <w:color w:val="000000"/>
                <w:sz w:val="24"/>
                <w:szCs w:val="24"/>
              </w:rPr>
            </w:pPr>
            <w:r w:rsidRPr="00255E9C">
              <w:rPr>
                <w:rFonts w:asciiTheme="majorHAnsi" w:eastAsia="Times New Roman" w:hAnsiTheme="majorHAnsi" w:cs="Calibri Light"/>
                <w:b/>
                <w:bCs/>
                <w:color w:val="000000"/>
                <w:sz w:val="24"/>
                <w:szCs w:val="24"/>
              </w:rPr>
              <w:t>1.706,74</w:t>
            </w:r>
          </w:p>
        </w:tc>
        <w:tc>
          <w:tcPr>
            <w:tcW w:w="1134" w:type="dxa"/>
            <w:tcBorders>
              <w:top w:val="none" w:sz="0" w:space="0" w:color="auto"/>
              <w:bottom w:val="none" w:sz="0" w:space="0" w:color="auto"/>
            </w:tcBorders>
            <w:hideMark/>
          </w:tcPr>
          <w:p w14:paraId="5769B763"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-942,49</w:t>
            </w:r>
          </w:p>
        </w:tc>
      </w:tr>
      <w:tr w:rsidR="00F75330" w:rsidRPr="006D3DE4" w14:paraId="29B10A1C" w14:textId="77777777" w:rsidTr="00F75330">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14:paraId="4B12E72F"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Datorii interne</w:t>
            </w:r>
          </w:p>
        </w:tc>
        <w:tc>
          <w:tcPr>
            <w:tcW w:w="2018" w:type="dxa"/>
            <w:hideMark/>
          </w:tcPr>
          <w:p w14:paraId="2F3BCFFD"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564,60</w:t>
            </w:r>
          </w:p>
        </w:tc>
        <w:tc>
          <w:tcPr>
            <w:tcW w:w="1559" w:type="dxa"/>
            <w:hideMark/>
          </w:tcPr>
          <w:p w14:paraId="24A6F58D"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493,02</w:t>
            </w:r>
          </w:p>
        </w:tc>
        <w:tc>
          <w:tcPr>
            <w:tcW w:w="1701" w:type="dxa"/>
            <w:hideMark/>
          </w:tcPr>
          <w:p w14:paraId="3426F77E"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809,07</w:t>
            </w:r>
          </w:p>
        </w:tc>
        <w:tc>
          <w:tcPr>
            <w:tcW w:w="1134" w:type="dxa"/>
            <w:hideMark/>
          </w:tcPr>
          <w:p w14:paraId="55F16B5F"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316,05</w:t>
            </w:r>
          </w:p>
        </w:tc>
      </w:tr>
      <w:tr w:rsidR="00F75330" w:rsidRPr="006D3DE4" w14:paraId="62AA08D1" w14:textId="77777777" w:rsidTr="00F753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bottom w:val="none" w:sz="0" w:space="0" w:color="auto"/>
            </w:tcBorders>
            <w:hideMark/>
          </w:tcPr>
          <w:p w14:paraId="07DD8B8C" w14:textId="77777777" w:rsidR="00F75330" w:rsidRPr="00255E9C" w:rsidRDefault="00F75330" w:rsidP="00F75330">
            <w:pPr>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Rezultatul financiar</w:t>
            </w:r>
          </w:p>
        </w:tc>
        <w:tc>
          <w:tcPr>
            <w:tcW w:w="2018" w:type="dxa"/>
            <w:tcBorders>
              <w:top w:val="none" w:sz="0" w:space="0" w:color="auto"/>
              <w:bottom w:val="none" w:sz="0" w:space="0" w:color="auto"/>
            </w:tcBorders>
            <w:hideMark/>
          </w:tcPr>
          <w:p w14:paraId="593F3640"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3.164,49</w:t>
            </w:r>
          </w:p>
        </w:tc>
        <w:tc>
          <w:tcPr>
            <w:tcW w:w="1559" w:type="dxa"/>
            <w:tcBorders>
              <w:top w:val="none" w:sz="0" w:space="0" w:color="auto"/>
              <w:bottom w:val="none" w:sz="0" w:space="0" w:color="auto"/>
            </w:tcBorders>
            <w:hideMark/>
          </w:tcPr>
          <w:p w14:paraId="69111E86"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2.156,22</w:t>
            </w:r>
          </w:p>
        </w:tc>
        <w:tc>
          <w:tcPr>
            <w:tcW w:w="1701" w:type="dxa"/>
            <w:tcBorders>
              <w:top w:val="none" w:sz="0" w:space="0" w:color="auto"/>
              <w:bottom w:val="none" w:sz="0" w:space="0" w:color="auto"/>
            </w:tcBorders>
            <w:hideMark/>
          </w:tcPr>
          <w:p w14:paraId="50CCDC63"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897,67</w:t>
            </w:r>
          </w:p>
        </w:tc>
        <w:tc>
          <w:tcPr>
            <w:tcW w:w="1134" w:type="dxa"/>
            <w:tcBorders>
              <w:top w:val="none" w:sz="0" w:space="0" w:color="auto"/>
              <w:bottom w:val="none" w:sz="0" w:space="0" w:color="auto"/>
            </w:tcBorders>
            <w:hideMark/>
          </w:tcPr>
          <w:p w14:paraId="5E2F9668" w14:textId="77777777" w:rsidR="00F75330" w:rsidRPr="00255E9C" w:rsidRDefault="00F75330" w:rsidP="00F7533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4"/>
                <w:szCs w:val="24"/>
              </w:rPr>
            </w:pPr>
            <w:r w:rsidRPr="00255E9C">
              <w:rPr>
                <w:rFonts w:asciiTheme="majorHAnsi" w:eastAsia="Times New Roman" w:hAnsiTheme="majorHAnsi" w:cs="Calibri Light"/>
                <w:color w:val="000000"/>
                <w:sz w:val="24"/>
                <w:szCs w:val="24"/>
              </w:rPr>
              <w:t>-1.258,55</w:t>
            </w:r>
          </w:p>
        </w:tc>
      </w:tr>
      <w:tr w:rsidR="00F75330" w:rsidRPr="006D3DE4" w14:paraId="0D83F33B" w14:textId="77777777" w:rsidTr="00F75330">
        <w:trPr>
          <w:trHeight w:val="300"/>
        </w:trPr>
        <w:tc>
          <w:tcPr>
            <w:cnfStyle w:val="001000000000" w:firstRow="0" w:lastRow="0" w:firstColumn="1" w:lastColumn="0" w:oddVBand="0" w:evenVBand="0" w:oddHBand="0" w:evenHBand="0" w:firstRowFirstColumn="0" w:firstRowLastColumn="0" w:lastRowFirstColumn="0" w:lastRowLastColumn="0"/>
            <w:tcW w:w="2660" w:type="dxa"/>
            <w:hideMark/>
          </w:tcPr>
          <w:p w14:paraId="30212F7D" w14:textId="77777777" w:rsidR="00F75330" w:rsidRPr="00255E9C" w:rsidRDefault="00F75330" w:rsidP="00F75330">
            <w:pPr>
              <w:rPr>
                <w:rFonts w:ascii="Calibri Light" w:eastAsia="Times New Roman" w:hAnsi="Calibri Light" w:cs="Calibri Light"/>
                <w:color w:val="000000"/>
                <w:sz w:val="24"/>
                <w:szCs w:val="24"/>
              </w:rPr>
            </w:pPr>
            <w:r w:rsidRPr="00255E9C">
              <w:rPr>
                <w:rFonts w:ascii="Calibri Light" w:eastAsia="Times New Roman" w:hAnsi="Calibri Light" w:cs="Calibri Light"/>
                <w:color w:val="000000"/>
                <w:sz w:val="24"/>
                <w:szCs w:val="24"/>
              </w:rPr>
              <w:t>Total PASIV:</w:t>
            </w:r>
          </w:p>
        </w:tc>
        <w:tc>
          <w:tcPr>
            <w:tcW w:w="2018" w:type="dxa"/>
            <w:hideMark/>
          </w:tcPr>
          <w:p w14:paraId="0427A807"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rPr>
            </w:pPr>
            <w:r w:rsidRPr="00255E9C">
              <w:rPr>
                <w:rFonts w:ascii="Calibri Light" w:eastAsia="Times New Roman" w:hAnsi="Calibri Light" w:cs="Calibri Light"/>
                <w:b/>
                <w:bCs/>
                <w:color w:val="000000"/>
                <w:sz w:val="24"/>
                <w:szCs w:val="24"/>
              </w:rPr>
              <w:t>3.729,09</w:t>
            </w:r>
          </w:p>
        </w:tc>
        <w:tc>
          <w:tcPr>
            <w:tcW w:w="1559" w:type="dxa"/>
            <w:hideMark/>
          </w:tcPr>
          <w:p w14:paraId="0065D150"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rPr>
            </w:pPr>
            <w:r w:rsidRPr="00255E9C">
              <w:rPr>
                <w:rFonts w:ascii="Calibri Light" w:eastAsia="Times New Roman" w:hAnsi="Calibri Light" w:cs="Calibri Light"/>
                <w:b/>
                <w:bCs/>
                <w:color w:val="000000"/>
                <w:sz w:val="24"/>
                <w:szCs w:val="24"/>
              </w:rPr>
              <w:t>2.649,24</w:t>
            </w:r>
          </w:p>
        </w:tc>
        <w:tc>
          <w:tcPr>
            <w:tcW w:w="1701" w:type="dxa"/>
            <w:hideMark/>
          </w:tcPr>
          <w:p w14:paraId="5D1BA973"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4"/>
                <w:szCs w:val="24"/>
              </w:rPr>
            </w:pPr>
            <w:r w:rsidRPr="00255E9C">
              <w:rPr>
                <w:rFonts w:ascii="Calibri Light" w:eastAsia="Times New Roman" w:hAnsi="Calibri Light" w:cs="Calibri Light"/>
                <w:b/>
                <w:bCs/>
                <w:color w:val="000000"/>
                <w:sz w:val="24"/>
                <w:szCs w:val="24"/>
              </w:rPr>
              <w:t>1.706,74</w:t>
            </w:r>
          </w:p>
        </w:tc>
        <w:tc>
          <w:tcPr>
            <w:tcW w:w="1134" w:type="dxa"/>
            <w:hideMark/>
          </w:tcPr>
          <w:p w14:paraId="0940943F" w14:textId="77777777" w:rsidR="00F75330" w:rsidRPr="00255E9C" w:rsidRDefault="00F75330" w:rsidP="00F753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rPr>
            </w:pPr>
            <w:r w:rsidRPr="00255E9C">
              <w:rPr>
                <w:rFonts w:ascii="Calibri Light" w:eastAsia="Times New Roman" w:hAnsi="Calibri Light" w:cs="Calibri Light"/>
                <w:color w:val="000000"/>
                <w:sz w:val="24"/>
                <w:szCs w:val="24"/>
              </w:rPr>
              <w:t>-942,50</w:t>
            </w:r>
          </w:p>
        </w:tc>
      </w:tr>
    </w:tbl>
    <w:p w14:paraId="2A98A4BE" w14:textId="77E8FE73" w:rsidR="00BD5152" w:rsidRDefault="00F75330" w:rsidP="00255E9C">
      <w:pPr>
        <w:spacing w:after="0" w:line="276" w:lineRule="auto"/>
        <w:jc w:val="both"/>
        <w:rPr>
          <w:rFonts w:ascii="Calibri Light" w:eastAsia="Times New Roman" w:hAnsi="Calibri Light" w:cs="Calibri Light"/>
          <w:i/>
          <w:iCs/>
          <w:color w:val="000000"/>
          <w:sz w:val="20"/>
          <w:szCs w:val="20"/>
        </w:rPr>
      </w:pPr>
      <w:r w:rsidRPr="0089113F">
        <w:rPr>
          <w:rFonts w:ascii="Calibri Light" w:eastAsia="Times New Roman" w:hAnsi="Calibri Light" w:cs="Calibri Light"/>
          <w:b/>
          <w:bCs/>
          <w:i/>
          <w:iCs/>
          <w:color w:val="000000"/>
          <w:sz w:val="20"/>
          <w:szCs w:val="20"/>
        </w:rPr>
        <w:t>Sursă:</w:t>
      </w:r>
      <w:r w:rsidRPr="0089113F">
        <w:rPr>
          <w:rFonts w:ascii="Calibri Light" w:eastAsia="Times New Roman" w:hAnsi="Calibri Light" w:cs="Calibri Light"/>
          <w:i/>
          <w:iCs/>
          <w:color w:val="000000"/>
          <w:sz w:val="20"/>
          <w:szCs w:val="20"/>
        </w:rPr>
        <w:t xml:space="preserve"> Bilanțul contabil al APCSP  la 31 decembrie 2020 </w:t>
      </w:r>
      <w:r w:rsidRPr="0089113F">
        <w:rPr>
          <w:rFonts w:asciiTheme="majorHAnsi" w:hAnsiTheme="majorHAnsi" w:cstheme="majorHAnsi"/>
          <w:i/>
          <w:sz w:val="20"/>
          <w:szCs w:val="20"/>
          <w:lang w:val="ro-MD"/>
        </w:rPr>
        <w:t>și 31 decembrie 2021</w:t>
      </w:r>
      <w:r w:rsidRPr="0089113F">
        <w:rPr>
          <w:rFonts w:ascii="Calibri Light" w:eastAsia="Times New Roman" w:hAnsi="Calibri Light" w:cs="Calibri Light"/>
          <w:i/>
          <w:iCs/>
          <w:color w:val="000000"/>
          <w:sz w:val="20"/>
          <w:szCs w:val="20"/>
        </w:rPr>
        <w:t xml:space="preserve"> (Forma FD-041).</w:t>
      </w:r>
    </w:p>
    <w:p w14:paraId="2582CAD7" w14:textId="77777777" w:rsidR="006D3DE4" w:rsidRDefault="006D3DE4" w:rsidP="00FF045C">
      <w:pPr>
        <w:spacing w:after="0" w:line="276" w:lineRule="auto"/>
        <w:ind w:firstLine="567"/>
        <w:jc w:val="both"/>
        <w:rPr>
          <w:rFonts w:ascii="Calibri Light" w:eastAsia="Times New Roman" w:hAnsi="Calibri Light" w:cs="Calibri Light"/>
          <w:i/>
          <w:iCs/>
          <w:color w:val="000000"/>
          <w:sz w:val="20"/>
          <w:szCs w:val="20"/>
        </w:rPr>
      </w:pPr>
    </w:p>
    <w:p w14:paraId="0B0E76CE" w14:textId="13BBCFD5" w:rsidR="00285AAF" w:rsidRDefault="00285AAF" w:rsidP="00FF045C">
      <w:pPr>
        <w:spacing w:after="0" w:line="276" w:lineRule="auto"/>
        <w:ind w:firstLine="567"/>
        <w:jc w:val="both"/>
        <w:rPr>
          <w:rFonts w:asciiTheme="majorHAnsi" w:eastAsia="Times New Roman" w:hAnsiTheme="majorHAnsi" w:cstheme="majorHAnsi"/>
          <w:i/>
          <w:sz w:val="24"/>
          <w:szCs w:val="24"/>
          <w:lang w:val="ro-MD" w:eastAsia="ro-MD"/>
        </w:rPr>
      </w:pPr>
      <w:r w:rsidRPr="00285AAF">
        <w:rPr>
          <w:rFonts w:asciiTheme="majorHAnsi" w:eastAsia="Times New Roman" w:hAnsiTheme="majorHAnsi" w:cstheme="majorHAnsi"/>
          <w:sz w:val="24"/>
          <w:szCs w:val="24"/>
          <w:lang w:val="ro-MD" w:eastAsia="ro-MD"/>
        </w:rPr>
        <w:t xml:space="preserve">Informațiile detaliate privind structura patrimoniului gestionat, veniturile și cheltuielile </w:t>
      </w:r>
      <w:r w:rsidR="00822BF5">
        <w:rPr>
          <w:rFonts w:asciiTheme="majorHAnsi" w:eastAsia="Times New Roman" w:hAnsiTheme="majorHAnsi" w:cstheme="majorHAnsi"/>
          <w:sz w:val="24"/>
          <w:szCs w:val="24"/>
          <w:lang w:val="ro-MD" w:eastAsia="ro-MD"/>
        </w:rPr>
        <w:t>i</w:t>
      </w:r>
      <w:r w:rsidRPr="00285AAF">
        <w:rPr>
          <w:rFonts w:asciiTheme="majorHAnsi" w:eastAsia="Times New Roman" w:hAnsiTheme="majorHAnsi" w:cstheme="majorHAnsi"/>
          <w:sz w:val="24"/>
          <w:szCs w:val="24"/>
          <w:lang w:val="ro-MD" w:eastAsia="ro-MD"/>
        </w:rPr>
        <w:t xml:space="preserve">nstituțiilor </w:t>
      </w:r>
      <w:r w:rsidR="00822BF5">
        <w:rPr>
          <w:rFonts w:asciiTheme="majorHAnsi" w:eastAsia="Times New Roman" w:hAnsiTheme="majorHAnsi" w:cstheme="majorHAnsi"/>
          <w:sz w:val="24"/>
          <w:szCs w:val="24"/>
          <w:lang w:val="ro-MD" w:eastAsia="ro-MD"/>
        </w:rPr>
        <w:t>p</w:t>
      </w:r>
      <w:r w:rsidRPr="00285AAF">
        <w:rPr>
          <w:rFonts w:asciiTheme="majorHAnsi" w:eastAsia="Times New Roman" w:hAnsiTheme="majorHAnsi" w:cstheme="majorHAnsi"/>
          <w:sz w:val="24"/>
          <w:szCs w:val="24"/>
          <w:lang w:val="ro-MD" w:eastAsia="ro-MD"/>
        </w:rPr>
        <w:t xml:space="preserve">ublice din domeniul infrastructurii calității pe anii 2020-2021 sunt expuse în </w:t>
      </w:r>
      <w:r w:rsidRPr="00255E9C">
        <w:rPr>
          <w:rFonts w:asciiTheme="majorHAnsi" w:eastAsia="Times New Roman" w:hAnsiTheme="majorHAnsi" w:cstheme="majorHAnsi"/>
          <w:sz w:val="24"/>
          <w:szCs w:val="24"/>
          <w:lang w:val="ro-MD" w:eastAsia="ro-MD"/>
        </w:rPr>
        <w:t>Anexa nr.1</w:t>
      </w:r>
      <w:r w:rsidR="00822BF5">
        <w:rPr>
          <w:rFonts w:asciiTheme="majorHAnsi" w:eastAsia="Times New Roman" w:hAnsiTheme="majorHAnsi" w:cstheme="majorHAnsi"/>
          <w:i/>
          <w:sz w:val="24"/>
          <w:szCs w:val="24"/>
          <w:lang w:val="ro-MD" w:eastAsia="ro-MD"/>
        </w:rPr>
        <w:t xml:space="preserve">. </w:t>
      </w:r>
      <w:r w:rsidRPr="00285AAF">
        <w:rPr>
          <w:rFonts w:asciiTheme="majorHAnsi" w:hAnsiTheme="majorHAnsi" w:cstheme="majorHAnsi"/>
          <w:i/>
          <w:sz w:val="24"/>
          <w:szCs w:val="24"/>
          <w:lang w:val="ro-MD"/>
        </w:rPr>
        <w:t>Informații aferente domeniului auditat</w:t>
      </w:r>
      <w:r w:rsidR="00822BF5">
        <w:rPr>
          <w:rFonts w:asciiTheme="majorHAnsi" w:eastAsia="Times New Roman" w:hAnsiTheme="majorHAnsi" w:cstheme="majorHAnsi"/>
          <w:i/>
          <w:sz w:val="24"/>
          <w:szCs w:val="24"/>
          <w:lang w:val="ro-MD" w:eastAsia="ro-MD"/>
        </w:rPr>
        <w:t xml:space="preserve"> </w:t>
      </w:r>
      <w:r w:rsidRPr="00285AAF">
        <w:rPr>
          <w:rFonts w:asciiTheme="majorHAnsi" w:eastAsia="Times New Roman" w:hAnsiTheme="majorHAnsi" w:cstheme="majorHAnsi"/>
          <w:i/>
          <w:sz w:val="24"/>
          <w:szCs w:val="24"/>
          <w:lang w:val="ro-MD" w:eastAsia="ro-MD"/>
        </w:rPr>
        <w:t xml:space="preserve"> </w:t>
      </w:r>
      <w:r w:rsidRPr="00255E9C">
        <w:rPr>
          <w:rFonts w:asciiTheme="majorHAnsi" w:eastAsia="Times New Roman" w:hAnsiTheme="majorHAnsi" w:cstheme="majorHAnsi"/>
          <w:sz w:val="24"/>
          <w:szCs w:val="24"/>
          <w:lang w:val="ro-MD" w:eastAsia="ro-MD"/>
        </w:rPr>
        <w:t xml:space="preserve">la </w:t>
      </w:r>
      <w:r w:rsidR="00863272" w:rsidRPr="00255E9C">
        <w:rPr>
          <w:rFonts w:asciiTheme="majorHAnsi" w:eastAsia="Times New Roman" w:hAnsiTheme="majorHAnsi" w:cstheme="majorHAnsi"/>
          <w:sz w:val="24"/>
          <w:szCs w:val="24"/>
          <w:lang w:val="ro-MD" w:eastAsia="ro-MD"/>
        </w:rPr>
        <w:t xml:space="preserve">prezentul </w:t>
      </w:r>
      <w:r w:rsidRPr="00255E9C">
        <w:rPr>
          <w:rFonts w:asciiTheme="majorHAnsi" w:eastAsia="Times New Roman" w:hAnsiTheme="majorHAnsi" w:cstheme="majorHAnsi"/>
          <w:sz w:val="24"/>
          <w:szCs w:val="24"/>
          <w:lang w:val="ro-MD" w:eastAsia="ro-MD"/>
        </w:rPr>
        <w:t>Raport de audit.</w:t>
      </w:r>
    </w:p>
    <w:p w14:paraId="175A80AA" w14:textId="77777777" w:rsidR="00B07D71" w:rsidRPr="00285AAF" w:rsidRDefault="00B07D71" w:rsidP="00FF045C">
      <w:pPr>
        <w:spacing w:after="0" w:line="276" w:lineRule="auto"/>
        <w:ind w:firstLine="567"/>
        <w:jc w:val="both"/>
        <w:rPr>
          <w:rFonts w:asciiTheme="majorHAnsi" w:eastAsia="Times New Roman" w:hAnsiTheme="majorHAnsi" w:cstheme="majorHAnsi"/>
          <w:i/>
          <w:sz w:val="24"/>
          <w:szCs w:val="24"/>
          <w:lang w:val="ro-MD" w:eastAsia="ro-MD"/>
        </w:rPr>
      </w:pPr>
    </w:p>
    <w:p w14:paraId="45186835" w14:textId="47C804A9" w:rsidR="00541766" w:rsidRPr="00BF3EEA" w:rsidRDefault="00541766" w:rsidP="00BF3EEA">
      <w:pPr>
        <w:pStyle w:val="ListParagraph"/>
        <w:numPr>
          <w:ilvl w:val="1"/>
          <w:numId w:val="2"/>
        </w:numPr>
        <w:tabs>
          <w:tab w:val="left" w:pos="720"/>
        </w:tabs>
        <w:spacing w:after="0" w:line="276" w:lineRule="auto"/>
        <w:ind w:left="709" w:firstLine="0"/>
        <w:outlineLvl w:val="1"/>
        <w:rPr>
          <w:rFonts w:asciiTheme="majorHAnsi" w:hAnsiTheme="majorHAnsi" w:cstheme="majorHAnsi"/>
          <w:b/>
          <w:color w:val="00B0F0"/>
          <w:sz w:val="24"/>
          <w:szCs w:val="24"/>
          <w:lang w:val="ro-MD"/>
        </w:rPr>
      </w:pPr>
      <w:bookmarkStart w:id="7" w:name="_Toc123116696"/>
      <w:r w:rsidRPr="00BF3EEA">
        <w:rPr>
          <w:rFonts w:asciiTheme="majorHAnsi" w:hAnsiTheme="majorHAnsi" w:cstheme="majorHAnsi"/>
          <w:b/>
          <w:color w:val="00B0F0"/>
          <w:sz w:val="24"/>
          <w:szCs w:val="24"/>
          <w:lang w:val="ro-MD"/>
        </w:rPr>
        <w:t xml:space="preserve">Responsabilitățile </w:t>
      </w:r>
      <w:r w:rsidR="00846B02" w:rsidRPr="00BF3EEA">
        <w:rPr>
          <w:rFonts w:asciiTheme="majorHAnsi" w:hAnsiTheme="majorHAnsi" w:cstheme="majorHAnsi"/>
          <w:b/>
          <w:color w:val="00B0F0"/>
          <w:sz w:val="24"/>
          <w:szCs w:val="24"/>
          <w:lang w:val="ro-MD"/>
        </w:rPr>
        <w:t>conducerii</w:t>
      </w:r>
      <w:r w:rsidRPr="00BF3EEA">
        <w:rPr>
          <w:rFonts w:asciiTheme="majorHAnsi" w:hAnsiTheme="majorHAnsi" w:cstheme="majorHAnsi"/>
          <w:b/>
          <w:color w:val="00B0F0"/>
          <w:sz w:val="24"/>
          <w:szCs w:val="24"/>
          <w:lang w:val="ro-MD"/>
        </w:rPr>
        <w:t xml:space="preserve"> într-un audit de conformitate</w:t>
      </w:r>
      <w:bookmarkEnd w:id="7"/>
    </w:p>
    <w:p w14:paraId="3ED0C831" w14:textId="1A19C90E" w:rsidR="00861431" w:rsidRPr="00861431" w:rsidRDefault="00E247F0" w:rsidP="00AF4217">
      <w:pPr>
        <w:pStyle w:val="ListParagraph"/>
        <w:tabs>
          <w:tab w:val="left" w:pos="720"/>
        </w:tabs>
        <w:spacing w:after="0" w:line="276" w:lineRule="auto"/>
        <w:ind w:left="0" w:firstLine="709"/>
        <w:jc w:val="both"/>
        <w:rPr>
          <w:rFonts w:asciiTheme="majorHAnsi" w:hAnsiTheme="majorHAnsi" w:cstheme="majorHAnsi"/>
          <w:sz w:val="24"/>
          <w:szCs w:val="24"/>
          <w:lang w:val="ro-MD"/>
        </w:rPr>
      </w:pPr>
      <w:r w:rsidRPr="00AF4217">
        <w:rPr>
          <w:rFonts w:asciiTheme="majorHAnsi" w:hAnsiTheme="majorHAnsi" w:cstheme="majorHAnsi"/>
          <w:color w:val="000000"/>
          <w:spacing w:val="-3"/>
          <w:sz w:val="24"/>
          <w:szCs w:val="24"/>
          <w:lang w:val="ro-MD"/>
        </w:rPr>
        <w:t>Fondatorul</w:t>
      </w:r>
      <w:r w:rsidRPr="00861431">
        <w:rPr>
          <w:rFonts w:asciiTheme="majorHAnsi" w:hAnsiTheme="majorHAnsi" w:cstheme="majorHAnsi"/>
          <w:sz w:val="24"/>
          <w:szCs w:val="24"/>
          <w:lang w:val="ro-MD"/>
        </w:rPr>
        <w:t xml:space="preserve"> </w:t>
      </w:r>
      <w:r w:rsidR="00A67F90" w:rsidRPr="002322EE">
        <w:rPr>
          <w:rFonts w:asciiTheme="majorHAnsi" w:eastAsia="Times New Roman" w:hAnsiTheme="majorHAnsi" w:cstheme="majorHAnsi"/>
          <w:sz w:val="24"/>
          <w:szCs w:val="24"/>
          <w:lang w:val="ro-MD"/>
        </w:rPr>
        <w:t>este responsabil de</w:t>
      </w:r>
      <w:r w:rsidR="00A67F90">
        <w:rPr>
          <w:rFonts w:asciiTheme="majorHAnsi" w:eastAsia="Times New Roman" w:hAnsiTheme="majorHAnsi" w:cstheme="majorHAnsi"/>
          <w:sz w:val="24"/>
          <w:szCs w:val="24"/>
          <w:lang w:val="ro-MD"/>
        </w:rPr>
        <w:t xml:space="preserve"> exercitarea atribuțiilor stabilite în </w:t>
      </w:r>
      <w:r w:rsidR="009344D1">
        <w:rPr>
          <w:rFonts w:asciiTheme="majorHAnsi" w:eastAsia="Times New Roman" w:hAnsiTheme="majorHAnsi" w:cstheme="majorHAnsi"/>
          <w:sz w:val="24"/>
          <w:szCs w:val="24"/>
          <w:lang w:val="ro-MD"/>
        </w:rPr>
        <w:t>pct</w:t>
      </w:r>
      <w:r w:rsidR="00A67F90">
        <w:rPr>
          <w:rFonts w:asciiTheme="majorHAnsi" w:hAnsiTheme="majorHAnsi" w:cstheme="majorHAnsi"/>
          <w:sz w:val="24"/>
          <w:szCs w:val="24"/>
          <w:lang w:val="ro-MD"/>
        </w:rPr>
        <w:t>.</w:t>
      </w:r>
      <w:r w:rsidR="009344D1" w:rsidRPr="001C58E4">
        <w:rPr>
          <w:rFonts w:asciiTheme="majorHAnsi" w:hAnsiTheme="majorHAnsi" w:cstheme="majorHAnsi"/>
          <w:sz w:val="24"/>
          <w:szCs w:val="24"/>
          <w:lang w:val="ro-MD"/>
        </w:rPr>
        <w:t>nr.5 și pct. nr.7</w:t>
      </w:r>
      <w:r w:rsidR="00A67F90" w:rsidRPr="001C58E4">
        <w:rPr>
          <w:rFonts w:asciiTheme="majorHAnsi" w:hAnsiTheme="majorHAnsi" w:cstheme="majorHAnsi"/>
          <w:sz w:val="24"/>
          <w:szCs w:val="24"/>
          <w:lang w:val="ro-MD"/>
        </w:rPr>
        <w:t xml:space="preserve"> din</w:t>
      </w:r>
      <w:r w:rsidR="00CD169C">
        <w:rPr>
          <w:rFonts w:asciiTheme="majorHAnsi" w:hAnsiTheme="majorHAnsi" w:cstheme="majorHAnsi"/>
          <w:sz w:val="24"/>
          <w:szCs w:val="24"/>
          <w:lang w:val="ro-MD"/>
        </w:rPr>
        <w:t xml:space="preserve"> Regulamentul cu privire la organizarea și funcționarea Ministerului Economiei</w:t>
      </w:r>
      <w:r w:rsidR="008F6514">
        <w:rPr>
          <w:rStyle w:val="FootnoteReference"/>
          <w:rFonts w:asciiTheme="majorHAnsi" w:hAnsiTheme="majorHAnsi" w:cstheme="majorHAnsi"/>
          <w:szCs w:val="24"/>
          <w:lang w:val="ro-MD"/>
        </w:rPr>
        <w:footnoteReference w:id="4"/>
      </w:r>
      <w:r w:rsidR="005C50F0">
        <w:rPr>
          <w:rFonts w:asciiTheme="majorHAnsi" w:hAnsiTheme="majorHAnsi" w:cstheme="majorHAnsi"/>
          <w:sz w:val="24"/>
          <w:szCs w:val="24"/>
          <w:lang w:val="ro-MD"/>
        </w:rPr>
        <w:t xml:space="preserve">, </w:t>
      </w:r>
      <w:r w:rsidR="008F6514">
        <w:rPr>
          <w:rFonts w:asciiTheme="majorHAnsi" w:hAnsiTheme="majorHAnsi" w:cstheme="majorHAnsi"/>
          <w:sz w:val="24"/>
          <w:szCs w:val="24"/>
          <w:lang w:val="ro-MD"/>
        </w:rPr>
        <w:t>inclusiv</w:t>
      </w:r>
      <w:r w:rsidR="00CD169C">
        <w:rPr>
          <w:rFonts w:asciiTheme="majorHAnsi" w:hAnsiTheme="majorHAnsi" w:cstheme="majorHAnsi"/>
          <w:sz w:val="24"/>
          <w:szCs w:val="24"/>
          <w:lang w:val="ro-MD"/>
        </w:rPr>
        <w:t xml:space="preserve"> având</w:t>
      </w:r>
      <w:r w:rsidR="008F6514">
        <w:rPr>
          <w:rFonts w:asciiTheme="majorHAnsi" w:hAnsiTheme="majorHAnsi" w:cstheme="majorHAnsi"/>
          <w:sz w:val="24"/>
          <w:szCs w:val="24"/>
          <w:lang w:val="ro-MD"/>
        </w:rPr>
        <w:t xml:space="preserve"> </w:t>
      </w:r>
      <w:r w:rsidR="00861431" w:rsidRPr="00861431">
        <w:rPr>
          <w:rFonts w:asciiTheme="majorHAnsi" w:hAnsiTheme="majorHAnsi" w:cstheme="majorHAnsi"/>
          <w:sz w:val="24"/>
          <w:szCs w:val="24"/>
          <w:lang w:val="ro-MD"/>
        </w:rPr>
        <w:t>misiunea de a analiza situaţia şi problemele din domeniile de activitate gestionate, de a elabora politici publice eficiente în domeni</w:t>
      </w:r>
      <w:r w:rsidR="00861431">
        <w:rPr>
          <w:rFonts w:asciiTheme="majorHAnsi" w:hAnsiTheme="majorHAnsi" w:cstheme="majorHAnsi"/>
          <w:sz w:val="24"/>
          <w:szCs w:val="24"/>
          <w:lang w:val="ro-MD"/>
        </w:rPr>
        <w:t>ul infrastructurii calității</w:t>
      </w:r>
      <w:r w:rsidR="00861431" w:rsidRPr="00861431">
        <w:rPr>
          <w:rFonts w:asciiTheme="majorHAnsi" w:hAnsiTheme="majorHAnsi" w:cstheme="majorHAnsi"/>
          <w:sz w:val="24"/>
          <w:szCs w:val="24"/>
          <w:lang w:val="ro-MD"/>
        </w:rPr>
        <w:t>, de a monitoriza calitatea politicilor şi a actelor normative şi de a propune intervenţii justificate ale statului</w:t>
      </w:r>
      <w:r w:rsidR="006D3DE4">
        <w:rPr>
          <w:rFonts w:asciiTheme="majorHAnsi" w:hAnsiTheme="majorHAnsi" w:cstheme="majorHAnsi"/>
          <w:sz w:val="24"/>
          <w:szCs w:val="24"/>
          <w:lang w:val="ro-MD"/>
        </w:rPr>
        <w:t>,</w:t>
      </w:r>
      <w:r w:rsidR="00861431" w:rsidRPr="00861431">
        <w:rPr>
          <w:rFonts w:asciiTheme="majorHAnsi" w:hAnsiTheme="majorHAnsi" w:cstheme="majorHAnsi"/>
          <w:sz w:val="24"/>
          <w:szCs w:val="24"/>
          <w:lang w:val="ro-MD"/>
        </w:rPr>
        <w:t xml:space="preserve"> care urmează să ofere soluţii eficiente în domeniile de activitate, asigurând cel mai bun raport </w:t>
      </w:r>
      <w:r w:rsidR="00861431" w:rsidRPr="002C25A0">
        <w:rPr>
          <w:rFonts w:asciiTheme="majorHAnsi" w:hAnsiTheme="majorHAnsi" w:cstheme="majorHAnsi"/>
          <w:sz w:val="24"/>
          <w:szCs w:val="24"/>
          <w:lang w:val="ro-MD"/>
        </w:rPr>
        <w:t>dintre rezultatele</w:t>
      </w:r>
      <w:r w:rsidR="00861431" w:rsidRPr="00861431">
        <w:rPr>
          <w:rFonts w:asciiTheme="majorHAnsi" w:hAnsiTheme="majorHAnsi" w:cstheme="majorHAnsi"/>
          <w:sz w:val="24"/>
          <w:szCs w:val="24"/>
          <w:lang w:val="ro-MD"/>
        </w:rPr>
        <w:t xml:space="preserve"> scontate şi costurile preconizate.</w:t>
      </w:r>
    </w:p>
    <w:p w14:paraId="5ACA9F59" w14:textId="3BE4CFDE" w:rsidR="000E265A" w:rsidRPr="007917DD" w:rsidRDefault="008F6514" w:rsidP="00AF4217">
      <w:pPr>
        <w:pStyle w:val="ListParagraph"/>
        <w:tabs>
          <w:tab w:val="left" w:pos="720"/>
        </w:tabs>
        <w:spacing w:after="0" w:line="276" w:lineRule="auto"/>
        <w:ind w:left="0" w:firstLine="709"/>
        <w:jc w:val="both"/>
        <w:rPr>
          <w:rFonts w:asciiTheme="majorHAnsi" w:eastAsia="Times New Roman" w:hAnsiTheme="majorHAnsi" w:cstheme="majorHAnsi"/>
          <w:sz w:val="24"/>
          <w:szCs w:val="24"/>
          <w:lang w:val="ro-MD"/>
        </w:rPr>
      </w:pPr>
      <w:r w:rsidRPr="00AF4217">
        <w:rPr>
          <w:rFonts w:asciiTheme="majorHAnsi" w:hAnsiTheme="majorHAnsi" w:cstheme="majorHAnsi"/>
          <w:color w:val="000000"/>
          <w:spacing w:val="-3"/>
          <w:sz w:val="24"/>
          <w:szCs w:val="24"/>
          <w:lang w:val="ro-MD"/>
        </w:rPr>
        <w:t>C</w:t>
      </w:r>
      <w:r w:rsidR="000E265A" w:rsidRPr="00AF4217">
        <w:rPr>
          <w:rFonts w:asciiTheme="majorHAnsi" w:hAnsiTheme="majorHAnsi" w:cstheme="majorHAnsi"/>
          <w:color w:val="000000"/>
          <w:spacing w:val="-3"/>
          <w:sz w:val="24"/>
          <w:szCs w:val="24"/>
          <w:lang w:val="ro-MD"/>
        </w:rPr>
        <w:t>onducer</w:t>
      </w:r>
      <w:r w:rsidRPr="00AF4217">
        <w:rPr>
          <w:rFonts w:asciiTheme="majorHAnsi" w:hAnsiTheme="majorHAnsi" w:cstheme="majorHAnsi"/>
          <w:color w:val="000000"/>
          <w:spacing w:val="-3"/>
          <w:sz w:val="24"/>
          <w:szCs w:val="24"/>
          <w:lang w:val="ro-MD"/>
        </w:rPr>
        <w:t>ea</w:t>
      </w:r>
      <w:r w:rsidR="000E265A" w:rsidRPr="001C58E4">
        <w:rPr>
          <w:rFonts w:asciiTheme="majorHAnsi" w:hAnsiTheme="majorHAnsi" w:cstheme="majorHAnsi"/>
          <w:sz w:val="24"/>
          <w:szCs w:val="24"/>
          <w:lang w:val="ro-MD"/>
        </w:rPr>
        <w:t xml:space="preserve">  </w:t>
      </w:r>
      <w:r w:rsidR="00956B2C">
        <w:rPr>
          <w:rFonts w:asciiTheme="majorHAnsi" w:hAnsiTheme="majorHAnsi" w:cstheme="majorHAnsi"/>
          <w:sz w:val="24"/>
          <w:szCs w:val="24"/>
          <w:lang w:val="ro-MD"/>
        </w:rPr>
        <w:t>i</w:t>
      </w:r>
      <w:r w:rsidR="000E265A" w:rsidRPr="001C58E4">
        <w:rPr>
          <w:rFonts w:asciiTheme="majorHAnsi" w:hAnsiTheme="majorHAnsi" w:cstheme="majorHAnsi"/>
          <w:sz w:val="24"/>
          <w:szCs w:val="24"/>
          <w:lang w:val="ro-MD"/>
        </w:rPr>
        <w:t xml:space="preserve">nstituțiilor </w:t>
      </w:r>
      <w:r w:rsidR="00956B2C">
        <w:rPr>
          <w:rFonts w:asciiTheme="majorHAnsi" w:hAnsiTheme="majorHAnsi" w:cstheme="majorHAnsi"/>
          <w:sz w:val="24"/>
          <w:szCs w:val="24"/>
          <w:lang w:val="ro-MD"/>
        </w:rPr>
        <w:t>p</w:t>
      </w:r>
      <w:r w:rsidR="000E265A" w:rsidRPr="001C58E4">
        <w:rPr>
          <w:rFonts w:asciiTheme="majorHAnsi" w:hAnsiTheme="majorHAnsi" w:cstheme="majorHAnsi"/>
          <w:sz w:val="24"/>
          <w:szCs w:val="24"/>
          <w:lang w:val="ro-MD"/>
        </w:rPr>
        <w:t xml:space="preserve">ublice din domeniul infrastructurii calității </w:t>
      </w:r>
      <w:r w:rsidRPr="001C58E4">
        <w:rPr>
          <w:rFonts w:asciiTheme="majorHAnsi" w:hAnsiTheme="majorHAnsi" w:cstheme="majorHAnsi"/>
          <w:sz w:val="24"/>
          <w:szCs w:val="24"/>
          <w:lang w:val="ro-MD"/>
        </w:rPr>
        <w:t>este re</w:t>
      </w:r>
      <w:r>
        <w:rPr>
          <w:rFonts w:asciiTheme="majorHAnsi" w:hAnsiTheme="majorHAnsi" w:cstheme="majorHAnsi"/>
          <w:sz w:val="24"/>
          <w:szCs w:val="24"/>
          <w:lang w:val="ro-MD"/>
        </w:rPr>
        <w:t xml:space="preserve">sponsabilă de </w:t>
      </w:r>
      <w:r>
        <w:rPr>
          <w:rFonts w:asciiTheme="majorHAnsi" w:eastAsia="Times New Roman" w:hAnsiTheme="majorHAnsi" w:cstheme="majorHAnsi"/>
          <w:sz w:val="24"/>
          <w:szCs w:val="24"/>
          <w:lang w:val="ro-MD"/>
        </w:rPr>
        <w:t>exercitarea atribuțiilor stabilite</w:t>
      </w:r>
      <w:r w:rsidRPr="007917DD">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în cadrul normativ aplicabil</w:t>
      </w:r>
      <w:r>
        <w:rPr>
          <w:rStyle w:val="FootnoteReference"/>
          <w:rFonts w:asciiTheme="majorHAnsi" w:eastAsia="Times New Roman" w:hAnsiTheme="majorHAnsi" w:cstheme="majorHAnsi"/>
          <w:szCs w:val="24"/>
          <w:lang w:val="ro-MD"/>
        </w:rPr>
        <w:footnoteReference w:id="5"/>
      </w:r>
      <w:r>
        <w:rPr>
          <w:rFonts w:asciiTheme="majorHAnsi" w:eastAsia="Times New Roman" w:hAnsiTheme="majorHAnsi" w:cstheme="majorHAnsi"/>
          <w:sz w:val="24"/>
          <w:szCs w:val="24"/>
          <w:lang w:val="ro-MD"/>
        </w:rPr>
        <w:t xml:space="preserve"> </w:t>
      </w:r>
      <w:r w:rsidR="00117AA6">
        <w:rPr>
          <w:rFonts w:asciiTheme="majorHAnsi" w:eastAsia="Times New Roman" w:hAnsiTheme="majorHAnsi" w:cstheme="majorHAnsi"/>
          <w:sz w:val="24"/>
          <w:szCs w:val="24"/>
          <w:lang w:val="ro-MD"/>
        </w:rPr>
        <w:t>, inclusiv</w:t>
      </w:r>
      <w:r w:rsidR="000E265A" w:rsidRPr="007917DD">
        <w:rPr>
          <w:rFonts w:asciiTheme="majorHAnsi" w:eastAsia="Times New Roman" w:hAnsiTheme="majorHAnsi" w:cstheme="majorHAnsi"/>
          <w:sz w:val="24"/>
          <w:szCs w:val="24"/>
          <w:lang w:val="ro-MD"/>
        </w:rPr>
        <w:t xml:space="preserve"> în organizarea unui sistem de management</w:t>
      </w:r>
      <w:r w:rsidR="00117AA6">
        <w:rPr>
          <w:rFonts w:asciiTheme="majorHAnsi" w:eastAsia="Times New Roman" w:hAnsiTheme="majorHAnsi" w:cstheme="majorHAnsi"/>
          <w:sz w:val="24"/>
          <w:szCs w:val="24"/>
          <w:lang w:val="ro-MD"/>
        </w:rPr>
        <w:t xml:space="preserve"> în conformitate cu actele normative ce reglementează domeniile respective</w:t>
      </w:r>
      <w:r w:rsidR="000E265A" w:rsidRPr="007917DD">
        <w:rPr>
          <w:rFonts w:asciiTheme="majorHAnsi" w:eastAsia="Times New Roman" w:hAnsiTheme="majorHAnsi" w:cstheme="majorHAnsi"/>
          <w:sz w:val="24"/>
          <w:szCs w:val="24"/>
          <w:lang w:val="ro-MD"/>
        </w:rPr>
        <w:t xml:space="preserve">, care să asigure </w:t>
      </w:r>
      <w:r w:rsidR="0001233A">
        <w:rPr>
          <w:rFonts w:asciiTheme="majorHAnsi" w:hAnsiTheme="majorHAnsi" w:cstheme="majorHAnsi"/>
          <w:sz w:val="24"/>
          <w:szCs w:val="24"/>
          <w:lang w:val="ro-MD"/>
        </w:rPr>
        <w:t>gestionarea</w:t>
      </w:r>
      <w:r w:rsidRPr="00B52E2B">
        <w:rPr>
          <w:rFonts w:asciiTheme="majorHAnsi" w:hAnsiTheme="majorHAnsi" w:cstheme="majorHAnsi"/>
          <w:sz w:val="24"/>
          <w:szCs w:val="24"/>
          <w:lang w:val="ro-MD"/>
        </w:rPr>
        <w:t xml:space="preserve"> patrimoniul</w:t>
      </w:r>
      <w:r>
        <w:rPr>
          <w:rFonts w:asciiTheme="majorHAnsi" w:hAnsiTheme="majorHAnsi" w:cstheme="majorHAnsi"/>
          <w:sz w:val="24"/>
          <w:szCs w:val="24"/>
          <w:lang w:val="ro-MD"/>
        </w:rPr>
        <w:t xml:space="preserve">ui </w:t>
      </w:r>
      <w:r w:rsidRPr="00B52E2B">
        <w:rPr>
          <w:rFonts w:asciiTheme="majorHAnsi" w:hAnsiTheme="majorHAnsi" w:cstheme="majorHAnsi"/>
          <w:sz w:val="24"/>
          <w:szCs w:val="24"/>
          <w:lang w:val="ro-MD"/>
        </w:rPr>
        <w:t xml:space="preserve"> public în baza principiilor bunei guvernări</w:t>
      </w:r>
      <w:r w:rsidR="00117AA6">
        <w:rPr>
          <w:rFonts w:asciiTheme="majorHAnsi" w:hAnsiTheme="majorHAnsi" w:cstheme="majorHAnsi"/>
          <w:sz w:val="24"/>
          <w:szCs w:val="24"/>
          <w:lang w:val="ro-MD"/>
        </w:rPr>
        <w:t>.</w:t>
      </w:r>
    </w:p>
    <w:p w14:paraId="5F67A56E" w14:textId="77777777" w:rsidR="000E265A" w:rsidRPr="007917DD" w:rsidRDefault="000E265A" w:rsidP="000E265A">
      <w:pPr>
        <w:pStyle w:val="ListParagraph"/>
        <w:spacing w:after="0" w:line="276" w:lineRule="auto"/>
        <w:ind w:left="709"/>
        <w:outlineLvl w:val="1"/>
        <w:rPr>
          <w:rFonts w:asciiTheme="majorHAnsi" w:hAnsiTheme="majorHAnsi" w:cstheme="majorHAnsi"/>
          <w:b/>
          <w:sz w:val="24"/>
          <w:szCs w:val="24"/>
          <w:lang w:val="ro-MD"/>
        </w:rPr>
      </w:pPr>
    </w:p>
    <w:p w14:paraId="4518683B" w14:textId="425E6A6F" w:rsidR="0020188F" w:rsidRPr="00BF3EEA" w:rsidRDefault="0020188F" w:rsidP="00BF3EEA">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8" w:name="_Toc123116697"/>
      <w:r w:rsidRPr="00BF3EEA">
        <w:rPr>
          <w:rFonts w:asciiTheme="majorHAnsi" w:eastAsia="Times New Roman" w:hAnsiTheme="majorHAnsi" w:cstheme="majorHAnsi"/>
          <w:b/>
          <w:bCs/>
          <w:caps/>
          <w:color w:val="0070C0"/>
          <w:sz w:val="24"/>
          <w:szCs w:val="24"/>
          <w:lang w:val="ro-MD"/>
        </w:rPr>
        <w:t>Sfera și abordarea auditului</w:t>
      </w:r>
      <w:bookmarkEnd w:id="8"/>
    </w:p>
    <w:p w14:paraId="7505F50F" w14:textId="77777777" w:rsidR="006514CA" w:rsidRPr="007917DD" w:rsidRDefault="006514CA" w:rsidP="00E22277">
      <w:pPr>
        <w:pStyle w:val="ListParagraph"/>
        <w:numPr>
          <w:ilvl w:val="0"/>
          <w:numId w:val="4"/>
        </w:numPr>
        <w:spacing w:after="0" w:line="276" w:lineRule="auto"/>
        <w:outlineLvl w:val="1"/>
        <w:rPr>
          <w:rFonts w:asciiTheme="majorHAnsi" w:hAnsiTheme="majorHAnsi" w:cstheme="majorHAnsi"/>
          <w:b/>
          <w:vanish/>
          <w:sz w:val="24"/>
          <w:szCs w:val="24"/>
          <w:lang w:val="ro-MD"/>
        </w:rPr>
      </w:pPr>
      <w:bookmarkStart w:id="9" w:name="_Toc58842792"/>
      <w:bookmarkStart w:id="10" w:name="_Toc58844735"/>
      <w:bookmarkStart w:id="11" w:name="_Toc59529050"/>
      <w:bookmarkStart w:id="12" w:name="_Toc61608184"/>
      <w:bookmarkStart w:id="13" w:name="_Toc85617012"/>
      <w:bookmarkStart w:id="14" w:name="_Toc85617040"/>
      <w:bookmarkStart w:id="15" w:name="_Toc88473284"/>
      <w:bookmarkStart w:id="16" w:name="_Toc88473715"/>
      <w:bookmarkStart w:id="17" w:name="_Toc89273867"/>
      <w:bookmarkStart w:id="18" w:name="_Toc89274063"/>
      <w:bookmarkStart w:id="19" w:name="_Toc89274215"/>
      <w:bookmarkStart w:id="20" w:name="_Toc89340630"/>
      <w:bookmarkStart w:id="21" w:name="_Toc89340684"/>
      <w:bookmarkStart w:id="22" w:name="_Toc89340803"/>
      <w:bookmarkStart w:id="23" w:name="_Toc89340856"/>
      <w:bookmarkStart w:id="24" w:name="_Toc89347377"/>
      <w:bookmarkStart w:id="25" w:name="_Toc89347676"/>
      <w:bookmarkStart w:id="26" w:name="_Toc89355773"/>
      <w:bookmarkStart w:id="27" w:name="_Toc89438826"/>
      <w:bookmarkStart w:id="28" w:name="_Toc89697599"/>
      <w:bookmarkStart w:id="29" w:name="_Toc89712633"/>
      <w:bookmarkStart w:id="30" w:name="_Toc89771839"/>
      <w:bookmarkStart w:id="31" w:name="_Toc90555959"/>
      <w:bookmarkStart w:id="32" w:name="_Toc90558628"/>
      <w:bookmarkStart w:id="33" w:name="_Toc90640033"/>
      <w:bookmarkStart w:id="34" w:name="_Toc91581279"/>
      <w:bookmarkStart w:id="35" w:name="_Toc121221734"/>
      <w:bookmarkStart w:id="36" w:name="_Toc121221797"/>
      <w:bookmarkStart w:id="37" w:name="_Toc121221859"/>
      <w:bookmarkStart w:id="38" w:name="_Toc121221966"/>
      <w:bookmarkStart w:id="39" w:name="_Toc121222160"/>
      <w:bookmarkStart w:id="40" w:name="_Toc121222320"/>
      <w:bookmarkStart w:id="41" w:name="_Toc121223448"/>
      <w:bookmarkStart w:id="42" w:name="_Toc121223488"/>
      <w:bookmarkStart w:id="43" w:name="_Toc121224252"/>
      <w:bookmarkStart w:id="44" w:name="_Toc121224288"/>
      <w:bookmarkStart w:id="45" w:name="_Toc121234885"/>
      <w:bookmarkStart w:id="46" w:name="_Toc121235007"/>
      <w:bookmarkStart w:id="47" w:name="_Toc121235071"/>
      <w:bookmarkStart w:id="48" w:name="_Toc121235167"/>
      <w:bookmarkStart w:id="49" w:name="_Toc121236092"/>
      <w:bookmarkStart w:id="50" w:name="_Toc121236251"/>
      <w:bookmarkStart w:id="51" w:name="_Toc121236709"/>
      <w:bookmarkStart w:id="52" w:name="_Toc121237218"/>
      <w:bookmarkStart w:id="53" w:name="_Toc121240822"/>
      <w:bookmarkStart w:id="54" w:name="_Toc121240900"/>
      <w:bookmarkStart w:id="55" w:name="_Toc121243735"/>
      <w:bookmarkStart w:id="56" w:name="_Toc121255977"/>
      <w:bookmarkStart w:id="57" w:name="_Toc121303586"/>
      <w:bookmarkStart w:id="58" w:name="_Toc121303664"/>
      <w:bookmarkStart w:id="59" w:name="_Toc121303796"/>
      <w:bookmarkStart w:id="60" w:name="_Toc122260860"/>
      <w:bookmarkStart w:id="61" w:name="_Toc12311669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1D523AA" w14:textId="77777777" w:rsidR="006514CA" w:rsidRPr="007917DD" w:rsidRDefault="006514CA" w:rsidP="00E22277">
      <w:pPr>
        <w:pStyle w:val="ListParagraph"/>
        <w:numPr>
          <w:ilvl w:val="0"/>
          <w:numId w:val="4"/>
        </w:numPr>
        <w:spacing w:after="0" w:line="276" w:lineRule="auto"/>
        <w:outlineLvl w:val="1"/>
        <w:rPr>
          <w:rFonts w:asciiTheme="majorHAnsi" w:hAnsiTheme="majorHAnsi" w:cstheme="majorHAnsi"/>
          <w:b/>
          <w:vanish/>
          <w:sz w:val="24"/>
          <w:szCs w:val="24"/>
          <w:lang w:val="ro-MD"/>
        </w:rPr>
      </w:pPr>
      <w:bookmarkStart w:id="62" w:name="_Toc58842793"/>
      <w:bookmarkStart w:id="63" w:name="_Toc58844736"/>
      <w:bookmarkStart w:id="64" w:name="_Toc59529051"/>
      <w:bookmarkStart w:id="65" w:name="_Toc61608185"/>
      <w:bookmarkStart w:id="66" w:name="_Toc85617013"/>
      <w:bookmarkStart w:id="67" w:name="_Toc85617041"/>
      <w:bookmarkStart w:id="68" w:name="_Toc88473285"/>
      <w:bookmarkStart w:id="69" w:name="_Toc88473716"/>
      <w:bookmarkStart w:id="70" w:name="_Toc89273868"/>
      <w:bookmarkStart w:id="71" w:name="_Toc89274064"/>
      <w:bookmarkStart w:id="72" w:name="_Toc89274216"/>
      <w:bookmarkStart w:id="73" w:name="_Toc89340631"/>
      <w:bookmarkStart w:id="74" w:name="_Toc89340685"/>
      <w:bookmarkStart w:id="75" w:name="_Toc89340804"/>
      <w:bookmarkStart w:id="76" w:name="_Toc89340857"/>
      <w:bookmarkStart w:id="77" w:name="_Toc89347378"/>
      <w:bookmarkStart w:id="78" w:name="_Toc89347677"/>
      <w:bookmarkStart w:id="79" w:name="_Toc89355774"/>
      <w:bookmarkStart w:id="80" w:name="_Toc89438827"/>
      <w:bookmarkStart w:id="81" w:name="_Toc89697600"/>
      <w:bookmarkStart w:id="82" w:name="_Toc89712634"/>
      <w:bookmarkStart w:id="83" w:name="_Toc89771840"/>
      <w:bookmarkStart w:id="84" w:name="_Toc90555960"/>
      <w:bookmarkStart w:id="85" w:name="_Toc90558629"/>
      <w:bookmarkStart w:id="86" w:name="_Toc90640034"/>
      <w:bookmarkStart w:id="87" w:name="_Toc91581280"/>
      <w:bookmarkStart w:id="88" w:name="_Toc121221735"/>
      <w:bookmarkStart w:id="89" w:name="_Toc121221798"/>
      <w:bookmarkStart w:id="90" w:name="_Toc121221860"/>
      <w:bookmarkStart w:id="91" w:name="_Toc121221967"/>
      <w:bookmarkStart w:id="92" w:name="_Toc121222161"/>
      <w:bookmarkStart w:id="93" w:name="_Toc121222321"/>
      <w:bookmarkStart w:id="94" w:name="_Toc121223449"/>
      <w:bookmarkStart w:id="95" w:name="_Toc121223489"/>
      <w:bookmarkStart w:id="96" w:name="_Toc121224253"/>
      <w:bookmarkStart w:id="97" w:name="_Toc121224289"/>
      <w:bookmarkStart w:id="98" w:name="_Toc121234886"/>
      <w:bookmarkStart w:id="99" w:name="_Toc121235008"/>
      <w:bookmarkStart w:id="100" w:name="_Toc121235072"/>
      <w:bookmarkStart w:id="101" w:name="_Toc121235168"/>
      <w:bookmarkStart w:id="102" w:name="_Toc121236093"/>
      <w:bookmarkStart w:id="103" w:name="_Toc121236252"/>
      <w:bookmarkStart w:id="104" w:name="_Toc121236710"/>
      <w:bookmarkStart w:id="105" w:name="_Toc121237219"/>
      <w:bookmarkStart w:id="106" w:name="_Toc121240823"/>
      <w:bookmarkStart w:id="107" w:name="_Toc121240901"/>
      <w:bookmarkStart w:id="108" w:name="_Toc121243736"/>
      <w:bookmarkStart w:id="109" w:name="_Toc121255978"/>
      <w:bookmarkStart w:id="110" w:name="_Toc121303587"/>
      <w:bookmarkStart w:id="111" w:name="_Toc121303665"/>
      <w:bookmarkStart w:id="112" w:name="_Toc121303797"/>
      <w:bookmarkStart w:id="113" w:name="_Toc122260861"/>
      <w:bookmarkStart w:id="114" w:name="_Toc12311669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85387B5" w14:textId="5FCCB458" w:rsidR="006514CA" w:rsidRPr="00BF3EEA" w:rsidRDefault="006514CA" w:rsidP="00BF3EEA">
      <w:pPr>
        <w:pStyle w:val="ListParagraph"/>
        <w:numPr>
          <w:ilvl w:val="1"/>
          <w:numId w:val="4"/>
        </w:numPr>
        <w:tabs>
          <w:tab w:val="left" w:pos="720"/>
        </w:tabs>
        <w:spacing w:after="0" w:line="276" w:lineRule="auto"/>
        <w:outlineLvl w:val="1"/>
        <w:rPr>
          <w:rFonts w:asciiTheme="majorHAnsi" w:hAnsiTheme="majorHAnsi" w:cstheme="majorHAnsi"/>
          <w:b/>
          <w:color w:val="00B0F0"/>
          <w:sz w:val="24"/>
          <w:szCs w:val="24"/>
          <w:lang w:val="ro-MD"/>
        </w:rPr>
      </w:pPr>
      <w:bookmarkStart w:id="115" w:name="_Toc123116700"/>
      <w:r w:rsidRPr="00BF3EEA">
        <w:rPr>
          <w:rFonts w:asciiTheme="majorHAnsi" w:hAnsiTheme="majorHAnsi" w:cstheme="majorHAnsi"/>
          <w:b/>
          <w:color w:val="00B0F0"/>
          <w:sz w:val="24"/>
          <w:szCs w:val="24"/>
          <w:lang w:val="ro-MD"/>
        </w:rPr>
        <w:t>Mandatul legal și scopul auditului</w:t>
      </w:r>
      <w:bookmarkEnd w:id="115"/>
    </w:p>
    <w:p w14:paraId="1A950F68" w14:textId="37CB1A36" w:rsidR="00937704" w:rsidRPr="007917DD" w:rsidRDefault="00A570F5" w:rsidP="000C3C44">
      <w:pPr>
        <w:pStyle w:val="ListParagraph"/>
        <w:tabs>
          <w:tab w:val="left" w:pos="720"/>
        </w:tabs>
        <w:spacing w:after="0" w:line="276" w:lineRule="auto"/>
        <w:ind w:left="0" w:firstLine="709"/>
        <w:jc w:val="both"/>
        <w:rPr>
          <w:rFonts w:asciiTheme="majorHAnsi" w:eastAsia="Arial" w:hAnsiTheme="majorHAnsi" w:cstheme="majorHAnsi"/>
          <w:spacing w:val="1"/>
          <w:sz w:val="24"/>
          <w:szCs w:val="24"/>
          <w:lang w:val="ro-MD"/>
        </w:rPr>
      </w:pPr>
      <w:r w:rsidRPr="007917DD">
        <w:rPr>
          <w:rFonts w:asciiTheme="majorHAnsi" w:hAnsiTheme="majorHAnsi" w:cstheme="majorHAnsi"/>
          <w:color w:val="000000"/>
          <w:spacing w:val="-3"/>
          <w:sz w:val="24"/>
          <w:szCs w:val="24"/>
          <w:lang w:val="ro-MD"/>
        </w:rPr>
        <w:t>Misiunea de a</w:t>
      </w:r>
      <w:r w:rsidR="000C3C44" w:rsidRPr="007917DD">
        <w:rPr>
          <w:rFonts w:asciiTheme="majorHAnsi" w:hAnsiTheme="majorHAnsi" w:cstheme="majorHAnsi"/>
          <w:color w:val="000000"/>
          <w:spacing w:val="-3"/>
          <w:sz w:val="24"/>
          <w:szCs w:val="24"/>
          <w:lang w:val="ro-MD"/>
        </w:rPr>
        <w:t xml:space="preserve">udit </w:t>
      </w:r>
      <w:r w:rsidR="001C105D" w:rsidRPr="007917DD">
        <w:rPr>
          <w:rFonts w:asciiTheme="majorHAnsi" w:hAnsiTheme="majorHAnsi" w:cstheme="majorHAnsi"/>
          <w:color w:val="000000"/>
          <w:spacing w:val="-3"/>
          <w:sz w:val="24"/>
          <w:szCs w:val="24"/>
          <w:lang w:val="ro-MD"/>
        </w:rPr>
        <w:t xml:space="preserve">public extern </w:t>
      </w:r>
      <w:r w:rsidRPr="007917DD">
        <w:rPr>
          <w:rFonts w:asciiTheme="majorHAnsi" w:hAnsiTheme="majorHAnsi" w:cstheme="majorHAnsi"/>
          <w:color w:val="000000"/>
          <w:spacing w:val="-3"/>
          <w:sz w:val="24"/>
          <w:szCs w:val="24"/>
          <w:lang w:val="ro-MD"/>
        </w:rPr>
        <w:t>a fost</w:t>
      </w:r>
      <w:r w:rsidR="000C3C44" w:rsidRPr="007917DD">
        <w:rPr>
          <w:rFonts w:asciiTheme="majorHAnsi" w:hAnsiTheme="majorHAnsi" w:cstheme="majorHAnsi"/>
          <w:color w:val="000000"/>
          <w:spacing w:val="-3"/>
          <w:sz w:val="24"/>
          <w:szCs w:val="24"/>
          <w:lang w:val="ro-MD"/>
        </w:rPr>
        <w:t xml:space="preserve"> desfășurat</w:t>
      </w:r>
      <w:r w:rsidRPr="007917DD">
        <w:rPr>
          <w:rFonts w:asciiTheme="majorHAnsi" w:hAnsiTheme="majorHAnsi" w:cstheme="majorHAnsi"/>
          <w:color w:val="000000"/>
          <w:spacing w:val="-3"/>
          <w:sz w:val="24"/>
          <w:szCs w:val="24"/>
          <w:lang w:val="ro-MD"/>
        </w:rPr>
        <w:t>ă</w:t>
      </w:r>
      <w:r w:rsidR="000C3C44" w:rsidRPr="007917DD">
        <w:rPr>
          <w:rFonts w:asciiTheme="majorHAnsi" w:hAnsiTheme="majorHAnsi" w:cstheme="majorHAnsi"/>
          <w:color w:val="000000"/>
          <w:spacing w:val="-3"/>
          <w:sz w:val="24"/>
          <w:szCs w:val="24"/>
          <w:lang w:val="ro-MD"/>
        </w:rPr>
        <w:t xml:space="preserve"> în temeiul prevederilor </w:t>
      </w:r>
      <w:r w:rsidR="000C3C44" w:rsidRPr="00D15625">
        <w:rPr>
          <w:rFonts w:asciiTheme="majorHAnsi" w:hAnsiTheme="majorHAnsi" w:cstheme="majorHAnsi"/>
          <w:color w:val="000000"/>
          <w:spacing w:val="-3"/>
          <w:sz w:val="24"/>
          <w:szCs w:val="24"/>
          <w:lang w:val="ro-MD"/>
        </w:rPr>
        <w:t xml:space="preserve">art.3 alin.(1), art.5 alin.(1) </w:t>
      </w:r>
      <w:r w:rsidR="005749D5" w:rsidRPr="00D15625">
        <w:rPr>
          <w:rFonts w:asciiTheme="majorHAnsi" w:hAnsiTheme="majorHAnsi" w:cstheme="majorHAnsi"/>
          <w:color w:val="000000"/>
          <w:spacing w:val="-3"/>
          <w:sz w:val="24"/>
          <w:szCs w:val="24"/>
          <w:lang w:val="ro-MD"/>
        </w:rPr>
        <w:t xml:space="preserve">lit.a) și </w:t>
      </w:r>
      <w:r w:rsidR="005749D5" w:rsidRPr="00D15625">
        <w:rPr>
          <w:rFonts w:asciiTheme="majorHAnsi" w:hAnsiTheme="majorHAnsi" w:cstheme="majorHAnsi"/>
          <w:color w:val="000000" w:themeColor="text1"/>
          <w:spacing w:val="-3"/>
          <w:sz w:val="24"/>
          <w:szCs w:val="24"/>
          <w:lang w:val="ro-MD"/>
        </w:rPr>
        <w:t>art.31 alin.(1) lit.b</w:t>
      </w:r>
      <w:r w:rsidR="000C3C44" w:rsidRPr="00D15625">
        <w:rPr>
          <w:rFonts w:asciiTheme="majorHAnsi" w:hAnsiTheme="majorHAnsi" w:cstheme="majorHAnsi"/>
          <w:color w:val="000000" w:themeColor="text1"/>
          <w:spacing w:val="-3"/>
          <w:sz w:val="24"/>
          <w:szCs w:val="24"/>
          <w:lang w:val="ro-MD"/>
        </w:rPr>
        <w:t xml:space="preserve">) </w:t>
      </w:r>
      <w:r w:rsidR="000C3C44" w:rsidRPr="00D15625">
        <w:rPr>
          <w:rFonts w:asciiTheme="majorHAnsi" w:hAnsiTheme="majorHAnsi" w:cstheme="majorHAnsi"/>
          <w:color w:val="000000" w:themeColor="text1"/>
          <w:sz w:val="24"/>
          <w:szCs w:val="24"/>
          <w:lang w:val="ro-MD"/>
        </w:rPr>
        <w:t>din</w:t>
      </w:r>
      <w:r w:rsidR="000C3C44" w:rsidRPr="00D15625">
        <w:rPr>
          <w:rFonts w:asciiTheme="majorHAnsi" w:hAnsiTheme="majorHAnsi" w:cstheme="majorHAnsi"/>
          <w:color w:val="000000" w:themeColor="text1"/>
          <w:spacing w:val="-3"/>
          <w:sz w:val="24"/>
          <w:szCs w:val="24"/>
          <w:lang w:val="ro-MD"/>
        </w:rPr>
        <w:t xml:space="preserve"> Legea privind organizarea și funcționarea Curții</w:t>
      </w:r>
      <w:r w:rsidR="000C3C44" w:rsidRPr="007917DD">
        <w:rPr>
          <w:rFonts w:asciiTheme="majorHAnsi" w:hAnsiTheme="majorHAnsi" w:cstheme="majorHAnsi"/>
          <w:color w:val="000000" w:themeColor="text1"/>
          <w:spacing w:val="-3"/>
          <w:sz w:val="24"/>
          <w:szCs w:val="24"/>
          <w:lang w:val="ro-MD"/>
        </w:rPr>
        <w:t xml:space="preserve"> de Conturi</w:t>
      </w:r>
      <w:r w:rsidR="000F3F33" w:rsidRPr="007917DD">
        <w:rPr>
          <w:rFonts w:asciiTheme="majorHAnsi" w:hAnsiTheme="majorHAnsi" w:cstheme="majorHAnsi"/>
          <w:color w:val="000000" w:themeColor="text1"/>
          <w:spacing w:val="-3"/>
          <w:sz w:val="24"/>
          <w:szCs w:val="24"/>
          <w:lang w:val="ro-MD"/>
        </w:rPr>
        <w:t xml:space="preserve"> a Republicii Moldova</w:t>
      </w:r>
      <w:r w:rsidR="000C3C44" w:rsidRPr="007917DD">
        <w:rPr>
          <w:rStyle w:val="FootnoteReference"/>
          <w:rFonts w:asciiTheme="majorHAnsi" w:hAnsiTheme="majorHAnsi" w:cstheme="majorHAnsi"/>
          <w:color w:val="000000" w:themeColor="text1"/>
          <w:spacing w:val="-1"/>
          <w:sz w:val="24"/>
          <w:szCs w:val="24"/>
          <w:lang w:val="ro-MD"/>
        </w:rPr>
        <w:footnoteReference w:id="6"/>
      </w:r>
      <w:r w:rsidR="005749D5" w:rsidRPr="007917DD">
        <w:rPr>
          <w:rFonts w:asciiTheme="majorHAnsi" w:hAnsiTheme="majorHAnsi" w:cstheme="majorHAnsi"/>
          <w:color w:val="000000" w:themeColor="text1"/>
          <w:spacing w:val="-3"/>
          <w:sz w:val="24"/>
          <w:szCs w:val="24"/>
          <w:lang w:val="ro-MD"/>
        </w:rPr>
        <w:t>,</w:t>
      </w:r>
      <w:r w:rsidR="000C3C44" w:rsidRPr="007917DD">
        <w:rPr>
          <w:rFonts w:asciiTheme="majorHAnsi" w:hAnsiTheme="majorHAnsi" w:cstheme="majorHAnsi"/>
          <w:color w:val="000000" w:themeColor="text1"/>
          <w:spacing w:val="-1"/>
          <w:sz w:val="24"/>
          <w:szCs w:val="24"/>
          <w:lang w:val="ro-MD"/>
        </w:rPr>
        <w:t xml:space="preserve"> în conformitate cu Programul activității de audit a Curții de </w:t>
      </w:r>
      <w:r w:rsidR="00937704" w:rsidRPr="007917DD">
        <w:rPr>
          <w:rFonts w:asciiTheme="majorHAnsi" w:hAnsiTheme="majorHAnsi" w:cstheme="majorHAnsi"/>
          <w:color w:val="000000"/>
          <w:sz w:val="24"/>
          <w:szCs w:val="24"/>
          <w:lang w:val="ro-MD"/>
        </w:rPr>
        <w:t>Conturi pe anul 202</w:t>
      </w:r>
      <w:r w:rsidR="00F37045" w:rsidRPr="007917DD">
        <w:rPr>
          <w:rFonts w:asciiTheme="majorHAnsi" w:hAnsiTheme="majorHAnsi" w:cstheme="majorHAnsi"/>
          <w:color w:val="000000"/>
          <w:sz w:val="24"/>
          <w:szCs w:val="24"/>
          <w:lang w:val="ro-MD"/>
        </w:rPr>
        <w:t>2</w:t>
      </w:r>
      <w:r w:rsidR="00937704" w:rsidRPr="007917DD">
        <w:rPr>
          <w:rStyle w:val="FootnoteReference"/>
          <w:rFonts w:asciiTheme="majorHAnsi" w:hAnsiTheme="majorHAnsi" w:cstheme="majorHAnsi"/>
          <w:color w:val="000000"/>
          <w:sz w:val="24"/>
          <w:szCs w:val="24"/>
          <w:lang w:val="ro-MD"/>
        </w:rPr>
        <w:footnoteReference w:id="7"/>
      </w:r>
      <w:r w:rsidR="005903D5" w:rsidRPr="007917DD">
        <w:rPr>
          <w:rFonts w:asciiTheme="majorHAnsi" w:hAnsiTheme="majorHAnsi" w:cstheme="majorHAnsi"/>
          <w:color w:val="000000"/>
          <w:sz w:val="24"/>
          <w:szCs w:val="24"/>
          <w:lang w:val="ro-MD"/>
        </w:rPr>
        <w:t xml:space="preserve">, </w:t>
      </w:r>
      <w:r w:rsidR="00C71FA7" w:rsidRPr="007917DD">
        <w:rPr>
          <w:rFonts w:asciiTheme="majorHAnsi" w:hAnsiTheme="majorHAnsi" w:cstheme="majorHAnsi"/>
          <w:color w:val="000000"/>
          <w:sz w:val="24"/>
          <w:szCs w:val="24"/>
          <w:lang w:val="ro-MD"/>
        </w:rPr>
        <w:t xml:space="preserve">având scopul </w:t>
      </w:r>
      <w:r w:rsidR="00FC3E2B" w:rsidRPr="007917DD">
        <w:rPr>
          <w:rFonts w:asciiTheme="majorHAnsi" w:eastAsia="Times New Roman" w:hAnsiTheme="majorHAnsi" w:cstheme="majorHAnsi"/>
          <w:sz w:val="24"/>
          <w:szCs w:val="24"/>
          <w:lang w:val="ro-MD"/>
        </w:rPr>
        <w:t>de a evalua</w:t>
      </w:r>
      <w:r w:rsidR="00C71FA7" w:rsidRPr="007917DD">
        <w:rPr>
          <w:rFonts w:asciiTheme="majorHAnsi" w:hAnsiTheme="majorHAnsi" w:cstheme="majorHAnsi"/>
          <w:sz w:val="24"/>
          <w:szCs w:val="24"/>
          <w:lang w:val="ro-MD"/>
        </w:rPr>
        <w:t xml:space="preserve"> conformit</w:t>
      </w:r>
      <w:r w:rsidR="00FC3E2B" w:rsidRPr="007917DD">
        <w:rPr>
          <w:rFonts w:asciiTheme="majorHAnsi" w:hAnsiTheme="majorHAnsi" w:cstheme="majorHAnsi"/>
          <w:sz w:val="24"/>
          <w:szCs w:val="24"/>
          <w:lang w:val="ro-MD"/>
        </w:rPr>
        <w:t>atea</w:t>
      </w:r>
      <w:r w:rsidR="00C71FA7" w:rsidRPr="007917DD">
        <w:rPr>
          <w:rFonts w:asciiTheme="majorHAnsi" w:hAnsiTheme="majorHAnsi" w:cstheme="majorHAnsi"/>
          <w:sz w:val="24"/>
          <w:szCs w:val="24"/>
          <w:lang w:val="ro-MD"/>
        </w:rPr>
        <w:t xml:space="preserve"> gestionării patrimoniului public</w:t>
      </w:r>
      <w:r w:rsidR="00B320CD">
        <w:rPr>
          <w:rFonts w:asciiTheme="majorHAnsi" w:hAnsiTheme="majorHAnsi" w:cstheme="majorHAnsi"/>
          <w:sz w:val="24"/>
          <w:szCs w:val="24"/>
          <w:lang w:val="ro-MD"/>
        </w:rPr>
        <w:t xml:space="preserve"> (inclusiv subsidiile)</w:t>
      </w:r>
      <w:r w:rsidR="00C71FA7" w:rsidRPr="007917DD">
        <w:rPr>
          <w:rFonts w:asciiTheme="majorHAnsi" w:hAnsiTheme="majorHAnsi" w:cstheme="majorHAnsi"/>
          <w:sz w:val="24"/>
          <w:szCs w:val="24"/>
          <w:lang w:val="ro-MD"/>
        </w:rPr>
        <w:t xml:space="preserve"> de către </w:t>
      </w:r>
      <w:r w:rsidR="00956B2C">
        <w:rPr>
          <w:rFonts w:asciiTheme="majorHAnsi" w:hAnsiTheme="majorHAnsi" w:cstheme="majorHAnsi"/>
          <w:sz w:val="24"/>
          <w:szCs w:val="24"/>
          <w:lang w:val="ro-MD"/>
        </w:rPr>
        <w:t>i</w:t>
      </w:r>
      <w:r w:rsidR="006F416D" w:rsidRPr="007917DD">
        <w:rPr>
          <w:rFonts w:asciiTheme="majorHAnsi" w:hAnsiTheme="majorHAnsi" w:cstheme="majorHAnsi"/>
          <w:sz w:val="24"/>
          <w:szCs w:val="24"/>
          <w:lang w:val="ro-MD"/>
        </w:rPr>
        <w:t xml:space="preserve">nstituțiile </w:t>
      </w:r>
      <w:r w:rsidR="00956B2C">
        <w:rPr>
          <w:rFonts w:asciiTheme="majorHAnsi" w:hAnsiTheme="majorHAnsi" w:cstheme="majorHAnsi"/>
          <w:sz w:val="24"/>
          <w:szCs w:val="24"/>
          <w:lang w:val="ro-MD"/>
        </w:rPr>
        <w:t>p</w:t>
      </w:r>
      <w:r w:rsidR="006F416D" w:rsidRPr="007917DD">
        <w:rPr>
          <w:rFonts w:asciiTheme="majorHAnsi" w:hAnsiTheme="majorHAnsi" w:cstheme="majorHAnsi"/>
          <w:sz w:val="24"/>
          <w:szCs w:val="24"/>
          <w:lang w:val="ro-MD"/>
        </w:rPr>
        <w:t>ublice din domeniul infrastructurii calității.</w:t>
      </w:r>
    </w:p>
    <w:p w14:paraId="4518683E" w14:textId="34B9926E" w:rsidR="008A27D5" w:rsidRPr="006800B7" w:rsidRDefault="00B016F3" w:rsidP="00D921AA">
      <w:pPr>
        <w:tabs>
          <w:tab w:val="left" w:pos="993"/>
        </w:tabs>
        <w:spacing w:after="0" w:line="276" w:lineRule="auto"/>
        <w:ind w:firstLine="709"/>
        <w:jc w:val="both"/>
        <w:rPr>
          <w:rFonts w:asciiTheme="majorHAnsi" w:hAnsiTheme="majorHAnsi" w:cstheme="majorHAnsi"/>
          <w:sz w:val="24"/>
          <w:szCs w:val="24"/>
          <w:lang w:val="ro-MD"/>
        </w:rPr>
      </w:pPr>
      <w:r w:rsidRPr="007917DD">
        <w:rPr>
          <w:rFonts w:asciiTheme="majorHAnsi" w:eastAsia="Arial" w:hAnsiTheme="majorHAnsi" w:cstheme="majorHAnsi"/>
          <w:spacing w:val="1"/>
          <w:sz w:val="24"/>
          <w:szCs w:val="24"/>
          <w:lang w:val="ro-MD"/>
        </w:rPr>
        <w:t>Î</w:t>
      </w:r>
      <w:r w:rsidRPr="007917DD">
        <w:rPr>
          <w:rFonts w:asciiTheme="majorHAnsi" w:hAnsiTheme="majorHAnsi" w:cstheme="majorHAnsi"/>
          <w:sz w:val="24"/>
          <w:szCs w:val="24"/>
          <w:lang w:val="ro-MD"/>
        </w:rPr>
        <w:t>n contextul realizării scopului misiunii de audit</w:t>
      </w:r>
      <w:r w:rsidR="001B0F22" w:rsidRPr="007917DD">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au fost cuantificate următoarele </w:t>
      </w:r>
      <w:r w:rsidR="006F5982" w:rsidRPr="00255E9C">
        <w:rPr>
          <w:rFonts w:asciiTheme="majorHAnsi" w:hAnsiTheme="majorHAnsi" w:cstheme="majorHAnsi"/>
          <w:b/>
          <w:sz w:val="24"/>
          <w:szCs w:val="24"/>
          <w:lang w:val="ro-MD"/>
        </w:rPr>
        <w:t xml:space="preserve">obiective </w:t>
      </w:r>
      <w:r w:rsidR="00D15625" w:rsidRPr="00255E9C">
        <w:rPr>
          <w:rFonts w:asciiTheme="majorHAnsi" w:hAnsiTheme="majorHAnsi" w:cstheme="majorHAnsi"/>
          <w:b/>
          <w:sz w:val="24"/>
          <w:szCs w:val="24"/>
          <w:lang w:val="ro-MD"/>
        </w:rPr>
        <w:t>specifice</w:t>
      </w:r>
      <w:r w:rsidR="00D15625" w:rsidRPr="006800B7">
        <w:rPr>
          <w:rFonts w:asciiTheme="majorHAnsi" w:hAnsiTheme="majorHAnsi" w:cstheme="majorHAnsi"/>
          <w:sz w:val="24"/>
          <w:szCs w:val="24"/>
          <w:lang w:val="ro-MD"/>
        </w:rPr>
        <w:t>:</w:t>
      </w:r>
    </w:p>
    <w:p w14:paraId="65E93A0E" w14:textId="5F89EED2" w:rsidR="00456EF2" w:rsidRPr="006800B7" w:rsidRDefault="00956B2C" w:rsidP="007E002D">
      <w:pPr>
        <w:pStyle w:val="ListParagraph"/>
        <w:numPr>
          <w:ilvl w:val="0"/>
          <w:numId w:val="35"/>
        </w:numPr>
        <w:tabs>
          <w:tab w:val="left" w:pos="993"/>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A</w:t>
      </w:r>
      <w:r w:rsidR="00456EF2" w:rsidRPr="006800B7">
        <w:rPr>
          <w:rFonts w:asciiTheme="majorHAnsi" w:hAnsiTheme="majorHAnsi" w:cstheme="majorHAnsi"/>
          <w:sz w:val="24"/>
          <w:szCs w:val="24"/>
          <w:lang w:val="ro-MD"/>
        </w:rPr>
        <w:t xml:space="preserve"> fost asigurată conformitatea gestionării patrimoniului public și </w:t>
      </w:r>
      <w:r w:rsidR="00034C09">
        <w:rPr>
          <w:rFonts w:asciiTheme="majorHAnsi" w:hAnsiTheme="majorHAnsi" w:cstheme="majorHAnsi"/>
          <w:sz w:val="24"/>
          <w:szCs w:val="24"/>
          <w:lang w:val="ro-MD"/>
        </w:rPr>
        <w:t xml:space="preserve">s-au </w:t>
      </w:r>
      <w:r w:rsidR="00456EF2" w:rsidRPr="006800B7">
        <w:rPr>
          <w:rFonts w:asciiTheme="majorHAnsi" w:hAnsiTheme="majorHAnsi" w:cstheme="majorHAnsi"/>
          <w:sz w:val="24"/>
          <w:szCs w:val="24"/>
          <w:lang w:val="ro-MD"/>
        </w:rPr>
        <w:t xml:space="preserve">respectat principiile de integritate, transparență și legalitate de către </w:t>
      </w:r>
      <w:r>
        <w:rPr>
          <w:rFonts w:asciiTheme="majorHAnsi" w:hAnsiTheme="majorHAnsi" w:cstheme="majorHAnsi"/>
          <w:sz w:val="24"/>
          <w:szCs w:val="24"/>
          <w:lang w:val="ro-MD"/>
        </w:rPr>
        <w:t>i</w:t>
      </w:r>
      <w:r w:rsidR="00456EF2" w:rsidRPr="006800B7">
        <w:rPr>
          <w:rFonts w:asciiTheme="majorHAnsi" w:hAnsiTheme="majorHAnsi" w:cstheme="majorHAnsi"/>
          <w:sz w:val="24"/>
          <w:szCs w:val="24"/>
          <w:lang w:val="ro-MD"/>
        </w:rPr>
        <w:t xml:space="preserve">nstituțiile </w:t>
      </w:r>
      <w:r>
        <w:rPr>
          <w:rFonts w:asciiTheme="majorHAnsi" w:hAnsiTheme="majorHAnsi" w:cstheme="majorHAnsi"/>
          <w:sz w:val="24"/>
          <w:szCs w:val="24"/>
          <w:lang w:val="ro-MD"/>
        </w:rPr>
        <w:t>p</w:t>
      </w:r>
      <w:r w:rsidR="00456EF2" w:rsidRPr="006800B7">
        <w:rPr>
          <w:rFonts w:asciiTheme="majorHAnsi" w:hAnsiTheme="majorHAnsi" w:cstheme="majorHAnsi"/>
          <w:sz w:val="24"/>
          <w:szCs w:val="24"/>
          <w:lang w:val="ro-MD"/>
        </w:rPr>
        <w:t xml:space="preserve">ublice din domeniul infrastructurii calității, inclusiv  în rezultatul reorganizării acestora?  </w:t>
      </w:r>
    </w:p>
    <w:p w14:paraId="52EE2C59" w14:textId="499BCD4C" w:rsidR="0073357B" w:rsidRPr="006800B7" w:rsidRDefault="00956B2C" w:rsidP="007E002D">
      <w:pPr>
        <w:pStyle w:val="ListParagraph"/>
        <w:numPr>
          <w:ilvl w:val="0"/>
          <w:numId w:val="35"/>
        </w:numPr>
        <w:tabs>
          <w:tab w:val="left" w:pos="993"/>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V</w:t>
      </w:r>
      <w:r w:rsidR="0073357B" w:rsidRPr="006800B7">
        <w:rPr>
          <w:rFonts w:asciiTheme="majorHAnsi" w:hAnsiTheme="majorHAnsi" w:cstheme="majorHAnsi"/>
          <w:sz w:val="24"/>
          <w:szCs w:val="24"/>
          <w:lang w:val="ro-MD"/>
        </w:rPr>
        <w:t>eniturile au fost gestionate într-o manieră prudentă, asigurând acumularea integrală și conformă a acestora?</w:t>
      </w:r>
    </w:p>
    <w:p w14:paraId="0AAD6493" w14:textId="791FC2BC" w:rsidR="0073357B" w:rsidRPr="00BF3EEA" w:rsidRDefault="00956B2C" w:rsidP="007E002D">
      <w:pPr>
        <w:pStyle w:val="ListParagraph"/>
        <w:numPr>
          <w:ilvl w:val="0"/>
          <w:numId w:val="35"/>
        </w:numPr>
        <w:tabs>
          <w:tab w:val="left" w:pos="993"/>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R</w:t>
      </w:r>
      <w:r w:rsidR="0073357B" w:rsidRPr="006800B7">
        <w:rPr>
          <w:rFonts w:asciiTheme="majorHAnsi" w:hAnsiTheme="majorHAnsi" w:cstheme="majorHAnsi"/>
          <w:sz w:val="24"/>
          <w:szCs w:val="24"/>
          <w:lang w:val="ro-MD"/>
        </w:rPr>
        <w:t>esursele bugetare alocate (subsidiile) au fost utilizate conform necesităților reale ale entităților, cu respectarea legalității cheltuielilor?</w:t>
      </w:r>
    </w:p>
    <w:p w14:paraId="5849E842" w14:textId="421D6100" w:rsidR="0065798E" w:rsidRPr="00BF3EEA" w:rsidRDefault="00C900BA" w:rsidP="00BF3EEA">
      <w:pPr>
        <w:pStyle w:val="ListParagraph"/>
        <w:numPr>
          <w:ilvl w:val="1"/>
          <w:numId w:val="4"/>
        </w:numPr>
        <w:tabs>
          <w:tab w:val="left" w:pos="720"/>
        </w:tabs>
        <w:spacing w:after="0" w:line="276" w:lineRule="auto"/>
        <w:outlineLvl w:val="1"/>
        <w:rPr>
          <w:rFonts w:asciiTheme="majorHAnsi" w:hAnsiTheme="majorHAnsi" w:cstheme="majorHAnsi"/>
          <w:b/>
          <w:color w:val="00B0F0"/>
          <w:sz w:val="24"/>
          <w:szCs w:val="24"/>
          <w:lang w:val="ro-MD"/>
        </w:rPr>
      </w:pPr>
      <w:bookmarkStart w:id="116" w:name="_Toc123116701"/>
      <w:r w:rsidRPr="00BF3EEA">
        <w:rPr>
          <w:rFonts w:asciiTheme="majorHAnsi" w:hAnsiTheme="majorHAnsi" w:cstheme="majorHAnsi"/>
          <w:b/>
          <w:color w:val="00B0F0"/>
          <w:sz w:val="24"/>
          <w:szCs w:val="24"/>
          <w:lang w:val="ro-MD"/>
        </w:rPr>
        <w:t>Abordarea auditului</w:t>
      </w:r>
      <w:bookmarkEnd w:id="116"/>
    </w:p>
    <w:p w14:paraId="52D9A358" w14:textId="6A829525" w:rsidR="00E23D07" w:rsidRPr="007917DD" w:rsidRDefault="00E23D07" w:rsidP="00E23D07">
      <w:pPr>
        <w:tabs>
          <w:tab w:val="left" w:pos="270"/>
          <w:tab w:val="left" w:pos="993"/>
        </w:tabs>
        <w:spacing w:after="0" w:line="276" w:lineRule="auto"/>
        <w:ind w:firstLine="720"/>
        <w:jc w:val="both"/>
        <w:rPr>
          <w:rFonts w:asciiTheme="majorHAnsi" w:eastAsia="Times New Roman" w:hAnsiTheme="majorHAnsi" w:cstheme="majorHAnsi"/>
          <w:i/>
          <w:sz w:val="24"/>
          <w:szCs w:val="24"/>
          <w:lang w:val="ro-MD"/>
        </w:rPr>
      </w:pPr>
      <w:r w:rsidRPr="007917DD">
        <w:rPr>
          <w:rFonts w:asciiTheme="majorHAnsi" w:hAnsiTheme="majorHAnsi" w:cstheme="majorHAnsi"/>
          <w:sz w:val="24"/>
          <w:szCs w:val="24"/>
          <w:lang w:val="ro-MD"/>
        </w:rPr>
        <w:t xml:space="preserve">Misiunea de audit public extern a fost realizată în conformitate cu </w:t>
      </w:r>
      <w:r w:rsidRPr="007917DD">
        <w:rPr>
          <w:rFonts w:asciiTheme="majorHAnsi" w:eastAsia="Times New Roman" w:hAnsiTheme="majorHAnsi" w:cstheme="majorHAnsi"/>
          <w:sz w:val="24"/>
          <w:szCs w:val="24"/>
          <w:lang w:val="ro-MD"/>
        </w:rPr>
        <w:t>Standardele Internaționale ale Instituțiilor Supreme de Audit (ISSAI 100, ISSAI 400 și ISSAI 4000)</w:t>
      </w:r>
      <w:r w:rsidRPr="007917DD">
        <w:rPr>
          <w:rStyle w:val="FootnoteReference"/>
          <w:rFonts w:asciiTheme="majorHAnsi" w:eastAsia="Times New Roman" w:hAnsiTheme="majorHAnsi" w:cstheme="majorHAnsi"/>
          <w:sz w:val="24"/>
          <w:szCs w:val="24"/>
          <w:lang w:val="ro-MD"/>
        </w:rPr>
        <w:footnoteReference w:id="8"/>
      </w:r>
      <w:r w:rsidRPr="007917DD">
        <w:rPr>
          <w:rFonts w:asciiTheme="majorHAnsi" w:eastAsia="Times New Roman" w:hAnsiTheme="majorHAnsi" w:cstheme="majorHAnsi"/>
          <w:i/>
          <w:sz w:val="24"/>
          <w:szCs w:val="24"/>
          <w:lang w:val="ro-MD"/>
        </w:rPr>
        <w:t xml:space="preserve">. </w:t>
      </w:r>
    </w:p>
    <w:p w14:paraId="025C362C" w14:textId="0D2D06DA" w:rsidR="00E23D07" w:rsidRPr="007917DD" w:rsidRDefault="00E23D07" w:rsidP="00E23D07">
      <w:pPr>
        <w:spacing w:after="0" w:line="276" w:lineRule="auto"/>
        <w:ind w:firstLine="720"/>
        <w:jc w:val="both"/>
        <w:rPr>
          <w:rFonts w:asciiTheme="majorHAnsi" w:eastAsia="Times New Roman" w:hAnsiTheme="majorHAnsi" w:cstheme="majorHAnsi"/>
          <w:sz w:val="24"/>
          <w:szCs w:val="24"/>
          <w:lang w:val="ro-MD" w:eastAsia="ro-MD"/>
        </w:rPr>
      </w:pPr>
      <w:r w:rsidRPr="007917DD">
        <w:rPr>
          <w:rFonts w:asciiTheme="majorHAnsi" w:eastAsia="Times New Roman" w:hAnsiTheme="majorHAnsi" w:cstheme="majorHAnsi"/>
          <w:sz w:val="24"/>
          <w:szCs w:val="24"/>
          <w:lang w:val="ro-MD" w:eastAsia="ro-MD"/>
        </w:rPr>
        <w:t xml:space="preserve">Metodologia de audit public extern a constat din acțiuni de colectare a probelor </w:t>
      </w:r>
      <w:r w:rsidRPr="007917DD">
        <w:rPr>
          <w:rFonts w:asciiTheme="majorHAnsi" w:eastAsia="Times New Roman" w:hAnsiTheme="majorHAnsi" w:cstheme="majorHAnsi"/>
          <w:bCs/>
          <w:iCs/>
          <w:sz w:val="24"/>
          <w:szCs w:val="24"/>
          <w:lang w:val="ro-MD" w:eastAsia="ru-RU"/>
        </w:rPr>
        <w:t>la fața locului și la distanță</w:t>
      </w:r>
      <w:r w:rsidRPr="007917DD">
        <w:rPr>
          <w:rStyle w:val="FootnoteReference"/>
          <w:rFonts w:asciiTheme="majorHAnsi" w:eastAsia="Times New Roman" w:hAnsiTheme="majorHAnsi" w:cstheme="majorHAnsi"/>
          <w:bCs/>
          <w:iCs/>
          <w:sz w:val="24"/>
          <w:szCs w:val="24"/>
          <w:lang w:val="ro-MD" w:eastAsia="ru-RU"/>
        </w:rPr>
        <w:footnoteReference w:id="9"/>
      </w:r>
      <w:r w:rsidRPr="007917DD">
        <w:rPr>
          <w:rFonts w:asciiTheme="majorHAnsi" w:eastAsia="Times New Roman" w:hAnsiTheme="majorHAnsi" w:cstheme="majorHAnsi"/>
          <w:bCs/>
          <w:iCs/>
          <w:sz w:val="24"/>
          <w:szCs w:val="24"/>
          <w:lang w:val="ro-MD" w:eastAsia="ru-RU"/>
        </w:rPr>
        <w:t>,</w:t>
      </w:r>
      <w:r w:rsidRPr="007917DD">
        <w:rPr>
          <w:rFonts w:asciiTheme="majorHAnsi" w:eastAsia="Times New Roman" w:hAnsiTheme="majorHAnsi" w:cstheme="majorHAnsi"/>
          <w:sz w:val="24"/>
          <w:szCs w:val="24"/>
          <w:lang w:val="ro-MD" w:eastAsia="ro-MD"/>
        </w:rPr>
        <w:t xml:space="preserve"> în urma verificării tranzacțiilor și documentelor aferente domeniului, </w:t>
      </w:r>
      <w:r w:rsidRPr="007917DD">
        <w:rPr>
          <w:rFonts w:asciiTheme="majorHAnsi" w:eastAsia="Times New Roman" w:hAnsiTheme="majorHAnsi" w:cstheme="majorHAnsi"/>
          <w:color w:val="000000" w:themeColor="text1"/>
          <w:sz w:val="24"/>
          <w:szCs w:val="24"/>
          <w:lang w:val="ro-MD" w:eastAsia="ro-MD"/>
        </w:rPr>
        <w:t xml:space="preserve">contrapunerii și generării informațiilor din diferite sisteme informaționale utilizate în acest scop, </w:t>
      </w:r>
      <w:r w:rsidRPr="007917DD">
        <w:rPr>
          <w:rFonts w:asciiTheme="majorHAnsi" w:eastAsia="Times New Roman" w:hAnsiTheme="majorHAnsi" w:cstheme="majorHAnsi"/>
          <w:sz w:val="24"/>
          <w:szCs w:val="24"/>
          <w:lang w:val="ro-MD" w:eastAsia="ro-MD"/>
        </w:rPr>
        <w:t>prin observații, investigații, intervievări și confirmări</w:t>
      </w:r>
      <w:r w:rsidR="004F0A32" w:rsidRPr="007917DD">
        <w:rPr>
          <w:rFonts w:asciiTheme="majorHAnsi" w:eastAsia="Times New Roman" w:hAnsiTheme="majorHAnsi" w:cstheme="majorHAnsi"/>
          <w:sz w:val="24"/>
          <w:szCs w:val="24"/>
          <w:lang w:val="ro-MD" w:eastAsia="ro-MD"/>
        </w:rPr>
        <w:t>, (re)calcule</w:t>
      </w:r>
      <w:r w:rsidRPr="007917DD">
        <w:rPr>
          <w:rFonts w:asciiTheme="majorHAnsi" w:eastAsia="Times New Roman" w:hAnsiTheme="majorHAnsi" w:cstheme="majorHAnsi"/>
          <w:sz w:val="24"/>
          <w:szCs w:val="24"/>
          <w:lang w:val="ro-MD" w:eastAsia="ro-MD"/>
        </w:rPr>
        <w:t>.</w:t>
      </w:r>
    </w:p>
    <w:p w14:paraId="0D5A432F" w14:textId="527E963D" w:rsidR="00E23D07" w:rsidRPr="007917DD" w:rsidRDefault="00186599" w:rsidP="00354BEC">
      <w:pPr>
        <w:shd w:val="clear" w:color="auto" w:fill="FFFFFF" w:themeFill="background1"/>
        <w:tabs>
          <w:tab w:val="left" w:pos="270"/>
          <w:tab w:val="left" w:pos="993"/>
        </w:tabs>
        <w:spacing w:after="0" w:line="276" w:lineRule="auto"/>
        <w:ind w:firstLine="720"/>
        <w:jc w:val="both"/>
        <w:rPr>
          <w:rFonts w:asciiTheme="majorHAnsi" w:eastAsia="Times New Roman" w:hAnsiTheme="majorHAnsi" w:cstheme="majorHAnsi"/>
          <w:sz w:val="24"/>
          <w:szCs w:val="24"/>
          <w:lang w:val="ro-MD" w:eastAsia="ro-MD"/>
        </w:rPr>
      </w:pPr>
      <w:r w:rsidRPr="007917DD">
        <w:rPr>
          <w:rFonts w:asciiTheme="majorHAnsi" w:eastAsia="Times New Roman" w:hAnsiTheme="majorHAnsi" w:cstheme="majorHAnsi"/>
          <w:sz w:val="24"/>
          <w:szCs w:val="24"/>
          <w:lang w:val="ro-MD" w:eastAsia="ro-MD"/>
        </w:rPr>
        <w:t xml:space="preserve"> </w:t>
      </w:r>
      <w:r w:rsidRPr="007917DD">
        <w:rPr>
          <w:rFonts w:asciiTheme="majorHAnsi" w:hAnsiTheme="majorHAnsi" w:cstheme="majorHAnsi"/>
          <w:sz w:val="24"/>
          <w:szCs w:val="24"/>
          <w:lang w:val="ro-MD"/>
        </w:rPr>
        <w:t>Abordarea auditului public extern s-a bazat pe riscuri</w:t>
      </w:r>
      <w:r w:rsidR="006365D8">
        <w:rPr>
          <w:rFonts w:asciiTheme="majorHAnsi" w:hAnsiTheme="majorHAnsi" w:cstheme="majorHAnsi"/>
          <w:sz w:val="24"/>
          <w:szCs w:val="24"/>
          <w:lang w:val="ro-MD"/>
        </w:rPr>
        <w:t>le aferente</w:t>
      </w:r>
      <w:r w:rsidRPr="007917DD">
        <w:rPr>
          <w:rFonts w:asciiTheme="majorHAnsi" w:hAnsiTheme="majorHAnsi" w:cstheme="majorHAnsi"/>
          <w:sz w:val="24"/>
          <w:szCs w:val="24"/>
          <w:lang w:val="ro-MD"/>
        </w:rPr>
        <w:t xml:space="preserve"> procese</w:t>
      </w:r>
      <w:r w:rsidR="006365D8">
        <w:rPr>
          <w:rFonts w:asciiTheme="majorHAnsi" w:hAnsiTheme="majorHAnsi" w:cstheme="majorHAnsi"/>
          <w:sz w:val="24"/>
          <w:szCs w:val="24"/>
          <w:lang w:val="ro-MD"/>
        </w:rPr>
        <w:t>lor</w:t>
      </w:r>
      <w:r w:rsidRPr="007917DD">
        <w:rPr>
          <w:rFonts w:asciiTheme="majorHAnsi" w:hAnsiTheme="majorHAnsi" w:cstheme="majorHAnsi"/>
          <w:sz w:val="24"/>
          <w:szCs w:val="24"/>
          <w:lang w:val="ro-MD"/>
        </w:rPr>
        <w:t xml:space="preserve"> semnificative din cadrul </w:t>
      </w:r>
      <w:r w:rsidR="00956B2C">
        <w:rPr>
          <w:rFonts w:asciiTheme="majorHAnsi" w:hAnsiTheme="majorHAnsi" w:cstheme="majorHAnsi"/>
          <w:sz w:val="24"/>
          <w:szCs w:val="24"/>
          <w:lang w:val="ro-MD"/>
        </w:rPr>
        <w:t>i</w:t>
      </w:r>
      <w:r w:rsidR="00DD2391" w:rsidRPr="007917DD">
        <w:rPr>
          <w:rFonts w:asciiTheme="majorHAnsi" w:hAnsiTheme="majorHAnsi" w:cstheme="majorHAnsi"/>
          <w:sz w:val="24"/>
          <w:szCs w:val="24"/>
          <w:lang w:val="ro-MD"/>
        </w:rPr>
        <w:t>nstituțiilor publice din domeniul infrastructurii calității</w:t>
      </w:r>
      <w:r w:rsidRPr="007917DD">
        <w:rPr>
          <w:rFonts w:asciiTheme="majorHAnsi" w:hAnsiTheme="majorHAnsi" w:cstheme="majorHAnsi"/>
          <w:sz w:val="24"/>
          <w:szCs w:val="24"/>
          <w:lang w:val="ro-MD"/>
        </w:rPr>
        <w:t xml:space="preserve">, fiind axată pe evaluarea controalelor interne, </w:t>
      </w:r>
      <w:r w:rsidR="001B0F22" w:rsidRPr="007917DD">
        <w:rPr>
          <w:rFonts w:asciiTheme="majorHAnsi" w:hAnsiTheme="majorHAnsi" w:cstheme="majorHAnsi"/>
          <w:sz w:val="24"/>
          <w:szCs w:val="24"/>
          <w:lang w:val="ro-MD"/>
        </w:rPr>
        <w:t>precum</w:t>
      </w:r>
      <w:r w:rsidRPr="007917DD">
        <w:rPr>
          <w:rFonts w:asciiTheme="majorHAnsi" w:hAnsiTheme="majorHAnsi" w:cstheme="majorHAnsi"/>
          <w:sz w:val="24"/>
          <w:szCs w:val="24"/>
          <w:lang w:val="ro-MD"/>
        </w:rPr>
        <w:t xml:space="preserve"> și pe teste </w:t>
      </w:r>
      <w:r w:rsidRPr="00354BEC">
        <w:rPr>
          <w:rFonts w:asciiTheme="majorHAnsi" w:hAnsiTheme="majorHAnsi" w:cstheme="majorHAnsi"/>
          <w:sz w:val="24"/>
          <w:szCs w:val="24"/>
          <w:lang w:val="ro-MD"/>
        </w:rPr>
        <w:t>de fond</w:t>
      </w:r>
      <w:r w:rsidR="00A66A10" w:rsidRPr="00354BEC">
        <w:rPr>
          <w:rFonts w:asciiTheme="majorHAnsi" w:hAnsiTheme="majorHAnsi" w:cstheme="majorHAnsi"/>
          <w:sz w:val="24"/>
          <w:szCs w:val="24"/>
          <w:lang w:val="ro-MD"/>
        </w:rPr>
        <w:t xml:space="preserve"> aplicate pentru testarea/eva</w:t>
      </w:r>
      <w:r w:rsidR="002B0EB5">
        <w:rPr>
          <w:rFonts w:asciiTheme="majorHAnsi" w:hAnsiTheme="majorHAnsi" w:cstheme="majorHAnsi"/>
          <w:sz w:val="24"/>
          <w:szCs w:val="24"/>
          <w:lang w:val="ro-MD"/>
        </w:rPr>
        <w:t xml:space="preserve">luarea elementelor/domeniilor </w:t>
      </w:r>
      <w:r w:rsidR="00A66A10" w:rsidRPr="00354BEC">
        <w:rPr>
          <w:rFonts w:asciiTheme="majorHAnsi" w:hAnsiTheme="majorHAnsi" w:cstheme="majorHAnsi"/>
          <w:sz w:val="24"/>
          <w:szCs w:val="24"/>
          <w:lang w:val="ro-MD"/>
        </w:rPr>
        <w:t xml:space="preserve"> audit</w:t>
      </w:r>
      <w:r w:rsidR="00511516">
        <w:rPr>
          <w:rFonts w:asciiTheme="majorHAnsi" w:hAnsiTheme="majorHAnsi" w:cstheme="majorHAnsi"/>
          <w:sz w:val="24"/>
          <w:szCs w:val="24"/>
          <w:lang w:val="ro-MD"/>
        </w:rPr>
        <w:t>ate</w:t>
      </w:r>
      <w:r w:rsidRPr="00354BEC">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w:t>
      </w:r>
    </w:p>
    <w:p w14:paraId="1C6DDFF2" w14:textId="267499B2" w:rsidR="00791EB2" w:rsidRPr="00B77162" w:rsidRDefault="00E23D07" w:rsidP="00791EB2">
      <w:pPr>
        <w:spacing w:after="0" w:line="276" w:lineRule="auto"/>
        <w:ind w:firstLine="720"/>
        <w:jc w:val="both"/>
        <w:rPr>
          <w:rFonts w:asciiTheme="majorHAnsi" w:hAnsiTheme="majorHAnsi" w:cstheme="majorHAnsi"/>
          <w:sz w:val="24"/>
          <w:szCs w:val="24"/>
          <w:lang w:val="ro-MD"/>
        </w:rPr>
      </w:pPr>
      <w:r w:rsidRPr="007917DD">
        <w:rPr>
          <w:rFonts w:asciiTheme="majorHAnsi" w:hAnsiTheme="majorHAnsi" w:cstheme="majorHAnsi"/>
          <w:noProof/>
          <w:sz w:val="24"/>
          <w:szCs w:val="24"/>
          <w:shd w:val="clear" w:color="auto" w:fill="FFFFFF"/>
          <w:lang w:val="ro-MD"/>
        </w:rPr>
        <w:t>Drept surse de criterii au servit actele normative aferente tematicii misiunii de audit.</w:t>
      </w:r>
      <w:r w:rsidR="00D27B8C" w:rsidRPr="007917DD">
        <w:rPr>
          <w:rFonts w:asciiTheme="majorHAnsi" w:hAnsiTheme="majorHAnsi" w:cstheme="majorHAnsi"/>
          <w:noProof/>
          <w:sz w:val="24"/>
          <w:szCs w:val="24"/>
          <w:shd w:val="clear" w:color="auto" w:fill="FFFFFF"/>
          <w:lang w:val="ro-MD"/>
        </w:rPr>
        <w:t xml:space="preserve"> </w:t>
      </w:r>
      <w:r w:rsidRPr="007917DD">
        <w:rPr>
          <w:rFonts w:asciiTheme="majorHAnsi" w:eastAsia="Times New Roman" w:hAnsiTheme="majorHAnsi" w:cstheme="majorHAnsi"/>
          <w:sz w:val="24"/>
          <w:szCs w:val="24"/>
          <w:lang w:val="ro-MD"/>
        </w:rPr>
        <w:t>P</w:t>
      </w:r>
      <w:r w:rsidRPr="007917DD">
        <w:rPr>
          <w:rFonts w:asciiTheme="majorHAnsi" w:hAnsiTheme="majorHAnsi" w:cstheme="majorHAnsi"/>
          <w:sz w:val="24"/>
          <w:szCs w:val="24"/>
          <w:lang w:val="ro-MD"/>
        </w:rPr>
        <w:t>robele de audit obținute sunt suficiente și adecvate pentru susținerea concluziilor formulate în prezentul Raport de audit.</w:t>
      </w:r>
      <w:r w:rsidR="00791EB2" w:rsidRPr="00791EB2">
        <w:rPr>
          <w:rFonts w:asciiTheme="majorHAnsi" w:hAnsiTheme="majorHAnsi" w:cstheme="majorHAnsi"/>
          <w:color w:val="FF0000"/>
          <w:sz w:val="24"/>
          <w:szCs w:val="24"/>
          <w:lang w:val="ro-MD"/>
        </w:rPr>
        <w:t xml:space="preserve"> </w:t>
      </w:r>
      <w:r w:rsidR="00791EB2" w:rsidRPr="00B77162">
        <w:rPr>
          <w:rFonts w:asciiTheme="majorHAnsi" w:hAnsiTheme="majorHAnsi" w:cstheme="majorHAnsi"/>
          <w:sz w:val="24"/>
          <w:szCs w:val="24"/>
          <w:lang w:val="ro-MD"/>
        </w:rPr>
        <w:t>Concomitent, menționăm prezența unor circumstanțe care au generat imposibilitatea obținerii de la entitățile auditate a informațiilor exacte și fiabile pe aspecte</w:t>
      </w:r>
      <w:r w:rsidR="00034C09">
        <w:rPr>
          <w:rFonts w:asciiTheme="majorHAnsi" w:hAnsiTheme="majorHAnsi" w:cstheme="majorHAnsi"/>
          <w:sz w:val="24"/>
          <w:szCs w:val="24"/>
          <w:lang w:val="ro-MD"/>
        </w:rPr>
        <w:t>le</w:t>
      </w:r>
      <w:r w:rsidR="00791EB2" w:rsidRPr="00B77162">
        <w:rPr>
          <w:rFonts w:asciiTheme="majorHAnsi" w:hAnsiTheme="majorHAnsi" w:cstheme="majorHAnsi"/>
          <w:sz w:val="24"/>
          <w:szCs w:val="24"/>
          <w:lang w:val="ro-MD"/>
        </w:rPr>
        <w:t xml:space="preserve"> ce țin de integritatea patrimoniului public transmis în rezultatul reorganizării IP din domeniul infrastructurii calității. </w:t>
      </w:r>
    </w:p>
    <w:p w14:paraId="3EE4D1DB" w14:textId="5C07C4D7" w:rsidR="00E23D07" w:rsidRDefault="0009372B" w:rsidP="00D27B8C">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Pr>
          <w:rFonts w:asciiTheme="majorHAnsi" w:hAnsiTheme="majorHAnsi" w:cstheme="majorHAnsi"/>
          <w:color w:val="000000"/>
          <w:sz w:val="24"/>
          <w:szCs w:val="24"/>
          <w:lang w:val="ro-MD"/>
        </w:rPr>
        <w:t>Sursa criteriilor de audit</w:t>
      </w:r>
      <w:r>
        <w:rPr>
          <w:rFonts w:asciiTheme="majorHAnsi" w:hAnsiTheme="majorHAnsi" w:cstheme="majorHAnsi"/>
          <w:sz w:val="24"/>
          <w:szCs w:val="24"/>
          <w:lang w:val="ro-MD"/>
        </w:rPr>
        <w:t xml:space="preserve"> și</w:t>
      </w:r>
      <w:r w:rsidR="00034C09">
        <w:rPr>
          <w:rFonts w:asciiTheme="majorHAnsi" w:hAnsiTheme="majorHAnsi" w:cstheme="majorHAnsi"/>
          <w:sz w:val="24"/>
          <w:szCs w:val="24"/>
          <w:lang w:val="ro-MD"/>
        </w:rPr>
        <w:t xml:space="preserve"> </w:t>
      </w:r>
      <w:r w:rsidR="00E23D07" w:rsidRPr="007917DD">
        <w:rPr>
          <w:rFonts w:asciiTheme="majorHAnsi" w:hAnsiTheme="majorHAnsi" w:cstheme="majorHAnsi"/>
          <w:sz w:val="24"/>
          <w:szCs w:val="24"/>
          <w:lang w:val="ro-MD"/>
        </w:rPr>
        <w:t>criteriile de audit care au stat la baza constatărilor și procedurilor de audit aplicate se prezintă în Anexa nr.2</w:t>
      </w:r>
      <w:r w:rsidR="00E23D07" w:rsidRPr="007917DD">
        <w:rPr>
          <w:rFonts w:asciiTheme="majorHAnsi" w:eastAsia="Times New Roman" w:hAnsiTheme="majorHAnsi" w:cstheme="majorHAnsi"/>
          <w:sz w:val="24"/>
          <w:szCs w:val="24"/>
          <w:lang w:val="ro-MD" w:eastAsia="ro-MD"/>
        </w:rPr>
        <w:t xml:space="preserve"> </w:t>
      </w:r>
      <w:r w:rsidR="00E23D07" w:rsidRPr="007917DD">
        <w:rPr>
          <w:rFonts w:asciiTheme="majorHAnsi" w:hAnsiTheme="majorHAnsi" w:cstheme="majorHAnsi"/>
          <w:sz w:val="24"/>
          <w:szCs w:val="24"/>
          <w:lang w:val="ro-MD"/>
        </w:rPr>
        <w:t>la prezentul Raport de audit.</w:t>
      </w:r>
    </w:p>
    <w:p w14:paraId="5770DA75" w14:textId="77777777" w:rsidR="00F76B8C" w:rsidRPr="007917DD" w:rsidRDefault="00F76B8C" w:rsidP="00D27B8C">
      <w:pPr>
        <w:spacing w:after="0" w:line="276" w:lineRule="auto"/>
        <w:ind w:firstLine="720"/>
        <w:jc w:val="both"/>
        <w:rPr>
          <w:rFonts w:asciiTheme="majorHAnsi" w:hAnsiTheme="majorHAnsi" w:cstheme="majorHAnsi"/>
          <w:noProof/>
          <w:sz w:val="24"/>
          <w:szCs w:val="24"/>
          <w:shd w:val="clear" w:color="auto" w:fill="FFFFFF"/>
          <w:lang w:val="ro-MD"/>
        </w:rPr>
      </w:pPr>
    </w:p>
    <w:p w14:paraId="7A3B1017" w14:textId="791593A8" w:rsidR="00E8558E" w:rsidRPr="00BF3EEA" w:rsidRDefault="00E8558E" w:rsidP="00BF3EEA">
      <w:pPr>
        <w:pStyle w:val="ListParagraph"/>
        <w:numPr>
          <w:ilvl w:val="1"/>
          <w:numId w:val="4"/>
        </w:numPr>
        <w:tabs>
          <w:tab w:val="left" w:pos="720"/>
        </w:tabs>
        <w:spacing w:after="0" w:line="276" w:lineRule="auto"/>
        <w:outlineLvl w:val="1"/>
        <w:rPr>
          <w:rFonts w:asciiTheme="majorHAnsi" w:hAnsiTheme="majorHAnsi" w:cstheme="majorHAnsi"/>
          <w:b/>
          <w:color w:val="00B0F0"/>
          <w:sz w:val="24"/>
          <w:szCs w:val="24"/>
          <w:lang w:val="ro-MD"/>
        </w:rPr>
      </w:pPr>
      <w:bookmarkStart w:id="117" w:name="_Toc123116702"/>
      <w:r w:rsidRPr="00BF3EEA">
        <w:rPr>
          <w:rFonts w:asciiTheme="majorHAnsi" w:hAnsiTheme="majorHAnsi" w:cstheme="majorHAnsi"/>
          <w:b/>
          <w:color w:val="00B0F0"/>
          <w:sz w:val="24"/>
          <w:szCs w:val="24"/>
          <w:lang w:val="ro-MD"/>
        </w:rPr>
        <w:t>Responsabilitatea auditorului</w:t>
      </w:r>
      <w:bookmarkEnd w:id="117"/>
    </w:p>
    <w:p w14:paraId="2F9096F8" w14:textId="66F9CE87" w:rsidR="009901E6" w:rsidRPr="007917DD" w:rsidRDefault="009901E6" w:rsidP="009901E6">
      <w:pPr>
        <w:pStyle w:val="NormalWeb"/>
        <w:spacing w:line="276" w:lineRule="auto"/>
        <w:ind w:firstLine="720"/>
        <w:jc w:val="both"/>
        <w:rPr>
          <w:rFonts w:asciiTheme="majorHAnsi" w:hAnsiTheme="majorHAnsi" w:cstheme="majorHAnsi"/>
          <w:color w:val="000000"/>
          <w:lang w:val="ro-MD"/>
        </w:rPr>
      </w:pPr>
      <w:r w:rsidRPr="007917DD">
        <w:rPr>
          <w:rFonts w:asciiTheme="majorHAnsi" w:hAnsiTheme="majorHAnsi" w:cstheme="majorHAnsi"/>
          <w:color w:val="000000"/>
          <w:lang w:val="ro-MD"/>
        </w:rPr>
        <w:t xml:space="preserve">Responsabilitatea </w:t>
      </w:r>
      <w:r w:rsidR="00E86C9A" w:rsidRPr="007917DD">
        <w:rPr>
          <w:rFonts w:asciiTheme="majorHAnsi" w:hAnsiTheme="majorHAnsi" w:cstheme="majorHAnsi"/>
          <w:color w:val="000000"/>
          <w:lang w:val="ro-MD"/>
        </w:rPr>
        <w:t>auditorului public</w:t>
      </w:r>
      <w:r w:rsidRPr="007917DD">
        <w:rPr>
          <w:rFonts w:asciiTheme="majorHAnsi" w:hAnsiTheme="majorHAnsi" w:cstheme="majorHAnsi"/>
          <w:color w:val="000000"/>
          <w:lang w:val="ro-MD"/>
        </w:rPr>
        <w:t xml:space="preserve"> a constat î</w:t>
      </w:r>
      <w:r w:rsidRPr="007917DD">
        <w:rPr>
          <w:rFonts w:asciiTheme="majorHAnsi" w:hAnsiTheme="majorHAnsi" w:cstheme="majorHAnsi"/>
          <w:color w:val="000000"/>
          <w:shd w:val="clear" w:color="auto" w:fill="FFFFFF"/>
          <w:lang w:val="ro-MD"/>
        </w:rPr>
        <w:t xml:space="preserve">n </w:t>
      </w:r>
      <w:r w:rsidRPr="007917DD">
        <w:rPr>
          <w:rFonts w:asciiTheme="majorHAnsi" w:eastAsia="Times New Roman" w:hAnsiTheme="majorHAnsi" w:cstheme="majorHAnsi"/>
          <w:color w:val="000000"/>
          <w:shd w:val="clear" w:color="auto" w:fill="FFFFFF"/>
          <w:lang w:val="ro-MD"/>
        </w:rPr>
        <w:t>evaluarea</w:t>
      </w:r>
      <w:r w:rsidRPr="007917DD">
        <w:rPr>
          <w:rFonts w:asciiTheme="majorHAnsi" w:hAnsiTheme="majorHAnsi" w:cstheme="majorHAnsi"/>
          <w:color w:val="000000"/>
          <w:shd w:val="clear" w:color="auto" w:fill="FFFFFF"/>
          <w:lang w:val="ro-MD"/>
        </w:rPr>
        <w:t xml:space="preserve"> conformității  gestionării patrimoniului public de către </w:t>
      </w:r>
      <w:r w:rsidR="00034C09">
        <w:rPr>
          <w:rFonts w:asciiTheme="majorHAnsi" w:hAnsiTheme="majorHAnsi" w:cstheme="majorHAnsi"/>
          <w:color w:val="000000"/>
          <w:shd w:val="clear" w:color="auto" w:fill="FFFFFF"/>
          <w:lang w:val="ro-MD"/>
        </w:rPr>
        <w:t>i</w:t>
      </w:r>
      <w:r w:rsidR="005F671E" w:rsidRPr="007917DD">
        <w:rPr>
          <w:rFonts w:asciiTheme="majorHAnsi" w:hAnsiTheme="majorHAnsi" w:cstheme="majorHAnsi"/>
          <w:color w:val="000000"/>
          <w:shd w:val="clear" w:color="auto" w:fill="FFFFFF"/>
          <w:lang w:val="ro-MD"/>
        </w:rPr>
        <w:t xml:space="preserve">nstituțiile </w:t>
      </w:r>
      <w:r w:rsidR="00034C09">
        <w:rPr>
          <w:rFonts w:asciiTheme="majorHAnsi" w:hAnsiTheme="majorHAnsi" w:cstheme="majorHAnsi"/>
          <w:color w:val="000000"/>
          <w:shd w:val="clear" w:color="auto" w:fill="FFFFFF"/>
          <w:lang w:val="ro-MD"/>
        </w:rPr>
        <w:t>p</w:t>
      </w:r>
      <w:r w:rsidR="005F671E" w:rsidRPr="007917DD">
        <w:rPr>
          <w:rFonts w:asciiTheme="majorHAnsi" w:hAnsiTheme="majorHAnsi" w:cstheme="majorHAnsi"/>
          <w:color w:val="000000"/>
          <w:shd w:val="clear" w:color="auto" w:fill="FFFFFF"/>
          <w:lang w:val="ro-MD"/>
        </w:rPr>
        <w:t>ublice din domeniul infrastructurii calității în anii 2020-2021</w:t>
      </w:r>
      <w:r w:rsidRPr="007917DD">
        <w:rPr>
          <w:rFonts w:asciiTheme="majorHAnsi" w:hAnsiTheme="majorHAnsi" w:cstheme="majorHAnsi"/>
          <w:color w:val="000000"/>
          <w:shd w:val="clear" w:color="auto" w:fill="FFFFFF"/>
          <w:lang w:val="ro-MD"/>
        </w:rPr>
        <w:t xml:space="preserve">, </w:t>
      </w:r>
      <w:r w:rsidRPr="007917DD">
        <w:rPr>
          <w:rFonts w:asciiTheme="majorHAnsi" w:hAnsiTheme="majorHAnsi" w:cstheme="majorHAnsi"/>
          <w:noProof/>
          <w:color w:val="000000"/>
          <w:shd w:val="clear" w:color="auto" w:fill="FFFFFF"/>
          <w:lang w:val="ro-MD" w:eastAsia="ru-RU"/>
        </w:rPr>
        <w:t>în raport cu prevederile cadrului normativ aplicabil, prin </w:t>
      </w:r>
      <w:r w:rsidRPr="007917DD">
        <w:rPr>
          <w:rFonts w:asciiTheme="majorHAnsi" w:hAnsiTheme="majorHAnsi" w:cstheme="majorHAnsi"/>
          <w:color w:val="000000"/>
          <w:lang w:val="ro-MD"/>
        </w:rPr>
        <w:t xml:space="preserve">obținerea probelor de audit suficiente și adecvate pentru susținerea constatărilor </w:t>
      </w:r>
      <w:r w:rsidR="00D97A42" w:rsidRPr="007917DD">
        <w:rPr>
          <w:rFonts w:asciiTheme="majorHAnsi" w:hAnsiTheme="majorHAnsi" w:cstheme="majorHAnsi"/>
          <w:color w:val="000000"/>
          <w:lang w:val="ro-MD"/>
        </w:rPr>
        <w:t xml:space="preserve">de audit </w:t>
      </w:r>
      <w:r w:rsidRPr="007917DD">
        <w:rPr>
          <w:rFonts w:asciiTheme="majorHAnsi" w:hAnsiTheme="majorHAnsi" w:cstheme="majorHAnsi"/>
          <w:color w:val="000000"/>
          <w:lang w:val="ro-MD"/>
        </w:rPr>
        <w:t>și concluziei generale.</w:t>
      </w:r>
      <w:r w:rsidRPr="007917DD">
        <w:rPr>
          <w:rFonts w:asciiTheme="majorHAnsi" w:hAnsiTheme="majorHAnsi" w:cstheme="majorHAnsi"/>
          <w:lang w:val="ro-MD"/>
        </w:rPr>
        <w:t xml:space="preserve"> Auditorul nu este responsabil de prevenirea faptelor de fraudă și eroare.</w:t>
      </w:r>
    </w:p>
    <w:p w14:paraId="69F94B08" w14:textId="7E0A7908" w:rsidR="00E23D07" w:rsidRDefault="00E23D07" w:rsidP="009901E6">
      <w:pPr>
        <w:tabs>
          <w:tab w:val="left" w:pos="270"/>
          <w:tab w:val="left" w:pos="993"/>
        </w:tabs>
        <w:spacing w:line="276" w:lineRule="auto"/>
        <w:ind w:firstLine="720"/>
        <w:jc w:val="both"/>
        <w:rPr>
          <w:rFonts w:asciiTheme="majorHAnsi" w:eastAsia="Times New Roman" w:hAnsiTheme="majorHAnsi" w:cstheme="majorHAnsi"/>
          <w:sz w:val="24"/>
          <w:szCs w:val="24"/>
          <w:lang w:val="ro-MD"/>
        </w:rPr>
      </w:pPr>
      <w:r w:rsidRPr="007917DD">
        <w:rPr>
          <w:rFonts w:asciiTheme="majorHAnsi" w:hAnsiTheme="majorHAnsi" w:cstheme="majorHAnsi"/>
          <w:sz w:val="24"/>
          <w:szCs w:val="24"/>
          <w:lang w:val="ro-MD"/>
        </w:rPr>
        <w:t>Auditorul public a f</w:t>
      </w:r>
      <w:r w:rsidR="00211A5D">
        <w:rPr>
          <w:rFonts w:asciiTheme="majorHAnsi" w:hAnsiTheme="majorHAnsi" w:cstheme="majorHAnsi"/>
          <w:sz w:val="24"/>
          <w:szCs w:val="24"/>
          <w:lang w:val="ro-MD"/>
        </w:rPr>
        <w:t>ost independent față de entitățile auditate</w:t>
      </w:r>
      <w:r w:rsidRPr="007917DD">
        <w:rPr>
          <w:rFonts w:asciiTheme="majorHAnsi" w:hAnsiTheme="majorHAnsi" w:cstheme="majorHAnsi"/>
          <w:sz w:val="24"/>
          <w:szCs w:val="24"/>
          <w:lang w:val="ro-MD"/>
        </w:rPr>
        <w:t xml:space="preserve"> și a îndeplinit responsabilitățile de etică în conformitate cu </w:t>
      </w:r>
      <w:r w:rsidRPr="007917DD">
        <w:rPr>
          <w:rFonts w:asciiTheme="majorHAnsi" w:eastAsia="Times New Roman" w:hAnsiTheme="majorHAnsi" w:cstheme="majorHAnsi"/>
          <w:sz w:val="24"/>
          <w:szCs w:val="24"/>
          <w:lang w:val="ro-MD"/>
        </w:rPr>
        <w:t>cerințele Codului etic al Curții de Conturi</w:t>
      </w:r>
      <w:r w:rsidRPr="007917DD">
        <w:rPr>
          <w:rStyle w:val="FootnoteReference"/>
          <w:rFonts w:asciiTheme="majorHAnsi" w:eastAsia="Times New Roman" w:hAnsiTheme="majorHAnsi" w:cstheme="majorHAnsi"/>
          <w:sz w:val="24"/>
          <w:szCs w:val="24"/>
          <w:lang w:val="ro-MD"/>
        </w:rPr>
        <w:footnoteReference w:id="10"/>
      </w:r>
      <w:r w:rsidR="00F76B8C">
        <w:rPr>
          <w:rFonts w:asciiTheme="majorHAnsi" w:eastAsia="Times New Roman" w:hAnsiTheme="majorHAnsi" w:cstheme="majorHAnsi"/>
          <w:sz w:val="24"/>
          <w:szCs w:val="24"/>
          <w:lang w:val="ro-MD"/>
        </w:rPr>
        <w:t>.</w:t>
      </w:r>
    </w:p>
    <w:p w14:paraId="759AA56C" w14:textId="77777777" w:rsidR="00F76B8C" w:rsidRPr="007917DD" w:rsidRDefault="00F76B8C" w:rsidP="009901E6">
      <w:pPr>
        <w:tabs>
          <w:tab w:val="left" w:pos="270"/>
          <w:tab w:val="left" w:pos="993"/>
        </w:tabs>
        <w:spacing w:line="276" w:lineRule="auto"/>
        <w:ind w:firstLine="720"/>
        <w:jc w:val="both"/>
        <w:rPr>
          <w:rFonts w:asciiTheme="majorHAnsi" w:eastAsia="Times New Roman" w:hAnsiTheme="majorHAnsi" w:cstheme="majorHAnsi"/>
          <w:sz w:val="24"/>
          <w:szCs w:val="24"/>
          <w:lang w:val="ro-MD"/>
        </w:rPr>
      </w:pPr>
    </w:p>
    <w:p w14:paraId="671A085C" w14:textId="77777777" w:rsidR="0037791D" w:rsidRPr="004409B2" w:rsidRDefault="00E620AC" w:rsidP="004409B2">
      <w:pPr>
        <w:pStyle w:val="ListParagraph"/>
        <w:numPr>
          <w:ilvl w:val="0"/>
          <w:numId w:val="1"/>
        </w:numPr>
        <w:tabs>
          <w:tab w:val="left" w:pos="720"/>
          <w:tab w:val="left" w:pos="1710"/>
        </w:tabs>
        <w:spacing w:after="0" w:line="276" w:lineRule="auto"/>
        <w:ind w:left="0" w:firstLine="0"/>
        <w:outlineLvl w:val="0"/>
        <w:rPr>
          <w:rFonts w:asciiTheme="majorHAnsi" w:eastAsia="Times New Roman" w:hAnsiTheme="majorHAnsi" w:cstheme="majorHAnsi"/>
          <w:b/>
          <w:bCs/>
          <w:caps/>
          <w:color w:val="0070C0"/>
          <w:sz w:val="24"/>
          <w:szCs w:val="24"/>
          <w:lang w:val="ro-MD"/>
        </w:rPr>
      </w:pPr>
      <w:bookmarkStart w:id="118" w:name="_Toc123116703"/>
      <w:r w:rsidRPr="004409B2">
        <w:rPr>
          <w:rFonts w:asciiTheme="majorHAnsi" w:eastAsia="Times New Roman" w:hAnsiTheme="majorHAnsi" w:cstheme="majorHAnsi"/>
          <w:b/>
          <w:bCs/>
          <w:caps/>
          <w:color w:val="0070C0"/>
          <w:sz w:val="24"/>
          <w:szCs w:val="24"/>
          <w:lang w:val="ro-MD"/>
        </w:rPr>
        <w:t>Constatări</w:t>
      </w:r>
      <w:bookmarkEnd w:id="118"/>
    </w:p>
    <w:p w14:paraId="14320A30" w14:textId="499541E7" w:rsidR="0034540B" w:rsidRPr="00034C09" w:rsidRDefault="0034540B" w:rsidP="007E002D">
      <w:pPr>
        <w:pStyle w:val="ListParagraph"/>
        <w:numPr>
          <w:ilvl w:val="1"/>
          <w:numId w:val="38"/>
        </w:numPr>
        <w:tabs>
          <w:tab w:val="left" w:pos="720"/>
        </w:tabs>
        <w:spacing w:after="0" w:line="276" w:lineRule="auto"/>
        <w:ind w:left="0" w:firstLine="0"/>
        <w:contextualSpacing w:val="0"/>
        <w:jc w:val="both"/>
        <w:outlineLvl w:val="0"/>
        <w:rPr>
          <w:rFonts w:asciiTheme="majorHAnsi" w:eastAsia="Times New Roman" w:hAnsiTheme="majorHAnsi" w:cstheme="majorHAnsi"/>
          <w:b/>
          <w:bCs/>
          <w:caps/>
          <w:color w:val="00B0F0"/>
          <w:sz w:val="24"/>
          <w:szCs w:val="24"/>
          <w:lang w:val="ro-MD"/>
        </w:rPr>
      </w:pPr>
      <w:bookmarkStart w:id="119" w:name="_Toc123116704"/>
      <w:r w:rsidRPr="00034C09">
        <w:rPr>
          <w:rFonts w:asciiTheme="majorHAnsi" w:eastAsia="Times New Roman" w:hAnsiTheme="majorHAnsi" w:cstheme="majorHAnsi"/>
          <w:b/>
          <w:bCs/>
          <w:caps/>
          <w:color w:val="00B0F0"/>
          <w:sz w:val="24"/>
          <w:szCs w:val="24"/>
          <w:lang w:val="ro-MD"/>
        </w:rPr>
        <w:t>A</w:t>
      </w:r>
      <w:r w:rsidRPr="00034C09">
        <w:rPr>
          <w:rFonts w:asciiTheme="majorHAnsi" w:hAnsiTheme="majorHAnsi" w:cstheme="majorHAnsi"/>
          <w:b/>
          <w:color w:val="00B0F0"/>
          <w:sz w:val="24"/>
          <w:szCs w:val="24"/>
          <w:lang w:val="ro-MD"/>
        </w:rPr>
        <w:t xml:space="preserve"> fost asigurată conformitatea gestionării patrimoniului public și </w:t>
      </w:r>
      <w:r w:rsidR="00034C09" w:rsidRPr="00034C09">
        <w:rPr>
          <w:rFonts w:asciiTheme="majorHAnsi" w:hAnsiTheme="majorHAnsi" w:cstheme="majorHAnsi"/>
          <w:b/>
          <w:color w:val="00B0F0"/>
          <w:sz w:val="24"/>
          <w:szCs w:val="24"/>
          <w:lang w:val="ro-MD"/>
        </w:rPr>
        <w:t xml:space="preserve">s-au </w:t>
      </w:r>
      <w:r w:rsidRPr="00034C09">
        <w:rPr>
          <w:rFonts w:asciiTheme="majorHAnsi" w:hAnsiTheme="majorHAnsi" w:cstheme="majorHAnsi"/>
          <w:b/>
          <w:color w:val="00B0F0"/>
          <w:sz w:val="24"/>
          <w:szCs w:val="24"/>
          <w:lang w:val="ro-MD"/>
        </w:rPr>
        <w:t xml:space="preserve">respectat principiile de integritate, transparență și legalitate de către </w:t>
      </w:r>
      <w:r w:rsidR="00034C09" w:rsidRPr="00034C09">
        <w:rPr>
          <w:rFonts w:asciiTheme="majorHAnsi" w:hAnsiTheme="majorHAnsi" w:cstheme="majorHAnsi"/>
          <w:b/>
          <w:color w:val="00B0F0"/>
          <w:sz w:val="24"/>
          <w:szCs w:val="24"/>
          <w:lang w:val="ro-MD"/>
        </w:rPr>
        <w:t>i</w:t>
      </w:r>
      <w:r w:rsidRPr="00034C09">
        <w:rPr>
          <w:rFonts w:asciiTheme="majorHAnsi" w:hAnsiTheme="majorHAnsi" w:cstheme="majorHAnsi"/>
          <w:b/>
          <w:color w:val="00B0F0"/>
          <w:sz w:val="24"/>
          <w:szCs w:val="24"/>
          <w:lang w:val="ro-MD"/>
        </w:rPr>
        <w:t xml:space="preserve">nstituțiile </w:t>
      </w:r>
      <w:r w:rsidR="00034C09" w:rsidRPr="00034C09">
        <w:rPr>
          <w:rFonts w:asciiTheme="majorHAnsi" w:hAnsiTheme="majorHAnsi" w:cstheme="majorHAnsi"/>
          <w:b/>
          <w:color w:val="00B0F0"/>
          <w:sz w:val="24"/>
          <w:szCs w:val="24"/>
          <w:lang w:val="ro-MD"/>
        </w:rPr>
        <w:t>p</w:t>
      </w:r>
      <w:r w:rsidRPr="00034C09">
        <w:rPr>
          <w:rFonts w:asciiTheme="majorHAnsi" w:hAnsiTheme="majorHAnsi" w:cstheme="majorHAnsi"/>
          <w:b/>
          <w:color w:val="00B0F0"/>
          <w:sz w:val="24"/>
          <w:szCs w:val="24"/>
          <w:lang w:val="ro-MD"/>
        </w:rPr>
        <w:t>ublice din domeniul infrastructurii calității</w:t>
      </w:r>
      <w:r w:rsidR="00F50C80" w:rsidRPr="00034C09">
        <w:rPr>
          <w:rFonts w:asciiTheme="majorHAnsi" w:hAnsiTheme="majorHAnsi" w:cstheme="majorHAnsi"/>
          <w:b/>
          <w:color w:val="00B0F0"/>
          <w:sz w:val="24"/>
          <w:szCs w:val="24"/>
          <w:lang w:val="ro-MD"/>
        </w:rPr>
        <w:t>,</w:t>
      </w:r>
      <w:r w:rsidR="00791EB2" w:rsidRPr="00034C09">
        <w:rPr>
          <w:rFonts w:asciiTheme="majorHAnsi" w:hAnsiTheme="majorHAnsi" w:cstheme="majorHAnsi"/>
          <w:b/>
          <w:color w:val="00B0F0"/>
          <w:sz w:val="24"/>
          <w:szCs w:val="24"/>
          <w:lang w:val="ro-MD"/>
        </w:rPr>
        <w:t xml:space="preserve"> inclusiv </w:t>
      </w:r>
      <w:r w:rsidRPr="00034C09">
        <w:rPr>
          <w:rFonts w:asciiTheme="majorHAnsi" w:hAnsiTheme="majorHAnsi" w:cstheme="majorHAnsi"/>
          <w:b/>
          <w:color w:val="00B0F0"/>
          <w:sz w:val="24"/>
          <w:szCs w:val="24"/>
          <w:lang w:val="ro-MD"/>
        </w:rPr>
        <w:t xml:space="preserve"> în rezultatul reorganizării acestora?</w:t>
      </w:r>
      <w:bookmarkEnd w:id="119"/>
      <w:r w:rsidRPr="00034C09">
        <w:rPr>
          <w:rFonts w:asciiTheme="majorHAnsi" w:eastAsia="Times New Roman" w:hAnsiTheme="majorHAnsi" w:cstheme="majorHAnsi"/>
          <w:b/>
          <w:bCs/>
          <w:caps/>
          <w:color w:val="00B0F0"/>
          <w:sz w:val="24"/>
          <w:szCs w:val="24"/>
          <w:lang w:val="ro-MD"/>
        </w:rPr>
        <w:t xml:space="preserve">  </w:t>
      </w:r>
    </w:p>
    <w:p w14:paraId="0216736E" w14:textId="77777777" w:rsidR="00AB408F" w:rsidRPr="00AB408F" w:rsidRDefault="00AB408F" w:rsidP="00AB408F">
      <w:pPr>
        <w:tabs>
          <w:tab w:val="left" w:pos="270"/>
        </w:tabs>
        <w:spacing w:after="0" w:line="276" w:lineRule="auto"/>
        <w:ind w:firstLine="720"/>
        <w:contextualSpacing/>
        <w:jc w:val="both"/>
        <w:rPr>
          <w:rFonts w:asciiTheme="majorHAnsi" w:hAnsiTheme="majorHAnsi" w:cstheme="majorHAnsi"/>
          <w:sz w:val="24"/>
          <w:szCs w:val="24"/>
          <w:lang w:val="ro-MD"/>
        </w:rPr>
      </w:pPr>
      <w:r w:rsidRPr="00AB408F">
        <w:rPr>
          <w:rFonts w:asciiTheme="majorHAnsi" w:eastAsia="Times New Roman" w:hAnsiTheme="majorHAnsi" w:cstheme="majorHAnsi"/>
          <w:sz w:val="24"/>
          <w:szCs w:val="24"/>
          <w:lang w:val="ro-MD"/>
        </w:rPr>
        <w:t xml:space="preserve">Administrarea patrimoniului public prevede realizarea activităților ce țin de exercitarea și modificarea drepturilor de proprietate, inclusiv prin </w:t>
      </w:r>
      <w:r w:rsidRPr="00AB408F">
        <w:rPr>
          <w:rFonts w:asciiTheme="majorHAnsi" w:hAnsiTheme="majorHAnsi" w:cstheme="majorHAnsi"/>
          <w:sz w:val="24"/>
          <w:szCs w:val="24"/>
          <w:lang w:val="ro-MD"/>
        </w:rPr>
        <w:t>ținerea evidenței acestuia, efectuarea monitoring-ului economico-financiar și asigurarea integrității și folosirii lui eficiente</w:t>
      </w:r>
      <w:r w:rsidRPr="00AB408F">
        <w:rPr>
          <w:rFonts w:asciiTheme="majorHAnsi" w:hAnsiTheme="majorHAnsi" w:cstheme="majorHAnsi"/>
          <w:sz w:val="24"/>
          <w:szCs w:val="24"/>
          <w:vertAlign w:val="superscript"/>
          <w:lang w:val="ro-MD"/>
        </w:rPr>
        <w:footnoteReference w:id="11"/>
      </w:r>
      <w:r w:rsidRPr="00AB408F">
        <w:rPr>
          <w:rFonts w:asciiTheme="majorHAnsi" w:hAnsiTheme="majorHAnsi" w:cstheme="majorHAnsi"/>
          <w:sz w:val="24"/>
          <w:szCs w:val="24"/>
          <w:lang w:val="ro-MD"/>
        </w:rPr>
        <w:t xml:space="preserve">. </w:t>
      </w:r>
    </w:p>
    <w:p w14:paraId="3256EE45" w14:textId="6A037D14" w:rsidR="00AB408F" w:rsidRPr="007917DD" w:rsidRDefault="00AB408F" w:rsidP="00AB408F">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AB408F">
        <w:rPr>
          <w:rFonts w:asciiTheme="majorHAnsi" w:hAnsiTheme="majorHAnsi" w:cstheme="majorHAnsi"/>
          <w:sz w:val="24"/>
          <w:szCs w:val="24"/>
          <w:lang w:val="ro-MD"/>
        </w:rPr>
        <w:t xml:space="preserve">În perioada supusă auditului public extern, </w:t>
      </w:r>
      <w:r w:rsidR="002C25A0">
        <w:rPr>
          <w:rFonts w:asciiTheme="majorHAnsi" w:hAnsiTheme="majorHAnsi" w:cstheme="majorHAnsi"/>
          <w:sz w:val="24"/>
          <w:szCs w:val="24"/>
          <w:lang w:val="ro-MD"/>
        </w:rPr>
        <w:t>instituțiile publice</w:t>
      </w:r>
      <w:r w:rsidRPr="00AB408F">
        <w:rPr>
          <w:rFonts w:asciiTheme="majorHAnsi" w:hAnsiTheme="majorHAnsi" w:cstheme="majorHAnsi"/>
          <w:sz w:val="24"/>
          <w:szCs w:val="24"/>
          <w:lang w:val="ro-MD"/>
        </w:rPr>
        <w:t xml:space="preserve"> din domeniul infrastructurii calității,</w:t>
      </w:r>
      <w:r w:rsidR="00BB3DAE" w:rsidRPr="00BB3DAE">
        <w:rPr>
          <w:rFonts w:asciiTheme="majorHAnsi" w:hAnsiTheme="majorHAnsi" w:cstheme="majorHAnsi"/>
          <w:sz w:val="24"/>
          <w:szCs w:val="24"/>
          <w:lang w:val="ro-MD"/>
        </w:rPr>
        <w:t xml:space="preserve"> </w:t>
      </w:r>
      <w:r w:rsidR="006430C8">
        <w:rPr>
          <w:rFonts w:asciiTheme="majorHAnsi" w:hAnsiTheme="majorHAnsi" w:cstheme="majorHAnsi"/>
          <w:sz w:val="24"/>
          <w:szCs w:val="24"/>
          <w:lang w:val="ro-MD"/>
        </w:rPr>
        <w:t>respect</w:t>
      </w:r>
      <w:r w:rsidR="006430C8">
        <w:rPr>
          <w:rFonts w:asciiTheme="majorHAnsi" w:hAnsiTheme="majorHAnsi" w:cstheme="majorHAnsi"/>
          <w:sz w:val="24"/>
          <w:szCs w:val="24"/>
          <w:lang w:val="ro-RO"/>
        </w:rPr>
        <w:t>â</w:t>
      </w:r>
      <w:r w:rsidR="00BB3DAE">
        <w:rPr>
          <w:rFonts w:asciiTheme="majorHAnsi" w:hAnsiTheme="majorHAnsi" w:cstheme="majorHAnsi"/>
          <w:sz w:val="24"/>
          <w:szCs w:val="24"/>
          <w:lang w:val="ro-MD"/>
        </w:rPr>
        <w:t>nd principiile de integritate, transparență și legalitate,</w:t>
      </w:r>
      <w:r w:rsidRPr="00AB408F">
        <w:rPr>
          <w:rFonts w:asciiTheme="majorHAnsi" w:hAnsiTheme="majorHAnsi" w:cstheme="majorHAnsi"/>
          <w:sz w:val="24"/>
          <w:szCs w:val="24"/>
          <w:lang w:val="ro-MD"/>
        </w:rPr>
        <w:t xml:space="preserve"> a</w:t>
      </w:r>
      <w:r w:rsidR="00F50C80">
        <w:rPr>
          <w:rFonts w:asciiTheme="majorHAnsi" w:hAnsiTheme="majorHAnsi" w:cstheme="majorHAnsi"/>
          <w:sz w:val="24"/>
          <w:szCs w:val="24"/>
          <w:lang w:val="ro-MD"/>
        </w:rPr>
        <w:t>u</w:t>
      </w:r>
      <w:r w:rsidRPr="00AB408F">
        <w:rPr>
          <w:rFonts w:asciiTheme="majorHAnsi" w:hAnsiTheme="majorHAnsi" w:cstheme="majorHAnsi"/>
          <w:sz w:val="24"/>
          <w:szCs w:val="24"/>
          <w:lang w:val="ro-MD"/>
        </w:rPr>
        <w:t xml:space="preserve"> asigurat gestionarea </w:t>
      </w:r>
      <w:r w:rsidR="00BB3DAE">
        <w:rPr>
          <w:rFonts w:asciiTheme="majorHAnsi" w:hAnsiTheme="majorHAnsi" w:cstheme="majorHAnsi"/>
          <w:sz w:val="24"/>
          <w:szCs w:val="24"/>
          <w:lang w:val="ro-MD"/>
        </w:rPr>
        <w:t xml:space="preserve"> patrimoniului public </w:t>
      </w:r>
      <w:r w:rsidRPr="00AB408F">
        <w:rPr>
          <w:rFonts w:asciiTheme="majorHAnsi" w:hAnsiTheme="majorHAnsi" w:cstheme="majorHAnsi"/>
          <w:sz w:val="24"/>
          <w:szCs w:val="24"/>
          <w:lang w:val="ro-MD"/>
        </w:rPr>
        <w:t>încredințat</w:t>
      </w:r>
      <w:r w:rsidR="00034C09">
        <w:rPr>
          <w:rFonts w:asciiTheme="majorHAnsi" w:hAnsiTheme="majorHAnsi" w:cstheme="majorHAnsi"/>
          <w:sz w:val="24"/>
          <w:szCs w:val="24"/>
          <w:lang w:val="ro-MD"/>
        </w:rPr>
        <w:t xml:space="preserve">, </w:t>
      </w:r>
      <w:r w:rsidR="000F5A34">
        <w:rPr>
          <w:rFonts w:asciiTheme="majorHAnsi" w:hAnsiTheme="majorHAnsi" w:cstheme="majorHAnsi"/>
          <w:sz w:val="24"/>
          <w:szCs w:val="24"/>
          <w:lang w:val="ro-MD"/>
        </w:rPr>
        <w:t>t</w:t>
      </w:r>
      <w:r w:rsidRPr="00AB408F">
        <w:rPr>
          <w:rFonts w:asciiTheme="majorHAnsi" w:hAnsiTheme="majorHAnsi" w:cstheme="majorHAnsi"/>
          <w:sz w:val="24"/>
          <w:szCs w:val="24"/>
          <w:lang w:val="ro-MD"/>
        </w:rPr>
        <w:t>otodată, fiind necesare unele consolidări și îmbunătățiri ale procesului propriu-zis. În contextul dat, se atestă următoarele.</w:t>
      </w:r>
    </w:p>
    <w:p w14:paraId="5C91ADF1" w14:textId="64349E67" w:rsidR="0034540B" w:rsidRPr="003B5807" w:rsidRDefault="000709DE" w:rsidP="007E002D">
      <w:pPr>
        <w:pStyle w:val="ListParagraph"/>
        <w:numPr>
          <w:ilvl w:val="2"/>
          <w:numId w:val="38"/>
        </w:numPr>
        <w:tabs>
          <w:tab w:val="left" w:pos="0"/>
        </w:tabs>
        <w:spacing w:after="0" w:line="276" w:lineRule="auto"/>
        <w:ind w:left="0" w:firstLine="0"/>
        <w:contextualSpacing w:val="0"/>
        <w:jc w:val="both"/>
        <w:outlineLvl w:val="0"/>
        <w:rPr>
          <w:rFonts w:asciiTheme="majorHAnsi" w:hAnsiTheme="majorHAnsi" w:cstheme="majorHAnsi"/>
          <w:b/>
          <w:i/>
          <w:color w:val="00B0F0"/>
          <w:sz w:val="24"/>
          <w:szCs w:val="24"/>
          <w:lang w:val="ro-MD"/>
        </w:rPr>
      </w:pPr>
      <w:bookmarkStart w:id="120" w:name="_Toc123116705"/>
      <w:r w:rsidRPr="003B5807">
        <w:rPr>
          <w:rFonts w:asciiTheme="majorHAnsi" w:hAnsiTheme="majorHAnsi" w:cstheme="majorHAnsi"/>
          <w:b/>
          <w:i/>
          <w:color w:val="00B0F0"/>
          <w:sz w:val="24"/>
          <w:szCs w:val="24"/>
          <w:lang w:val="ro-MD"/>
        </w:rPr>
        <w:t xml:space="preserve">Procesul de reorganizare a </w:t>
      </w:r>
      <w:r w:rsidR="000F5A34">
        <w:rPr>
          <w:rFonts w:asciiTheme="majorHAnsi" w:hAnsiTheme="majorHAnsi" w:cstheme="majorHAnsi"/>
          <w:b/>
          <w:i/>
          <w:color w:val="00B0F0"/>
          <w:sz w:val="24"/>
          <w:szCs w:val="24"/>
          <w:lang w:val="ro-MD"/>
        </w:rPr>
        <w:t>i</w:t>
      </w:r>
      <w:r w:rsidRPr="003B5807">
        <w:rPr>
          <w:rFonts w:asciiTheme="majorHAnsi" w:hAnsiTheme="majorHAnsi" w:cstheme="majorHAnsi"/>
          <w:b/>
          <w:i/>
          <w:color w:val="00B0F0"/>
          <w:sz w:val="24"/>
          <w:szCs w:val="24"/>
          <w:lang w:val="ro-MD"/>
        </w:rPr>
        <w:t xml:space="preserve">nstituțiilor </w:t>
      </w:r>
      <w:r w:rsidR="000F5A34">
        <w:rPr>
          <w:rFonts w:asciiTheme="majorHAnsi" w:hAnsiTheme="majorHAnsi" w:cstheme="majorHAnsi"/>
          <w:b/>
          <w:i/>
          <w:color w:val="00B0F0"/>
          <w:sz w:val="24"/>
          <w:szCs w:val="24"/>
          <w:lang w:val="ro-MD"/>
        </w:rPr>
        <w:t>p</w:t>
      </w:r>
      <w:r w:rsidRPr="003B5807">
        <w:rPr>
          <w:rFonts w:asciiTheme="majorHAnsi" w:hAnsiTheme="majorHAnsi" w:cstheme="majorHAnsi"/>
          <w:b/>
          <w:i/>
          <w:color w:val="00B0F0"/>
          <w:sz w:val="24"/>
          <w:szCs w:val="24"/>
          <w:lang w:val="ro-MD"/>
        </w:rPr>
        <w:t xml:space="preserve">ublice din domeniul infrastructurii calității s-a realizat în lipsa unor prevederi normative de delimitare a patrimoniului public supus transmiterii </w:t>
      </w:r>
      <w:r w:rsidR="000F5A34">
        <w:rPr>
          <w:rFonts w:asciiTheme="majorHAnsi" w:hAnsiTheme="majorHAnsi" w:cstheme="majorHAnsi"/>
          <w:b/>
          <w:i/>
          <w:color w:val="00B0F0"/>
          <w:sz w:val="24"/>
          <w:szCs w:val="24"/>
          <w:lang w:val="ro-MD"/>
        </w:rPr>
        <w:t xml:space="preserve">către </w:t>
      </w:r>
      <w:r w:rsidRPr="003B5807">
        <w:rPr>
          <w:rFonts w:asciiTheme="majorHAnsi" w:hAnsiTheme="majorHAnsi" w:cstheme="majorHAnsi"/>
          <w:b/>
          <w:i/>
          <w:color w:val="00B0F0"/>
          <w:sz w:val="24"/>
          <w:szCs w:val="24"/>
          <w:lang w:val="ro-MD"/>
        </w:rPr>
        <w:t>instituțiil</w:t>
      </w:r>
      <w:r w:rsidR="000F5A34">
        <w:rPr>
          <w:rFonts w:asciiTheme="majorHAnsi" w:hAnsiTheme="majorHAnsi" w:cstheme="majorHAnsi"/>
          <w:b/>
          <w:i/>
          <w:color w:val="00B0F0"/>
          <w:sz w:val="24"/>
          <w:szCs w:val="24"/>
          <w:lang w:val="ro-MD"/>
        </w:rPr>
        <w:t>e</w:t>
      </w:r>
      <w:r w:rsidRPr="003B5807">
        <w:rPr>
          <w:rFonts w:asciiTheme="majorHAnsi" w:hAnsiTheme="majorHAnsi" w:cstheme="majorHAnsi"/>
          <w:b/>
          <w:i/>
          <w:color w:val="00B0F0"/>
          <w:sz w:val="24"/>
          <w:szCs w:val="24"/>
          <w:lang w:val="ro-MD"/>
        </w:rPr>
        <w:t xml:space="preserve"> nou create</w:t>
      </w:r>
      <w:r w:rsidR="006116C4" w:rsidRPr="003B5807">
        <w:rPr>
          <w:rFonts w:asciiTheme="majorHAnsi" w:hAnsiTheme="majorHAnsi" w:cstheme="majorHAnsi"/>
          <w:b/>
          <w:i/>
          <w:color w:val="00B0F0"/>
          <w:sz w:val="24"/>
          <w:szCs w:val="24"/>
          <w:lang w:val="ro-MD"/>
        </w:rPr>
        <w:t>.</w:t>
      </w:r>
      <w:bookmarkEnd w:id="120"/>
    </w:p>
    <w:p w14:paraId="35D4DAFA" w14:textId="75A9E899" w:rsidR="00195E91" w:rsidRPr="005E462C" w:rsidRDefault="00921CFA" w:rsidP="00770273">
      <w:pPr>
        <w:pStyle w:val="FootnoteText"/>
        <w:ind w:firstLine="567"/>
        <w:jc w:val="both"/>
        <w:rPr>
          <w:rFonts w:asciiTheme="majorHAnsi" w:hAnsiTheme="majorHAnsi" w:cstheme="majorHAnsi"/>
          <w:color w:val="333333"/>
          <w:sz w:val="24"/>
          <w:szCs w:val="24"/>
          <w:vertAlign w:val="baseline"/>
          <w:lang w:val="ro-MD"/>
        </w:rPr>
      </w:pPr>
      <w:r w:rsidRPr="005E462C">
        <w:rPr>
          <w:rFonts w:asciiTheme="majorHAnsi" w:eastAsia="Times New Roman" w:hAnsiTheme="majorHAnsi" w:cstheme="majorHAnsi"/>
          <w:bCs/>
          <w:i/>
          <w:caps/>
          <w:sz w:val="24"/>
          <w:szCs w:val="24"/>
          <w:lang w:val="ro-MD"/>
        </w:rPr>
        <w:t xml:space="preserve"> </w:t>
      </w:r>
      <w:r w:rsidR="00D17E1D" w:rsidRPr="005E462C">
        <w:rPr>
          <w:rFonts w:asciiTheme="majorHAnsi" w:hAnsiTheme="majorHAnsi" w:cstheme="majorHAnsi"/>
          <w:sz w:val="24"/>
          <w:szCs w:val="24"/>
          <w:vertAlign w:val="baseline"/>
        </w:rPr>
        <w:t>În conformitate cu angajamentele asumate de Republica Moldova faţă de Organizaţ</w:t>
      </w:r>
      <w:r w:rsidR="006430C8">
        <w:rPr>
          <w:rFonts w:asciiTheme="majorHAnsi" w:hAnsiTheme="majorHAnsi" w:cstheme="majorHAnsi"/>
          <w:sz w:val="24"/>
          <w:szCs w:val="24"/>
          <w:vertAlign w:val="baseline"/>
        </w:rPr>
        <w:t>ia Mondială a Comerţului şi ţinâ</w:t>
      </w:r>
      <w:r w:rsidR="00D17E1D" w:rsidRPr="005E462C">
        <w:rPr>
          <w:rFonts w:asciiTheme="majorHAnsi" w:hAnsiTheme="majorHAnsi" w:cstheme="majorHAnsi"/>
          <w:sz w:val="24"/>
          <w:szCs w:val="24"/>
          <w:vertAlign w:val="baseline"/>
        </w:rPr>
        <w:t xml:space="preserve">nd cont de necesitatea armonizării legislaţiei </w:t>
      </w:r>
      <w:r w:rsidR="00CA4BD2" w:rsidRPr="00C66909">
        <w:rPr>
          <w:rFonts w:asciiTheme="majorHAnsi" w:hAnsiTheme="majorHAnsi" w:cstheme="majorHAnsi"/>
          <w:sz w:val="24"/>
          <w:szCs w:val="24"/>
          <w:vertAlign w:val="baseline"/>
        </w:rPr>
        <w:t xml:space="preserve">naţionale </w:t>
      </w:r>
      <w:r w:rsidR="00C66909">
        <w:rPr>
          <w:rFonts w:asciiTheme="majorHAnsi" w:hAnsiTheme="majorHAnsi" w:cstheme="majorHAnsi"/>
          <w:sz w:val="24"/>
          <w:szCs w:val="24"/>
          <w:vertAlign w:val="baseline"/>
        </w:rPr>
        <w:t>cu</w:t>
      </w:r>
      <w:r w:rsidR="00D17E1D" w:rsidRPr="00C66909">
        <w:rPr>
          <w:rFonts w:asciiTheme="majorHAnsi" w:hAnsiTheme="majorHAnsi" w:cstheme="majorHAnsi"/>
          <w:sz w:val="24"/>
          <w:szCs w:val="24"/>
          <w:vertAlign w:val="baseline"/>
        </w:rPr>
        <w:t xml:space="preserve"> cerinţele</w:t>
      </w:r>
      <w:r w:rsidR="00D17E1D" w:rsidRPr="005E462C">
        <w:rPr>
          <w:rFonts w:asciiTheme="majorHAnsi" w:hAnsiTheme="majorHAnsi" w:cstheme="majorHAnsi"/>
          <w:sz w:val="24"/>
          <w:szCs w:val="24"/>
          <w:vertAlign w:val="baseline"/>
        </w:rPr>
        <w:t xml:space="preserve"> Uniunii Europene, precum şi </w:t>
      </w:r>
      <w:r w:rsidR="000F5A34">
        <w:rPr>
          <w:rFonts w:asciiTheme="majorHAnsi" w:hAnsiTheme="majorHAnsi" w:cstheme="majorHAnsi"/>
          <w:sz w:val="24"/>
          <w:szCs w:val="24"/>
          <w:vertAlign w:val="baseline"/>
        </w:rPr>
        <w:t>pe</w:t>
      </w:r>
      <w:r w:rsidR="00D17E1D" w:rsidRPr="005E462C">
        <w:rPr>
          <w:rFonts w:asciiTheme="majorHAnsi" w:hAnsiTheme="majorHAnsi" w:cstheme="majorHAnsi"/>
          <w:sz w:val="24"/>
          <w:szCs w:val="24"/>
          <w:vertAlign w:val="baseline"/>
        </w:rPr>
        <w:t>ntru asigurarea unui nivel adecvat al calităţii produselor autohtone, prin Hotărârea Guvernului nr.859 din 31.07.2006</w:t>
      </w:r>
      <w:r w:rsidR="005E72F9" w:rsidRPr="005E462C">
        <w:rPr>
          <w:rStyle w:val="FootnoteReference"/>
          <w:rFonts w:asciiTheme="majorHAnsi" w:hAnsiTheme="majorHAnsi" w:cstheme="majorHAnsi"/>
          <w:sz w:val="24"/>
          <w:szCs w:val="24"/>
        </w:rPr>
        <w:footnoteReference w:id="12"/>
      </w:r>
      <w:r w:rsidR="000F5A34">
        <w:rPr>
          <w:rFonts w:asciiTheme="majorHAnsi" w:hAnsiTheme="majorHAnsi" w:cstheme="majorHAnsi"/>
          <w:sz w:val="24"/>
          <w:szCs w:val="24"/>
          <w:vertAlign w:val="baseline"/>
        </w:rPr>
        <w:t>,</w:t>
      </w:r>
      <w:r w:rsidR="00D17E1D" w:rsidRPr="005E462C">
        <w:rPr>
          <w:rFonts w:asciiTheme="majorHAnsi" w:hAnsiTheme="majorHAnsi" w:cstheme="majorHAnsi"/>
          <w:sz w:val="24"/>
          <w:szCs w:val="24"/>
          <w:vertAlign w:val="baseline"/>
        </w:rPr>
        <w:t xml:space="preserve"> </w:t>
      </w:r>
      <w:r w:rsidR="000F5A34">
        <w:rPr>
          <w:rFonts w:asciiTheme="majorHAnsi" w:hAnsiTheme="majorHAnsi" w:cstheme="majorHAnsi"/>
          <w:sz w:val="24"/>
          <w:szCs w:val="24"/>
          <w:vertAlign w:val="baseline"/>
        </w:rPr>
        <w:t xml:space="preserve">s-au </w:t>
      </w:r>
      <w:r w:rsidR="00D17E1D" w:rsidRPr="005E462C">
        <w:rPr>
          <w:rFonts w:asciiTheme="majorHAnsi" w:hAnsiTheme="majorHAnsi" w:cstheme="majorHAnsi"/>
          <w:sz w:val="24"/>
          <w:szCs w:val="24"/>
          <w:vertAlign w:val="baseline"/>
        </w:rPr>
        <w:t>aprobat</w:t>
      </w:r>
      <w:r w:rsidR="000F5A34">
        <w:rPr>
          <w:rFonts w:asciiTheme="majorHAnsi" w:hAnsiTheme="majorHAnsi" w:cstheme="majorHAnsi"/>
          <w:sz w:val="24"/>
          <w:szCs w:val="24"/>
          <w:vertAlign w:val="baseline"/>
        </w:rPr>
        <w:t xml:space="preserve"> </w:t>
      </w:r>
      <w:r w:rsidR="00D17E1D" w:rsidRPr="005E462C">
        <w:rPr>
          <w:rFonts w:asciiTheme="majorHAnsi" w:hAnsiTheme="majorHAnsi" w:cstheme="majorHAnsi"/>
          <w:sz w:val="24"/>
          <w:szCs w:val="24"/>
        </w:rPr>
        <w:t xml:space="preserve"> </w:t>
      </w:r>
      <w:r w:rsidR="00D17E1D" w:rsidRPr="005E462C">
        <w:rPr>
          <w:rFonts w:asciiTheme="majorHAnsi" w:hAnsiTheme="majorHAnsi" w:cstheme="majorHAnsi"/>
          <w:sz w:val="24"/>
          <w:szCs w:val="24"/>
          <w:vertAlign w:val="baseline"/>
          <w:lang w:val="ro-MD"/>
        </w:rPr>
        <w:t xml:space="preserve">Concepția infrastructurii calității în Republica Moldova, precum și </w:t>
      </w:r>
      <w:r w:rsidR="00D17E1D" w:rsidRPr="005E462C">
        <w:rPr>
          <w:rFonts w:asciiTheme="majorHAnsi" w:hAnsiTheme="majorHAnsi" w:cstheme="majorHAnsi"/>
          <w:sz w:val="24"/>
          <w:szCs w:val="24"/>
          <w:vertAlign w:val="baseline"/>
        </w:rPr>
        <w:t xml:space="preserve">Planul de acţiuni concrete pentru implementarea acesteia, </w:t>
      </w:r>
      <w:r w:rsidR="00F36F5C" w:rsidRPr="005E462C">
        <w:rPr>
          <w:rFonts w:asciiTheme="majorHAnsi" w:hAnsiTheme="majorHAnsi" w:cstheme="majorHAnsi"/>
          <w:sz w:val="24"/>
          <w:szCs w:val="24"/>
          <w:vertAlign w:val="baseline"/>
        </w:rPr>
        <w:t xml:space="preserve">perioada </w:t>
      </w:r>
      <w:r w:rsidR="000F5A34" w:rsidRPr="005E462C">
        <w:rPr>
          <w:rFonts w:asciiTheme="majorHAnsi" w:hAnsiTheme="majorHAnsi" w:cstheme="majorHAnsi"/>
          <w:sz w:val="24"/>
          <w:szCs w:val="24"/>
          <w:vertAlign w:val="baseline"/>
        </w:rPr>
        <w:t xml:space="preserve">de realizare stabilită </w:t>
      </w:r>
      <w:r w:rsidR="00D17E1D" w:rsidRPr="005E462C">
        <w:rPr>
          <w:rFonts w:asciiTheme="majorHAnsi" w:hAnsiTheme="majorHAnsi" w:cstheme="majorHAnsi"/>
          <w:sz w:val="24"/>
          <w:szCs w:val="24"/>
          <w:vertAlign w:val="baseline"/>
        </w:rPr>
        <w:t xml:space="preserve">fiind </w:t>
      </w:r>
      <w:r w:rsidR="000F5A34">
        <w:rPr>
          <w:rFonts w:asciiTheme="majorHAnsi" w:hAnsiTheme="majorHAnsi" w:cstheme="majorHAnsi"/>
          <w:sz w:val="24"/>
          <w:szCs w:val="24"/>
          <w:vertAlign w:val="baseline"/>
        </w:rPr>
        <w:t xml:space="preserve">anii </w:t>
      </w:r>
      <w:r w:rsidR="00F36F5C" w:rsidRPr="005E462C">
        <w:rPr>
          <w:rFonts w:asciiTheme="majorHAnsi" w:hAnsiTheme="majorHAnsi" w:cstheme="majorHAnsi"/>
          <w:sz w:val="24"/>
          <w:szCs w:val="24"/>
          <w:vertAlign w:val="baseline"/>
        </w:rPr>
        <w:t>2006-2020.</w:t>
      </w:r>
      <w:r w:rsidR="00D17E1D" w:rsidRPr="005E462C">
        <w:rPr>
          <w:rFonts w:asciiTheme="majorHAnsi" w:hAnsiTheme="majorHAnsi" w:cstheme="majorHAnsi"/>
          <w:sz w:val="24"/>
          <w:szCs w:val="24"/>
          <w:vertAlign w:val="baseline"/>
        </w:rPr>
        <w:t xml:space="preserve"> </w:t>
      </w:r>
      <w:r w:rsidR="006014C7" w:rsidRPr="005E462C">
        <w:rPr>
          <w:rFonts w:asciiTheme="majorHAnsi" w:hAnsiTheme="majorHAnsi" w:cstheme="majorHAnsi"/>
          <w:sz w:val="24"/>
          <w:szCs w:val="24"/>
          <w:vertAlign w:val="baseline"/>
        </w:rPr>
        <w:t>Concepția în cauză a fost axată</w:t>
      </w:r>
      <w:r w:rsidR="000131DE">
        <w:rPr>
          <w:rFonts w:asciiTheme="majorHAnsi" w:hAnsiTheme="majorHAnsi" w:cstheme="majorHAnsi"/>
          <w:sz w:val="24"/>
          <w:szCs w:val="24"/>
          <w:vertAlign w:val="baseline"/>
        </w:rPr>
        <w:t>,</w:t>
      </w:r>
      <w:r w:rsidR="006014C7" w:rsidRPr="005E462C">
        <w:rPr>
          <w:rFonts w:asciiTheme="majorHAnsi" w:hAnsiTheme="majorHAnsi" w:cstheme="majorHAnsi"/>
          <w:sz w:val="24"/>
          <w:szCs w:val="24"/>
          <w:vertAlign w:val="baseline"/>
        </w:rPr>
        <w:t xml:space="preserve"> la momentul aprobării</w:t>
      </w:r>
      <w:r w:rsidR="000131DE">
        <w:rPr>
          <w:rFonts w:asciiTheme="majorHAnsi" w:hAnsiTheme="majorHAnsi" w:cstheme="majorHAnsi"/>
          <w:sz w:val="24"/>
          <w:szCs w:val="24"/>
          <w:vertAlign w:val="baseline"/>
        </w:rPr>
        <w:t>,</w:t>
      </w:r>
      <w:r w:rsidR="006014C7" w:rsidRPr="005E462C">
        <w:rPr>
          <w:rFonts w:asciiTheme="majorHAnsi" w:hAnsiTheme="majorHAnsi" w:cstheme="majorHAnsi"/>
          <w:sz w:val="24"/>
          <w:szCs w:val="24"/>
          <w:vertAlign w:val="baseline"/>
        </w:rPr>
        <w:t xml:space="preserve"> pe importanța strategică a sistemului MSTQ, starea sistemului, obiectivele specific</w:t>
      </w:r>
      <w:r w:rsidR="00770273" w:rsidRPr="005E462C">
        <w:rPr>
          <w:rFonts w:asciiTheme="majorHAnsi" w:hAnsiTheme="majorHAnsi" w:cstheme="majorHAnsi"/>
          <w:sz w:val="24"/>
          <w:szCs w:val="24"/>
          <w:vertAlign w:val="baseline"/>
        </w:rPr>
        <w:t>e</w:t>
      </w:r>
      <w:r w:rsidR="006014C7" w:rsidRPr="005E462C">
        <w:rPr>
          <w:rFonts w:asciiTheme="majorHAnsi" w:hAnsiTheme="majorHAnsi" w:cstheme="majorHAnsi"/>
          <w:sz w:val="24"/>
          <w:szCs w:val="24"/>
          <w:vertAlign w:val="baseline"/>
        </w:rPr>
        <w:t xml:space="preserve"> de dezvoltare, analiza SWOT de bază, impactul posibil al sistemului, costurile și partenerii în implementarea ei.</w:t>
      </w:r>
      <w:r w:rsidR="00EA516A" w:rsidRPr="005E462C">
        <w:rPr>
          <w:rFonts w:asciiTheme="majorHAnsi" w:hAnsiTheme="majorHAnsi" w:cstheme="majorHAnsi"/>
          <w:sz w:val="24"/>
          <w:szCs w:val="24"/>
          <w:vertAlign w:val="baseline"/>
        </w:rPr>
        <w:t xml:space="preserve"> </w:t>
      </w:r>
      <w:r w:rsidR="005E72F9" w:rsidRPr="005E462C">
        <w:rPr>
          <w:rFonts w:asciiTheme="majorHAnsi" w:hAnsiTheme="majorHAnsi" w:cstheme="majorHAnsi"/>
          <w:sz w:val="24"/>
          <w:szCs w:val="24"/>
          <w:vertAlign w:val="baseline"/>
        </w:rPr>
        <w:t xml:space="preserve">Pe măsura implementării </w:t>
      </w:r>
      <w:r w:rsidR="000131DE">
        <w:rPr>
          <w:rFonts w:asciiTheme="majorHAnsi" w:hAnsiTheme="majorHAnsi" w:cstheme="majorHAnsi"/>
          <w:sz w:val="24"/>
          <w:szCs w:val="24"/>
          <w:vertAlign w:val="baseline"/>
        </w:rPr>
        <w:t>P</w:t>
      </w:r>
      <w:r w:rsidR="005E72F9" w:rsidRPr="005E462C">
        <w:rPr>
          <w:rFonts w:asciiTheme="majorHAnsi" w:hAnsiTheme="majorHAnsi" w:cstheme="majorHAnsi"/>
          <w:sz w:val="24"/>
          <w:szCs w:val="24"/>
          <w:vertAlign w:val="baseline"/>
        </w:rPr>
        <w:t>lanului de acțiuni, după o perioadă de timp, î</w:t>
      </w:r>
      <w:r w:rsidR="00860E2F" w:rsidRPr="005E462C">
        <w:rPr>
          <w:rFonts w:asciiTheme="majorHAnsi" w:hAnsiTheme="majorHAnsi" w:cstheme="majorHAnsi"/>
          <w:sz w:val="24"/>
          <w:szCs w:val="24"/>
          <w:vertAlign w:val="baseline"/>
        </w:rPr>
        <w:t>n contextul rolului important pe care îl deține infrastructura calității în</w:t>
      </w:r>
      <w:r w:rsidR="00860E2F" w:rsidRPr="005E462C">
        <w:rPr>
          <w:rFonts w:asciiTheme="majorHAnsi" w:hAnsiTheme="majorHAnsi"/>
          <w:color w:val="000000"/>
          <w:sz w:val="24"/>
          <w:szCs w:val="24"/>
          <w:vertAlign w:val="baseline"/>
        </w:rPr>
        <w:t xml:space="preserve"> asigurarea calității la toate etapele de producere şi comercializare a bunurilor şi serviciilor</w:t>
      </w:r>
      <w:r w:rsidR="00770273" w:rsidRPr="005E462C">
        <w:rPr>
          <w:rFonts w:asciiTheme="majorHAnsi" w:hAnsiTheme="majorHAnsi"/>
          <w:color w:val="000000"/>
          <w:sz w:val="24"/>
          <w:szCs w:val="24"/>
          <w:vertAlign w:val="baseline"/>
        </w:rPr>
        <w:t>, at</w:t>
      </w:r>
      <w:r w:rsidR="00FD742B">
        <w:rPr>
          <w:rFonts w:asciiTheme="majorHAnsi" w:hAnsiTheme="majorHAnsi"/>
          <w:color w:val="000000"/>
          <w:sz w:val="24"/>
          <w:szCs w:val="24"/>
          <w:vertAlign w:val="baseline"/>
        </w:rPr>
        <w:t>ing</w:t>
      </w:r>
      <w:r w:rsidR="00770273" w:rsidRPr="005E462C">
        <w:rPr>
          <w:rFonts w:asciiTheme="majorHAnsi" w:hAnsiTheme="majorHAnsi"/>
          <w:color w:val="000000"/>
          <w:sz w:val="24"/>
          <w:szCs w:val="24"/>
          <w:vertAlign w:val="baseline"/>
        </w:rPr>
        <w:t>erea obiectivelor stabilite în materie de reglementări tehnice, standarde, metrologie, acreditare, evaluarea conformității, sisteme corespunzătoare de supraveghere, transformarea și dezvoltarea sistemului național de infrastructură a calității într-un sistem modern, racordat la rigorile europene,</w:t>
      </w:r>
      <w:r w:rsidR="005E72F9" w:rsidRPr="005E462C">
        <w:rPr>
          <w:rFonts w:asciiTheme="majorHAnsi" w:hAnsiTheme="majorHAnsi"/>
          <w:color w:val="000000"/>
          <w:sz w:val="24"/>
          <w:szCs w:val="24"/>
          <w:vertAlign w:val="baseline"/>
        </w:rPr>
        <w:t xml:space="preserve"> etc.,</w:t>
      </w:r>
      <w:r w:rsidR="00770273" w:rsidRPr="005E462C">
        <w:rPr>
          <w:rFonts w:asciiTheme="majorHAnsi" w:hAnsiTheme="majorHAnsi"/>
          <w:color w:val="000000"/>
          <w:sz w:val="24"/>
          <w:szCs w:val="24"/>
          <w:vertAlign w:val="baseline"/>
        </w:rPr>
        <w:t xml:space="preserve"> au fost operate unele m</w:t>
      </w:r>
      <w:r w:rsidR="00FD742B">
        <w:rPr>
          <w:rFonts w:asciiTheme="majorHAnsi" w:hAnsiTheme="majorHAnsi"/>
          <w:color w:val="000000"/>
          <w:sz w:val="24"/>
          <w:szCs w:val="24"/>
          <w:vertAlign w:val="baseline"/>
        </w:rPr>
        <w:t>odificări ale cadrului normativ</w:t>
      </w:r>
      <w:r w:rsidR="00770273" w:rsidRPr="005E462C">
        <w:rPr>
          <w:rFonts w:asciiTheme="majorHAnsi" w:hAnsiTheme="majorHAnsi"/>
          <w:color w:val="000000"/>
          <w:sz w:val="24"/>
          <w:szCs w:val="24"/>
          <w:vertAlign w:val="baseline"/>
        </w:rPr>
        <w:t xml:space="preserve"> aferent. Astfel, </w:t>
      </w:r>
      <w:r w:rsidR="006430C8">
        <w:rPr>
          <w:rFonts w:asciiTheme="majorHAnsi" w:hAnsiTheme="majorHAnsi" w:cstheme="majorHAnsi"/>
          <w:color w:val="333333"/>
          <w:sz w:val="24"/>
          <w:szCs w:val="24"/>
          <w:vertAlign w:val="baseline"/>
          <w:lang w:val="ro-MD"/>
        </w:rPr>
        <w:t>î</w:t>
      </w:r>
      <w:r w:rsidR="00195E91" w:rsidRPr="005E462C">
        <w:rPr>
          <w:rFonts w:asciiTheme="majorHAnsi" w:hAnsiTheme="majorHAnsi" w:cstheme="majorHAnsi"/>
          <w:color w:val="333333"/>
          <w:sz w:val="24"/>
          <w:szCs w:val="24"/>
          <w:vertAlign w:val="baseline"/>
          <w:lang w:val="ro-MD"/>
        </w:rPr>
        <w:t>n anul 2012</w:t>
      </w:r>
      <w:r w:rsidR="006430C8">
        <w:rPr>
          <w:rFonts w:asciiTheme="majorHAnsi" w:hAnsiTheme="majorHAnsi" w:cstheme="majorHAnsi"/>
          <w:color w:val="333333"/>
          <w:sz w:val="24"/>
          <w:szCs w:val="24"/>
          <w:vertAlign w:val="baseline"/>
          <w:lang w:val="ro-MD"/>
        </w:rPr>
        <w:t>,</w:t>
      </w:r>
      <w:r w:rsidR="00195E91" w:rsidRPr="005E462C">
        <w:rPr>
          <w:rFonts w:asciiTheme="majorHAnsi" w:hAnsiTheme="majorHAnsi" w:cstheme="majorHAnsi"/>
          <w:color w:val="333333"/>
          <w:sz w:val="24"/>
          <w:szCs w:val="24"/>
          <w:vertAlign w:val="baseline"/>
          <w:lang w:val="ro-MD"/>
        </w:rPr>
        <w:t xml:space="preserve"> </w:t>
      </w:r>
      <w:r w:rsidR="000131DE">
        <w:rPr>
          <w:rFonts w:asciiTheme="majorHAnsi" w:hAnsiTheme="majorHAnsi" w:cstheme="majorHAnsi"/>
          <w:color w:val="333333"/>
          <w:sz w:val="24"/>
          <w:szCs w:val="24"/>
          <w:vertAlign w:val="baseline"/>
          <w:lang w:val="ro-MD"/>
        </w:rPr>
        <w:t>s-</w:t>
      </w:r>
      <w:r w:rsidR="00195E91" w:rsidRPr="005E462C">
        <w:rPr>
          <w:rFonts w:asciiTheme="majorHAnsi" w:hAnsiTheme="majorHAnsi" w:cstheme="majorHAnsi"/>
          <w:color w:val="333333"/>
          <w:sz w:val="24"/>
          <w:szCs w:val="24"/>
          <w:vertAlign w:val="baseline"/>
          <w:lang w:val="ro-MD"/>
        </w:rPr>
        <w:t>au luat unele măsuri de reformare a sistemului infrastructurii calității</w:t>
      </w:r>
      <w:r w:rsidR="005E72F9" w:rsidRPr="005E462C">
        <w:rPr>
          <w:rStyle w:val="FootnoteReference"/>
          <w:rFonts w:asciiTheme="majorHAnsi" w:hAnsiTheme="majorHAnsi" w:cstheme="majorHAnsi"/>
          <w:color w:val="333333"/>
          <w:sz w:val="24"/>
          <w:szCs w:val="24"/>
          <w:lang w:val="ro-MD"/>
        </w:rPr>
        <w:footnoteReference w:id="13"/>
      </w:r>
      <w:r w:rsidR="006430C8">
        <w:rPr>
          <w:rFonts w:asciiTheme="majorHAnsi" w:hAnsiTheme="majorHAnsi" w:cstheme="majorHAnsi"/>
          <w:color w:val="333333"/>
          <w:sz w:val="24"/>
          <w:szCs w:val="24"/>
          <w:vertAlign w:val="baseline"/>
          <w:lang w:val="ro-MD"/>
        </w:rPr>
        <w:t>,</w:t>
      </w:r>
      <w:r w:rsidR="00195E91" w:rsidRPr="005E462C">
        <w:rPr>
          <w:rFonts w:asciiTheme="majorHAnsi" w:hAnsiTheme="majorHAnsi" w:cstheme="majorHAnsi"/>
          <w:color w:val="333333"/>
          <w:sz w:val="24"/>
          <w:szCs w:val="24"/>
          <w:vertAlign w:val="baseline"/>
          <w:lang w:val="ro-MD"/>
        </w:rPr>
        <w:t xml:space="preserve"> </w:t>
      </w:r>
      <w:r w:rsidR="00860E2F" w:rsidRPr="005E462C">
        <w:rPr>
          <w:rFonts w:asciiTheme="majorHAnsi" w:hAnsiTheme="majorHAnsi" w:cstheme="majorHAnsi"/>
          <w:color w:val="333333"/>
          <w:sz w:val="24"/>
          <w:szCs w:val="24"/>
          <w:vertAlign w:val="baseline"/>
          <w:lang w:val="ro-MD"/>
        </w:rPr>
        <w:t>în rezultatul cărora</w:t>
      </w:r>
      <w:r w:rsidR="006430C8">
        <w:rPr>
          <w:rFonts w:asciiTheme="majorHAnsi" w:hAnsiTheme="majorHAnsi" w:cstheme="majorHAnsi"/>
          <w:color w:val="333333"/>
          <w:sz w:val="24"/>
          <w:szCs w:val="24"/>
          <w:vertAlign w:val="baseline"/>
          <w:lang w:val="ro-MD"/>
        </w:rPr>
        <w:t xml:space="preserve">, </w:t>
      </w:r>
      <w:r w:rsidR="00FD742B">
        <w:rPr>
          <w:rFonts w:asciiTheme="majorHAnsi" w:hAnsiTheme="majorHAnsi" w:cstheme="majorHAnsi"/>
          <w:color w:val="333333"/>
          <w:sz w:val="24"/>
          <w:szCs w:val="24"/>
          <w:vertAlign w:val="baseline"/>
          <w:lang w:val="ro-MD"/>
        </w:rPr>
        <w:t xml:space="preserve">în </w:t>
      </w:r>
      <w:r w:rsidR="00195E91" w:rsidRPr="005E462C">
        <w:rPr>
          <w:rFonts w:asciiTheme="majorHAnsi" w:hAnsiTheme="majorHAnsi" w:cstheme="majorHAnsi"/>
          <w:color w:val="333333"/>
          <w:sz w:val="24"/>
          <w:szCs w:val="24"/>
          <w:vertAlign w:val="baseline"/>
          <w:lang w:val="ro-MD"/>
        </w:rPr>
        <w:t xml:space="preserve"> structurile implicate</w:t>
      </w:r>
      <w:r w:rsidR="00860E2F" w:rsidRPr="005E462C">
        <w:rPr>
          <w:rFonts w:asciiTheme="majorHAnsi" w:hAnsiTheme="majorHAnsi" w:cstheme="majorHAnsi"/>
          <w:color w:val="333333"/>
          <w:sz w:val="24"/>
          <w:szCs w:val="24"/>
          <w:vertAlign w:val="baseline"/>
          <w:lang w:val="ro-MD"/>
        </w:rPr>
        <w:t xml:space="preserve"> în gestionarea domeniului</w:t>
      </w:r>
      <w:r w:rsidR="006430C8">
        <w:rPr>
          <w:rFonts w:asciiTheme="majorHAnsi" w:hAnsiTheme="majorHAnsi" w:cstheme="majorHAnsi"/>
          <w:color w:val="333333"/>
          <w:sz w:val="24"/>
          <w:szCs w:val="24"/>
          <w:vertAlign w:val="baseline"/>
          <w:lang w:val="ro-MD"/>
        </w:rPr>
        <w:t>,</w:t>
      </w:r>
      <w:r w:rsidR="00195E91" w:rsidRPr="005E462C">
        <w:rPr>
          <w:rFonts w:asciiTheme="majorHAnsi" w:hAnsiTheme="majorHAnsi" w:cstheme="majorHAnsi"/>
          <w:color w:val="333333"/>
          <w:sz w:val="24"/>
          <w:szCs w:val="24"/>
          <w:vertAlign w:val="baseline"/>
          <w:lang w:val="ro-MD"/>
        </w:rPr>
        <w:t xml:space="preserve"> au </w:t>
      </w:r>
      <w:r w:rsidR="000C662A" w:rsidRPr="005E462C">
        <w:rPr>
          <w:rFonts w:asciiTheme="majorHAnsi" w:hAnsiTheme="majorHAnsi" w:cstheme="majorHAnsi"/>
          <w:color w:val="333333"/>
          <w:sz w:val="24"/>
          <w:szCs w:val="24"/>
          <w:vertAlign w:val="baseline"/>
          <w:lang w:val="ro-MD"/>
        </w:rPr>
        <w:t>parvenit</w:t>
      </w:r>
      <w:r w:rsidR="00195E91" w:rsidRPr="005E462C">
        <w:rPr>
          <w:rFonts w:asciiTheme="majorHAnsi" w:hAnsiTheme="majorHAnsi" w:cstheme="majorHAnsi"/>
          <w:color w:val="333333"/>
          <w:sz w:val="24"/>
          <w:szCs w:val="24"/>
          <w:vertAlign w:val="baseline"/>
          <w:lang w:val="ro-MD"/>
        </w:rPr>
        <w:t xml:space="preserve"> unele modificări</w:t>
      </w:r>
      <w:r w:rsidR="00860E2F" w:rsidRPr="005E462C">
        <w:rPr>
          <w:rFonts w:asciiTheme="majorHAnsi" w:hAnsiTheme="majorHAnsi" w:cstheme="majorHAnsi"/>
          <w:color w:val="333333"/>
          <w:sz w:val="24"/>
          <w:szCs w:val="24"/>
          <w:vertAlign w:val="baseline"/>
          <w:lang w:val="ro-MD"/>
        </w:rPr>
        <w:t xml:space="preserve"> </w:t>
      </w:r>
      <w:r w:rsidR="00195E91" w:rsidRPr="005E462C">
        <w:rPr>
          <w:rFonts w:asciiTheme="majorHAnsi" w:hAnsiTheme="majorHAnsi" w:cstheme="majorHAnsi"/>
          <w:color w:val="333333"/>
          <w:sz w:val="24"/>
          <w:szCs w:val="24"/>
          <w:vertAlign w:val="baseline"/>
          <w:lang w:val="ro-MD"/>
        </w:rPr>
        <w:t>(</w:t>
      </w:r>
      <w:r w:rsidR="00FD742B" w:rsidRPr="008244D5">
        <w:rPr>
          <w:rFonts w:asciiTheme="majorHAnsi" w:hAnsiTheme="majorHAnsi" w:cstheme="majorHAnsi"/>
          <w:i/>
          <w:color w:val="333333"/>
          <w:sz w:val="24"/>
          <w:szCs w:val="24"/>
          <w:vertAlign w:val="baseline"/>
          <w:lang w:val="ro-MD"/>
        </w:rPr>
        <w:t>a se vedea Figura nr.4.1.1</w:t>
      </w:r>
      <w:r w:rsidR="00184FC1">
        <w:rPr>
          <w:rFonts w:asciiTheme="majorHAnsi" w:hAnsiTheme="majorHAnsi" w:cstheme="majorHAnsi"/>
          <w:i/>
          <w:color w:val="333333"/>
          <w:sz w:val="24"/>
          <w:szCs w:val="24"/>
          <w:vertAlign w:val="baseline"/>
          <w:lang w:val="ro-MD"/>
        </w:rPr>
        <w:t>.</w:t>
      </w:r>
      <w:r w:rsidR="00195E91" w:rsidRPr="00FD742B">
        <w:rPr>
          <w:rFonts w:asciiTheme="majorHAnsi" w:hAnsiTheme="majorHAnsi" w:cstheme="majorHAnsi"/>
          <w:color w:val="333333"/>
          <w:sz w:val="24"/>
          <w:szCs w:val="24"/>
          <w:vertAlign w:val="baseline"/>
          <w:lang w:val="ro-MD"/>
        </w:rPr>
        <w:t>).</w:t>
      </w:r>
    </w:p>
    <w:p w14:paraId="41E17DB7" w14:textId="299C5149" w:rsidR="00195E91" w:rsidRPr="001B0699" w:rsidRDefault="00195E91" w:rsidP="001B0699">
      <w:pPr>
        <w:pStyle w:val="FootnoteText"/>
        <w:ind w:firstLine="567"/>
        <w:jc w:val="right"/>
        <w:rPr>
          <w:rFonts w:asciiTheme="majorHAnsi" w:hAnsiTheme="majorHAnsi" w:cstheme="majorHAnsi"/>
          <w:b/>
          <w:i/>
          <w:color w:val="333333"/>
          <w:sz w:val="24"/>
          <w:szCs w:val="24"/>
          <w:vertAlign w:val="baseline"/>
          <w:lang w:val="ro-MD"/>
        </w:rPr>
      </w:pPr>
      <w:r w:rsidRPr="001B0699">
        <w:rPr>
          <w:rFonts w:asciiTheme="majorHAnsi" w:hAnsiTheme="majorHAnsi" w:cstheme="majorHAnsi"/>
          <w:b/>
          <w:i/>
          <w:color w:val="333333"/>
          <w:sz w:val="24"/>
          <w:szCs w:val="24"/>
          <w:vertAlign w:val="baseline"/>
          <w:lang w:val="ro-MD"/>
        </w:rPr>
        <w:t>Figura nr.</w:t>
      </w:r>
      <w:r w:rsidR="00FD742B" w:rsidRPr="001B0699">
        <w:rPr>
          <w:rFonts w:asciiTheme="majorHAnsi" w:hAnsiTheme="majorHAnsi" w:cstheme="majorHAnsi"/>
          <w:b/>
          <w:i/>
          <w:color w:val="333333"/>
          <w:sz w:val="24"/>
          <w:szCs w:val="24"/>
          <w:vertAlign w:val="baseline"/>
          <w:lang w:val="ro-MD"/>
        </w:rPr>
        <w:t>4.1.1</w:t>
      </w:r>
      <w:r w:rsidR="00184FC1">
        <w:rPr>
          <w:rFonts w:asciiTheme="majorHAnsi" w:hAnsiTheme="majorHAnsi" w:cstheme="majorHAnsi"/>
          <w:b/>
          <w:i/>
          <w:color w:val="333333"/>
          <w:sz w:val="24"/>
          <w:szCs w:val="24"/>
          <w:vertAlign w:val="baseline"/>
          <w:lang w:val="ro-MD"/>
        </w:rPr>
        <w:t>.</w:t>
      </w:r>
    </w:p>
    <w:p w14:paraId="024575CF" w14:textId="77777777" w:rsidR="00D94273" w:rsidRPr="007917DD" w:rsidRDefault="00D94273" w:rsidP="00195E91">
      <w:pPr>
        <w:pStyle w:val="cn"/>
        <w:ind w:right="71" w:firstLine="709"/>
        <w:jc w:val="right"/>
        <w:rPr>
          <w:rFonts w:asciiTheme="majorHAnsi" w:hAnsiTheme="majorHAnsi" w:cstheme="majorHAnsi"/>
          <w:b/>
          <w:i/>
          <w:color w:val="333333"/>
          <w:lang w:val="ro-MD"/>
        </w:rPr>
      </w:pPr>
    </w:p>
    <w:p w14:paraId="02A0A79B" w14:textId="77777777" w:rsidR="00195E91" w:rsidRPr="007917DD" w:rsidRDefault="00195E91" w:rsidP="00195E91">
      <w:pPr>
        <w:pStyle w:val="cn"/>
        <w:ind w:right="71" w:firstLine="709"/>
        <w:jc w:val="both"/>
        <w:rPr>
          <w:rFonts w:asciiTheme="majorHAnsi" w:hAnsiTheme="majorHAnsi" w:cstheme="majorHAnsi"/>
          <w:color w:val="333333"/>
          <w:lang w:val="ro-MD"/>
        </w:rPr>
      </w:pPr>
      <w:r w:rsidRPr="007917DD">
        <w:rPr>
          <w:rFonts w:asciiTheme="majorHAnsi" w:hAnsiTheme="majorHAnsi" w:cstheme="majorHAnsi"/>
          <w:b/>
          <w:bCs/>
          <w:caps/>
          <w:noProof/>
          <w:lang w:val="en-US" w:eastAsia="en-US"/>
        </w:rPr>
        <mc:AlternateContent>
          <mc:Choice Requires="wpg">
            <w:drawing>
              <wp:anchor distT="0" distB="0" distL="114300" distR="114300" simplePos="0" relativeHeight="251682816" behindDoc="0" locked="0" layoutInCell="1" allowOverlap="1" wp14:anchorId="64BE0CE1" wp14:editId="4FDB1A2E">
                <wp:simplePos x="0" y="0"/>
                <wp:positionH relativeFrom="column">
                  <wp:posOffset>-27622</wp:posOffset>
                </wp:positionH>
                <wp:positionV relativeFrom="paragraph">
                  <wp:posOffset>56515</wp:posOffset>
                </wp:positionV>
                <wp:extent cx="5759450" cy="1447464"/>
                <wp:effectExtent l="38100" t="57150" r="69850" b="19685"/>
                <wp:wrapNone/>
                <wp:docPr id="13" name="Group 1"/>
                <wp:cNvGraphicFramePr/>
                <a:graphic xmlns:a="http://schemas.openxmlformats.org/drawingml/2006/main">
                  <a:graphicData uri="http://schemas.microsoft.com/office/word/2010/wordprocessingGroup">
                    <wpg:wgp>
                      <wpg:cNvGrpSpPr/>
                      <wpg:grpSpPr>
                        <a:xfrm>
                          <a:off x="0" y="0"/>
                          <a:ext cx="5759450" cy="1447464"/>
                          <a:chOff x="-16859" y="-76713"/>
                          <a:chExt cx="5760088" cy="890499"/>
                        </a:xfrm>
                      </wpg:grpSpPr>
                      <wps:wsp>
                        <wps:cNvPr id="15" name="Rounded Rectangle 6"/>
                        <wps:cNvSpPr/>
                        <wps:spPr>
                          <a:xfrm>
                            <a:off x="11719" y="-76713"/>
                            <a:ext cx="5731510" cy="259485"/>
                          </a:xfrm>
                          <a:prstGeom prst="roundRect">
                            <a:avLst>
                              <a:gd name="adj" fmla="val 50000"/>
                            </a:avLst>
                          </a:prstGeom>
                          <a:solidFill>
                            <a:srgbClr val="5B9BD5">
                              <a:lumMod val="75000"/>
                            </a:srgb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F641669" w14:textId="3F4CFB0A" w:rsidR="00F124D2" w:rsidRPr="00AB43D6" w:rsidRDefault="00F124D2" w:rsidP="00195E91">
                              <w:pPr>
                                <w:jc w:val="center"/>
                                <w:rPr>
                                  <w:rFonts w:asciiTheme="majorHAnsi" w:hAnsiTheme="majorHAnsi"/>
                                  <w:b/>
                                  <w:color w:val="000000" w:themeColor="text1"/>
                                  <w:sz w:val="24"/>
                                  <w:szCs w:val="24"/>
                                  <w:lang w:val="ro-MD"/>
                                </w:rPr>
                              </w:pPr>
                              <w:r>
                                <w:rPr>
                                  <w:rFonts w:asciiTheme="majorHAnsi" w:hAnsiTheme="majorHAnsi"/>
                                  <w:b/>
                                  <w:color w:val="000000" w:themeColor="text1"/>
                                  <w:sz w:val="24"/>
                                  <w:szCs w:val="24"/>
                                  <w:lang w:val="ro-MD"/>
                                </w:rPr>
                                <w:t xml:space="preserve">Reformarea </w:t>
                              </w:r>
                              <w:r w:rsidRPr="00AB43D6">
                                <w:rPr>
                                  <w:rFonts w:asciiTheme="majorHAnsi" w:hAnsiTheme="majorHAnsi"/>
                                  <w:b/>
                                  <w:color w:val="000000" w:themeColor="text1"/>
                                  <w:sz w:val="24"/>
                                  <w:szCs w:val="24"/>
                                  <w:lang w:val="ro-MD"/>
                                </w:rPr>
                                <w:t>sistemului infrastructurii calității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7"/>
                        <wps:cNvSpPr/>
                        <wps:spPr>
                          <a:xfrm>
                            <a:off x="-16859" y="228702"/>
                            <a:ext cx="2695074" cy="570641"/>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14:paraId="78438852" w14:textId="67908169" w:rsidR="00F124D2" w:rsidRPr="00FB1E73" w:rsidRDefault="00F124D2" w:rsidP="00195E91">
                              <w:pPr>
                                <w:jc w:val="center"/>
                                <w:rPr>
                                  <w:rFonts w:asciiTheme="majorHAnsi" w:hAnsiTheme="majorHAnsi" w:cstheme="majorHAnsi"/>
                                  <w:b/>
                                  <w:i/>
                                  <w:sz w:val="18"/>
                                  <w:szCs w:val="18"/>
                                  <w:lang w:val="ro-MD"/>
                                </w:rPr>
                              </w:pPr>
                              <w:r w:rsidRPr="006243C6">
                                <w:rPr>
                                  <w:rFonts w:asciiTheme="majorHAnsi" w:hAnsiTheme="majorHAnsi" w:cstheme="majorHAnsi"/>
                                  <w:b/>
                                  <w:i/>
                                  <w:color w:val="333333"/>
                                  <w:sz w:val="18"/>
                                  <w:szCs w:val="18"/>
                                  <w:shd w:val="clear" w:color="auto" w:fill="FFFFFF"/>
                                  <w:lang w:val="ro-MD"/>
                                </w:rPr>
                                <w:t>ÎS „</w:t>
                              </w:r>
                              <w:r w:rsidRPr="00FB1E73">
                                <w:rPr>
                                  <w:rFonts w:asciiTheme="majorHAnsi" w:hAnsiTheme="majorHAnsi" w:cstheme="majorHAnsi"/>
                                  <w:b/>
                                  <w:i/>
                                  <w:color w:val="333333"/>
                                  <w:sz w:val="18"/>
                                  <w:szCs w:val="18"/>
                                  <w:shd w:val="clear" w:color="auto" w:fill="FFFFFF"/>
                                  <w:lang w:val="ro-MD"/>
                                </w:rPr>
                                <w:t>Institutul Naţional de Standardizare şi Metrologie”, ÎS „Centrul de Standardizare şi Metrologie din Bălţi”, ÎS „Centrul de Standardizare şi Metrologie din Ceadîr-Lunga” în ÎS „Centrul de Metrologie Aplicată şi Certificare”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8"/>
                        <wps:cNvSpPr/>
                        <wps:spPr>
                          <a:xfrm>
                            <a:off x="2866843" y="247732"/>
                            <a:ext cx="2776889" cy="566054"/>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14:paraId="72F142AD" w14:textId="77777777" w:rsidR="00F124D2" w:rsidRDefault="00F124D2" w:rsidP="00195E91">
                              <w:pPr>
                                <w:spacing w:after="0"/>
                                <w:jc w:val="center"/>
                                <w:rPr>
                                  <w:rFonts w:asciiTheme="majorHAnsi" w:hAnsiTheme="majorHAnsi" w:cstheme="majorHAnsi"/>
                                  <w:b/>
                                  <w:i/>
                                  <w:color w:val="333333"/>
                                  <w:shd w:val="clear" w:color="auto" w:fill="FFFFFF"/>
                                  <w:lang w:val="ro-MD"/>
                                </w:rPr>
                              </w:pPr>
                              <w:r w:rsidRPr="00FB1E73">
                                <w:rPr>
                                  <w:rFonts w:asciiTheme="majorHAnsi" w:hAnsiTheme="majorHAnsi" w:cstheme="majorHAnsi"/>
                                  <w:b/>
                                  <w:i/>
                                  <w:color w:val="333333"/>
                                  <w:shd w:val="clear" w:color="auto" w:fill="FFFFFF"/>
                                  <w:lang w:val="ro-MD"/>
                                </w:rPr>
                                <w:t>Institutul Naţional de Metrologie</w:t>
                              </w:r>
                              <w:r>
                                <w:rPr>
                                  <w:rFonts w:asciiTheme="majorHAnsi" w:hAnsiTheme="majorHAnsi" w:cstheme="majorHAnsi"/>
                                  <w:b/>
                                  <w:i/>
                                  <w:color w:val="333333"/>
                                  <w:shd w:val="clear" w:color="auto" w:fill="FFFFFF"/>
                                  <w:lang w:val="ro-MD"/>
                                </w:rPr>
                                <w:t>(INM)</w:t>
                              </w:r>
                              <w:r w:rsidRPr="00FB1E73">
                                <w:rPr>
                                  <w:rFonts w:asciiTheme="majorHAnsi" w:hAnsiTheme="majorHAnsi" w:cstheme="majorHAnsi"/>
                                  <w:b/>
                                  <w:i/>
                                  <w:color w:val="333333"/>
                                  <w:shd w:val="clear" w:color="auto" w:fill="FFFFFF"/>
                                  <w:lang w:val="ro-MD"/>
                                </w:rPr>
                                <w:t xml:space="preserve"> </w:t>
                              </w:r>
                            </w:p>
                            <w:p w14:paraId="2C97D3CB" w14:textId="77777777" w:rsidR="00F124D2" w:rsidRDefault="00F124D2" w:rsidP="00195E91">
                              <w:pPr>
                                <w:spacing w:after="0"/>
                                <w:jc w:val="center"/>
                                <w:rPr>
                                  <w:rFonts w:asciiTheme="majorHAnsi" w:hAnsiTheme="majorHAnsi" w:cstheme="majorHAnsi"/>
                                  <w:b/>
                                  <w:i/>
                                  <w:color w:val="333333"/>
                                  <w:shd w:val="clear" w:color="auto" w:fill="FFFFFF"/>
                                  <w:lang w:val="ro-MD"/>
                                </w:rPr>
                              </w:pPr>
                              <w:r w:rsidRPr="00FB1E73">
                                <w:rPr>
                                  <w:rFonts w:asciiTheme="majorHAnsi" w:hAnsiTheme="majorHAnsi" w:cstheme="majorHAnsi"/>
                                  <w:b/>
                                  <w:i/>
                                  <w:color w:val="333333"/>
                                  <w:shd w:val="clear" w:color="auto" w:fill="FFFFFF"/>
                                  <w:lang w:val="ro-MD"/>
                                </w:rPr>
                                <w:t>şi</w:t>
                              </w:r>
                            </w:p>
                            <w:p w14:paraId="57A4F0C8" w14:textId="77777777" w:rsidR="00F124D2" w:rsidRPr="00FB1E73" w:rsidRDefault="00F124D2" w:rsidP="00195E91">
                              <w:pPr>
                                <w:spacing w:after="0"/>
                                <w:jc w:val="center"/>
                                <w:rPr>
                                  <w:rFonts w:asciiTheme="majorHAnsi" w:hAnsiTheme="majorHAnsi" w:cstheme="majorHAnsi"/>
                                  <w:b/>
                                  <w:i/>
                                  <w:lang w:val="ro-MD"/>
                                </w:rPr>
                              </w:pPr>
                              <w:r w:rsidRPr="00FB1E73">
                                <w:rPr>
                                  <w:rFonts w:asciiTheme="majorHAnsi" w:hAnsiTheme="majorHAnsi" w:cstheme="majorHAnsi"/>
                                  <w:b/>
                                  <w:i/>
                                  <w:color w:val="333333"/>
                                  <w:shd w:val="clear" w:color="auto" w:fill="FFFFFF"/>
                                  <w:lang w:val="ro-MD"/>
                                </w:rPr>
                                <w:t xml:space="preserve"> Institutul de Standardizare din Moldova</w:t>
                              </w:r>
                              <w:r>
                                <w:rPr>
                                  <w:rFonts w:asciiTheme="majorHAnsi" w:hAnsiTheme="majorHAnsi" w:cstheme="majorHAnsi"/>
                                  <w:b/>
                                  <w:i/>
                                  <w:color w:val="333333"/>
                                  <w:shd w:val="clear" w:color="auto" w:fill="FFFFFF"/>
                                  <w:lang w:val="ro-MD"/>
                                </w:rPr>
                                <w:t>(ISM)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E0CE1" id="Group 1" o:spid="_x0000_s1026" style="position:absolute;left:0;text-align:left;margin-left:-2.15pt;margin-top:4.45pt;width:453.5pt;height:113.95pt;z-index:251682816;mso-width-relative:margin;mso-height-relative:margin" coordorigin="-168,-767" coordsize="57600,8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">
                <v:roundrect id="Rounded Rectangle 6" o:spid="_x0000_s1027" style="position:absolute;left:117;top:-767;width:57315;height:259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" fillcolor="#2e75b6" stroked="f" strokeweight="1pt">
                  <v:stroke joinstyle="miter"/>
                  <v:shadow on="t" color="black" opacity="20971f" offset="0,2.2pt"/>
                  <v:textbox>
                    <w:txbxContent>
                      <w:p w14:paraId="6F641669" w14:textId="3F4CFB0A" w:rsidR="00F124D2" w:rsidRPr="00AB43D6" w:rsidRDefault="00F124D2" w:rsidP="00195E91">
                        <w:pPr>
                          <w:jc w:val="center"/>
                          <w:rPr>
                            <w:rFonts w:asciiTheme="majorHAnsi" w:hAnsiTheme="majorHAnsi"/>
                            <w:b/>
                            <w:color w:val="000000" w:themeColor="text1"/>
                            <w:sz w:val="24"/>
                            <w:szCs w:val="24"/>
                            <w:lang w:val="ro-MD"/>
                          </w:rPr>
                        </w:pPr>
                        <w:r>
                          <w:rPr>
                            <w:rFonts w:asciiTheme="majorHAnsi" w:hAnsiTheme="majorHAnsi"/>
                            <w:b/>
                            <w:color w:val="000000" w:themeColor="text1"/>
                            <w:sz w:val="24"/>
                            <w:szCs w:val="24"/>
                            <w:lang w:val="ro-MD"/>
                          </w:rPr>
                          <w:t xml:space="preserve">Reformarea </w:t>
                        </w:r>
                        <w:r w:rsidRPr="00AB43D6">
                          <w:rPr>
                            <w:rFonts w:asciiTheme="majorHAnsi" w:hAnsiTheme="majorHAnsi"/>
                            <w:b/>
                            <w:color w:val="000000" w:themeColor="text1"/>
                            <w:sz w:val="24"/>
                            <w:szCs w:val="24"/>
                            <w:lang w:val="ro-MD"/>
                          </w:rPr>
                          <w:t>sistemului infrastructurii calității</w:t>
                        </w:r>
                      </w:p>
                    </w:txbxContent>
                  </v:textbox>
                </v:roundrect>
                <v:roundrect id="Rounded Rectangle 7" o:spid="_x0000_s1028" style="position:absolute;left:-168;top:2287;width:26950;height:5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" fillcolor="window" strokecolor="#c55a11" strokeweight="1pt">
                  <v:stroke dashstyle="dash" joinstyle="miter"/>
                  <v:textbox>
                    <w:txbxContent>
                      <w:p w14:paraId="78438852" w14:textId="67908169" w:rsidR="00F124D2" w:rsidRPr="00FB1E73" w:rsidRDefault="00F124D2" w:rsidP="00195E91">
                        <w:pPr>
                          <w:jc w:val="center"/>
                          <w:rPr>
                            <w:rFonts w:asciiTheme="majorHAnsi" w:hAnsiTheme="majorHAnsi" w:cstheme="majorHAnsi"/>
                            <w:b/>
                            <w:i/>
                            <w:sz w:val="18"/>
                            <w:szCs w:val="18"/>
                            <w:lang w:val="ro-MD"/>
                          </w:rPr>
                        </w:pPr>
                        <w:r w:rsidRPr="006243C6">
                          <w:rPr>
                            <w:rFonts w:asciiTheme="majorHAnsi" w:hAnsiTheme="majorHAnsi" w:cstheme="majorHAnsi"/>
                            <w:b/>
                            <w:i/>
                            <w:color w:val="333333"/>
                            <w:sz w:val="18"/>
                            <w:szCs w:val="18"/>
                            <w:shd w:val="clear" w:color="auto" w:fill="FFFFFF"/>
                            <w:lang w:val="ro-MD"/>
                          </w:rPr>
                          <w:t>ÎS „</w:t>
                        </w:r>
                        <w:r w:rsidRPr="00FB1E73">
                          <w:rPr>
                            <w:rFonts w:asciiTheme="majorHAnsi" w:hAnsiTheme="majorHAnsi" w:cstheme="majorHAnsi"/>
                            <w:b/>
                            <w:i/>
                            <w:color w:val="333333"/>
                            <w:sz w:val="18"/>
                            <w:szCs w:val="18"/>
                            <w:shd w:val="clear" w:color="auto" w:fill="FFFFFF"/>
                            <w:lang w:val="ro-MD"/>
                          </w:rPr>
                          <w:t>Institutul Naţional de Standardizare şi Metrologie”, ÎS „Centrul de Standardizare şi Metrologie din Bălţi”, ÎS „Centrul de Standardizare şi Metrologie din Ceadîr-Lunga” în ÎS „Centrul de Metrologie Aplicată şi Certificare”</w:t>
                        </w:r>
                      </w:p>
                    </w:txbxContent>
                  </v:textbox>
                </v:roundrect>
                <v:roundrect id="Rounded Rectangle 8" o:spid="_x0000_s1029" style="position:absolute;left:28668;top:2477;width:27769;height:5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" fillcolor="window" strokecolor="#c55a11" strokeweight="1pt">
                  <v:stroke dashstyle="dash" joinstyle="miter"/>
                  <v:textbox>
                    <w:txbxContent>
                      <w:p w14:paraId="72F142AD" w14:textId="77777777" w:rsidR="00F124D2" w:rsidRDefault="00F124D2" w:rsidP="00195E91">
                        <w:pPr>
                          <w:spacing w:after="0"/>
                          <w:jc w:val="center"/>
                          <w:rPr>
                            <w:rFonts w:asciiTheme="majorHAnsi" w:hAnsiTheme="majorHAnsi" w:cstheme="majorHAnsi"/>
                            <w:b/>
                            <w:i/>
                            <w:color w:val="333333"/>
                            <w:shd w:val="clear" w:color="auto" w:fill="FFFFFF"/>
                            <w:lang w:val="ro-MD"/>
                          </w:rPr>
                        </w:pPr>
                        <w:r w:rsidRPr="00FB1E73">
                          <w:rPr>
                            <w:rFonts w:asciiTheme="majorHAnsi" w:hAnsiTheme="majorHAnsi" w:cstheme="majorHAnsi"/>
                            <w:b/>
                            <w:i/>
                            <w:color w:val="333333"/>
                            <w:shd w:val="clear" w:color="auto" w:fill="FFFFFF"/>
                            <w:lang w:val="ro-MD"/>
                          </w:rPr>
                          <w:t>Institutul Naţional de Metrologie</w:t>
                        </w:r>
                        <w:r>
                          <w:rPr>
                            <w:rFonts w:asciiTheme="majorHAnsi" w:hAnsiTheme="majorHAnsi" w:cstheme="majorHAnsi"/>
                            <w:b/>
                            <w:i/>
                            <w:color w:val="333333"/>
                            <w:shd w:val="clear" w:color="auto" w:fill="FFFFFF"/>
                            <w:lang w:val="ro-MD"/>
                          </w:rPr>
                          <w:t>(INM)</w:t>
                        </w:r>
                        <w:r w:rsidRPr="00FB1E73">
                          <w:rPr>
                            <w:rFonts w:asciiTheme="majorHAnsi" w:hAnsiTheme="majorHAnsi" w:cstheme="majorHAnsi"/>
                            <w:b/>
                            <w:i/>
                            <w:color w:val="333333"/>
                            <w:shd w:val="clear" w:color="auto" w:fill="FFFFFF"/>
                            <w:lang w:val="ro-MD"/>
                          </w:rPr>
                          <w:t xml:space="preserve"> </w:t>
                        </w:r>
                      </w:p>
                      <w:p w14:paraId="2C97D3CB" w14:textId="77777777" w:rsidR="00F124D2" w:rsidRDefault="00F124D2" w:rsidP="00195E91">
                        <w:pPr>
                          <w:spacing w:after="0"/>
                          <w:jc w:val="center"/>
                          <w:rPr>
                            <w:rFonts w:asciiTheme="majorHAnsi" w:hAnsiTheme="majorHAnsi" w:cstheme="majorHAnsi"/>
                            <w:b/>
                            <w:i/>
                            <w:color w:val="333333"/>
                            <w:shd w:val="clear" w:color="auto" w:fill="FFFFFF"/>
                            <w:lang w:val="ro-MD"/>
                          </w:rPr>
                        </w:pPr>
                        <w:r w:rsidRPr="00FB1E73">
                          <w:rPr>
                            <w:rFonts w:asciiTheme="majorHAnsi" w:hAnsiTheme="majorHAnsi" w:cstheme="majorHAnsi"/>
                            <w:b/>
                            <w:i/>
                            <w:color w:val="333333"/>
                            <w:shd w:val="clear" w:color="auto" w:fill="FFFFFF"/>
                            <w:lang w:val="ro-MD"/>
                          </w:rPr>
                          <w:t>şi</w:t>
                        </w:r>
                      </w:p>
                      <w:p w14:paraId="57A4F0C8" w14:textId="77777777" w:rsidR="00F124D2" w:rsidRPr="00FB1E73" w:rsidRDefault="00F124D2" w:rsidP="00195E91">
                        <w:pPr>
                          <w:spacing w:after="0"/>
                          <w:jc w:val="center"/>
                          <w:rPr>
                            <w:rFonts w:asciiTheme="majorHAnsi" w:hAnsiTheme="majorHAnsi" w:cstheme="majorHAnsi"/>
                            <w:b/>
                            <w:i/>
                            <w:lang w:val="ro-MD"/>
                          </w:rPr>
                        </w:pPr>
                        <w:r w:rsidRPr="00FB1E73">
                          <w:rPr>
                            <w:rFonts w:asciiTheme="majorHAnsi" w:hAnsiTheme="majorHAnsi" w:cstheme="majorHAnsi"/>
                            <w:b/>
                            <w:i/>
                            <w:color w:val="333333"/>
                            <w:shd w:val="clear" w:color="auto" w:fill="FFFFFF"/>
                            <w:lang w:val="ro-MD"/>
                          </w:rPr>
                          <w:t xml:space="preserve"> Institutul de Standardizare din Moldova</w:t>
                        </w:r>
                        <w:r>
                          <w:rPr>
                            <w:rFonts w:asciiTheme="majorHAnsi" w:hAnsiTheme="majorHAnsi" w:cstheme="majorHAnsi"/>
                            <w:b/>
                            <w:i/>
                            <w:color w:val="333333"/>
                            <w:shd w:val="clear" w:color="auto" w:fill="FFFFFF"/>
                            <w:lang w:val="ro-MD"/>
                          </w:rPr>
                          <w:t>(ISM)</w:t>
                        </w:r>
                      </w:p>
                    </w:txbxContent>
                  </v:textbox>
                </v:roundrect>
              </v:group>
            </w:pict>
          </mc:Fallback>
        </mc:AlternateContent>
      </w:r>
      <w:r w:rsidRPr="007917DD">
        <w:rPr>
          <w:rFonts w:asciiTheme="majorHAnsi" w:hAnsiTheme="majorHAnsi" w:cstheme="majorHAnsi"/>
          <w:color w:val="333333"/>
          <w:lang w:val="ro-MD"/>
        </w:rPr>
        <w:t xml:space="preserve"> </w:t>
      </w:r>
    </w:p>
    <w:p w14:paraId="684A9BC8"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11472386"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712A8A51"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08093FF0" w14:textId="77777777" w:rsidR="00195E91" w:rsidRPr="007917DD" w:rsidRDefault="00195E91" w:rsidP="00195E91">
      <w:pPr>
        <w:pStyle w:val="cn"/>
        <w:ind w:right="71" w:firstLine="709"/>
        <w:jc w:val="both"/>
        <w:rPr>
          <w:rFonts w:asciiTheme="majorHAnsi" w:hAnsiTheme="majorHAnsi" w:cstheme="majorHAnsi"/>
          <w:color w:val="333333"/>
          <w:lang w:val="ro-MD"/>
        </w:rPr>
      </w:pPr>
      <w:r w:rsidRPr="007917DD">
        <w:rPr>
          <w:rFonts w:asciiTheme="majorHAnsi" w:hAnsiTheme="majorHAnsi" w:cstheme="majorHAnsi"/>
          <w:noProof/>
          <w:color w:val="333333"/>
          <w:lang w:val="en-US" w:eastAsia="en-US"/>
        </w:rPr>
        <mc:AlternateContent>
          <mc:Choice Requires="wps">
            <w:drawing>
              <wp:anchor distT="0" distB="0" distL="114300" distR="114300" simplePos="0" relativeHeight="251685888" behindDoc="0" locked="0" layoutInCell="1" allowOverlap="1" wp14:anchorId="42BDC062" wp14:editId="048A49BF">
                <wp:simplePos x="0" y="0"/>
                <wp:positionH relativeFrom="margin">
                  <wp:posOffset>2597439</wp:posOffset>
                </wp:positionH>
                <wp:positionV relativeFrom="paragraph">
                  <wp:posOffset>29210</wp:posOffset>
                </wp:positionV>
                <wp:extent cx="630382" cy="484632"/>
                <wp:effectExtent l="0" t="19050" r="36830" b="29845"/>
                <wp:wrapNone/>
                <wp:docPr id="19" name="Right Arrow 4"/>
                <wp:cNvGraphicFramePr/>
                <a:graphic xmlns:a="http://schemas.openxmlformats.org/drawingml/2006/main">
                  <a:graphicData uri="http://schemas.microsoft.com/office/word/2010/wordprocessingShape">
                    <wps:wsp>
                      <wps:cNvSpPr/>
                      <wps:spPr>
                        <a:xfrm>
                          <a:off x="0" y="0"/>
                          <a:ext cx="630382"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89E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4.5pt;margin-top:2.3pt;width:49.65pt;height:38.1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" adj="13297" fillcolor="#5b9bd5" strokecolor="#41719c" strokeweight="1pt">
                <w10:wrap anchorx="margin"/>
              </v:shape>
            </w:pict>
          </mc:Fallback>
        </mc:AlternateContent>
      </w:r>
    </w:p>
    <w:p w14:paraId="65E68D10"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58BE8577"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2012FA3A"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13164E4D"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59C6A189" w14:textId="77777777" w:rsidR="00195E91" w:rsidRPr="007917DD" w:rsidRDefault="00195E91" w:rsidP="00195E91">
      <w:pPr>
        <w:pStyle w:val="cn"/>
        <w:ind w:right="71" w:firstLine="709"/>
        <w:jc w:val="both"/>
        <w:rPr>
          <w:rFonts w:asciiTheme="majorHAnsi" w:hAnsiTheme="majorHAnsi" w:cstheme="majorHAnsi"/>
          <w:color w:val="333333"/>
          <w:lang w:val="ro-MD"/>
        </w:rPr>
      </w:pPr>
      <w:r w:rsidRPr="007917DD">
        <w:rPr>
          <w:rFonts w:asciiTheme="majorHAnsi" w:hAnsiTheme="majorHAnsi" w:cstheme="majorHAnsi"/>
          <w:noProof/>
          <w:color w:val="333333"/>
          <w:lang w:val="en-US" w:eastAsia="en-US"/>
        </w:rPr>
        <mc:AlternateContent>
          <mc:Choice Requires="wps">
            <w:drawing>
              <wp:anchor distT="0" distB="0" distL="114300" distR="114300" simplePos="0" relativeHeight="251686912" behindDoc="0" locked="0" layoutInCell="1" allowOverlap="1" wp14:anchorId="483BC535" wp14:editId="38094B29">
                <wp:simplePos x="0" y="0"/>
                <wp:positionH relativeFrom="margin">
                  <wp:posOffset>2554605</wp:posOffset>
                </wp:positionH>
                <wp:positionV relativeFrom="paragraph">
                  <wp:posOffset>158116</wp:posOffset>
                </wp:positionV>
                <wp:extent cx="609600" cy="434340"/>
                <wp:effectExtent l="0" t="19050" r="38100" b="41910"/>
                <wp:wrapNone/>
                <wp:docPr id="20" name="Right Arrow 5"/>
                <wp:cNvGraphicFramePr/>
                <a:graphic xmlns:a="http://schemas.openxmlformats.org/drawingml/2006/main">
                  <a:graphicData uri="http://schemas.microsoft.com/office/word/2010/wordprocessingShape">
                    <wps:wsp>
                      <wps:cNvSpPr/>
                      <wps:spPr>
                        <a:xfrm>
                          <a:off x="0" y="0"/>
                          <a:ext cx="609600" cy="4343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A86C" id="Right Arrow 5" o:spid="_x0000_s1026" type="#_x0000_t13" style="position:absolute;margin-left:201.15pt;margin-top:12.45pt;width:48pt;height:3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" adj="13905" fillcolor="#5b9bd5" strokecolor="#41719c" strokeweight="1pt">
                <w10:wrap anchorx="margin"/>
              </v:shape>
            </w:pict>
          </mc:Fallback>
        </mc:AlternateContent>
      </w:r>
      <w:r w:rsidRPr="007917DD">
        <w:rPr>
          <w:rFonts w:asciiTheme="majorHAnsi" w:hAnsiTheme="majorHAnsi" w:cstheme="majorHAnsi"/>
          <w:noProof/>
          <w:lang w:val="en-US" w:eastAsia="en-US"/>
        </w:rPr>
        <mc:AlternateContent>
          <mc:Choice Requires="wps">
            <w:drawing>
              <wp:anchor distT="0" distB="0" distL="114300" distR="114300" simplePos="0" relativeHeight="251684864" behindDoc="0" locked="0" layoutInCell="1" allowOverlap="1" wp14:anchorId="5795339E" wp14:editId="11EA186E">
                <wp:simplePos x="0" y="0"/>
                <wp:positionH relativeFrom="margin">
                  <wp:align>left</wp:align>
                </wp:positionH>
                <wp:positionV relativeFrom="paragraph">
                  <wp:posOffset>13335</wp:posOffset>
                </wp:positionV>
                <wp:extent cx="2694305" cy="571500"/>
                <wp:effectExtent l="0" t="0" r="10795" b="19050"/>
                <wp:wrapNone/>
                <wp:docPr id="21" name="Rounded Rectangle 11"/>
                <wp:cNvGraphicFramePr/>
                <a:graphic xmlns:a="http://schemas.openxmlformats.org/drawingml/2006/main">
                  <a:graphicData uri="http://schemas.microsoft.com/office/word/2010/wordprocessingShape">
                    <wps:wsp>
                      <wps:cNvSpPr/>
                      <wps:spPr>
                        <a:xfrm>
                          <a:off x="0" y="0"/>
                          <a:ext cx="2694305" cy="571500"/>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14:paraId="7A4E3685" w14:textId="36259AD0" w:rsidR="00F124D2" w:rsidRPr="00FB1E73" w:rsidRDefault="00F124D2" w:rsidP="00195E91">
                            <w:pPr>
                              <w:jc w:val="center"/>
                              <w:rPr>
                                <w:rFonts w:asciiTheme="majorHAnsi" w:hAnsiTheme="majorHAnsi" w:cstheme="majorHAnsi"/>
                                <w:b/>
                                <w:i/>
                                <w:sz w:val="20"/>
                                <w:szCs w:val="18"/>
                                <w:lang w:val="ro-MD"/>
                              </w:rPr>
                            </w:pPr>
                            <w:r w:rsidRPr="00FB1E73">
                              <w:rPr>
                                <w:rFonts w:asciiTheme="majorHAnsi" w:hAnsiTheme="majorHAnsi" w:cstheme="majorHAnsi"/>
                                <w:b/>
                                <w:i/>
                                <w:sz w:val="20"/>
                                <w:szCs w:val="18"/>
                                <w:lang w:val="ro-MD"/>
                              </w:rPr>
                              <w:t>ÎS</w:t>
                            </w:r>
                            <w:r>
                              <w:rPr>
                                <w:rFonts w:asciiTheme="majorHAnsi" w:hAnsiTheme="majorHAnsi" w:cstheme="majorHAnsi"/>
                                <w:b/>
                                <w:i/>
                                <w:sz w:val="20"/>
                                <w:szCs w:val="18"/>
                                <w:lang w:val="ro-MD"/>
                              </w:rPr>
                              <w:t xml:space="preserve"> „</w:t>
                            </w:r>
                            <w:r w:rsidRPr="00FB1E73">
                              <w:rPr>
                                <w:rFonts w:asciiTheme="majorHAnsi" w:hAnsiTheme="majorHAnsi" w:cstheme="majorHAnsi"/>
                                <w:b/>
                                <w:i/>
                                <w:sz w:val="20"/>
                                <w:szCs w:val="18"/>
                                <w:lang w:val="ro-MD"/>
                              </w:rPr>
                              <w:t xml:space="preserve">Centrul de Acreditare în domeniul Evaluării Conformității </w:t>
                            </w:r>
                            <w:r>
                              <w:rPr>
                                <w:rFonts w:asciiTheme="majorHAnsi" w:hAnsiTheme="majorHAnsi" w:cstheme="majorHAnsi"/>
                                <w:b/>
                                <w:i/>
                                <w:sz w:val="20"/>
                                <w:szCs w:val="18"/>
                                <w:lang w:val="ro-MD"/>
                              </w:rPr>
                              <w:t>P</w:t>
                            </w:r>
                            <w:r w:rsidRPr="00FB1E73">
                              <w:rPr>
                                <w:rFonts w:asciiTheme="majorHAnsi" w:hAnsiTheme="majorHAnsi" w:cstheme="majorHAnsi"/>
                                <w:b/>
                                <w:i/>
                                <w:sz w:val="20"/>
                                <w:szCs w:val="18"/>
                                <w:lang w:val="ro-MD"/>
                              </w:rPr>
                              <w:t>roduselor</w:t>
                            </w:r>
                            <w:r>
                              <w:rPr>
                                <w:rFonts w:asciiTheme="majorHAnsi" w:hAnsiTheme="majorHAnsi" w:cstheme="majorHAnsi"/>
                                <w:b/>
                                <w:i/>
                                <w:sz w:val="20"/>
                                <w:szCs w:val="18"/>
                                <w:lang w:val="ro-M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5339E" id="Rounded Rectangle 11" o:spid="_x0000_s1030" style="position:absolute;left:0;text-align:left;margin-left:0;margin-top:1.05pt;width:212.15pt;height:4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" fillcolor="window" strokecolor="#c55a11" strokeweight="1pt">
                <v:stroke dashstyle="dash" joinstyle="miter"/>
                <v:textbox>
                  <w:txbxContent>
                    <w:p w14:paraId="7A4E3685" w14:textId="36259AD0" w:rsidR="00F124D2" w:rsidRPr="00FB1E73" w:rsidRDefault="00F124D2" w:rsidP="00195E91">
                      <w:pPr>
                        <w:jc w:val="center"/>
                        <w:rPr>
                          <w:rFonts w:asciiTheme="majorHAnsi" w:hAnsiTheme="majorHAnsi" w:cstheme="majorHAnsi"/>
                          <w:b/>
                          <w:i/>
                          <w:sz w:val="20"/>
                          <w:szCs w:val="18"/>
                          <w:lang w:val="ro-MD"/>
                        </w:rPr>
                      </w:pPr>
                      <w:r w:rsidRPr="00FB1E73">
                        <w:rPr>
                          <w:rFonts w:asciiTheme="majorHAnsi" w:hAnsiTheme="majorHAnsi" w:cstheme="majorHAnsi"/>
                          <w:b/>
                          <w:i/>
                          <w:sz w:val="20"/>
                          <w:szCs w:val="18"/>
                          <w:lang w:val="ro-MD"/>
                        </w:rPr>
                        <w:t>ÎS</w:t>
                      </w:r>
                      <w:r>
                        <w:rPr>
                          <w:rFonts w:asciiTheme="majorHAnsi" w:hAnsiTheme="majorHAnsi" w:cstheme="majorHAnsi"/>
                          <w:b/>
                          <w:i/>
                          <w:sz w:val="20"/>
                          <w:szCs w:val="18"/>
                          <w:lang w:val="ro-MD"/>
                        </w:rPr>
                        <w:t xml:space="preserve"> „</w:t>
                      </w:r>
                      <w:r w:rsidRPr="00FB1E73">
                        <w:rPr>
                          <w:rFonts w:asciiTheme="majorHAnsi" w:hAnsiTheme="majorHAnsi" w:cstheme="majorHAnsi"/>
                          <w:b/>
                          <w:i/>
                          <w:sz w:val="20"/>
                          <w:szCs w:val="18"/>
                          <w:lang w:val="ro-MD"/>
                        </w:rPr>
                        <w:t xml:space="preserve">Centrul de Acreditare în domeniul Evaluării Conformității </w:t>
                      </w:r>
                      <w:r>
                        <w:rPr>
                          <w:rFonts w:asciiTheme="majorHAnsi" w:hAnsiTheme="majorHAnsi" w:cstheme="majorHAnsi"/>
                          <w:b/>
                          <w:i/>
                          <w:sz w:val="20"/>
                          <w:szCs w:val="18"/>
                          <w:lang w:val="ro-MD"/>
                        </w:rPr>
                        <w:t>P</w:t>
                      </w:r>
                      <w:r w:rsidRPr="00FB1E73">
                        <w:rPr>
                          <w:rFonts w:asciiTheme="majorHAnsi" w:hAnsiTheme="majorHAnsi" w:cstheme="majorHAnsi"/>
                          <w:b/>
                          <w:i/>
                          <w:sz w:val="20"/>
                          <w:szCs w:val="18"/>
                          <w:lang w:val="ro-MD"/>
                        </w:rPr>
                        <w:t>roduselor</w:t>
                      </w:r>
                      <w:r>
                        <w:rPr>
                          <w:rFonts w:asciiTheme="majorHAnsi" w:hAnsiTheme="majorHAnsi" w:cstheme="majorHAnsi"/>
                          <w:b/>
                          <w:i/>
                          <w:sz w:val="20"/>
                          <w:szCs w:val="18"/>
                          <w:lang w:val="ro-MD"/>
                        </w:rPr>
                        <w:t>”</w:t>
                      </w:r>
                    </w:p>
                  </w:txbxContent>
                </v:textbox>
                <w10:wrap anchorx="margin"/>
              </v:roundrect>
            </w:pict>
          </mc:Fallback>
        </mc:AlternateContent>
      </w:r>
      <w:r w:rsidRPr="007917DD">
        <w:rPr>
          <w:rFonts w:asciiTheme="majorHAnsi" w:hAnsiTheme="majorHAnsi" w:cstheme="majorHAnsi"/>
          <w:noProof/>
          <w:lang w:val="en-US" w:eastAsia="en-US"/>
        </w:rPr>
        <mc:AlternateContent>
          <mc:Choice Requires="wps">
            <w:drawing>
              <wp:anchor distT="0" distB="0" distL="114300" distR="114300" simplePos="0" relativeHeight="251683840" behindDoc="0" locked="0" layoutInCell="1" allowOverlap="1" wp14:anchorId="5CB7FA3E" wp14:editId="190804E7">
                <wp:simplePos x="0" y="0"/>
                <wp:positionH relativeFrom="column">
                  <wp:posOffset>2874645</wp:posOffset>
                </wp:positionH>
                <wp:positionV relativeFrom="paragraph">
                  <wp:posOffset>5716</wp:posOffset>
                </wp:positionV>
                <wp:extent cx="2760345" cy="609600"/>
                <wp:effectExtent l="0" t="0" r="20955" b="19050"/>
                <wp:wrapNone/>
                <wp:docPr id="22" name="Rounded Rectangle 10"/>
                <wp:cNvGraphicFramePr/>
                <a:graphic xmlns:a="http://schemas.openxmlformats.org/drawingml/2006/main">
                  <a:graphicData uri="http://schemas.microsoft.com/office/word/2010/wordprocessingShape">
                    <wps:wsp>
                      <wps:cNvSpPr/>
                      <wps:spPr>
                        <a:xfrm>
                          <a:off x="0" y="0"/>
                          <a:ext cx="2760345" cy="609600"/>
                        </a:xfrm>
                        <a:prstGeom prst="roundRect">
                          <a:avLst/>
                        </a:prstGeom>
                        <a:solidFill>
                          <a:sysClr val="window" lastClr="FFFFFF"/>
                        </a:solidFill>
                        <a:ln w="12700" cap="flat" cmpd="sng" algn="ctr">
                          <a:solidFill>
                            <a:srgbClr val="ED7D31">
                              <a:lumMod val="75000"/>
                            </a:srgbClr>
                          </a:solidFill>
                          <a:prstDash val="dash"/>
                          <a:miter lim="800000"/>
                        </a:ln>
                        <a:effectLst/>
                      </wps:spPr>
                      <wps:txbx>
                        <w:txbxContent>
                          <w:p w14:paraId="6A1BCBC4" w14:textId="77777777" w:rsidR="00F124D2" w:rsidRPr="00AB43D6" w:rsidRDefault="00F124D2" w:rsidP="00195E91">
                            <w:pPr>
                              <w:jc w:val="center"/>
                              <w:rPr>
                                <w:rFonts w:asciiTheme="majorHAnsi" w:hAnsiTheme="majorHAnsi" w:cstheme="majorHAnsi"/>
                                <w:b/>
                                <w:i/>
                                <w:sz w:val="18"/>
                                <w:szCs w:val="18"/>
                                <w:lang w:val="ro-MD"/>
                              </w:rPr>
                            </w:pPr>
                            <w:r>
                              <w:rPr>
                                <w:rFonts w:asciiTheme="majorHAnsi" w:hAnsiTheme="majorHAnsi" w:cstheme="majorHAnsi"/>
                                <w:b/>
                                <w:i/>
                                <w:sz w:val="18"/>
                                <w:szCs w:val="18"/>
                                <w:lang w:val="ro-MD"/>
                              </w:rPr>
                              <w:t>IP ,,Centrul Național de Acreditare din Republica Moldova’’ (MOLDAC)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7FA3E" id="Rounded Rectangle 10" o:spid="_x0000_s1031" style="position:absolute;left:0;text-align:left;margin-left:226.35pt;margin-top:.45pt;width:217.3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" fillcolor="window" strokecolor="#c55a11" strokeweight="1pt">
                <v:stroke dashstyle="dash" joinstyle="miter"/>
                <v:textbox>
                  <w:txbxContent>
                    <w:p w14:paraId="6A1BCBC4" w14:textId="77777777" w:rsidR="00F124D2" w:rsidRPr="00AB43D6" w:rsidRDefault="00F124D2" w:rsidP="00195E91">
                      <w:pPr>
                        <w:jc w:val="center"/>
                        <w:rPr>
                          <w:rFonts w:asciiTheme="majorHAnsi" w:hAnsiTheme="majorHAnsi" w:cstheme="majorHAnsi"/>
                          <w:b/>
                          <w:i/>
                          <w:sz w:val="18"/>
                          <w:szCs w:val="18"/>
                          <w:lang w:val="ro-MD"/>
                        </w:rPr>
                      </w:pPr>
                      <w:r>
                        <w:rPr>
                          <w:rFonts w:asciiTheme="majorHAnsi" w:hAnsiTheme="majorHAnsi" w:cstheme="majorHAnsi"/>
                          <w:b/>
                          <w:i/>
                          <w:sz w:val="18"/>
                          <w:szCs w:val="18"/>
                          <w:lang w:val="ro-MD"/>
                        </w:rPr>
                        <w:t>IP ,,Centrul Național de Acreditare din Republica Moldova’’ (MOLDAC)</w:t>
                      </w:r>
                    </w:p>
                  </w:txbxContent>
                </v:textbox>
              </v:roundrect>
            </w:pict>
          </mc:Fallback>
        </mc:AlternateContent>
      </w:r>
    </w:p>
    <w:p w14:paraId="342FDC23" w14:textId="77777777" w:rsidR="00195E91" w:rsidRPr="007917DD" w:rsidRDefault="00195E91" w:rsidP="00195E91">
      <w:pPr>
        <w:pStyle w:val="cn"/>
        <w:ind w:right="71" w:firstLine="709"/>
        <w:jc w:val="both"/>
        <w:rPr>
          <w:rFonts w:asciiTheme="majorHAnsi" w:hAnsiTheme="majorHAnsi" w:cstheme="majorHAnsi"/>
          <w:color w:val="333333"/>
          <w:lang w:val="ro-MD"/>
        </w:rPr>
      </w:pPr>
    </w:p>
    <w:p w14:paraId="2B1CFC9D" w14:textId="77777777" w:rsidR="00195E91" w:rsidRPr="007917DD" w:rsidRDefault="00195E91" w:rsidP="00195E91">
      <w:pPr>
        <w:pStyle w:val="cn"/>
        <w:ind w:right="71" w:firstLine="709"/>
        <w:jc w:val="both"/>
        <w:rPr>
          <w:rFonts w:asciiTheme="majorHAnsi" w:hAnsiTheme="majorHAnsi" w:cstheme="majorHAnsi"/>
          <w:i/>
          <w:color w:val="333333"/>
          <w:lang w:val="ro-MD"/>
        </w:rPr>
      </w:pPr>
    </w:p>
    <w:p w14:paraId="1213DAF8" w14:textId="77777777" w:rsidR="00195E91" w:rsidRPr="007917DD" w:rsidRDefault="00195E91" w:rsidP="00195E91">
      <w:pPr>
        <w:pStyle w:val="cn"/>
        <w:ind w:right="71" w:firstLine="284"/>
        <w:jc w:val="both"/>
        <w:rPr>
          <w:rFonts w:asciiTheme="majorHAnsi" w:hAnsiTheme="majorHAnsi" w:cstheme="majorHAnsi"/>
          <w:color w:val="333333"/>
          <w:lang w:val="ro-MD"/>
        </w:rPr>
      </w:pPr>
    </w:p>
    <w:p w14:paraId="1EC41DF5" w14:textId="67047778" w:rsidR="00195E91" w:rsidRPr="00961728" w:rsidRDefault="00195E91" w:rsidP="00255E9C">
      <w:pPr>
        <w:pStyle w:val="cn"/>
        <w:ind w:right="71"/>
        <w:jc w:val="both"/>
        <w:rPr>
          <w:rFonts w:asciiTheme="majorHAnsi" w:hAnsiTheme="majorHAnsi" w:cstheme="majorHAnsi"/>
          <w:i/>
          <w:color w:val="333333"/>
          <w:sz w:val="20"/>
          <w:szCs w:val="20"/>
          <w:lang w:val="ro-MD"/>
        </w:rPr>
      </w:pPr>
      <w:r w:rsidRPr="00961728">
        <w:rPr>
          <w:rFonts w:asciiTheme="majorHAnsi" w:hAnsiTheme="majorHAnsi" w:cstheme="majorHAnsi"/>
          <w:b/>
          <w:i/>
          <w:color w:val="333333"/>
          <w:sz w:val="20"/>
          <w:szCs w:val="20"/>
          <w:lang w:val="ro-MD"/>
        </w:rPr>
        <w:t>Sursă:</w:t>
      </w:r>
      <w:r w:rsidRPr="00961728">
        <w:rPr>
          <w:rFonts w:asciiTheme="majorHAnsi" w:hAnsiTheme="majorHAnsi" w:cstheme="majorHAnsi"/>
          <w:i/>
          <w:color w:val="333333"/>
          <w:sz w:val="20"/>
          <w:szCs w:val="20"/>
          <w:lang w:val="ro-MD"/>
        </w:rPr>
        <w:t xml:space="preserve"> Pre</w:t>
      </w:r>
      <w:r w:rsidR="009D7C2A">
        <w:rPr>
          <w:rFonts w:asciiTheme="majorHAnsi" w:hAnsiTheme="majorHAnsi" w:cstheme="majorHAnsi"/>
          <w:i/>
          <w:color w:val="333333"/>
          <w:sz w:val="20"/>
          <w:szCs w:val="20"/>
          <w:lang w:val="ro-MD"/>
        </w:rPr>
        <w:t>scripțiile</w:t>
      </w:r>
      <w:r w:rsidRPr="00961728">
        <w:rPr>
          <w:rFonts w:asciiTheme="majorHAnsi" w:hAnsiTheme="majorHAnsi" w:cstheme="majorHAnsi"/>
          <w:i/>
          <w:color w:val="333333"/>
          <w:sz w:val="20"/>
          <w:szCs w:val="20"/>
          <w:lang w:val="ro-MD"/>
        </w:rPr>
        <w:t xml:space="preserve"> HG nr.996 din 27.12.2012 privind unele măsuri de reformare a sistemului infrastructurii calității; HG nr.77 din 25.01.2013 privind reorganizarea  ÎS </w:t>
      </w:r>
      <w:r w:rsidR="009D7C2A">
        <w:rPr>
          <w:rFonts w:asciiTheme="majorHAnsi" w:hAnsiTheme="majorHAnsi" w:cstheme="majorHAnsi"/>
          <w:i/>
          <w:color w:val="333333"/>
          <w:sz w:val="20"/>
          <w:szCs w:val="20"/>
          <w:lang w:val="ro-MD"/>
        </w:rPr>
        <w:t>„</w:t>
      </w:r>
      <w:r w:rsidRPr="00961728">
        <w:rPr>
          <w:rFonts w:asciiTheme="majorHAnsi" w:hAnsiTheme="majorHAnsi" w:cstheme="majorHAnsi"/>
          <w:i/>
          <w:color w:val="333333"/>
          <w:sz w:val="20"/>
          <w:szCs w:val="20"/>
          <w:lang w:val="ro-MD"/>
        </w:rPr>
        <w:t>Centrul de Acreditare în domeniul Evalu</w:t>
      </w:r>
      <w:r w:rsidR="006430C8">
        <w:rPr>
          <w:rFonts w:asciiTheme="majorHAnsi" w:hAnsiTheme="majorHAnsi" w:cstheme="majorHAnsi"/>
          <w:i/>
          <w:color w:val="333333"/>
          <w:sz w:val="20"/>
          <w:szCs w:val="20"/>
          <w:lang w:val="ro-MD"/>
        </w:rPr>
        <w:t>ării Conformității Produselor</w:t>
      </w:r>
      <w:r w:rsidR="009D7C2A">
        <w:rPr>
          <w:rFonts w:asciiTheme="majorHAnsi" w:hAnsiTheme="majorHAnsi" w:cstheme="majorHAnsi"/>
          <w:i/>
          <w:color w:val="333333"/>
          <w:sz w:val="20"/>
          <w:szCs w:val="20"/>
          <w:lang w:val="ro-MD"/>
        </w:rPr>
        <w:t>”</w:t>
      </w:r>
      <w:r w:rsidR="006430C8">
        <w:rPr>
          <w:rFonts w:asciiTheme="majorHAnsi" w:hAnsiTheme="majorHAnsi" w:cstheme="majorHAnsi"/>
          <w:i/>
          <w:color w:val="333333"/>
          <w:sz w:val="20"/>
          <w:szCs w:val="20"/>
          <w:lang w:val="ro-MD"/>
        </w:rPr>
        <w:t>.</w:t>
      </w:r>
    </w:p>
    <w:p w14:paraId="5D05C2EB" w14:textId="20F28BC5" w:rsidR="00595729" w:rsidRPr="007917DD" w:rsidRDefault="00595729" w:rsidP="00595729">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7917DD">
        <w:rPr>
          <w:rFonts w:asciiTheme="majorHAnsi" w:hAnsiTheme="majorHAnsi" w:cstheme="majorHAnsi"/>
          <w:sz w:val="24"/>
          <w:szCs w:val="24"/>
          <w:lang w:val="ro-MD"/>
        </w:rPr>
        <w:t>Potrivit prevederilor normative</w:t>
      </w:r>
      <w:r w:rsidRPr="007917DD">
        <w:rPr>
          <w:rStyle w:val="FootnoteReference"/>
          <w:rFonts w:asciiTheme="majorHAnsi" w:hAnsiTheme="majorHAnsi" w:cstheme="majorHAnsi"/>
          <w:sz w:val="24"/>
          <w:szCs w:val="24"/>
          <w:lang w:val="ro-MD"/>
        </w:rPr>
        <w:footnoteReference w:id="14"/>
      </w:r>
      <w:r w:rsidR="006430C8">
        <w:rPr>
          <w:rFonts w:asciiTheme="majorHAnsi" w:hAnsiTheme="majorHAnsi" w:cstheme="majorHAnsi"/>
          <w:sz w:val="24"/>
          <w:szCs w:val="24"/>
          <w:lang w:val="ro-MD"/>
        </w:rPr>
        <w:t>,</w:t>
      </w:r>
      <w:r w:rsidR="009442E6" w:rsidRPr="007917DD">
        <w:rPr>
          <w:rFonts w:asciiTheme="majorHAnsi" w:hAnsiTheme="majorHAnsi" w:cstheme="majorHAnsi"/>
          <w:sz w:val="24"/>
          <w:szCs w:val="24"/>
          <w:lang w:val="ro-MD"/>
        </w:rPr>
        <w:t xml:space="preserve"> în cadrul reorganizării prin contopire a ÎS „Institutul Naţional de Standardizare şi Metrologie”, ÎS „Centrul de Standardizare şi Metrologie din Bălţi”, ÎS „Centrul de Standardizare şi Metrologie din Ceadîr-Lunga” în ÎS „Centrul de Metrologie Aplicată şi Certificare”, pa</w:t>
      </w:r>
      <w:r w:rsidR="00E1435F">
        <w:rPr>
          <w:rFonts w:asciiTheme="majorHAnsi" w:hAnsiTheme="majorHAnsi" w:cstheme="majorHAnsi"/>
          <w:sz w:val="24"/>
          <w:szCs w:val="24"/>
          <w:lang w:val="ro-MD"/>
        </w:rPr>
        <w:t>trimoniul  urma a fi transmis  conform cerințelor regulamentare</w:t>
      </w:r>
      <w:r w:rsidR="00C10CB2">
        <w:rPr>
          <w:rStyle w:val="FootnoteReference"/>
          <w:rFonts w:asciiTheme="majorHAnsi" w:hAnsiTheme="majorHAnsi" w:cstheme="majorHAnsi"/>
          <w:szCs w:val="24"/>
          <w:lang w:val="ro-MD"/>
        </w:rPr>
        <w:footnoteReference w:id="15"/>
      </w:r>
      <w:r w:rsidR="009442E6" w:rsidRPr="007917DD">
        <w:rPr>
          <w:rFonts w:asciiTheme="majorHAnsi" w:hAnsiTheme="majorHAnsi" w:cstheme="majorHAnsi"/>
          <w:sz w:val="24"/>
          <w:szCs w:val="24"/>
          <w:lang w:val="ro-MD"/>
        </w:rPr>
        <w:t xml:space="preserve"> </w:t>
      </w:r>
      <w:r w:rsidR="00415799">
        <w:rPr>
          <w:rFonts w:asciiTheme="majorHAnsi" w:hAnsiTheme="majorHAnsi" w:cstheme="majorHAnsi"/>
          <w:sz w:val="24"/>
          <w:szCs w:val="24"/>
          <w:lang w:val="ro-MD"/>
        </w:rPr>
        <w:t>.</w:t>
      </w:r>
    </w:p>
    <w:p w14:paraId="5B8373A5" w14:textId="316823D7" w:rsidR="00B6574A" w:rsidRPr="007917DD" w:rsidRDefault="00B6574A" w:rsidP="00595729">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7917DD">
        <w:rPr>
          <w:rFonts w:asciiTheme="majorHAnsi" w:hAnsiTheme="majorHAnsi" w:cstheme="majorHAnsi"/>
          <w:sz w:val="24"/>
          <w:szCs w:val="24"/>
          <w:lang w:val="ro-MD"/>
        </w:rPr>
        <w:t xml:space="preserve">Procedura </w:t>
      </w:r>
      <w:r w:rsidR="009D7C2A" w:rsidRPr="007917DD">
        <w:rPr>
          <w:rFonts w:asciiTheme="majorHAnsi" w:hAnsiTheme="majorHAnsi" w:cstheme="majorHAnsi"/>
          <w:sz w:val="24"/>
          <w:szCs w:val="24"/>
          <w:lang w:val="ro-MD"/>
        </w:rPr>
        <w:t xml:space="preserve">stabilită </w:t>
      </w:r>
      <w:r w:rsidRPr="007917DD">
        <w:rPr>
          <w:rFonts w:asciiTheme="majorHAnsi" w:hAnsiTheme="majorHAnsi" w:cstheme="majorHAnsi"/>
          <w:sz w:val="24"/>
          <w:szCs w:val="24"/>
          <w:lang w:val="ro-MD"/>
        </w:rPr>
        <w:t xml:space="preserve">de transmitere </w:t>
      </w:r>
      <w:r w:rsidR="00A571B0" w:rsidRPr="007917DD">
        <w:rPr>
          <w:rFonts w:asciiTheme="majorHAnsi" w:hAnsiTheme="majorHAnsi" w:cstheme="majorHAnsi"/>
          <w:sz w:val="24"/>
          <w:szCs w:val="24"/>
          <w:lang w:val="ro-MD"/>
        </w:rPr>
        <w:t xml:space="preserve">a bunurilor proprietate </w:t>
      </w:r>
      <w:r w:rsidR="00E1435F">
        <w:rPr>
          <w:rFonts w:asciiTheme="majorHAnsi" w:hAnsiTheme="majorHAnsi" w:cstheme="majorHAnsi"/>
          <w:sz w:val="24"/>
          <w:szCs w:val="24"/>
          <w:lang w:val="ro-MD"/>
        </w:rPr>
        <w:t>publică</w:t>
      </w:r>
      <w:r w:rsidR="00A571B0" w:rsidRPr="007917DD">
        <w:rPr>
          <w:rFonts w:asciiTheme="majorHAnsi" w:hAnsiTheme="majorHAnsi" w:cstheme="majorHAnsi"/>
          <w:sz w:val="24"/>
          <w:szCs w:val="24"/>
          <w:lang w:val="ro-MD"/>
        </w:rPr>
        <w:t xml:space="preserve"> implică activitatea </w:t>
      </w:r>
      <w:r w:rsidR="00DA1D9E" w:rsidRPr="007917DD">
        <w:rPr>
          <w:rFonts w:asciiTheme="majorHAnsi" w:hAnsiTheme="majorHAnsi" w:cstheme="majorHAnsi"/>
          <w:sz w:val="24"/>
          <w:szCs w:val="24"/>
          <w:lang w:val="ro-MD"/>
        </w:rPr>
        <w:t>Comisiei</w:t>
      </w:r>
      <w:r w:rsidR="009D7C2A">
        <w:rPr>
          <w:rFonts w:asciiTheme="majorHAnsi" w:hAnsiTheme="majorHAnsi" w:cstheme="majorHAnsi"/>
          <w:sz w:val="24"/>
          <w:szCs w:val="24"/>
          <w:lang w:val="ro-MD"/>
        </w:rPr>
        <w:t>,</w:t>
      </w:r>
      <w:r w:rsidR="00DA1D9E" w:rsidRPr="007917DD">
        <w:rPr>
          <w:rFonts w:asciiTheme="majorHAnsi" w:hAnsiTheme="majorHAnsi" w:cstheme="majorHAnsi"/>
          <w:sz w:val="24"/>
          <w:szCs w:val="24"/>
          <w:lang w:val="ro-MD"/>
        </w:rPr>
        <w:t xml:space="preserve"> care este</w:t>
      </w:r>
      <w:r w:rsidR="00A571B0" w:rsidRPr="007917DD">
        <w:rPr>
          <w:rFonts w:asciiTheme="majorHAnsi" w:hAnsiTheme="majorHAnsi" w:cstheme="majorHAnsi"/>
          <w:sz w:val="24"/>
          <w:szCs w:val="24"/>
          <w:lang w:val="ro-MD"/>
        </w:rPr>
        <w:t xml:space="preserve"> obligată să efectueze inventarierea patrimoniului întreprinderii, a</w:t>
      </w:r>
      <w:r w:rsidR="009D7C2A">
        <w:rPr>
          <w:rFonts w:asciiTheme="majorHAnsi" w:hAnsiTheme="majorHAnsi" w:cstheme="majorHAnsi"/>
          <w:sz w:val="24"/>
          <w:szCs w:val="24"/>
          <w:lang w:val="ro-MD"/>
        </w:rPr>
        <w:t xml:space="preserve">l </w:t>
      </w:r>
      <w:r w:rsidR="00A571B0" w:rsidRPr="007917DD">
        <w:rPr>
          <w:rFonts w:asciiTheme="majorHAnsi" w:hAnsiTheme="majorHAnsi" w:cstheme="majorHAnsi"/>
          <w:sz w:val="24"/>
          <w:szCs w:val="24"/>
          <w:lang w:val="ro-MD"/>
        </w:rPr>
        <w:t xml:space="preserve"> subdiviziunilor ei, să determine starea reală şi valoarea estimativă a obiectelor, să întocmească bilanţul de transmitere sau de divizare, actul de primire-predare a întreprinderii, a subdiviziunii ei ş</w:t>
      </w:r>
      <w:r w:rsidR="00F36612">
        <w:rPr>
          <w:rFonts w:asciiTheme="majorHAnsi" w:hAnsiTheme="majorHAnsi" w:cstheme="majorHAnsi"/>
          <w:sz w:val="24"/>
          <w:szCs w:val="24"/>
          <w:lang w:val="ro-MD"/>
        </w:rPr>
        <w:t>i să transmită bilanţul şi actele</w:t>
      </w:r>
      <w:r w:rsidR="00A571B0" w:rsidRPr="007917DD">
        <w:rPr>
          <w:rFonts w:asciiTheme="majorHAnsi" w:hAnsiTheme="majorHAnsi" w:cstheme="majorHAnsi"/>
          <w:sz w:val="24"/>
          <w:szCs w:val="24"/>
          <w:lang w:val="ro-MD"/>
        </w:rPr>
        <w:t xml:space="preserve"> menţionate pentru aprobare</w:t>
      </w:r>
      <w:r w:rsidR="00A571B0" w:rsidRPr="007917DD">
        <w:rPr>
          <w:rStyle w:val="FootnoteReference"/>
          <w:rFonts w:asciiTheme="majorHAnsi" w:hAnsiTheme="majorHAnsi" w:cstheme="majorHAnsi"/>
          <w:sz w:val="24"/>
          <w:szCs w:val="24"/>
          <w:lang w:val="ro-MD"/>
        </w:rPr>
        <w:footnoteReference w:id="16"/>
      </w:r>
      <w:r w:rsidR="00DA1D9E" w:rsidRPr="007917DD">
        <w:rPr>
          <w:rFonts w:asciiTheme="majorHAnsi" w:hAnsiTheme="majorHAnsi" w:cstheme="majorHAnsi"/>
          <w:sz w:val="24"/>
          <w:szCs w:val="24"/>
          <w:lang w:val="ro-MD"/>
        </w:rPr>
        <w:t>.</w:t>
      </w:r>
    </w:p>
    <w:p w14:paraId="16FF2BDF" w14:textId="0333C281" w:rsidR="001B0699" w:rsidRDefault="00F77A99" w:rsidP="001B0699">
      <w:pPr>
        <w:pStyle w:val="FootnoteText"/>
        <w:ind w:firstLine="567"/>
        <w:jc w:val="right"/>
        <w:rPr>
          <w:rFonts w:asciiTheme="majorHAnsi" w:hAnsiTheme="majorHAnsi" w:cstheme="majorHAnsi"/>
          <w:b/>
          <w:i/>
          <w:color w:val="333333"/>
          <w:sz w:val="24"/>
          <w:szCs w:val="24"/>
          <w:vertAlign w:val="baseline"/>
          <w:lang w:val="ro-MD"/>
        </w:rPr>
      </w:pPr>
      <w:r w:rsidRPr="007917DD">
        <w:rPr>
          <w:rFonts w:asciiTheme="majorHAnsi" w:hAnsiTheme="majorHAnsi" w:cstheme="majorHAnsi"/>
          <w:b/>
          <w:i/>
          <w:sz w:val="24"/>
          <w:szCs w:val="24"/>
          <w:lang w:val="ro-MD"/>
        </w:rPr>
        <w:t xml:space="preserve">                                                                                                                    </w:t>
      </w:r>
      <w:r w:rsidR="00422F68">
        <w:rPr>
          <w:rFonts w:asciiTheme="majorHAnsi" w:hAnsiTheme="majorHAnsi" w:cstheme="majorHAnsi"/>
          <w:b/>
          <w:i/>
          <w:sz w:val="24"/>
          <w:szCs w:val="24"/>
          <w:lang w:val="ro-MD"/>
        </w:rPr>
        <w:t xml:space="preserve">                 </w:t>
      </w:r>
      <w:r w:rsidR="00422F68" w:rsidRPr="001B0699">
        <w:rPr>
          <w:rFonts w:asciiTheme="majorHAnsi" w:hAnsiTheme="majorHAnsi" w:cstheme="majorHAnsi"/>
          <w:b/>
          <w:i/>
          <w:color w:val="333333"/>
          <w:sz w:val="24"/>
          <w:szCs w:val="24"/>
          <w:vertAlign w:val="baseline"/>
          <w:lang w:val="ro-MD"/>
        </w:rPr>
        <w:t>Figura nr.4.1.2</w:t>
      </w:r>
      <w:r w:rsidR="00184FC1">
        <w:rPr>
          <w:rFonts w:asciiTheme="majorHAnsi" w:hAnsiTheme="majorHAnsi" w:cstheme="majorHAnsi"/>
          <w:b/>
          <w:i/>
          <w:color w:val="333333"/>
          <w:sz w:val="24"/>
          <w:szCs w:val="24"/>
          <w:vertAlign w:val="baseline"/>
          <w:lang w:val="ro-MD"/>
        </w:rPr>
        <w:t>.</w:t>
      </w:r>
    </w:p>
    <w:p w14:paraId="288E1D11" w14:textId="73B988B5" w:rsidR="00913E57" w:rsidRPr="00255E9C" w:rsidRDefault="00865F79" w:rsidP="001B0699">
      <w:pPr>
        <w:pStyle w:val="ListParagraph"/>
        <w:tabs>
          <w:tab w:val="left" w:pos="270"/>
        </w:tabs>
        <w:spacing w:after="0" w:line="276" w:lineRule="auto"/>
        <w:ind w:left="0" w:firstLine="720"/>
        <w:jc w:val="center"/>
        <w:rPr>
          <w:rFonts w:asciiTheme="majorHAnsi" w:hAnsiTheme="majorHAnsi" w:cstheme="majorHAnsi"/>
          <w:b/>
          <w:sz w:val="24"/>
          <w:szCs w:val="24"/>
          <w:lang w:val="ro-MD"/>
        </w:rPr>
      </w:pPr>
      <w:r w:rsidRPr="00255E9C">
        <w:rPr>
          <w:rFonts w:asciiTheme="majorHAnsi" w:hAnsiTheme="majorHAnsi" w:cstheme="majorHAnsi"/>
          <w:b/>
          <w:sz w:val="24"/>
          <w:szCs w:val="24"/>
          <w:lang w:val="ro-MD"/>
        </w:rPr>
        <w:t>Etapele p</w:t>
      </w:r>
      <w:r w:rsidR="00742F09" w:rsidRPr="00255E9C">
        <w:rPr>
          <w:rFonts w:asciiTheme="majorHAnsi" w:hAnsiTheme="majorHAnsi" w:cstheme="majorHAnsi"/>
          <w:b/>
          <w:sz w:val="24"/>
          <w:szCs w:val="24"/>
          <w:lang w:val="ro-MD"/>
        </w:rPr>
        <w:t>rocesul</w:t>
      </w:r>
      <w:r w:rsidRPr="00255E9C">
        <w:rPr>
          <w:rFonts w:asciiTheme="majorHAnsi" w:hAnsiTheme="majorHAnsi" w:cstheme="majorHAnsi"/>
          <w:b/>
          <w:sz w:val="24"/>
          <w:szCs w:val="24"/>
          <w:lang w:val="ro-MD"/>
        </w:rPr>
        <w:t xml:space="preserve">ui de </w:t>
      </w:r>
      <w:r w:rsidR="00742F09" w:rsidRPr="00255E9C">
        <w:rPr>
          <w:rFonts w:asciiTheme="majorHAnsi" w:hAnsiTheme="majorHAnsi" w:cstheme="majorHAnsi"/>
          <w:b/>
          <w:sz w:val="24"/>
          <w:szCs w:val="24"/>
          <w:lang w:val="ro-MD"/>
        </w:rPr>
        <w:t>transmiter</w:t>
      </w:r>
      <w:r w:rsidRPr="00255E9C">
        <w:rPr>
          <w:rFonts w:asciiTheme="majorHAnsi" w:hAnsiTheme="majorHAnsi" w:cstheme="majorHAnsi"/>
          <w:b/>
          <w:sz w:val="24"/>
          <w:szCs w:val="24"/>
          <w:lang w:val="ro-MD"/>
        </w:rPr>
        <w:t>e</w:t>
      </w:r>
      <w:r w:rsidR="00742F09" w:rsidRPr="00255E9C">
        <w:rPr>
          <w:rFonts w:asciiTheme="majorHAnsi" w:hAnsiTheme="majorHAnsi" w:cstheme="majorHAnsi"/>
          <w:b/>
          <w:sz w:val="24"/>
          <w:szCs w:val="24"/>
          <w:lang w:val="ro-MD"/>
        </w:rPr>
        <w:t xml:space="preserve"> </w:t>
      </w:r>
      <w:r w:rsidR="00372382" w:rsidRPr="00255E9C">
        <w:rPr>
          <w:rFonts w:asciiTheme="majorHAnsi" w:hAnsiTheme="majorHAnsi" w:cstheme="majorHAnsi"/>
          <w:b/>
          <w:sz w:val="24"/>
          <w:szCs w:val="24"/>
          <w:lang w:val="ro-MD"/>
        </w:rPr>
        <w:t xml:space="preserve">a </w:t>
      </w:r>
      <w:r w:rsidR="00742F09" w:rsidRPr="00255E9C">
        <w:rPr>
          <w:rFonts w:asciiTheme="majorHAnsi" w:hAnsiTheme="majorHAnsi" w:cstheme="majorHAnsi"/>
          <w:b/>
          <w:sz w:val="24"/>
          <w:szCs w:val="24"/>
          <w:lang w:val="ro-MD"/>
        </w:rPr>
        <w:t xml:space="preserve">bunurilor proprietate publică în cadrul reorganizării  </w:t>
      </w:r>
      <w:r w:rsidR="009D7C2A">
        <w:rPr>
          <w:rFonts w:asciiTheme="majorHAnsi" w:hAnsiTheme="majorHAnsi" w:cstheme="majorHAnsi"/>
          <w:b/>
          <w:sz w:val="24"/>
          <w:szCs w:val="24"/>
          <w:lang w:val="ro-MD"/>
        </w:rPr>
        <w:t>instituțiilor publice</w:t>
      </w:r>
      <w:r w:rsidR="00FE083D" w:rsidRPr="00255E9C">
        <w:rPr>
          <w:rFonts w:asciiTheme="majorHAnsi" w:hAnsiTheme="majorHAnsi" w:cstheme="majorHAnsi"/>
          <w:b/>
          <w:sz w:val="24"/>
          <w:szCs w:val="24"/>
          <w:lang w:val="ro-MD"/>
        </w:rPr>
        <w:t xml:space="preserve"> din domeniul infrastructurii calității</w:t>
      </w:r>
    </w:p>
    <w:p w14:paraId="6FB57596" w14:textId="11B829D4" w:rsidR="00EC091E" w:rsidRDefault="00EC091E" w:rsidP="00EC091E">
      <w:pPr>
        <w:pStyle w:val="ListParagraph"/>
        <w:tabs>
          <w:tab w:val="left" w:pos="270"/>
        </w:tabs>
        <w:spacing w:after="0" w:line="276" w:lineRule="auto"/>
        <w:ind w:left="0"/>
        <w:jc w:val="center"/>
        <w:rPr>
          <w:rFonts w:asciiTheme="majorHAnsi" w:hAnsiTheme="majorHAnsi" w:cstheme="majorHAnsi"/>
          <w:sz w:val="24"/>
          <w:szCs w:val="24"/>
          <w:lang w:val="ro-MD"/>
        </w:rPr>
      </w:pPr>
      <w:r w:rsidRPr="007917DD">
        <w:rPr>
          <w:rFonts w:asciiTheme="majorHAnsi" w:hAnsiTheme="majorHAnsi" w:cstheme="majorHAnsi"/>
          <w:b/>
          <w:noProof/>
          <w:color w:val="FF0000"/>
          <w:sz w:val="24"/>
          <w:szCs w:val="24"/>
        </w:rPr>
        <w:drawing>
          <wp:inline distT="0" distB="0" distL="0" distR="0" wp14:anchorId="6129583F" wp14:editId="24DA9CD5">
            <wp:extent cx="5768340" cy="1440180"/>
            <wp:effectExtent l="57150" t="0" r="60960" b="26670"/>
            <wp:docPr id="80" name="Diagram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2626398" w14:textId="37005DE5" w:rsidR="00D563B6" w:rsidRPr="00CA446B" w:rsidRDefault="00CA446B" w:rsidP="00255E9C">
      <w:pPr>
        <w:pStyle w:val="ListParagraph"/>
        <w:tabs>
          <w:tab w:val="left" w:pos="270"/>
        </w:tabs>
        <w:spacing w:after="0" w:line="276" w:lineRule="auto"/>
        <w:ind w:left="0"/>
        <w:jc w:val="both"/>
        <w:rPr>
          <w:rFonts w:asciiTheme="majorHAnsi" w:hAnsiTheme="majorHAnsi" w:cstheme="majorHAnsi"/>
          <w:i/>
          <w:color w:val="333333"/>
          <w:sz w:val="20"/>
          <w:szCs w:val="20"/>
          <w:lang w:val="ro-MD"/>
        </w:rPr>
      </w:pPr>
      <w:r>
        <w:rPr>
          <w:rFonts w:asciiTheme="majorHAnsi" w:hAnsiTheme="majorHAnsi" w:cstheme="majorHAnsi"/>
          <w:b/>
          <w:i/>
          <w:sz w:val="20"/>
          <w:szCs w:val="20"/>
          <w:lang w:val="ro-MD"/>
        </w:rPr>
        <w:t xml:space="preserve">   </w:t>
      </w:r>
      <w:r w:rsidR="00D563B6" w:rsidRPr="00255E9C">
        <w:rPr>
          <w:rFonts w:asciiTheme="majorHAnsi" w:hAnsiTheme="majorHAnsi" w:cstheme="majorHAnsi"/>
          <w:b/>
          <w:i/>
          <w:sz w:val="20"/>
          <w:szCs w:val="20"/>
          <w:lang w:val="ro-MD"/>
        </w:rPr>
        <w:t>Surs</w:t>
      </w:r>
      <w:r w:rsidR="00F33941" w:rsidRPr="00255E9C">
        <w:rPr>
          <w:rFonts w:asciiTheme="majorHAnsi" w:hAnsiTheme="majorHAnsi" w:cstheme="majorHAnsi"/>
          <w:b/>
          <w:i/>
          <w:sz w:val="20"/>
          <w:szCs w:val="20"/>
          <w:lang w:val="ro-MD"/>
        </w:rPr>
        <w:t>ă:</w:t>
      </w:r>
      <w:r w:rsidR="00F33941" w:rsidRPr="00255E9C">
        <w:rPr>
          <w:rFonts w:asciiTheme="majorHAnsi" w:hAnsiTheme="majorHAnsi" w:cstheme="majorHAnsi"/>
          <w:sz w:val="20"/>
          <w:szCs w:val="20"/>
          <w:lang w:val="ro-MD"/>
        </w:rPr>
        <w:t xml:space="preserve"> </w:t>
      </w:r>
      <w:r w:rsidR="000930D7" w:rsidRPr="00CA446B">
        <w:rPr>
          <w:rFonts w:asciiTheme="majorHAnsi" w:hAnsiTheme="majorHAnsi" w:cstheme="majorHAnsi"/>
          <w:i/>
          <w:color w:val="333333"/>
          <w:sz w:val="20"/>
          <w:szCs w:val="20"/>
          <w:lang w:val="ro-MD"/>
        </w:rPr>
        <w:t>Pre</w:t>
      </w:r>
      <w:r w:rsidR="006171A3" w:rsidRPr="00CA446B">
        <w:rPr>
          <w:rFonts w:asciiTheme="majorHAnsi" w:hAnsiTheme="majorHAnsi" w:cstheme="majorHAnsi"/>
          <w:i/>
          <w:color w:val="333333"/>
          <w:sz w:val="20"/>
          <w:szCs w:val="20"/>
          <w:lang w:val="ro-MD"/>
        </w:rPr>
        <w:t>scripțiile</w:t>
      </w:r>
      <w:r w:rsidR="000930D7" w:rsidRPr="00CA446B">
        <w:rPr>
          <w:rFonts w:asciiTheme="majorHAnsi" w:hAnsiTheme="majorHAnsi" w:cstheme="majorHAnsi"/>
          <w:i/>
          <w:color w:val="333333"/>
          <w:sz w:val="20"/>
          <w:szCs w:val="20"/>
          <w:lang w:val="ro-MD"/>
        </w:rPr>
        <w:t xml:space="preserve"> HG nr.996 din 27.12.2012 privind unele măsuri de reformare a sistemului infrastructurii calității</w:t>
      </w:r>
      <w:r w:rsidR="00045195" w:rsidRPr="00CA446B">
        <w:rPr>
          <w:rFonts w:asciiTheme="majorHAnsi" w:hAnsiTheme="majorHAnsi" w:cstheme="majorHAnsi"/>
          <w:i/>
          <w:color w:val="333333"/>
          <w:sz w:val="20"/>
          <w:szCs w:val="20"/>
          <w:lang w:val="ro-MD"/>
        </w:rPr>
        <w:t>.</w:t>
      </w:r>
    </w:p>
    <w:p w14:paraId="6F84D4F5" w14:textId="77777777" w:rsidR="006171A3" w:rsidRPr="00255E9C" w:rsidRDefault="006171A3" w:rsidP="00255E9C">
      <w:pPr>
        <w:pStyle w:val="ListParagraph"/>
        <w:tabs>
          <w:tab w:val="left" w:pos="270"/>
        </w:tabs>
        <w:spacing w:after="0" w:line="276" w:lineRule="auto"/>
        <w:ind w:left="0"/>
        <w:jc w:val="both"/>
        <w:rPr>
          <w:rFonts w:asciiTheme="majorHAnsi" w:hAnsiTheme="majorHAnsi" w:cstheme="majorHAnsi"/>
          <w:sz w:val="20"/>
          <w:szCs w:val="20"/>
          <w:lang w:val="ro-MD"/>
        </w:rPr>
      </w:pPr>
    </w:p>
    <w:p w14:paraId="34834559" w14:textId="70B75E48" w:rsidR="005E462C" w:rsidRDefault="0031081E" w:rsidP="00860E2F">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7917DD">
        <w:rPr>
          <w:rFonts w:asciiTheme="majorHAnsi" w:hAnsiTheme="majorHAnsi" w:cstheme="majorHAnsi"/>
          <w:sz w:val="24"/>
          <w:szCs w:val="24"/>
          <w:lang w:val="ro-MD"/>
        </w:rPr>
        <w:t xml:space="preserve"> </w:t>
      </w:r>
      <w:r w:rsidR="00AC397B" w:rsidRPr="00BF596C">
        <w:rPr>
          <w:rFonts w:asciiTheme="majorHAnsi" w:hAnsiTheme="majorHAnsi" w:cstheme="majorHAnsi"/>
          <w:sz w:val="24"/>
          <w:szCs w:val="24"/>
          <w:lang w:val="ro-MD"/>
        </w:rPr>
        <w:t>Urmare activităților de audit public extern desfășurate, se denotă că</w:t>
      </w:r>
      <w:r w:rsidR="006171A3">
        <w:rPr>
          <w:rFonts w:asciiTheme="majorHAnsi" w:hAnsiTheme="majorHAnsi" w:cstheme="majorHAnsi"/>
          <w:sz w:val="24"/>
          <w:szCs w:val="24"/>
          <w:lang w:val="ro-MD"/>
        </w:rPr>
        <w:t xml:space="preserve"> </w:t>
      </w:r>
      <w:r w:rsidR="00AC397B" w:rsidRPr="00BF596C">
        <w:rPr>
          <w:rFonts w:asciiTheme="majorHAnsi" w:hAnsiTheme="majorHAnsi" w:cstheme="majorHAnsi"/>
          <w:sz w:val="24"/>
          <w:szCs w:val="24"/>
          <w:lang w:val="ro-MD"/>
        </w:rPr>
        <w:t>prevederile normative</w:t>
      </w:r>
      <w:r w:rsidR="00AC397B" w:rsidRPr="00BF596C">
        <w:rPr>
          <w:rStyle w:val="FootnoteReference"/>
          <w:rFonts w:asciiTheme="majorHAnsi" w:hAnsiTheme="majorHAnsi" w:cstheme="majorHAnsi"/>
          <w:sz w:val="24"/>
          <w:szCs w:val="24"/>
          <w:lang w:val="ro-MD"/>
        </w:rPr>
        <w:footnoteReference w:id="17"/>
      </w:r>
      <w:r w:rsidR="00AC397B" w:rsidRPr="00BF596C">
        <w:rPr>
          <w:rFonts w:asciiTheme="majorHAnsi" w:hAnsiTheme="majorHAnsi" w:cstheme="majorHAnsi"/>
          <w:sz w:val="24"/>
          <w:szCs w:val="24"/>
          <w:lang w:val="ro-MD"/>
        </w:rPr>
        <w:t xml:space="preserve"> nu definesc expres modul de divizare și transmitere a bunurilor proprietate publică </w:t>
      </w:r>
      <w:r w:rsidR="006171A3">
        <w:rPr>
          <w:rFonts w:asciiTheme="majorHAnsi" w:hAnsiTheme="majorHAnsi" w:cstheme="majorHAnsi"/>
          <w:sz w:val="24"/>
          <w:szCs w:val="24"/>
          <w:lang w:val="ro-MD"/>
        </w:rPr>
        <w:t xml:space="preserve">către </w:t>
      </w:r>
      <w:r w:rsidR="00AC397B" w:rsidRPr="00BF596C">
        <w:rPr>
          <w:rFonts w:asciiTheme="majorHAnsi" w:hAnsiTheme="majorHAnsi" w:cstheme="majorHAnsi"/>
          <w:sz w:val="24"/>
          <w:szCs w:val="24"/>
          <w:lang w:val="ro-MD"/>
        </w:rPr>
        <w:t>instituțiil</w:t>
      </w:r>
      <w:r w:rsidR="006171A3">
        <w:rPr>
          <w:rFonts w:asciiTheme="majorHAnsi" w:hAnsiTheme="majorHAnsi" w:cstheme="majorHAnsi"/>
          <w:sz w:val="24"/>
          <w:szCs w:val="24"/>
          <w:lang w:val="ro-MD"/>
        </w:rPr>
        <w:t>e</w:t>
      </w:r>
      <w:r w:rsidR="00AC397B" w:rsidRPr="00BF596C">
        <w:rPr>
          <w:rFonts w:asciiTheme="majorHAnsi" w:hAnsiTheme="majorHAnsi" w:cstheme="majorHAnsi"/>
          <w:sz w:val="24"/>
          <w:szCs w:val="24"/>
          <w:lang w:val="ro-MD"/>
        </w:rPr>
        <w:t xml:space="preserve"> nou create (INM și ISM), fiind </w:t>
      </w:r>
      <w:r w:rsidR="00AC397B">
        <w:rPr>
          <w:rFonts w:asciiTheme="majorHAnsi" w:hAnsiTheme="majorHAnsi" w:cstheme="majorHAnsi"/>
          <w:sz w:val="24"/>
          <w:szCs w:val="24"/>
          <w:lang w:val="ro-MD"/>
        </w:rPr>
        <w:t xml:space="preserve"> </w:t>
      </w:r>
      <w:r w:rsidR="00AC397B" w:rsidRPr="00CE4EB5">
        <w:rPr>
          <w:rFonts w:asciiTheme="majorHAnsi" w:hAnsiTheme="majorHAnsi" w:cstheme="majorHAnsi"/>
          <w:sz w:val="24"/>
          <w:szCs w:val="24"/>
          <w:lang w:val="ro-MD"/>
        </w:rPr>
        <w:t>compromisă realizarea obiectivă și transparentă a procesului în cauză. Totodată</w:t>
      </w:r>
      <w:r w:rsidR="007C244B">
        <w:rPr>
          <w:rFonts w:asciiTheme="majorHAnsi" w:hAnsiTheme="majorHAnsi" w:cstheme="majorHAnsi"/>
          <w:sz w:val="24"/>
          <w:szCs w:val="24"/>
          <w:lang w:val="ro-MD"/>
        </w:rPr>
        <w:t>,</w:t>
      </w:r>
      <w:r w:rsidR="00AC397B" w:rsidRPr="00CE4EB5">
        <w:rPr>
          <w:rFonts w:asciiTheme="majorHAnsi" w:hAnsiTheme="majorHAnsi" w:cstheme="majorHAnsi"/>
          <w:sz w:val="24"/>
          <w:szCs w:val="24"/>
          <w:lang w:val="ro-MD"/>
        </w:rPr>
        <w:t xml:space="preserve"> echipa de audit a fost limitată în evaluarea integrității patrimoniului public</w:t>
      </w:r>
      <w:r w:rsidR="00860E2F" w:rsidRPr="00CE4EB5">
        <w:rPr>
          <w:rFonts w:asciiTheme="majorHAnsi" w:hAnsiTheme="majorHAnsi" w:cstheme="majorHAnsi"/>
          <w:sz w:val="24"/>
          <w:szCs w:val="24"/>
          <w:lang w:val="ro-MD"/>
        </w:rPr>
        <w:t xml:space="preserve"> la momentul transmiterii </w:t>
      </w:r>
      <w:r w:rsidR="008B0F2A" w:rsidRPr="00CE4EB5">
        <w:rPr>
          <w:rFonts w:asciiTheme="majorHAnsi" w:hAnsiTheme="majorHAnsi" w:cstheme="majorHAnsi"/>
          <w:sz w:val="24"/>
          <w:szCs w:val="24"/>
          <w:lang w:val="ro-MD"/>
        </w:rPr>
        <w:t xml:space="preserve">acestuia </w:t>
      </w:r>
      <w:r w:rsidR="006171A3">
        <w:rPr>
          <w:rFonts w:asciiTheme="majorHAnsi" w:hAnsiTheme="majorHAnsi" w:cstheme="majorHAnsi"/>
          <w:sz w:val="24"/>
          <w:szCs w:val="24"/>
          <w:lang w:val="ro-MD"/>
        </w:rPr>
        <w:t xml:space="preserve">către </w:t>
      </w:r>
      <w:r w:rsidR="00860E2F" w:rsidRPr="00CE4EB5">
        <w:rPr>
          <w:rFonts w:asciiTheme="majorHAnsi" w:hAnsiTheme="majorHAnsi" w:cstheme="majorHAnsi"/>
          <w:sz w:val="24"/>
          <w:szCs w:val="24"/>
          <w:lang w:val="ro-MD"/>
        </w:rPr>
        <w:t>instituțiil</w:t>
      </w:r>
      <w:r w:rsidR="006171A3">
        <w:rPr>
          <w:rFonts w:asciiTheme="majorHAnsi" w:hAnsiTheme="majorHAnsi" w:cstheme="majorHAnsi"/>
          <w:sz w:val="24"/>
          <w:szCs w:val="24"/>
          <w:lang w:val="ro-MD"/>
        </w:rPr>
        <w:t>e</w:t>
      </w:r>
      <w:r w:rsidR="00860E2F" w:rsidRPr="00CE4EB5">
        <w:rPr>
          <w:rFonts w:asciiTheme="majorHAnsi" w:hAnsiTheme="majorHAnsi" w:cstheme="majorHAnsi"/>
          <w:sz w:val="24"/>
          <w:szCs w:val="24"/>
          <w:lang w:val="ro-MD"/>
        </w:rPr>
        <w:t xml:space="preserve"> </w:t>
      </w:r>
      <w:r w:rsidR="00860E2F" w:rsidRPr="007917DD">
        <w:rPr>
          <w:rFonts w:asciiTheme="majorHAnsi" w:hAnsiTheme="majorHAnsi" w:cstheme="majorHAnsi"/>
          <w:sz w:val="24"/>
          <w:szCs w:val="24"/>
          <w:lang w:val="ro-MD"/>
        </w:rPr>
        <w:t>nou create</w:t>
      </w:r>
      <w:r w:rsidR="00860E2F">
        <w:rPr>
          <w:rFonts w:asciiTheme="majorHAnsi" w:hAnsiTheme="majorHAnsi" w:cstheme="majorHAnsi"/>
          <w:sz w:val="24"/>
          <w:szCs w:val="24"/>
          <w:lang w:val="ro-MD"/>
        </w:rPr>
        <w:t>, dat</w:t>
      </w:r>
      <w:r w:rsidR="006171A3">
        <w:rPr>
          <w:rFonts w:asciiTheme="majorHAnsi" w:hAnsiTheme="majorHAnsi" w:cstheme="majorHAnsi"/>
          <w:sz w:val="24"/>
          <w:szCs w:val="24"/>
          <w:lang w:val="ro-MD"/>
        </w:rPr>
        <w:t>ă</w:t>
      </w:r>
      <w:r w:rsidR="00860E2F">
        <w:rPr>
          <w:rFonts w:asciiTheme="majorHAnsi" w:hAnsiTheme="majorHAnsi" w:cstheme="majorHAnsi"/>
          <w:sz w:val="24"/>
          <w:szCs w:val="24"/>
          <w:lang w:val="ro-MD"/>
        </w:rPr>
        <w:t xml:space="preserve"> fiind</w:t>
      </w:r>
      <w:r w:rsidR="00860E2F" w:rsidRPr="007917DD">
        <w:rPr>
          <w:rFonts w:asciiTheme="majorHAnsi" w:hAnsiTheme="majorHAnsi" w:cstheme="majorHAnsi"/>
          <w:sz w:val="24"/>
          <w:szCs w:val="24"/>
          <w:lang w:val="ro-MD"/>
        </w:rPr>
        <w:t xml:space="preserve"> lipsa unor acte de predare-primire din dosar</w:t>
      </w:r>
      <w:r w:rsidR="00860E2F">
        <w:rPr>
          <w:rFonts w:asciiTheme="majorHAnsi" w:hAnsiTheme="majorHAnsi" w:cstheme="majorHAnsi"/>
          <w:sz w:val="24"/>
          <w:szCs w:val="24"/>
          <w:lang w:val="ro-MD"/>
        </w:rPr>
        <w:t>ele</w:t>
      </w:r>
      <w:r w:rsidR="00C97354">
        <w:rPr>
          <w:rFonts w:asciiTheme="majorHAnsi" w:hAnsiTheme="majorHAnsi" w:cstheme="majorHAnsi"/>
          <w:sz w:val="24"/>
          <w:szCs w:val="24"/>
          <w:lang w:val="ro-MD"/>
        </w:rPr>
        <w:t xml:space="preserve"> INM</w:t>
      </w:r>
      <w:r w:rsidR="006171A3">
        <w:rPr>
          <w:rFonts w:asciiTheme="majorHAnsi" w:hAnsiTheme="majorHAnsi" w:cstheme="majorHAnsi"/>
          <w:sz w:val="24"/>
          <w:szCs w:val="24"/>
          <w:lang w:val="ro-MD"/>
        </w:rPr>
        <w:t>,</w:t>
      </w:r>
      <w:r w:rsidR="00860E2F" w:rsidRPr="007917DD">
        <w:rPr>
          <w:rFonts w:asciiTheme="majorHAnsi" w:hAnsiTheme="majorHAnsi" w:cstheme="majorHAnsi"/>
          <w:sz w:val="24"/>
          <w:szCs w:val="24"/>
          <w:lang w:val="ro-MD"/>
        </w:rPr>
        <w:t xml:space="preserve"> prezentat</w:t>
      </w:r>
      <w:r w:rsidR="00860E2F">
        <w:rPr>
          <w:rFonts w:asciiTheme="majorHAnsi" w:hAnsiTheme="majorHAnsi" w:cstheme="majorHAnsi"/>
          <w:sz w:val="24"/>
          <w:szCs w:val="24"/>
          <w:lang w:val="ro-MD"/>
        </w:rPr>
        <w:t>e auditului</w:t>
      </w:r>
      <w:r w:rsidR="00D030CE">
        <w:rPr>
          <w:rFonts w:asciiTheme="majorHAnsi" w:hAnsiTheme="majorHAnsi" w:cstheme="majorHAnsi"/>
          <w:sz w:val="24"/>
          <w:szCs w:val="24"/>
          <w:lang w:val="ro-MD"/>
        </w:rPr>
        <w:t>,</w:t>
      </w:r>
      <w:r w:rsidR="00860E2F">
        <w:rPr>
          <w:rFonts w:asciiTheme="majorHAnsi" w:hAnsiTheme="majorHAnsi" w:cstheme="majorHAnsi"/>
          <w:sz w:val="24"/>
          <w:szCs w:val="24"/>
          <w:lang w:val="ro-MD"/>
        </w:rPr>
        <w:t xml:space="preserve"> </w:t>
      </w:r>
      <w:r w:rsidR="000C662A">
        <w:rPr>
          <w:rFonts w:asciiTheme="majorHAnsi" w:hAnsiTheme="majorHAnsi" w:cstheme="majorHAnsi"/>
          <w:sz w:val="24"/>
          <w:szCs w:val="24"/>
          <w:lang w:val="ro-MD"/>
        </w:rPr>
        <w:t>cauzat</w:t>
      </w:r>
      <w:r w:rsidR="00A03038">
        <w:rPr>
          <w:rFonts w:asciiTheme="majorHAnsi" w:hAnsiTheme="majorHAnsi" w:cstheme="majorHAnsi"/>
          <w:sz w:val="24"/>
          <w:szCs w:val="24"/>
          <w:lang w:val="ro-MD"/>
        </w:rPr>
        <w:t xml:space="preserve">ă </w:t>
      </w:r>
      <w:r w:rsidR="00A03038" w:rsidRPr="00A03038">
        <w:rPr>
          <w:rFonts w:asciiTheme="majorHAnsi" w:hAnsiTheme="majorHAnsi" w:cstheme="majorHAnsi"/>
          <w:sz w:val="24"/>
          <w:szCs w:val="24"/>
          <w:lang w:val="ro-MD"/>
        </w:rPr>
        <w:t xml:space="preserve">de iresponsabilitatea managerială manifestată </w:t>
      </w:r>
      <w:r w:rsidR="00A03038">
        <w:rPr>
          <w:rFonts w:asciiTheme="majorHAnsi" w:hAnsiTheme="majorHAnsi" w:cstheme="majorHAnsi"/>
          <w:sz w:val="24"/>
          <w:szCs w:val="24"/>
          <w:lang w:val="ro-MD"/>
        </w:rPr>
        <w:t>în procesul de arhivare și păstrare a documentelor.</w:t>
      </w:r>
      <w:r w:rsidR="00A03038" w:rsidRPr="00A03038">
        <w:rPr>
          <w:rFonts w:asciiTheme="majorHAnsi" w:hAnsiTheme="majorHAnsi" w:cstheme="majorHAnsi"/>
          <w:sz w:val="24"/>
          <w:szCs w:val="24"/>
          <w:lang w:val="ro-MD"/>
        </w:rPr>
        <w:t xml:space="preserve"> </w:t>
      </w:r>
      <w:r w:rsidR="00D030CE">
        <w:rPr>
          <w:rFonts w:asciiTheme="majorHAnsi" w:hAnsiTheme="majorHAnsi" w:cstheme="majorHAnsi"/>
          <w:sz w:val="24"/>
          <w:szCs w:val="24"/>
          <w:lang w:val="ro-MD"/>
        </w:rPr>
        <w:t xml:space="preserve">Prin urmare, </w:t>
      </w:r>
      <w:r w:rsidR="005E462C">
        <w:rPr>
          <w:rFonts w:asciiTheme="majorHAnsi" w:hAnsiTheme="majorHAnsi" w:cstheme="majorHAnsi"/>
          <w:sz w:val="24"/>
          <w:szCs w:val="24"/>
          <w:lang w:val="ro-MD"/>
        </w:rPr>
        <w:t>neobținerea tuturor informațiilor relevante</w:t>
      </w:r>
      <w:r w:rsidR="00C8307C">
        <w:rPr>
          <w:rFonts w:asciiTheme="majorHAnsi" w:hAnsiTheme="majorHAnsi" w:cstheme="majorHAnsi"/>
          <w:sz w:val="24"/>
          <w:szCs w:val="24"/>
          <w:lang w:val="ro-MD"/>
        </w:rPr>
        <w:t xml:space="preserve"> testărilor de audit</w:t>
      </w:r>
      <w:r w:rsidR="006171A3">
        <w:rPr>
          <w:rFonts w:asciiTheme="majorHAnsi" w:hAnsiTheme="majorHAnsi" w:cstheme="majorHAnsi"/>
          <w:sz w:val="24"/>
          <w:szCs w:val="24"/>
          <w:lang w:val="ro-MD"/>
        </w:rPr>
        <w:t>, în</w:t>
      </w:r>
      <w:r w:rsidR="00C8307C">
        <w:rPr>
          <w:rFonts w:asciiTheme="majorHAnsi" w:hAnsiTheme="majorHAnsi" w:cstheme="majorHAnsi"/>
          <w:sz w:val="24"/>
          <w:szCs w:val="24"/>
          <w:lang w:val="ro-MD"/>
        </w:rPr>
        <w:t xml:space="preserve"> scopul identificării patrimoniului public real transmis instituțiilo</w:t>
      </w:r>
      <w:r w:rsidR="00F50C80">
        <w:rPr>
          <w:rFonts w:asciiTheme="majorHAnsi" w:hAnsiTheme="majorHAnsi" w:cstheme="majorHAnsi"/>
          <w:sz w:val="24"/>
          <w:szCs w:val="24"/>
          <w:lang w:val="ro-MD"/>
        </w:rPr>
        <w:t>r</w:t>
      </w:r>
      <w:r w:rsidR="00C8307C">
        <w:rPr>
          <w:rFonts w:asciiTheme="majorHAnsi" w:hAnsiTheme="majorHAnsi" w:cstheme="majorHAnsi"/>
          <w:sz w:val="24"/>
          <w:szCs w:val="24"/>
          <w:lang w:val="ro-MD"/>
        </w:rPr>
        <w:t xml:space="preserve"> nou create,</w:t>
      </w:r>
      <w:r w:rsidR="005E462C">
        <w:rPr>
          <w:rFonts w:asciiTheme="majorHAnsi" w:hAnsiTheme="majorHAnsi" w:cstheme="majorHAnsi"/>
          <w:sz w:val="24"/>
          <w:szCs w:val="24"/>
          <w:lang w:val="ro-MD"/>
        </w:rPr>
        <w:t xml:space="preserve"> a condiționat realizarea </w:t>
      </w:r>
      <w:r w:rsidR="00D030CE">
        <w:rPr>
          <w:rFonts w:asciiTheme="majorHAnsi" w:hAnsiTheme="majorHAnsi" w:cstheme="majorHAnsi"/>
          <w:sz w:val="24"/>
          <w:szCs w:val="24"/>
          <w:lang w:val="ro-MD"/>
        </w:rPr>
        <w:t>activitățil</w:t>
      </w:r>
      <w:r w:rsidR="005E462C">
        <w:rPr>
          <w:rFonts w:asciiTheme="majorHAnsi" w:hAnsiTheme="majorHAnsi" w:cstheme="majorHAnsi"/>
          <w:sz w:val="24"/>
          <w:szCs w:val="24"/>
          <w:lang w:val="ro-MD"/>
        </w:rPr>
        <w:t>or</w:t>
      </w:r>
      <w:r w:rsidR="00D030CE">
        <w:rPr>
          <w:rFonts w:asciiTheme="majorHAnsi" w:hAnsiTheme="majorHAnsi" w:cstheme="majorHAnsi"/>
          <w:sz w:val="24"/>
          <w:szCs w:val="24"/>
          <w:lang w:val="ro-MD"/>
        </w:rPr>
        <w:t xml:space="preserve"> de audit </w:t>
      </w:r>
      <w:r w:rsidR="005E462C">
        <w:rPr>
          <w:rFonts w:asciiTheme="majorHAnsi" w:hAnsiTheme="majorHAnsi" w:cstheme="majorHAnsi"/>
          <w:sz w:val="24"/>
          <w:szCs w:val="24"/>
          <w:lang w:val="ro-MD"/>
        </w:rPr>
        <w:t>privind</w:t>
      </w:r>
      <w:r w:rsidR="00D030CE">
        <w:rPr>
          <w:rFonts w:asciiTheme="majorHAnsi" w:hAnsiTheme="majorHAnsi" w:cstheme="majorHAnsi"/>
          <w:sz w:val="24"/>
          <w:szCs w:val="24"/>
          <w:lang w:val="ro-MD"/>
        </w:rPr>
        <w:t xml:space="preserve"> </w:t>
      </w:r>
      <w:r w:rsidR="001D61C8">
        <w:rPr>
          <w:rFonts w:asciiTheme="majorHAnsi" w:hAnsiTheme="majorHAnsi" w:cstheme="majorHAnsi"/>
          <w:sz w:val="24"/>
          <w:szCs w:val="24"/>
          <w:lang w:val="ro-MD"/>
        </w:rPr>
        <w:t>evaluarea conformității</w:t>
      </w:r>
      <w:r w:rsidR="00D030CE">
        <w:rPr>
          <w:rFonts w:asciiTheme="majorHAnsi" w:hAnsiTheme="majorHAnsi" w:cstheme="majorHAnsi"/>
          <w:sz w:val="24"/>
          <w:szCs w:val="24"/>
          <w:lang w:val="ro-MD"/>
        </w:rPr>
        <w:t xml:space="preserve"> gestionării patrimoniului public </w:t>
      </w:r>
      <w:r w:rsidR="001D61C8">
        <w:rPr>
          <w:rFonts w:asciiTheme="majorHAnsi" w:hAnsiTheme="majorHAnsi" w:cstheme="majorHAnsi"/>
          <w:sz w:val="24"/>
          <w:szCs w:val="24"/>
          <w:lang w:val="ro-MD"/>
        </w:rPr>
        <w:t xml:space="preserve">de către instituțiile publice din domeniul infrastructurii calității </w:t>
      </w:r>
      <w:r w:rsidR="005E462C">
        <w:rPr>
          <w:rFonts w:asciiTheme="majorHAnsi" w:hAnsiTheme="majorHAnsi" w:cstheme="majorHAnsi"/>
          <w:sz w:val="24"/>
          <w:szCs w:val="24"/>
          <w:lang w:val="ro-MD"/>
        </w:rPr>
        <w:t>doar pentru</w:t>
      </w:r>
      <w:r w:rsidR="00D030CE">
        <w:rPr>
          <w:rFonts w:asciiTheme="majorHAnsi" w:hAnsiTheme="majorHAnsi" w:cstheme="majorHAnsi"/>
          <w:sz w:val="24"/>
          <w:szCs w:val="24"/>
          <w:lang w:val="ro-MD"/>
        </w:rPr>
        <w:t xml:space="preserve"> perioada </w:t>
      </w:r>
      <w:r w:rsidR="001D61C8">
        <w:rPr>
          <w:rFonts w:asciiTheme="majorHAnsi" w:hAnsiTheme="majorHAnsi" w:cstheme="majorHAnsi"/>
          <w:sz w:val="24"/>
          <w:szCs w:val="24"/>
          <w:lang w:val="ro-MD"/>
        </w:rPr>
        <w:t>2020-2021</w:t>
      </w:r>
      <w:r w:rsidR="005E462C">
        <w:rPr>
          <w:rFonts w:asciiTheme="majorHAnsi" w:hAnsiTheme="majorHAnsi" w:cstheme="majorHAnsi"/>
          <w:sz w:val="24"/>
          <w:szCs w:val="24"/>
          <w:lang w:val="ro-MD"/>
        </w:rPr>
        <w:t xml:space="preserve">, </w:t>
      </w:r>
      <w:r w:rsidR="00DF6E52">
        <w:rPr>
          <w:rFonts w:asciiTheme="majorHAnsi" w:hAnsiTheme="majorHAnsi" w:cstheme="majorHAnsi"/>
          <w:sz w:val="24"/>
          <w:szCs w:val="24"/>
          <w:lang w:val="ro-MD"/>
        </w:rPr>
        <w:t>care se prezintă în continuare.</w:t>
      </w:r>
    </w:p>
    <w:p w14:paraId="1B128774" w14:textId="77444C69" w:rsidR="009B2D5A" w:rsidRPr="003B5807" w:rsidRDefault="003F5D08" w:rsidP="007E002D">
      <w:pPr>
        <w:pStyle w:val="ListParagraph"/>
        <w:numPr>
          <w:ilvl w:val="2"/>
          <w:numId w:val="38"/>
        </w:numPr>
        <w:tabs>
          <w:tab w:val="left" w:pos="0"/>
        </w:tabs>
        <w:spacing w:after="0" w:line="276" w:lineRule="auto"/>
        <w:ind w:left="0" w:firstLine="0"/>
        <w:contextualSpacing w:val="0"/>
        <w:jc w:val="both"/>
        <w:outlineLvl w:val="0"/>
        <w:rPr>
          <w:rFonts w:asciiTheme="majorHAnsi" w:hAnsiTheme="majorHAnsi" w:cstheme="majorHAnsi"/>
          <w:b/>
          <w:i/>
          <w:color w:val="00B0F0"/>
          <w:sz w:val="24"/>
          <w:szCs w:val="24"/>
          <w:lang w:val="ro-MD"/>
        </w:rPr>
      </w:pPr>
      <w:bookmarkStart w:id="121" w:name="_Toc123116706"/>
      <w:r w:rsidRPr="003B5807">
        <w:rPr>
          <w:rFonts w:asciiTheme="majorHAnsi" w:hAnsiTheme="majorHAnsi" w:cstheme="majorHAnsi"/>
          <w:b/>
          <w:i/>
          <w:color w:val="00B0F0"/>
          <w:sz w:val="24"/>
          <w:szCs w:val="24"/>
          <w:lang w:val="ro-MD"/>
        </w:rPr>
        <w:t>Managementul</w:t>
      </w:r>
      <w:r w:rsidR="00F84031" w:rsidRPr="003B5807">
        <w:rPr>
          <w:rFonts w:asciiTheme="majorHAnsi" w:hAnsiTheme="majorHAnsi" w:cstheme="majorHAnsi"/>
          <w:b/>
          <w:i/>
          <w:color w:val="00B0F0"/>
          <w:sz w:val="24"/>
          <w:szCs w:val="24"/>
          <w:lang w:val="ro-MD"/>
        </w:rPr>
        <w:t xml:space="preserve"> </w:t>
      </w:r>
      <w:r w:rsidR="00C02DCF" w:rsidRPr="003B5807">
        <w:rPr>
          <w:rFonts w:asciiTheme="majorHAnsi" w:hAnsiTheme="majorHAnsi" w:cstheme="majorHAnsi"/>
          <w:b/>
          <w:i/>
          <w:color w:val="00B0F0"/>
          <w:sz w:val="24"/>
          <w:szCs w:val="24"/>
          <w:lang w:val="ro-MD"/>
        </w:rPr>
        <w:t>gestionării</w:t>
      </w:r>
      <w:r w:rsidR="00F84031" w:rsidRPr="003B5807">
        <w:rPr>
          <w:rFonts w:asciiTheme="majorHAnsi" w:hAnsiTheme="majorHAnsi" w:cstheme="majorHAnsi"/>
          <w:b/>
          <w:i/>
          <w:color w:val="00B0F0"/>
          <w:sz w:val="24"/>
          <w:szCs w:val="24"/>
          <w:lang w:val="ro-MD"/>
        </w:rPr>
        <w:t xml:space="preserve"> patrimoniului </w:t>
      </w:r>
      <w:r w:rsidR="0020670F" w:rsidRPr="003B5807">
        <w:rPr>
          <w:rFonts w:asciiTheme="majorHAnsi" w:hAnsiTheme="majorHAnsi" w:cstheme="majorHAnsi"/>
          <w:b/>
          <w:i/>
          <w:color w:val="00B0F0"/>
          <w:sz w:val="24"/>
          <w:szCs w:val="24"/>
          <w:lang w:val="ro-MD"/>
        </w:rPr>
        <w:t xml:space="preserve">public </w:t>
      </w:r>
      <w:r w:rsidR="00F84031" w:rsidRPr="003B5807">
        <w:rPr>
          <w:rFonts w:asciiTheme="majorHAnsi" w:hAnsiTheme="majorHAnsi" w:cstheme="majorHAnsi"/>
          <w:b/>
          <w:i/>
          <w:color w:val="00B0F0"/>
          <w:sz w:val="24"/>
          <w:szCs w:val="24"/>
          <w:lang w:val="ro-MD"/>
        </w:rPr>
        <w:t>necesită a fi consolidat</w:t>
      </w:r>
      <w:r w:rsidR="00E315C1">
        <w:rPr>
          <w:rFonts w:asciiTheme="majorHAnsi" w:hAnsiTheme="majorHAnsi" w:cstheme="majorHAnsi"/>
          <w:b/>
          <w:i/>
          <w:color w:val="00B0F0"/>
          <w:sz w:val="24"/>
          <w:szCs w:val="24"/>
          <w:lang w:val="ro-MD"/>
        </w:rPr>
        <w:t>,</w:t>
      </w:r>
      <w:r w:rsidR="009C6164" w:rsidRPr="003B5807">
        <w:rPr>
          <w:rFonts w:asciiTheme="majorHAnsi" w:hAnsiTheme="majorHAnsi" w:cstheme="majorHAnsi"/>
          <w:b/>
          <w:i/>
          <w:color w:val="00B0F0"/>
          <w:sz w:val="24"/>
          <w:szCs w:val="24"/>
          <w:lang w:val="ro-MD"/>
        </w:rPr>
        <w:t xml:space="preserve"> pentru</w:t>
      </w:r>
      <w:r w:rsidR="00DD4687" w:rsidRPr="003B5807">
        <w:rPr>
          <w:rFonts w:asciiTheme="majorHAnsi" w:hAnsiTheme="majorHAnsi" w:cstheme="majorHAnsi"/>
          <w:b/>
          <w:i/>
          <w:color w:val="00B0F0"/>
          <w:sz w:val="24"/>
          <w:szCs w:val="24"/>
          <w:lang w:val="ro-MD"/>
        </w:rPr>
        <w:t xml:space="preserve"> </w:t>
      </w:r>
      <w:r w:rsidR="009C6164" w:rsidRPr="003B5807">
        <w:rPr>
          <w:rFonts w:asciiTheme="majorHAnsi" w:hAnsiTheme="majorHAnsi" w:cstheme="majorHAnsi"/>
          <w:b/>
          <w:i/>
          <w:color w:val="00B0F0"/>
          <w:sz w:val="24"/>
          <w:szCs w:val="24"/>
          <w:lang w:val="ro-MD"/>
        </w:rPr>
        <w:t>a asigura  înregistrarea contabilă conformă a tuturo</w:t>
      </w:r>
      <w:r w:rsidR="0020670F" w:rsidRPr="003B5807">
        <w:rPr>
          <w:rFonts w:asciiTheme="majorHAnsi" w:hAnsiTheme="majorHAnsi" w:cstheme="majorHAnsi"/>
          <w:b/>
          <w:i/>
          <w:color w:val="00B0F0"/>
          <w:sz w:val="24"/>
          <w:szCs w:val="24"/>
          <w:lang w:val="ro-MD"/>
        </w:rPr>
        <w:t>r</w:t>
      </w:r>
      <w:r w:rsidR="00375CBB" w:rsidRPr="003B5807">
        <w:rPr>
          <w:rFonts w:asciiTheme="majorHAnsi" w:hAnsiTheme="majorHAnsi" w:cstheme="majorHAnsi"/>
          <w:b/>
          <w:i/>
          <w:color w:val="00B0F0"/>
          <w:sz w:val="24"/>
          <w:szCs w:val="24"/>
          <w:lang w:val="ro-MD"/>
        </w:rPr>
        <w:t xml:space="preserve"> elemente</w:t>
      </w:r>
      <w:r w:rsidR="009C6164" w:rsidRPr="003B5807">
        <w:rPr>
          <w:rFonts w:asciiTheme="majorHAnsi" w:hAnsiTheme="majorHAnsi" w:cstheme="majorHAnsi"/>
          <w:b/>
          <w:i/>
          <w:color w:val="00B0F0"/>
          <w:sz w:val="24"/>
          <w:szCs w:val="24"/>
          <w:lang w:val="ro-MD"/>
        </w:rPr>
        <w:t>lor</w:t>
      </w:r>
      <w:r w:rsidR="00375CBB" w:rsidRPr="003B5807">
        <w:rPr>
          <w:rFonts w:asciiTheme="majorHAnsi" w:hAnsiTheme="majorHAnsi" w:cstheme="majorHAnsi"/>
          <w:b/>
          <w:i/>
          <w:color w:val="00B0F0"/>
          <w:sz w:val="24"/>
          <w:szCs w:val="24"/>
          <w:lang w:val="ro-MD"/>
        </w:rPr>
        <w:t xml:space="preserve"> patrimoniale și</w:t>
      </w:r>
      <w:r w:rsidR="00F84031" w:rsidRPr="003B5807">
        <w:rPr>
          <w:rFonts w:asciiTheme="majorHAnsi" w:hAnsiTheme="majorHAnsi" w:cstheme="majorHAnsi"/>
          <w:b/>
          <w:i/>
          <w:color w:val="00B0F0"/>
          <w:sz w:val="24"/>
          <w:szCs w:val="24"/>
          <w:lang w:val="ro-MD"/>
        </w:rPr>
        <w:t xml:space="preserve"> efectuarea inventarierii acestora în modul corespunzător.</w:t>
      </w:r>
      <w:bookmarkEnd w:id="121"/>
    </w:p>
    <w:p w14:paraId="705F5685" w14:textId="1A1392DA" w:rsidR="00DD4687" w:rsidRPr="007917DD" w:rsidRDefault="00D551E7" w:rsidP="00DD4687">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lang w:val="ro-MD"/>
        </w:rPr>
        <w:t>Informația aferentă</w:t>
      </w:r>
      <w:r w:rsidR="00DD4687" w:rsidRPr="007917DD">
        <w:rPr>
          <w:rFonts w:asciiTheme="majorHAnsi" w:hAnsiTheme="majorHAnsi" w:cstheme="majorHAnsi"/>
          <w:sz w:val="24"/>
          <w:szCs w:val="24"/>
          <w:lang w:val="ro-MD"/>
        </w:rPr>
        <w:t xml:space="preserve"> situației reale a patrimoniului </w:t>
      </w:r>
      <w:r>
        <w:rPr>
          <w:rFonts w:asciiTheme="majorHAnsi" w:hAnsiTheme="majorHAnsi" w:cstheme="majorHAnsi"/>
          <w:sz w:val="24"/>
          <w:szCs w:val="24"/>
          <w:lang w:val="ro-MD"/>
        </w:rPr>
        <w:t xml:space="preserve">rezultă din </w:t>
      </w:r>
      <w:r w:rsidR="00DD4687" w:rsidRPr="007917DD">
        <w:rPr>
          <w:rFonts w:asciiTheme="majorHAnsi" w:hAnsiTheme="majorHAnsi" w:cstheme="majorHAnsi"/>
          <w:sz w:val="24"/>
          <w:szCs w:val="24"/>
          <w:lang w:val="ro-MD"/>
        </w:rPr>
        <w:t>inventarierea acestuia, care constituie o obligație legală și care se desfășoară potrivit procedurilor stabilite</w:t>
      </w:r>
      <w:r w:rsidR="00DD4687" w:rsidRPr="007917DD">
        <w:rPr>
          <w:rStyle w:val="FootnoteReference"/>
          <w:rFonts w:asciiTheme="majorHAnsi" w:hAnsiTheme="majorHAnsi" w:cstheme="majorHAnsi"/>
          <w:sz w:val="24"/>
          <w:szCs w:val="24"/>
          <w:lang w:val="ro-MD"/>
        </w:rPr>
        <w:footnoteReference w:id="18"/>
      </w:r>
      <w:r w:rsidR="00DD4687" w:rsidRPr="007917DD">
        <w:rPr>
          <w:rFonts w:asciiTheme="majorHAnsi" w:hAnsiTheme="majorHAnsi" w:cstheme="majorHAnsi"/>
          <w:sz w:val="24"/>
          <w:szCs w:val="24"/>
          <w:lang w:val="ro-MD"/>
        </w:rPr>
        <w:t xml:space="preserve">, finalizându-se cu contrapunerea situației faptice cu cea scriptică și cu luarea măsurilor legale corespunzătoare pentru corectarea diferențelor constatate. </w:t>
      </w:r>
      <w:r w:rsidR="00DD4687" w:rsidRPr="007917DD">
        <w:rPr>
          <w:rStyle w:val="Strong"/>
          <w:rFonts w:asciiTheme="majorHAnsi" w:hAnsiTheme="majorHAnsi" w:cstheme="majorHAnsi"/>
          <w:b w:val="0"/>
          <w:sz w:val="24"/>
          <w:szCs w:val="24"/>
          <w:shd w:val="clear" w:color="auto" w:fill="FFFFFF"/>
          <w:lang w:val="ro-MD"/>
        </w:rPr>
        <w:t>Inventarierea</w:t>
      </w:r>
      <w:r w:rsidR="00DD4687" w:rsidRPr="007917DD">
        <w:rPr>
          <w:rFonts w:asciiTheme="majorHAnsi" w:hAnsiTheme="majorHAnsi" w:cstheme="majorHAnsi"/>
          <w:sz w:val="24"/>
          <w:szCs w:val="24"/>
          <w:shd w:val="clear" w:color="auto" w:fill="FFFFFF"/>
          <w:lang w:val="ro-MD"/>
        </w:rPr>
        <w:t xml:space="preserve"> reprezintă procedeul de control care contribuie semnificativ la </w:t>
      </w:r>
      <w:r w:rsidR="00A844C6">
        <w:rPr>
          <w:rFonts w:asciiTheme="majorHAnsi" w:hAnsiTheme="majorHAnsi" w:cstheme="majorHAnsi"/>
          <w:sz w:val="24"/>
          <w:szCs w:val="24"/>
          <w:shd w:val="clear" w:color="auto" w:fill="FFFFFF"/>
          <w:lang w:val="ro-MD"/>
        </w:rPr>
        <w:t>gestionarea</w:t>
      </w:r>
      <w:r w:rsidR="00DD4687" w:rsidRPr="007917DD">
        <w:rPr>
          <w:rFonts w:asciiTheme="majorHAnsi" w:hAnsiTheme="majorHAnsi" w:cstheme="majorHAnsi"/>
          <w:sz w:val="24"/>
          <w:szCs w:val="24"/>
          <w:shd w:val="clear" w:color="auto" w:fill="FFFFFF"/>
          <w:lang w:val="ro-MD"/>
        </w:rPr>
        <w:t xml:space="preserve"> conformă și responsabilă a patrimoniului public. </w:t>
      </w:r>
    </w:p>
    <w:p w14:paraId="1487173E" w14:textId="2E7F5514" w:rsidR="00DD4687" w:rsidRPr="007917DD" w:rsidRDefault="00DD4687" w:rsidP="00DD4687">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7917DD">
        <w:rPr>
          <w:rFonts w:asciiTheme="majorHAnsi" w:hAnsiTheme="majorHAnsi" w:cstheme="majorHAnsi"/>
          <w:sz w:val="24"/>
          <w:szCs w:val="24"/>
          <w:shd w:val="clear" w:color="auto" w:fill="FFFFFF"/>
          <w:lang w:val="ro-MD"/>
        </w:rPr>
        <w:t>În perioada supusă auditului public extern, d</w:t>
      </w:r>
      <w:r w:rsidR="0036773B">
        <w:rPr>
          <w:rFonts w:asciiTheme="majorHAnsi" w:hAnsiTheme="majorHAnsi" w:cstheme="majorHAnsi"/>
          <w:sz w:val="24"/>
          <w:szCs w:val="24"/>
          <w:shd w:val="clear" w:color="auto" w:fill="FFFFFF"/>
          <w:lang w:val="ro-MD"/>
        </w:rPr>
        <w:t xml:space="preserve">eși </w:t>
      </w:r>
      <w:r w:rsidRPr="007917DD">
        <w:rPr>
          <w:rFonts w:asciiTheme="majorHAnsi" w:hAnsiTheme="majorHAnsi" w:cstheme="majorHAnsi"/>
          <w:sz w:val="24"/>
          <w:szCs w:val="24"/>
          <w:shd w:val="clear" w:color="auto" w:fill="FFFFFF"/>
          <w:lang w:val="ro-MD"/>
        </w:rPr>
        <w:t xml:space="preserve">inventarierea în cadrul </w:t>
      </w:r>
      <w:r w:rsidR="00E315C1">
        <w:rPr>
          <w:rFonts w:asciiTheme="majorHAnsi" w:hAnsiTheme="majorHAnsi" w:cstheme="majorHAnsi"/>
          <w:sz w:val="24"/>
          <w:szCs w:val="24"/>
          <w:shd w:val="clear" w:color="auto" w:fill="FFFFFF"/>
          <w:lang w:val="ro-MD"/>
        </w:rPr>
        <w:t xml:space="preserve">instituțiilor publice </w:t>
      </w:r>
      <w:r w:rsidRPr="007917DD">
        <w:rPr>
          <w:rFonts w:asciiTheme="majorHAnsi" w:hAnsiTheme="majorHAnsi" w:cstheme="majorHAnsi"/>
          <w:sz w:val="24"/>
          <w:szCs w:val="24"/>
          <w:shd w:val="clear" w:color="auto" w:fill="FFFFFF"/>
          <w:lang w:val="ro-MD"/>
        </w:rPr>
        <w:t xml:space="preserve"> din domeniul infrastructurii calității</w:t>
      </w:r>
      <w:r w:rsidR="0036773B">
        <w:rPr>
          <w:rFonts w:asciiTheme="majorHAnsi" w:hAnsiTheme="majorHAnsi" w:cstheme="majorHAnsi"/>
          <w:sz w:val="24"/>
          <w:szCs w:val="24"/>
          <w:shd w:val="clear" w:color="auto" w:fill="FFFFFF"/>
          <w:lang w:val="ro-MD"/>
        </w:rPr>
        <w:t>, din punct de vedere procedural,</w:t>
      </w:r>
      <w:r w:rsidR="00EB12E6">
        <w:rPr>
          <w:rFonts w:asciiTheme="majorHAnsi" w:hAnsiTheme="majorHAnsi" w:cstheme="majorHAnsi"/>
          <w:sz w:val="24"/>
          <w:szCs w:val="24"/>
          <w:shd w:val="clear" w:color="auto" w:fill="FFFFFF"/>
          <w:lang w:val="ro-MD"/>
        </w:rPr>
        <w:t xml:space="preserve"> a fost desfășurată </w:t>
      </w:r>
      <w:r w:rsidRPr="007917DD">
        <w:rPr>
          <w:rFonts w:asciiTheme="majorHAnsi" w:hAnsiTheme="majorHAnsi" w:cstheme="majorHAnsi"/>
          <w:sz w:val="24"/>
          <w:szCs w:val="24"/>
          <w:shd w:val="clear" w:color="auto" w:fill="FFFFFF"/>
          <w:lang w:val="ro-MD"/>
        </w:rPr>
        <w:t xml:space="preserve"> regulamentar</w:t>
      </w:r>
      <w:r w:rsidR="0036773B">
        <w:rPr>
          <w:rFonts w:asciiTheme="majorHAnsi" w:hAnsiTheme="majorHAnsi" w:cstheme="majorHAnsi"/>
          <w:sz w:val="24"/>
          <w:szCs w:val="24"/>
          <w:shd w:val="clear" w:color="auto" w:fill="FFFFFF"/>
        </w:rPr>
        <w:t>,</w:t>
      </w:r>
      <w:r w:rsidRPr="007917DD">
        <w:rPr>
          <w:rFonts w:asciiTheme="majorHAnsi" w:hAnsiTheme="majorHAnsi" w:cstheme="majorHAnsi"/>
          <w:sz w:val="24"/>
          <w:szCs w:val="24"/>
          <w:shd w:val="clear" w:color="auto" w:fill="FFFFFF"/>
        </w:rPr>
        <w:t xml:space="preserve"> </w:t>
      </w:r>
      <w:r w:rsidR="0036773B">
        <w:rPr>
          <w:rFonts w:asciiTheme="majorHAnsi" w:hAnsiTheme="majorHAnsi" w:cstheme="majorHAnsi"/>
          <w:sz w:val="24"/>
          <w:szCs w:val="24"/>
          <w:shd w:val="clear" w:color="auto" w:fill="FFFFFF"/>
        </w:rPr>
        <w:t xml:space="preserve">se atestă că rezultatele inventarierii indică doar </w:t>
      </w:r>
      <w:r w:rsidRPr="007917DD">
        <w:rPr>
          <w:rFonts w:asciiTheme="majorHAnsi" w:hAnsiTheme="majorHAnsi" w:cstheme="majorHAnsi"/>
          <w:sz w:val="24"/>
          <w:szCs w:val="24"/>
          <w:shd w:val="clear" w:color="auto" w:fill="FFFFFF"/>
          <w:lang w:val="ro-MD"/>
        </w:rPr>
        <w:t>stabilirea existenței faptice și scriptice a bunurilor aflate în gestiunea entității, nefiind identificate bunurile neutilizate și/sau amortizate integral</w:t>
      </w:r>
      <w:r w:rsidR="005A587B">
        <w:rPr>
          <w:rFonts w:asciiTheme="majorHAnsi" w:hAnsiTheme="majorHAnsi" w:cstheme="majorHAnsi"/>
          <w:sz w:val="24"/>
          <w:szCs w:val="24"/>
          <w:shd w:val="clear" w:color="auto" w:fill="FFFFFF"/>
          <w:lang w:val="ro-MD"/>
        </w:rPr>
        <w:t>, neevaluate corespunzător</w:t>
      </w:r>
      <w:r w:rsidRPr="007917DD">
        <w:rPr>
          <w:rFonts w:asciiTheme="majorHAnsi" w:hAnsiTheme="majorHAnsi" w:cstheme="majorHAnsi"/>
          <w:sz w:val="24"/>
          <w:szCs w:val="24"/>
          <w:shd w:val="clear" w:color="auto" w:fill="FFFFFF"/>
          <w:lang w:val="ro-MD"/>
        </w:rPr>
        <w:t>,</w:t>
      </w:r>
      <w:r w:rsidR="00747DAF">
        <w:rPr>
          <w:rFonts w:asciiTheme="majorHAnsi" w:hAnsiTheme="majorHAnsi" w:cstheme="majorHAnsi"/>
          <w:sz w:val="24"/>
          <w:szCs w:val="24"/>
          <w:shd w:val="clear" w:color="auto" w:fill="FFFFFF"/>
          <w:lang w:val="ro-MD"/>
        </w:rPr>
        <w:t xml:space="preserve"> necasate, netransmise altor entități și,</w:t>
      </w:r>
      <w:r w:rsidRPr="007917DD">
        <w:rPr>
          <w:rFonts w:asciiTheme="majorHAnsi" w:hAnsiTheme="majorHAnsi" w:cstheme="majorHAnsi"/>
          <w:sz w:val="24"/>
          <w:szCs w:val="24"/>
          <w:shd w:val="clear" w:color="auto" w:fill="FFFFFF"/>
          <w:lang w:val="ro-MD"/>
        </w:rPr>
        <w:t xml:space="preserve"> prin urmare, nefiind luate deciziile manageriale</w:t>
      </w:r>
      <w:r w:rsidR="00EB12E6">
        <w:rPr>
          <w:rFonts w:asciiTheme="majorHAnsi" w:hAnsiTheme="majorHAnsi" w:cstheme="majorHAnsi"/>
          <w:sz w:val="24"/>
          <w:szCs w:val="24"/>
          <w:shd w:val="clear" w:color="auto" w:fill="FFFFFF"/>
          <w:lang w:val="ro-MD"/>
        </w:rPr>
        <w:t xml:space="preserve"> necesare</w:t>
      </w:r>
      <w:r w:rsidRPr="007917DD">
        <w:rPr>
          <w:rFonts w:asciiTheme="majorHAnsi" w:hAnsiTheme="majorHAnsi" w:cstheme="majorHAnsi"/>
          <w:sz w:val="24"/>
          <w:szCs w:val="24"/>
          <w:shd w:val="clear" w:color="auto" w:fill="FFFFFF"/>
          <w:lang w:val="ro-MD"/>
        </w:rPr>
        <w:t xml:space="preserve"> relevante acestora. </w:t>
      </w:r>
      <w:r w:rsidR="00F86282" w:rsidRPr="00F86282">
        <w:rPr>
          <w:rFonts w:asciiTheme="majorHAnsi" w:hAnsiTheme="majorHAnsi" w:cstheme="majorHAnsi"/>
          <w:sz w:val="24"/>
          <w:szCs w:val="24"/>
          <w:shd w:val="clear" w:color="auto" w:fill="FFFFFF"/>
          <w:lang w:val="ro-MD"/>
        </w:rPr>
        <w:t>În contextul dat</w:t>
      </w:r>
      <w:r w:rsidR="00E315C1">
        <w:rPr>
          <w:rFonts w:asciiTheme="majorHAnsi" w:hAnsiTheme="majorHAnsi" w:cstheme="majorHAnsi"/>
          <w:sz w:val="24"/>
          <w:szCs w:val="24"/>
          <w:shd w:val="clear" w:color="auto" w:fill="FFFFFF"/>
          <w:lang w:val="ro-MD"/>
        </w:rPr>
        <w:t>,</w:t>
      </w:r>
      <w:r w:rsidR="00F86282" w:rsidRPr="00F86282">
        <w:rPr>
          <w:rFonts w:asciiTheme="majorHAnsi" w:hAnsiTheme="majorHAnsi" w:cstheme="majorHAnsi"/>
          <w:sz w:val="24"/>
          <w:szCs w:val="24"/>
          <w:shd w:val="clear" w:color="auto" w:fill="FFFFFF"/>
          <w:lang w:val="ro-MD"/>
        </w:rPr>
        <w:t xml:space="preserve"> se denotă</w:t>
      </w:r>
      <w:r w:rsidR="00D93BD3" w:rsidRPr="00F86282">
        <w:rPr>
          <w:rFonts w:asciiTheme="majorHAnsi" w:hAnsiTheme="majorHAnsi" w:cstheme="majorHAnsi"/>
          <w:sz w:val="24"/>
          <w:szCs w:val="24"/>
          <w:shd w:val="clear" w:color="auto" w:fill="FFFFFF"/>
          <w:lang w:val="ro-MD"/>
        </w:rPr>
        <w:t xml:space="preserve"> următoarele</w:t>
      </w:r>
      <w:r w:rsidRPr="00F86282">
        <w:rPr>
          <w:rFonts w:asciiTheme="majorHAnsi" w:hAnsiTheme="majorHAnsi" w:cstheme="majorHAnsi"/>
          <w:sz w:val="24"/>
          <w:szCs w:val="24"/>
          <w:shd w:val="clear" w:color="auto" w:fill="FFFFFF"/>
          <w:lang w:val="ro-MD"/>
        </w:rPr>
        <w:t>:</w:t>
      </w:r>
      <w:r w:rsidRPr="007917DD">
        <w:rPr>
          <w:rFonts w:asciiTheme="majorHAnsi" w:hAnsiTheme="majorHAnsi" w:cstheme="majorHAnsi"/>
          <w:sz w:val="24"/>
          <w:szCs w:val="24"/>
          <w:shd w:val="clear" w:color="auto" w:fill="FFFFFF"/>
          <w:lang w:val="ro-MD"/>
        </w:rPr>
        <w:t xml:space="preserve"> </w:t>
      </w:r>
    </w:p>
    <w:p w14:paraId="5A645D29" w14:textId="65EF9FF4" w:rsidR="007654EF" w:rsidRPr="003B5807" w:rsidRDefault="007654EF" w:rsidP="007E002D">
      <w:pPr>
        <w:pStyle w:val="ListParagraph"/>
        <w:numPr>
          <w:ilvl w:val="3"/>
          <w:numId w:val="38"/>
        </w:numPr>
        <w:tabs>
          <w:tab w:val="left" w:pos="0"/>
        </w:tabs>
        <w:spacing w:after="0" w:line="276" w:lineRule="auto"/>
        <w:ind w:left="0" w:firstLine="0"/>
        <w:contextualSpacing w:val="0"/>
        <w:jc w:val="both"/>
        <w:outlineLvl w:val="0"/>
        <w:rPr>
          <w:rFonts w:asciiTheme="majorHAnsi" w:hAnsiTheme="majorHAnsi" w:cstheme="majorHAnsi"/>
          <w:b/>
          <w:i/>
          <w:sz w:val="24"/>
          <w:szCs w:val="24"/>
          <w:lang w:val="ro-MD"/>
        </w:rPr>
      </w:pPr>
      <w:bookmarkStart w:id="122" w:name="_Toc123116707"/>
      <w:r w:rsidRPr="003B5807">
        <w:rPr>
          <w:rFonts w:asciiTheme="majorHAnsi" w:hAnsiTheme="majorHAnsi" w:cstheme="majorHAnsi"/>
          <w:b/>
          <w:i/>
          <w:sz w:val="24"/>
          <w:szCs w:val="24"/>
          <w:lang w:val="ro-MD"/>
        </w:rPr>
        <w:t xml:space="preserve">Neînregistrarea corespunzătoare a unor tranzacții operaționale de către </w:t>
      </w:r>
      <w:r w:rsidRPr="00C66909">
        <w:rPr>
          <w:rFonts w:asciiTheme="majorHAnsi" w:hAnsiTheme="majorHAnsi" w:cstheme="majorHAnsi"/>
          <w:b/>
          <w:i/>
          <w:sz w:val="24"/>
          <w:szCs w:val="24"/>
          <w:lang w:val="ro-MD"/>
        </w:rPr>
        <w:t>ISM</w:t>
      </w:r>
      <w:r w:rsidRPr="003B5807">
        <w:rPr>
          <w:rFonts w:asciiTheme="majorHAnsi" w:hAnsiTheme="majorHAnsi" w:cstheme="majorHAnsi"/>
          <w:b/>
          <w:i/>
          <w:sz w:val="24"/>
          <w:szCs w:val="24"/>
          <w:lang w:val="ro-MD"/>
        </w:rPr>
        <w:t xml:space="preserve"> condiționează prezentarea informații</w:t>
      </w:r>
      <w:r w:rsidR="003B0674">
        <w:rPr>
          <w:rFonts w:asciiTheme="majorHAnsi" w:hAnsiTheme="majorHAnsi" w:cstheme="majorHAnsi"/>
          <w:b/>
          <w:i/>
          <w:sz w:val="24"/>
          <w:szCs w:val="24"/>
          <w:lang w:val="ro-MD"/>
        </w:rPr>
        <w:t>lor</w:t>
      </w:r>
      <w:r w:rsidRPr="003B5807">
        <w:rPr>
          <w:rFonts w:asciiTheme="majorHAnsi" w:hAnsiTheme="majorHAnsi" w:cstheme="majorHAnsi"/>
          <w:b/>
          <w:i/>
          <w:sz w:val="24"/>
          <w:szCs w:val="24"/>
          <w:lang w:val="ro-MD"/>
        </w:rPr>
        <w:t xml:space="preserve"> neveridice utilizatorilor de resort.</w:t>
      </w:r>
      <w:bookmarkEnd w:id="122"/>
    </w:p>
    <w:p w14:paraId="610739D7" w14:textId="65A04046" w:rsidR="00E42CFF" w:rsidRPr="007917DD" w:rsidRDefault="00E42CFF" w:rsidP="00E42CFF">
      <w:pPr>
        <w:pStyle w:val="ListParagraph"/>
        <w:tabs>
          <w:tab w:val="left" w:pos="270"/>
          <w:tab w:val="left" w:pos="1530"/>
        </w:tabs>
        <w:spacing w:after="0" w:line="276" w:lineRule="auto"/>
        <w:ind w:left="0" w:firstLine="720"/>
        <w:jc w:val="both"/>
        <w:rPr>
          <w:rFonts w:asciiTheme="majorHAnsi" w:hAnsiTheme="majorHAnsi" w:cstheme="majorHAnsi"/>
          <w:sz w:val="24"/>
          <w:szCs w:val="24"/>
          <w:lang w:val="ro-MD"/>
        </w:rPr>
      </w:pPr>
      <w:r w:rsidRPr="001E6FF7">
        <w:rPr>
          <w:rFonts w:asciiTheme="majorHAnsi" w:hAnsiTheme="majorHAnsi" w:cstheme="majorHAnsi"/>
          <w:sz w:val="24"/>
          <w:szCs w:val="24"/>
          <w:lang w:val="ro-MD"/>
        </w:rPr>
        <w:t xml:space="preserve">Conform </w:t>
      </w:r>
      <w:r w:rsidR="001E6FF7">
        <w:rPr>
          <w:rFonts w:asciiTheme="majorHAnsi" w:hAnsiTheme="majorHAnsi" w:cstheme="majorHAnsi"/>
          <w:sz w:val="24"/>
          <w:szCs w:val="24"/>
          <w:lang w:val="ro-MD"/>
        </w:rPr>
        <w:t>prevederilor</w:t>
      </w:r>
      <w:r w:rsidR="001E6FF7" w:rsidRPr="001E6FF7">
        <w:rPr>
          <w:rFonts w:asciiTheme="majorHAnsi" w:hAnsiTheme="majorHAnsi" w:cstheme="majorHAnsi"/>
          <w:sz w:val="24"/>
          <w:szCs w:val="24"/>
          <w:lang w:val="ro-MD"/>
        </w:rPr>
        <w:t xml:space="preserve"> legale</w:t>
      </w:r>
      <w:r w:rsidR="001E6FF7">
        <w:rPr>
          <w:rStyle w:val="FootnoteReference"/>
          <w:rFonts w:asciiTheme="majorHAnsi" w:hAnsiTheme="majorHAnsi" w:cstheme="majorHAnsi"/>
          <w:szCs w:val="24"/>
          <w:lang w:val="ro-MD"/>
        </w:rPr>
        <w:footnoteReference w:id="19"/>
      </w:r>
      <w:r w:rsidR="003B0674">
        <w:rPr>
          <w:rFonts w:asciiTheme="majorHAnsi" w:hAnsiTheme="majorHAnsi" w:cstheme="majorHAnsi"/>
          <w:sz w:val="24"/>
          <w:szCs w:val="24"/>
          <w:lang w:val="ro-MD"/>
        </w:rPr>
        <w:t>,</w:t>
      </w:r>
      <w:r w:rsidRPr="001E6FF7">
        <w:rPr>
          <w:rFonts w:asciiTheme="majorHAnsi" w:hAnsiTheme="majorHAnsi" w:cstheme="majorHAnsi"/>
          <w:sz w:val="24"/>
          <w:szCs w:val="24"/>
          <w:lang w:val="ro-MD"/>
        </w:rPr>
        <w:t xml:space="preserve"> </w:t>
      </w:r>
      <w:r w:rsidR="001E6FF7">
        <w:rPr>
          <w:rFonts w:asciiTheme="majorHAnsi" w:hAnsiTheme="majorHAnsi" w:cstheme="majorHAnsi"/>
          <w:sz w:val="24"/>
          <w:szCs w:val="24"/>
          <w:lang w:val="ro-MD"/>
        </w:rPr>
        <w:t>d</w:t>
      </w:r>
      <w:r w:rsidR="001E6FF7" w:rsidRPr="001E6FF7">
        <w:rPr>
          <w:rFonts w:asciiTheme="majorHAnsi" w:hAnsiTheme="majorHAnsi" w:cstheme="majorHAnsi"/>
          <w:sz w:val="24"/>
          <w:szCs w:val="24"/>
          <w:lang w:val="ro-MD"/>
        </w:rPr>
        <w:t>eţinerea de către entitate a activelor cu orice titlu, înregistrarea surselor de provenienţă a acestora şi a faptelor economice fără documentarea şi reflecta</w:t>
      </w:r>
      <w:r w:rsidR="00AF5781">
        <w:rPr>
          <w:rFonts w:asciiTheme="majorHAnsi" w:hAnsiTheme="majorHAnsi" w:cstheme="majorHAnsi"/>
          <w:sz w:val="24"/>
          <w:szCs w:val="24"/>
          <w:lang w:val="ro-MD"/>
        </w:rPr>
        <w:t>rea acestora în contabilitate su</w:t>
      </w:r>
      <w:r w:rsidR="001E6FF7" w:rsidRPr="001E6FF7">
        <w:rPr>
          <w:rFonts w:asciiTheme="majorHAnsi" w:hAnsiTheme="majorHAnsi" w:cstheme="majorHAnsi"/>
          <w:sz w:val="24"/>
          <w:szCs w:val="24"/>
          <w:lang w:val="ro-MD"/>
        </w:rPr>
        <w:t>nt interzise</w:t>
      </w:r>
      <w:r w:rsidRPr="007917DD">
        <w:rPr>
          <w:rFonts w:asciiTheme="majorHAnsi" w:hAnsiTheme="majorHAnsi" w:cstheme="majorHAnsi"/>
          <w:sz w:val="24"/>
          <w:szCs w:val="24"/>
          <w:lang w:val="ro-MD"/>
        </w:rPr>
        <w:t>.</w:t>
      </w:r>
    </w:p>
    <w:p w14:paraId="07E72379" w14:textId="6D738B5B" w:rsidR="005E5C2A" w:rsidRPr="007917DD" w:rsidRDefault="00747F07" w:rsidP="003B5807">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Probele de audit acumulate denotă că p</w:t>
      </w:r>
      <w:r w:rsidR="00490389">
        <w:rPr>
          <w:rFonts w:asciiTheme="majorHAnsi" w:hAnsiTheme="majorHAnsi" w:cstheme="majorHAnsi"/>
          <w:sz w:val="24"/>
          <w:szCs w:val="24"/>
          <w:shd w:val="clear" w:color="auto" w:fill="FFFFFF"/>
          <w:lang w:val="ro-MD"/>
        </w:rPr>
        <w:t>latforma e-learn</w:t>
      </w:r>
      <w:r w:rsidR="000F5548" w:rsidRPr="007917DD">
        <w:rPr>
          <w:rFonts w:asciiTheme="majorHAnsi" w:hAnsiTheme="majorHAnsi" w:cstheme="majorHAnsi"/>
          <w:sz w:val="24"/>
          <w:szCs w:val="24"/>
          <w:shd w:val="clear" w:color="auto" w:fill="FFFFFF"/>
          <w:lang w:val="ro-MD"/>
        </w:rPr>
        <w:t xml:space="preserve">ing www.academia.standard.md </w:t>
      </w:r>
      <w:r w:rsidR="003B0674">
        <w:rPr>
          <w:rFonts w:asciiTheme="majorHAnsi" w:hAnsiTheme="majorHAnsi" w:cstheme="majorHAnsi"/>
          <w:sz w:val="24"/>
          <w:szCs w:val="24"/>
          <w:shd w:val="clear" w:color="auto" w:fill="FFFFFF"/>
          <w:lang w:val="ro-MD"/>
        </w:rPr>
        <w:t>s-</w:t>
      </w:r>
      <w:r w:rsidR="000F5548" w:rsidRPr="007917DD">
        <w:rPr>
          <w:rFonts w:asciiTheme="majorHAnsi" w:hAnsiTheme="majorHAnsi" w:cstheme="majorHAnsi"/>
          <w:sz w:val="24"/>
          <w:szCs w:val="24"/>
          <w:shd w:val="clear" w:color="auto" w:fill="FFFFFF"/>
          <w:lang w:val="ro-MD"/>
        </w:rPr>
        <w:t>a</w:t>
      </w:r>
      <w:r w:rsidR="003B0674">
        <w:rPr>
          <w:rFonts w:asciiTheme="majorHAnsi" w:hAnsiTheme="majorHAnsi" w:cstheme="majorHAnsi"/>
          <w:sz w:val="24"/>
          <w:szCs w:val="24"/>
          <w:shd w:val="clear" w:color="auto" w:fill="FFFFFF"/>
          <w:lang w:val="ro-MD"/>
        </w:rPr>
        <w:t xml:space="preserve"> </w:t>
      </w:r>
      <w:r w:rsidR="000F5548" w:rsidRPr="007917DD">
        <w:rPr>
          <w:rFonts w:asciiTheme="majorHAnsi" w:hAnsiTheme="majorHAnsi" w:cstheme="majorHAnsi"/>
          <w:sz w:val="24"/>
          <w:szCs w:val="24"/>
          <w:shd w:val="clear" w:color="auto" w:fill="FFFFFF"/>
          <w:lang w:val="ro-MD"/>
        </w:rPr>
        <w:t xml:space="preserve">elaborat în cadrul </w:t>
      </w:r>
      <w:r w:rsidR="003B0674">
        <w:rPr>
          <w:rFonts w:asciiTheme="majorHAnsi" w:hAnsiTheme="majorHAnsi" w:cstheme="majorHAnsi"/>
          <w:sz w:val="24"/>
          <w:szCs w:val="24"/>
          <w:shd w:val="clear" w:color="auto" w:fill="FFFFFF"/>
          <w:lang w:val="ro-MD"/>
        </w:rPr>
        <w:t>P</w:t>
      </w:r>
      <w:r w:rsidR="000F5548" w:rsidRPr="007917DD">
        <w:rPr>
          <w:rFonts w:asciiTheme="majorHAnsi" w:hAnsiTheme="majorHAnsi" w:cstheme="majorHAnsi"/>
          <w:sz w:val="24"/>
          <w:szCs w:val="24"/>
          <w:shd w:val="clear" w:color="auto" w:fill="FFFFFF"/>
          <w:lang w:val="ro-MD"/>
        </w:rPr>
        <w:t>roiectului „Quality Infrastructure in Moldova: European standards an instrument for transferring knowledge and technology and supporting SMEs competitivenes in the EU market”, finanțat de Letonia</w:t>
      </w:r>
      <w:r w:rsidR="0040037F">
        <w:rPr>
          <w:rFonts w:asciiTheme="majorHAnsi" w:hAnsiTheme="majorHAnsi" w:cstheme="majorHAnsi"/>
          <w:sz w:val="24"/>
          <w:szCs w:val="24"/>
          <w:shd w:val="clear" w:color="auto" w:fill="FFFFFF"/>
          <w:lang w:val="ro-MD"/>
        </w:rPr>
        <w:t>. Mijloacele financiare</w:t>
      </w:r>
      <w:r w:rsidR="000F5548" w:rsidRPr="007917DD">
        <w:rPr>
          <w:rFonts w:asciiTheme="majorHAnsi" w:hAnsiTheme="majorHAnsi" w:cstheme="majorHAnsi"/>
          <w:sz w:val="24"/>
          <w:szCs w:val="24"/>
          <w:shd w:val="clear" w:color="auto" w:fill="FFFFFF"/>
          <w:lang w:val="ro-MD"/>
        </w:rPr>
        <w:t xml:space="preserve"> pentru dezvol</w:t>
      </w:r>
      <w:r w:rsidR="0040037F">
        <w:rPr>
          <w:rFonts w:asciiTheme="majorHAnsi" w:hAnsiTheme="majorHAnsi" w:cstheme="majorHAnsi"/>
          <w:sz w:val="24"/>
          <w:szCs w:val="24"/>
          <w:shd w:val="clear" w:color="auto" w:fill="FFFFFF"/>
          <w:lang w:val="ro-MD"/>
        </w:rPr>
        <w:t>tarea platformei au fost alocate</w:t>
      </w:r>
      <w:r w:rsidR="00D36D1C">
        <w:rPr>
          <w:rFonts w:asciiTheme="majorHAnsi" w:hAnsiTheme="majorHAnsi" w:cstheme="majorHAnsi"/>
          <w:sz w:val="24"/>
          <w:szCs w:val="24"/>
          <w:shd w:val="clear" w:color="auto" w:fill="FFFFFF"/>
          <w:lang w:val="ro-MD"/>
        </w:rPr>
        <w:t xml:space="preserve"> de către finanțator cu  destinația de  </w:t>
      </w:r>
      <w:r w:rsidR="0040037F">
        <w:rPr>
          <w:rFonts w:asciiTheme="majorHAnsi" w:hAnsiTheme="majorHAnsi" w:cstheme="majorHAnsi"/>
          <w:sz w:val="24"/>
          <w:szCs w:val="24"/>
          <w:shd w:val="clear" w:color="auto" w:fill="FFFFFF"/>
          <w:lang w:val="ro-MD"/>
        </w:rPr>
        <w:t>instruire</w:t>
      </w:r>
      <w:r w:rsidR="00D36D1C">
        <w:rPr>
          <w:rFonts w:asciiTheme="majorHAnsi" w:hAnsiTheme="majorHAnsi" w:cstheme="majorHAnsi"/>
          <w:sz w:val="24"/>
          <w:szCs w:val="24"/>
          <w:shd w:val="clear" w:color="auto" w:fill="FFFFFF"/>
          <w:lang w:val="ro-MD"/>
        </w:rPr>
        <w:t xml:space="preserve"> </w:t>
      </w:r>
      <w:r w:rsidR="0040037F">
        <w:rPr>
          <w:rFonts w:asciiTheme="majorHAnsi" w:hAnsiTheme="majorHAnsi" w:cstheme="majorHAnsi"/>
          <w:sz w:val="24"/>
          <w:szCs w:val="24"/>
          <w:shd w:val="clear" w:color="auto" w:fill="FFFFFF"/>
          <w:lang w:val="ro-MD"/>
        </w:rPr>
        <w:t>a specialiștilor în domeniul</w:t>
      </w:r>
      <w:r w:rsidR="000F5548" w:rsidRPr="007917DD">
        <w:rPr>
          <w:rFonts w:asciiTheme="majorHAnsi" w:hAnsiTheme="majorHAnsi" w:cstheme="majorHAnsi"/>
          <w:sz w:val="24"/>
          <w:szCs w:val="24"/>
          <w:shd w:val="clear" w:color="auto" w:fill="FFFFFF"/>
          <w:lang w:val="ro-MD"/>
        </w:rPr>
        <w:t xml:space="preserve"> IT din cadr</w:t>
      </w:r>
      <w:r w:rsidR="0040037F">
        <w:rPr>
          <w:rFonts w:asciiTheme="majorHAnsi" w:hAnsiTheme="majorHAnsi" w:cstheme="majorHAnsi"/>
          <w:sz w:val="24"/>
          <w:szCs w:val="24"/>
          <w:shd w:val="clear" w:color="auto" w:fill="FFFFFF"/>
          <w:lang w:val="ro-MD"/>
        </w:rPr>
        <w:t xml:space="preserve">ul ISM. </w:t>
      </w:r>
      <w:r w:rsidR="00CD10CD">
        <w:rPr>
          <w:rFonts w:asciiTheme="majorHAnsi" w:hAnsiTheme="majorHAnsi" w:cstheme="majorHAnsi"/>
          <w:sz w:val="24"/>
          <w:szCs w:val="24"/>
          <w:shd w:val="clear" w:color="auto" w:fill="FFFFFF"/>
          <w:lang w:val="ro-MD"/>
        </w:rPr>
        <w:t>Ca urmare, platforma</w:t>
      </w:r>
      <w:r w:rsidR="00E51F7C">
        <w:rPr>
          <w:rFonts w:asciiTheme="majorHAnsi" w:hAnsiTheme="majorHAnsi" w:cstheme="majorHAnsi"/>
          <w:sz w:val="24"/>
          <w:szCs w:val="24"/>
          <w:shd w:val="clear" w:color="auto" w:fill="FFFFFF"/>
          <w:lang w:val="ro-MD"/>
        </w:rPr>
        <w:t xml:space="preserve"> </w:t>
      </w:r>
      <w:r w:rsidR="00E51F7C" w:rsidRPr="007917DD">
        <w:rPr>
          <w:rFonts w:asciiTheme="majorHAnsi" w:hAnsiTheme="majorHAnsi" w:cstheme="majorHAnsi"/>
          <w:sz w:val="24"/>
          <w:szCs w:val="24"/>
          <w:shd w:val="clear" w:color="auto" w:fill="FFFFFF"/>
          <w:lang w:val="ro-MD"/>
        </w:rPr>
        <w:t xml:space="preserve">e-learning  </w:t>
      </w:r>
      <w:hyperlink r:id="rId25" w:history="1">
        <w:r w:rsidR="00E51F7C" w:rsidRPr="007917DD">
          <w:rPr>
            <w:rStyle w:val="Hyperlink"/>
            <w:rFonts w:asciiTheme="majorHAnsi" w:hAnsiTheme="majorHAnsi" w:cstheme="majorHAnsi"/>
            <w:color w:val="auto"/>
            <w:sz w:val="24"/>
            <w:szCs w:val="24"/>
            <w:shd w:val="clear" w:color="auto" w:fill="FFFFFF"/>
            <w:lang w:val="ro-MD"/>
          </w:rPr>
          <w:t>www.academia.standard.md</w:t>
        </w:r>
      </w:hyperlink>
      <w:r w:rsidR="00CD10CD">
        <w:rPr>
          <w:rFonts w:asciiTheme="majorHAnsi" w:hAnsiTheme="majorHAnsi" w:cstheme="majorHAnsi"/>
          <w:sz w:val="24"/>
          <w:szCs w:val="24"/>
          <w:shd w:val="clear" w:color="auto" w:fill="FFFFFF"/>
          <w:lang w:val="ro-MD"/>
        </w:rPr>
        <w:t xml:space="preserve"> a fost </w:t>
      </w:r>
      <w:r w:rsidR="000F5548" w:rsidRPr="007917DD">
        <w:rPr>
          <w:rFonts w:asciiTheme="majorHAnsi" w:hAnsiTheme="majorHAnsi" w:cstheme="majorHAnsi"/>
          <w:sz w:val="24"/>
          <w:szCs w:val="24"/>
          <w:shd w:val="clear" w:color="auto" w:fill="FFFFFF"/>
          <w:lang w:val="ro-MD"/>
        </w:rPr>
        <w:t xml:space="preserve"> dezvoltată de către personalul </w:t>
      </w:r>
      <w:r w:rsidR="00CD10CD">
        <w:rPr>
          <w:rFonts w:asciiTheme="majorHAnsi" w:hAnsiTheme="majorHAnsi" w:cstheme="majorHAnsi"/>
          <w:sz w:val="24"/>
          <w:szCs w:val="24"/>
          <w:shd w:val="clear" w:color="auto" w:fill="FFFFFF"/>
          <w:lang w:val="ro-MD"/>
        </w:rPr>
        <w:t xml:space="preserve"> în cauză  și </w:t>
      </w:r>
      <w:r w:rsidR="00AF5781">
        <w:rPr>
          <w:rFonts w:asciiTheme="majorHAnsi" w:hAnsiTheme="majorHAnsi" w:cstheme="majorHAnsi"/>
          <w:sz w:val="24"/>
          <w:szCs w:val="24"/>
          <w:shd w:val="clear" w:color="auto" w:fill="FFFFFF"/>
          <w:lang w:val="ro-MD"/>
        </w:rPr>
        <w:t xml:space="preserve"> testată în regim de pilotare, începâ</w:t>
      </w:r>
      <w:r w:rsidR="00E51F7C">
        <w:rPr>
          <w:rFonts w:asciiTheme="majorHAnsi" w:hAnsiTheme="majorHAnsi" w:cstheme="majorHAnsi"/>
          <w:sz w:val="24"/>
          <w:szCs w:val="24"/>
          <w:shd w:val="clear" w:color="auto" w:fill="FFFFFF"/>
          <w:lang w:val="ro-MD"/>
        </w:rPr>
        <w:t xml:space="preserve">nd cu </w:t>
      </w:r>
      <w:r w:rsidR="000F5548" w:rsidRPr="007917DD">
        <w:rPr>
          <w:rFonts w:asciiTheme="majorHAnsi" w:hAnsiTheme="majorHAnsi" w:cstheme="majorHAnsi"/>
          <w:sz w:val="24"/>
          <w:szCs w:val="24"/>
          <w:shd w:val="clear" w:color="auto" w:fill="FFFFFF"/>
          <w:lang w:val="ro-MD"/>
        </w:rPr>
        <w:t xml:space="preserve"> </w:t>
      </w:r>
      <w:r w:rsidR="00E51F7C">
        <w:rPr>
          <w:rFonts w:asciiTheme="majorHAnsi" w:hAnsiTheme="majorHAnsi" w:cstheme="majorHAnsi"/>
          <w:sz w:val="24"/>
          <w:szCs w:val="24"/>
          <w:shd w:val="clear" w:color="auto" w:fill="FFFFFF"/>
          <w:lang w:val="ro-MD"/>
        </w:rPr>
        <w:t>luna octombrie 2017</w:t>
      </w:r>
      <w:r w:rsidR="000F5548" w:rsidRPr="007917DD">
        <w:rPr>
          <w:rStyle w:val="FootnoteReference"/>
          <w:rFonts w:asciiTheme="majorHAnsi" w:hAnsiTheme="majorHAnsi" w:cstheme="majorHAnsi"/>
          <w:sz w:val="24"/>
          <w:szCs w:val="24"/>
          <w:shd w:val="clear" w:color="auto" w:fill="FFFFFF"/>
          <w:lang w:val="ro-MD"/>
        </w:rPr>
        <w:footnoteReference w:id="20"/>
      </w:r>
      <w:r w:rsidR="000F5548" w:rsidRPr="007917DD">
        <w:rPr>
          <w:rFonts w:asciiTheme="majorHAnsi" w:hAnsiTheme="majorHAnsi" w:cstheme="majorHAnsi"/>
          <w:sz w:val="24"/>
          <w:szCs w:val="24"/>
          <w:shd w:val="clear" w:color="auto" w:fill="FFFFFF"/>
          <w:lang w:val="ro-MD"/>
        </w:rPr>
        <w:t xml:space="preserve">. </w:t>
      </w:r>
    </w:p>
    <w:p w14:paraId="71C55114" w14:textId="04B620FE" w:rsidR="001C6A9E" w:rsidRPr="003B6E18" w:rsidRDefault="001C6A9E" w:rsidP="003B5807">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3B5807">
        <w:rPr>
          <w:rFonts w:asciiTheme="majorHAnsi" w:hAnsiTheme="majorHAnsi" w:cstheme="majorHAnsi"/>
          <w:sz w:val="24"/>
          <w:szCs w:val="24"/>
          <w:shd w:val="clear" w:color="auto" w:fill="FFFFFF"/>
          <w:lang w:val="ro-MD"/>
        </w:rPr>
        <w:t>De</w:t>
      </w:r>
      <w:r w:rsidR="004D23DD" w:rsidRPr="003B5807">
        <w:rPr>
          <w:rFonts w:asciiTheme="majorHAnsi" w:hAnsiTheme="majorHAnsi" w:cstheme="majorHAnsi"/>
          <w:sz w:val="24"/>
          <w:szCs w:val="24"/>
          <w:shd w:val="clear" w:color="auto" w:fill="FFFFFF"/>
          <w:lang w:val="ro-MD"/>
        </w:rPr>
        <w:t>și</w:t>
      </w:r>
      <w:r w:rsidR="004D23DD">
        <w:rPr>
          <w:rFonts w:asciiTheme="majorHAnsi" w:hAnsiTheme="majorHAnsi" w:cstheme="majorHAnsi"/>
          <w:sz w:val="24"/>
          <w:szCs w:val="24"/>
          <w:lang w:val="ro-MD"/>
        </w:rPr>
        <w:t xml:space="preserve"> activul nematerial nominalizat</w:t>
      </w:r>
      <w:r w:rsidRPr="007917DD">
        <w:rPr>
          <w:rFonts w:asciiTheme="majorHAnsi" w:hAnsiTheme="majorHAnsi" w:cstheme="majorHAnsi"/>
          <w:sz w:val="24"/>
          <w:szCs w:val="24"/>
          <w:lang w:val="ro-MD"/>
        </w:rPr>
        <w:t xml:space="preserve"> este identificabil și controlabil de </w:t>
      </w:r>
      <w:r w:rsidR="003B0674">
        <w:rPr>
          <w:rFonts w:asciiTheme="majorHAnsi" w:hAnsiTheme="majorHAnsi" w:cstheme="majorHAnsi"/>
          <w:sz w:val="24"/>
          <w:szCs w:val="24"/>
          <w:lang w:val="ro-MD"/>
        </w:rPr>
        <w:t xml:space="preserve">către </w:t>
      </w:r>
      <w:r w:rsidRPr="007917DD">
        <w:rPr>
          <w:rFonts w:asciiTheme="majorHAnsi" w:hAnsiTheme="majorHAnsi" w:cstheme="majorHAnsi"/>
          <w:sz w:val="24"/>
          <w:szCs w:val="24"/>
          <w:lang w:val="ro-MD"/>
        </w:rPr>
        <w:t>entitate</w:t>
      </w:r>
      <w:r w:rsidR="004D23DD">
        <w:rPr>
          <w:rFonts w:asciiTheme="majorHAnsi" w:hAnsiTheme="majorHAnsi" w:cstheme="majorHAnsi"/>
          <w:sz w:val="24"/>
          <w:szCs w:val="24"/>
          <w:lang w:val="ro-MD"/>
        </w:rPr>
        <w:t xml:space="preserve"> și corespunde prevederilor normati</w:t>
      </w:r>
      <w:r w:rsidR="005B07CB">
        <w:rPr>
          <w:rFonts w:asciiTheme="majorHAnsi" w:hAnsiTheme="majorHAnsi" w:cstheme="majorHAnsi"/>
          <w:sz w:val="24"/>
          <w:szCs w:val="24"/>
          <w:lang w:val="ro-MD"/>
        </w:rPr>
        <w:t>ve</w:t>
      </w:r>
      <w:r w:rsidR="004D23DD">
        <w:rPr>
          <w:rStyle w:val="FootnoteReference"/>
          <w:rFonts w:asciiTheme="majorHAnsi" w:hAnsiTheme="majorHAnsi" w:cstheme="majorHAnsi"/>
          <w:szCs w:val="24"/>
          <w:lang w:val="ro-MD"/>
        </w:rPr>
        <w:footnoteReference w:id="21"/>
      </w:r>
      <w:r w:rsidR="004D23DD">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valoarea </w:t>
      </w:r>
      <w:r w:rsidR="004D23DD">
        <w:rPr>
          <w:rFonts w:asciiTheme="majorHAnsi" w:hAnsiTheme="majorHAnsi" w:cstheme="majorHAnsi"/>
          <w:sz w:val="24"/>
          <w:szCs w:val="24"/>
          <w:lang w:val="ro-MD"/>
        </w:rPr>
        <w:t>acestuia nu a fost determinată</w:t>
      </w:r>
      <w:r w:rsidR="000D2573">
        <w:rPr>
          <w:rFonts w:asciiTheme="majorHAnsi" w:hAnsiTheme="majorHAnsi" w:cstheme="majorHAnsi"/>
          <w:sz w:val="24"/>
          <w:szCs w:val="24"/>
          <w:lang w:val="ro-MD"/>
        </w:rPr>
        <w:t xml:space="preserve"> </w:t>
      </w:r>
      <w:r w:rsidR="004D23DD">
        <w:rPr>
          <w:rFonts w:asciiTheme="majorHAnsi" w:hAnsiTheme="majorHAnsi" w:cstheme="majorHAnsi"/>
          <w:sz w:val="24"/>
          <w:szCs w:val="24"/>
          <w:lang w:val="ro-MD"/>
        </w:rPr>
        <w:t xml:space="preserve"> și înregistrată</w:t>
      </w:r>
      <w:r w:rsidRPr="007917DD">
        <w:rPr>
          <w:rFonts w:asciiTheme="majorHAnsi" w:hAnsiTheme="majorHAnsi" w:cstheme="majorHAnsi"/>
          <w:sz w:val="24"/>
          <w:szCs w:val="24"/>
          <w:lang w:val="ro-MD"/>
        </w:rPr>
        <w:t xml:space="preserve"> în evidența contabilă a </w:t>
      </w:r>
      <w:r w:rsidRPr="007917DD">
        <w:rPr>
          <w:rFonts w:asciiTheme="majorHAnsi" w:hAnsiTheme="majorHAnsi" w:cstheme="majorHAnsi"/>
          <w:b/>
          <w:sz w:val="24"/>
          <w:szCs w:val="24"/>
          <w:lang w:val="ro-MD"/>
        </w:rPr>
        <w:t>ISM</w:t>
      </w:r>
      <w:r w:rsidRPr="007917DD">
        <w:rPr>
          <w:rFonts w:asciiTheme="majorHAnsi" w:hAnsiTheme="majorHAnsi" w:cstheme="majorHAnsi"/>
          <w:sz w:val="24"/>
          <w:szCs w:val="24"/>
          <w:lang w:val="ro-MD"/>
        </w:rPr>
        <w:t xml:space="preserve"> </w:t>
      </w:r>
      <w:r w:rsidR="00091F9E" w:rsidRPr="007917DD">
        <w:rPr>
          <w:rFonts w:asciiTheme="majorHAnsi" w:hAnsiTheme="majorHAnsi" w:cstheme="majorHAnsi"/>
          <w:sz w:val="24"/>
          <w:szCs w:val="24"/>
          <w:lang w:val="ro-MD"/>
        </w:rPr>
        <w:t>atât</w:t>
      </w:r>
      <w:r w:rsidRPr="007917DD">
        <w:rPr>
          <w:rFonts w:asciiTheme="majorHAnsi" w:hAnsiTheme="majorHAnsi" w:cstheme="majorHAnsi"/>
          <w:sz w:val="24"/>
          <w:szCs w:val="24"/>
          <w:lang w:val="ro-MD"/>
        </w:rPr>
        <w:t xml:space="preserve"> cantitativ</w:t>
      </w:r>
      <w:r w:rsidR="00ED3752">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w:t>
      </w:r>
      <w:r w:rsidR="00091F9E" w:rsidRPr="007917DD">
        <w:rPr>
          <w:rFonts w:asciiTheme="majorHAnsi" w:hAnsiTheme="majorHAnsi" w:cstheme="majorHAnsi"/>
          <w:sz w:val="24"/>
          <w:szCs w:val="24"/>
          <w:lang w:val="ro-MD"/>
        </w:rPr>
        <w:t>cât</w:t>
      </w:r>
      <w:r w:rsidRPr="007917DD">
        <w:rPr>
          <w:rFonts w:asciiTheme="majorHAnsi" w:hAnsiTheme="majorHAnsi" w:cstheme="majorHAnsi"/>
          <w:sz w:val="24"/>
          <w:szCs w:val="24"/>
          <w:lang w:val="ro-MD"/>
        </w:rPr>
        <w:t xml:space="preserve"> și valoric</w:t>
      </w:r>
      <w:r w:rsidR="009252FB">
        <w:rPr>
          <w:rFonts w:asciiTheme="majorHAnsi" w:hAnsiTheme="majorHAnsi" w:cstheme="majorHAnsi"/>
          <w:sz w:val="24"/>
          <w:szCs w:val="24"/>
          <w:lang w:val="ro-MD"/>
        </w:rPr>
        <w:t xml:space="preserve">, ceea ce indică </w:t>
      </w:r>
      <w:r w:rsidR="009252FB" w:rsidRPr="00C66909">
        <w:rPr>
          <w:rFonts w:asciiTheme="majorHAnsi" w:hAnsiTheme="majorHAnsi" w:cstheme="majorHAnsi"/>
          <w:sz w:val="24"/>
          <w:szCs w:val="24"/>
          <w:lang w:val="ro-MD"/>
        </w:rPr>
        <w:t xml:space="preserve">despre </w:t>
      </w:r>
      <w:r w:rsidR="00F50C80" w:rsidRPr="00C66909">
        <w:rPr>
          <w:rFonts w:asciiTheme="majorHAnsi" w:hAnsiTheme="majorHAnsi" w:cstheme="majorHAnsi"/>
          <w:sz w:val="24"/>
          <w:szCs w:val="24"/>
          <w:lang w:val="ro-MD"/>
        </w:rPr>
        <w:t>lacunele</w:t>
      </w:r>
      <w:r w:rsidR="00F50C80" w:rsidRPr="003B6E18">
        <w:rPr>
          <w:rFonts w:asciiTheme="majorHAnsi" w:hAnsiTheme="majorHAnsi" w:cstheme="majorHAnsi"/>
          <w:sz w:val="24"/>
          <w:szCs w:val="24"/>
          <w:lang w:val="ro-MD"/>
        </w:rPr>
        <w:t xml:space="preserve"> controlului intern managerial </w:t>
      </w:r>
      <w:r w:rsidR="001829B9" w:rsidRPr="003B6E18">
        <w:rPr>
          <w:rFonts w:asciiTheme="majorHAnsi" w:hAnsiTheme="majorHAnsi" w:cstheme="majorHAnsi"/>
          <w:sz w:val="24"/>
          <w:szCs w:val="24"/>
          <w:lang w:val="ro-MD"/>
        </w:rPr>
        <w:t xml:space="preserve">aferent domeniului economico-financiar, inclusiv </w:t>
      </w:r>
      <w:r w:rsidR="009252FB" w:rsidRPr="003B6E18">
        <w:rPr>
          <w:rFonts w:asciiTheme="majorHAnsi" w:hAnsiTheme="majorHAnsi" w:cstheme="majorHAnsi"/>
          <w:sz w:val="24"/>
          <w:szCs w:val="24"/>
          <w:lang w:val="ro-MD"/>
        </w:rPr>
        <w:t>efectuarea formală a inventarierilor anuale</w:t>
      </w:r>
      <w:r w:rsidRPr="003B6E18">
        <w:rPr>
          <w:rFonts w:asciiTheme="majorHAnsi" w:hAnsiTheme="majorHAnsi" w:cstheme="majorHAnsi"/>
          <w:sz w:val="24"/>
          <w:szCs w:val="24"/>
          <w:lang w:val="ro-MD"/>
        </w:rPr>
        <w:t>.</w:t>
      </w:r>
    </w:p>
    <w:p w14:paraId="02C33FC1" w14:textId="06241E5D" w:rsidR="00084936" w:rsidRPr="007917DD" w:rsidRDefault="00434A8F" w:rsidP="003B5807">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3B5807">
        <w:rPr>
          <w:rFonts w:asciiTheme="majorHAnsi" w:hAnsiTheme="majorHAnsi" w:cstheme="majorHAnsi"/>
          <w:sz w:val="24"/>
          <w:szCs w:val="24"/>
          <w:shd w:val="clear" w:color="auto" w:fill="FFFFFF"/>
          <w:lang w:val="ro-MD"/>
        </w:rPr>
        <w:t>Totodată</w:t>
      </w:r>
      <w:r>
        <w:rPr>
          <w:rFonts w:asciiTheme="majorHAnsi" w:hAnsiTheme="majorHAnsi" w:cstheme="majorHAnsi"/>
          <w:sz w:val="24"/>
          <w:szCs w:val="24"/>
        </w:rPr>
        <w:t xml:space="preserve">, de </w:t>
      </w:r>
      <w:r>
        <w:rPr>
          <w:rFonts w:asciiTheme="majorHAnsi" w:hAnsiTheme="majorHAnsi" w:cstheme="majorHAnsi"/>
          <w:sz w:val="24"/>
          <w:szCs w:val="24"/>
          <w:lang w:val="ro-MD"/>
        </w:rPr>
        <w:t>menționat</w:t>
      </w:r>
      <w:r w:rsidR="001C6A9E" w:rsidRPr="007917DD">
        <w:rPr>
          <w:rFonts w:asciiTheme="majorHAnsi" w:hAnsiTheme="majorHAnsi" w:cstheme="majorHAnsi"/>
          <w:sz w:val="24"/>
          <w:szCs w:val="24"/>
          <w:lang w:val="ro-MD"/>
        </w:rPr>
        <w:t xml:space="preserve"> că platforma </w:t>
      </w:r>
      <w:r w:rsidR="00FA5B3A">
        <w:rPr>
          <w:rFonts w:asciiTheme="majorHAnsi" w:hAnsiTheme="majorHAnsi" w:cstheme="majorHAnsi"/>
          <w:sz w:val="24"/>
          <w:szCs w:val="24"/>
          <w:lang w:val="ro-MD"/>
        </w:rPr>
        <w:t xml:space="preserve">respectivă </w:t>
      </w:r>
      <w:r w:rsidR="001C6A9E" w:rsidRPr="007917DD">
        <w:rPr>
          <w:rFonts w:asciiTheme="majorHAnsi" w:hAnsiTheme="majorHAnsi" w:cstheme="majorHAnsi"/>
          <w:sz w:val="24"/>
          <w:szCs w:val="24"/>
          <w:lang w:val="ro-MD"/>
        </w:rPr>
        <w:t xml:space="preserve">a activat </w:t>
      </w:r>
      <w:r w:rsidR="00D36D1C">
        <w:rPr>
          <w:rFonts w:asciiTheme="majorHAnsi" w:hAnsiTheme="majorHAnsi" w:cstheme="majorHAnsi"/>
          <w:sz w:val="24"/>
          <w:szCs w:val="24"/>
          <w:lang w:val="ro-MD"/>
        </w:rPr>
        <w:t>o perioadă</w:t>
      </w:r>
      <w:r>
        <w:rPr>
          <w:rFonts w:asciiTheme="majorHAnsi" w:hAnsiTheme="majorHAnsi" w:cstheme="majorHAnsi"/>
          <w:sz w:val="24"/>
          <w:szCs w:val="24"/>
          <w:lang w:val="ro-MD"/>
        </w:rPr>
        <w:t xml:space="preserve"> de timp</w:t>
      </w:r>
      <w:r w:rsidR="00ED3752">
        <w:rPr>
          <w:rFonts w:asciiTheme="majorHAnsi" w:hAnsiTheme="majorHAnsi" w:cstheme="majorHAnsi"/>
          <w:sz w:val="24"/>
          <w:szCs w:val="24"/>
          <w:lang w:val="ro-MD"/>
        </w:rPr>
        <w:t>,</w:t>
      </w:r>
      <w:r>
        <w:rPr>
          <w:rFonts w:asciiTheme="majorHAnsi" w:hAnsiTheme="majorHAnsi" w:cstheme="majorHAnsi"/>
          <w:sz w:val="24"/>
          <w:szCs w:val="24"/>
          <w:lang w:val="ro-MD"/>
        </w:rPr>
        <w:t xml:space="preserve"> însă</w:t>
      </w:r>
      <w:r w:rsidR="0076352B">
        <w:rPr>
          <w:rFonts w:asciiTheme="majorHAnsi" w:hAnsiTheme="majorHAnsi" w:cstheme="majorHAnsi"/>
          <w:sz w:val="24"/>
          <w:szCs w:val="24"/>
          <w:lang w:val="ro-MD"/>
        </w:rPr>
        <w:t>,</w:t>
      </w:r>
      <w:r>
        <w:rPr>
          <w:rFonts w:asciiTheme="majorHAnsi" w:hAnsiTheme="majorHAnsi" w:cstheme="majorHAnsi"/>
          <w:sz w:val="24"/>
          <w:szCs w:val="24"/>
          <w:lang w:val="ro-MD"/>
        </w:rPr>
        <w:t xml:space="preserve"> din cauza </w:t>
      </w:r>
      <w:r w:rsidRPr="007917DD">
        <w:rPr>
          <w:rFonts w:asciiTheme="majorHAnsi" w:hAnsiTheme="majorHAnsi" w:cstheme="majorHAnsi"/>
          <w:sz w:val="24"/>
          <w:szCs w:val="24"/>
          <w:lang w:val="ro-MD"/>
        </w:rPr>
        <w:t>unor aspecte</w:t>
      </w:r>
      <w:r w:rsidR="0076352B">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 xml:space="preserve"> tehnice</w:t>
      </w:r>
      <w:r w:rsidR="0076352B">
        <w:rPr>
          <w:rFonts w:asciiTheme="majorHAnsi" w:hAnsiTheme="majorHAnsi" w:cstheme="majorHAnsi"/>
          <w:sz w:val="24"/>
          <w:szCs w:val="24"/>
          <w:lang w:val="ro-MD"/>
        </w:rPr>
        <w:t>,</w:t>
      </w:r>
      <w:r>
        <w:rPr>
          <w:rFonts w:asciiTheme="majorHAnsi" w:hAnsiTheme="majorHAnsi" w:cstheme="majorHAnsi"/>
          <w:sz w:val="24"/>
          <w:szCs w:val="24"/>
          <w:lang w:val="ro-MD"/>
        </w:rPr>
        <w:t xml:space="preserve">  la moment</w:t>
      </w:r>
      <w:r w:rsidR="00ED3752">
        <w:rPr>
          <w:rFonts w:asciiTheme="majorHAnsi" w:hAnsiTheme="majorHAnsi" w:cstheme="majorHAnsi"/>
          <w:sz w:val="24"/>
          <w:szCs w:val="24"/>
          <w:lang w:val="ro-MD"/>
        </w:rPr>
        <w:t>,</w:t>
      </w:r>
      <w:r w:rsidR="0076352B">
        <w:rPr>
          <w:rFonts w:asciiTheme="majorHAnsi" w:hAnsiTheme="majorHAnsi" w:cstheme="majorHAnsi"/>
          <w:sz w:val="24"/>
          <w:szCs w:val="24"/>
          <w:lang w:val="ro-MD"/>
        </w:rPr>
        <w:t xml:space="preserve">  nu este funcțională. În acest sens, </w:t>
      </w:r>
      <w:r w:rsidR="003B0674">
        <w:rPr>
          <w:rFonts w:asciiTheme="majorHAnsi" w:hAnsiTheme="majorHAnsi" w:cstheme="majorHAnsi"/>
          <w:sz w:val="24"/>
          <w:szCs w:val="24"/>
          <w:lang w:val="ro-MD"/>
        </w:rPr>
        <w:t>potrivit</w:t>
      </w:r>
      <w:r w:rsidR="0076352B">
        <w:rPr>
          <w:rFonts w:asciiTheme="majorHAnsi" w:hAnsiTheme="majorHAnsi" w:cstheme="majorHAnsi"/>
          <w:sz w:val="24"/>
          <w:szCs w:val="24"/>
          <w:lang w:val="ro-MD"/>
        </w:rPr>
        <w:t xml:space="preserve"> explicațiil</w:t>
      </w:r>
      <w:r w:rsidR="003B0674">
        <w:rPr>
          <w:rFonts w:asciiTheme="majorHAnsi" w:hAnsiTheme="majorHAnsi" w:cstheme="majorHAnsi"/>
          <w:sz w:val="24"/>
          <w:szCs w:val="24"/>
          <w:lang w:val="ro-MD"/>
        </w:rPr>
        <w:t xml:space="preserve">or </w:t>
      </w:r>
      <w:r w:rsidR="0076352B">
        <w:rPr>
          <w:rFonts w:asciiTheme="majorHAnsi" w:hAnsiTheme="majorHAnsi" w:cstheme="majorHAnsi"/>
          <w:sz w:val="24"/>
          <w:szCs w:val="24"/>
          <w:lang w:val="ro-MD"/>
        </w:rPr>
        <w:t xml:space="preserve"> prezentate de către </w:t>
      </w:r>
      <w:r w:rsidR="00293C0E">
        <w:rPr>
          <w:rFonts w:asciiTheme="majorHAnsi" w:hAnsiTheme="majorHAnsi" w:cstheme="majorHAnsi"/>
          <w:sz w:val="24"/>
          <w:szCs w:val="24"/>
          <w:lang w:val="ro-MD"/>
        </w:rPr>
        <w:t>responsabilii din cadrul</w:t>
      </w:r>
      <w:r w:rsidR="0076352B">
        <w:rPr>
          <w:rFonts w:asciiTheme="majorHAnsi" w:hAnsiTheme="majorHAnsi" w:cstheme="majorHAnsi"/>
          <w:sz w:val="24"/>
          <w:szCs w:val="24"/>
          <w:lang w:val="ro-MD"/>
        </w:rPr>
        <w:t xml:space="preserve"> ISM, se analizează</w:t>
      </w:r>
      <w:r w:rsidR="001C6A9E" w:rsidRPr="007917DD">
        <w:rPr>
          <w:rFonts w:asciiTheme="majorHAnsi" w:hAnsiTheme="majorHAnsi" w:cstheme="majorHAnsi"/>
          <w:sz w:val="24"/>
          <w:szCs w:val="24"/>
          <w:lang w:val="ro-MD"/>
        </w:rPr>
        <w:t xml:space="preserve"> oportunitatea implicării</w:t>
      </w:r>
      <w:r w:rsidR="00172F4E" w:rsidRPr="007917DD">
        <w:rPr>
          <w:rFonts w:asciiTheme="majorHAnsi" w:hAnsiTheme="majorHAnsi" w:cstheme="majorHAnsi"/>
          <w:sz w:val="24"/>
          <w:szCs w:val="24"/>
          <w:lang w:val="ro-MD"/>
        </w:rPr>
        <w:t xml:space="preserve"> î</w:t>
      </w:r>
      <w:r w:rsidR="001C6A9E" w:rsidRPr="007917DD">
        <w:rPr>
          <w:rFonts w:asciiTheme="majorHAnsi" w:hAnsiTheme="majorHAnsi" w:cstheme="majorHAnsi"/>
          <w:sz w:val="24"/>
          <w:szCs w:val="24"/>
          <w:lang w:val="ro-MD"/>
        </w:rPr>
        <w:t xml:space="preserve">ntr-un nou proiect cu partea </w:t>
      </w:r>
      <w:r w:rsidR="002F2F89">
        <w:rPr>
          <w:rFonts w:asciiTheme="majorHAnsi" w:hAnsiTheme="majorHAnsi" w:cstheme="majorHAnsi"/>
          <w:sz w:val="24"/>
          <w:szCs w:val="24"/>
          <w:lang w:val="ro-MD"/>
        </w:rPr>
        <w:t>l</w:t>
      </w:r>
      <w:r w:rsidR="001C6A9E" w:rsidRPr="007917DD">
        <w:rPr>
          <w:rFonts w:asciiTheme="majorHAnsi" w:hAnsiTheme="majorHAnsi" w:cstheme="majorHAnsi"/>
          <w:sz w:val="24"/>
          <w:szCs w:val="24"/>
          <w:lang w:val="ro-MD"/>
        </w:rPr>
        <w:t xml:space="preserve">ituaniană </w:t>
      </w:r>
      <w:r w:rsidR="0076352B">
        <w:rPr>
          <w:rFonts w:asciiTheme="majorHAnsi" w:hAnsiTheme="majorHAnsi" w:cstheme="majorHAnsi"/>
          <w:sz w:val="24"/>
          <w:szCs w:val="24"/>
          <w:lang w:val="ro-MD"/>
        </w:rPr>
        <w:t>privind dezvoltarea și ajustarea platformei la necesitățile actuale</w:t>
      </w:r>
      <w:r w:rsidR="001C6A9E" w:rsidRPr="007917DD">
        <w:rPr>
          <w:rFonts w:asciiTheme="majorHAnsi" w:hAnsiTheme="majorHAnsi" w:cstheme="majorHAnsi"/>
          <w:sz w:val="24"/>
          <w:szCs w:val="24"/>
          <w:lang w:val="ro-MD"/>
        </w:rPr>
        <w:t>.</w:t>
      </w:r>
      <w:r w:rsidR="008D3332" w:rsidRPr="008D3332">
        <w:rPr>
          <w:rFonts w:asciiTheme="majorHAnsi" w:hAnsiTheme="majorHAnsi" w:cstheme="majorHAnsi"/>
          <w:sz w:val="24"/>
          <w:szCs w:val="24"/>
          <w:lang w:val="ro-MD"/>
        </w:rPr>
        <w:t xml:space="preserve"> </w:t>
      </w:r>
      <w:r w:rsidR="008D3332" w:rsidRPr="007917DD">
        <w:rPr>
          <w:rFonts w:asciiTheme="majorHAnsi" w:hAnsiTheme="majorHAnsi" w:cstheme="majorHAnsi"/>
          <w:sz w:val="24"/>
          <w:szCs w:val="24"/>
          <w:lang w:val="ro-MD"/>
        </w:rPr>
        <w:t>Cele consemnate denaturează valoarea reală a patrimoniului public gestionat de către</w:t>
      </w:r>
      <w:r w:rsidR="008D3332" w:rsidRPr="007917DD">
        <w:rPr>
          <w:rFonts w:asciiTheme="majorHAnsi" w:hAnsiTheme="majorHAnsi" w:cstheme="majorHAnsi"/>
          <w:b/>
          <w:sz w:val="24"/>
          <w:szCs w:val="24"/>
          <w:lang w:val="ro-MD"/>
        </w:rPr>
        <w:t xml:space="preserve"> ISM</w:t>
      </w:r>
      <w:r w:rsidR="008D3332" w:rsidRPr="007917DD">
        <w:rPr>
          <w:rFonts w:asciiTheme="majorHAnsi" w:hAnsiTheme="majorHAnsi" w:cstheme="majorHAnsi"/>
          <w:sz w:val="24"/>
          <w:szCs w:val="24"/>
          <w:lang w:val="ro-MD"/>
        </w:rPr>
        <w:t xml:space="preserve">, precum și nu permit ajustarea/reevaluarea valorii contabile a acestuia în perioadele de gestiune viitoare, </w:t>
      </w:r>
      <w:r w:rsidR="003E6669" w:rsidRPr="000C5EE4">
        <w:rPr>
          <w:rFonts w:asciiTheme="majorHAnsi" w:hAnsiTheme="majorHAnsi" w:cstheme="majorHAnsi"/>
          <w:sz w:val="24"/>
          <w:szCs w:val="24"/>
          <w:lang w:val="ro-MD"/>
        </w:rPr>
        <w:t xml:space="preserve">ajustarea tarifelor la serviciile prestate în coraport cu costurile aferente și, respectiv,  determinarea  veniturilor și </w:t>
      </w:r>
      <w:r w:rsidR="00FA5B3A">
        <w:rPr>
          <w:rFonts w:asciiTheme="majorHAnsi" w:hAnsiTheme="majorHAnsi" w:cstheme="majorHAnsi"/>
          <w:sz w:val="24"/>
          <w:szCs w:val="24"/>
          <w:lang w:val="ro-MD"/>
        </w:rPr>
        <w:t xml:space="preserve"> a </w:t>
      </w:r>
      <w:r w:rsidR="003E6669" w:rsidRPr="000C5EE4">
        <w:rPr>
          <w:rFonts w:asciiTheme="majorHAnsi" w:hAnsiTheme="majorHAnsi" w:cstheme="majorHAnsi"/>
          <w:sz w:val="24"/>
          <w:szCs w:val="24"/>
          <w:lang w:val="ro-MD"/>
        </w:rPr>
        <w:t xml:space="preserve">rezultatului financiar corespunzător. </w:t>
      </w:r>
    </w:p>
    <w:p w14:paraId="37E6E140" w14:textId="7F975B5F" w:rsidR="00733164" w:rsidRPr="003B5807" w:rsidRDefault="001E4D70" w:rsidP="007E002D">
      <w:pPr>
        <w:pStyle w:val="ListParagraph"/>
        <w:numPr>
          <w:ilvl w:val="3"/>
          <w:numId w:val="38"/>
        </w:numPr>
        <w:tabs>
          <w:tab w:val="left" w:pos="0"/>
        </w:tabs>
        <w:spacing w:after="0" w:line="276" w:lineRule="auto"/>
        <w:ind w:left="0" w:firstLine="0"/>
        <w:contextualSpacing w:val="0"/>
        <w:jc w:val="both"/>
        <w:outlineLvl w:val="0"/>
        <w:rPr>
          <w:rFonts w:asciiTheme="majorHAnsi" w:hAnsiTheme="majorHAnsi" w:cstheme="majorHAnsi"/>
          <w:b/>
          <w:i/>
          <w:sz w:val="24"/>
          <w:szCs w:val="24"/>
          <w:lang w:val="ro-MD"/>
        </w:rPr>
      </w:pPr>
      <w:bookmarkStart w:id="123" w:name="_Toc123116708"/>
      <w:r w:rsidRPr="00ED3752">
        <w:rPr>
          <w:rFonts w:asciiTheme="majorHAnsi" w:hAnsiTheme="majorHAnsi" w:cstheme="majorHAnsi"/>
          <w:b/>
          <w:i/>
          <w:sz w:val="24"/>
          <w:szCs w:val="24"/>
          <w:lang w:val="ro-MD"/>
        </w:rPr>
        <w:t>Lipsa</w:t>
      </w:r>
      <w:r w:rsidR="00733164" w:rsidRPr="001E4D70">
        <w:rPr>
          <w:rFonts w:asciiTheme="majorHAnsi" w:hAnsiTheme="majorHAnsi" w:cstheme="majorHAnsi"/>
          <w:b/>
          <w:i/>
          <w:color w:val="FF0000"/>
          <w:sz w:val="24"/>
          <w:szCs w:val="24"/>
          <w:lang w:val="ro-MD"/>
        </w:rPr>
        <w:t xml:space="preserve"> </w:t>
      </w:r>
      <w:r w:rsidR="00733164" w:rsidRPr="003B5807">
        <w:rPr>
          <w:rFonts w:asciiTheme="majorHAnsi" w:hAnsiTheme="majorHAnsi" w:cstheme="majorHAnsi"/>
          <w:b/>
          <w:i/>
          <w:sz w:val="24"/>
          <w:szCs w:val="24"/>
          <w:lang w:val="ro-MD"/>
        </w:rPr>
        <w:t>deciziilor oportune în raport cu activele</w:t>
      </w:r>
      <w:r w:rsidR="001A709A" w:rsidRPr="003B5807">
        <w:rPr>
          <w:rFonts w:asciiTheme="majorHAnsi" w:hAnsiTheme="majorHAnsi" w:cstheme="majorHAnsi"/>
          <w:b/>
          <w:i/>
          <w:sz w:val="24"/>
          <w:szCs w:val="24"/>
          <w:lang w:val="ro-MD"/>
        </w:rPr>
        <w:t xml:space="preserve"> corporale aflate </w:t>
      </w:r>
      <w:r w:rsidR="00733164" w:rsidRPr="003B5807">
        <w:rPr>
          <w:rFonts w:asciiTheme="majorHAnsi" w:hAnsiTheme="majorHAnsi" w:cstheme="majorHAnsi"/>
          <w:b/>
          <w:i/>
          <w:sz w:val="24"/>
          <w:szCs w:val="24"/>
          <w:lang w:val="ro-MD"/>
        </w:rPr>
        <w:t xml:space="preserve"> în curs de execuție</w:t>
      </w:r>
      <w:r w:rsidR="00ED3752">
        <w:rPr>
          <w:rFonts w:asciiTheme="majorHAnsi" w:hAnsiTheme="majorHAnsi" w:cstheme="majorHAnsi"/>
          <w:b/>
          <w:i/>
          <w:sz w:val="24"/>
          <w:szCs w:val="24"/>
          <w:lang w:val="ro-MD"/>
        </w:rPr>
        <w:t>,</w:t>
      </w:r>
      <w:r w:rsidR="00733164" w:rsidRPr="003B5807">
        <w:rPr>
          <w:rFonts w:asciiTheme="majorHAnsi" w:hAnsiTheme="majorHAnsi" w:cstheme="majorHAnsi"/>
          <w:b/>
          <w:i/>
          <w:sz w:val="24"/>
          <w:szCs w:val="24"/>
          <w:lang w:val="ro-MD"/>
        </w:rPr>
        <w:t xml:space="preserve"> o perioada îndelungată de timp</w:t>
      </w:r>
      <w:r w:rsidR="00ED3752">
        <w:rPr>
          <w:rFonts w:asciiTheme="majorHAnsi" w:hAnsiTheme="majorHAnsi" w:cstheme="majorHAnsi"/>
          <w:b/>
          <w:i/>
          <w:sz w:val="24"/>
          <w:szCs w:val="24"/>
          <w:lang w:val="ro-MD"/>
        </w:rPr>
        <w:t>,</w:t>
      </w:r>
      <w:r w:rsidR="00733164" w:rsidRPr="003B5807">
        <w:rPr>
          <w:rFonts w:asciiTheme="majorHAnsi" w:hAnsiTheme="majorHAnsi" w:cstheme="majorHAnsi"/>
          <w:b/>
          <w:i/>
          <w:sz w:val="24"/>
          <w:szCs w:val="24"/>
          <w:lang w:val="ro-MD"/>
        </w:rPr>
        <w:t xml:space="preserve"> nu cont</w:t>
      </w:r>
      <w:r w:rsidR="007C74AC">
        <w:rPr>
          <w:rFonts w:asciiTheme="majorHAnsi" w:hAnsiTheme="majorHAnsi" w:cstheme="majorHAnsi"/>
          <w:b/>
          <w:i/>
          <w:sz w:val="24"/>
          <w:szCs w:val="24"/>
          <w:lang w:val="ro-MD"/>
        </w:rPr>
        <w:t>r</w:t>
      </w:r>
      <w:r w:rsidR="00733164" w:rsidRPr="003B5807">
        <w:rPr>
          <w:rFonts w:asciiTheme="majorHAnsi" w:hAnsiTheme="majorHAnsi" w:cstheme="majorHAnsi"/>
          <w:b/>
          <w:i/>
          <w:sz w:val="24"/>
          <w:szCs w:val="24"/>
          <w:lang w:val="ro-MD"/>
        </w:rPr>
        <w:t>ibuie la gestionarea conformă a acestora</w:t>
      </w:r>
      <w:r w:rsidR="00ED3752">
        <w:rPr>
          <w:rFonts w:asciiTheme="majorHAnsi" w:hAnsiTheme="majorHAnsi" w:cstheme="majorHAnsi"/>
          <w:b/>
          <w:i/>
          <w:sz w:val="24"/>
          <w:szCs w:val="24"/>
          <w:lang w:val="ro-MD"/>
        </w:rPr>
        <w:t>.</w:t>
      </w:r>
      <w:bookmarkEnd w:id="123"/>
    </w:p>
    <w:p w14:paraId="13B7A38B" w14:textId="6CC2CA67" w:rsidR="00995FD0" w:rsidRDefault="005A22E6" w:rsidP="003B5807">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3B5807">
        <w:rPr>
          <w:rFonts w:asciiTheme="majorHAnsi" w:hAnsiTheme="majorHAnsi" w:cstheme="majorHAnsi"/>
          <w:sz w:val="24"/>
          <w:szCs w:val="24"/>
          <w:shd w:val="clear" w:color="auto" w:fill="FFFFFF"/>
          <w:lang w:val="ro-MD"/>
        </w:rPr>
        <w:t>Regulile</w:t>
      </w:r>
      <w:r w:rsidRPr="007917DD">
        <w:rPr>
          <w:rFonts w:asciiTheme="majorHAnsi" w:hAnsiTheme="majorHAnsi" w:cstheme="majorHAnsi"/>
          <w:sz w:val="24"/>
          <w:szCs w:val="24"/>
          <w:lang w:val="ro-MD"/>
        </w:rPr>
        <w:t xml:space="preserve"> generale de efectuare a inventarierii prevăd că</w:t>
      </w:r>
      <w:r w:rsidR="00ED3752">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în cadrul inventarierii</w:t>
      </w:r>
      <w:r w:rsidR="00ED3752">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se stabilesc bunurile care parțial sau total și-au pierdut calitatea inițială și se constată bunurile neutilizate în activitatea entității. Astfel, în rezultatul inventarierii, comisia de inventariere propune scoaterea din uz a bunurilor menționate sau trecerea acestora dintr-o categorie în alta</w:t>
      </w:r>
      <w:r w:rsidRPr="007917DD">
        <w:rPr>
          <w:rStyle w:val="FootnoteReference"/>
          <w:rFonts w:asciiTheme="majorHAnsi" w:hAnsiTheme="majorHAnsi" w:cstheme="majorHAnsi"/>
          <w:sz w:val="24"/>
          <w:szCs w:val="24"/>
          <w:lang w:val="ro-MD"/>
        </w:rPr>
        <w:footnoteReference w:id="22"/>
      </w:r>
      <w:r w:rsidRPr="007917DD">
        <w:rPr>
          <w:rFonts w:asciiTheme="majorHAnsi" w:hAnsiTheme="majorHAnsi" w:cstheme="majorHAnsi"/>
          <w:sz w:val="24"/>
          <w:szCs w:val="24"/>
          <w:lang w:val="ro-MD"/>
        </w:rPr>
        <w:t>.</w:t>
      </w:r>
    </w:p>
    <w:p w14:paraId="363B5E01" w14:textId="59C9B4E8" w:rsidR="00F01912" w:rsidRDefault="006A644E" w:rsidP="003B5807">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9D7416">
        <w:rPr>
          <w:rFonts w:asciiTheme="majorHAnsi" w:hAnsiTheme="majorHAnsi" w:cstheme="majorHAnsi"/>
          <w:sz w:val="24"/>
          <w:szCs w:val="24"/>
          <w:shd w:val="clear" w:color="auto" w:fill="FFFFFF"/>
          <w:lang w:val="ro-MD"/>
        </w:rPr>
        <w:t xml:space="preserve">Activitățile de audit public extern desfășurate </w:t>
      </w:r>
      <w:r w:rsidR="00995FD0" w:rsidRPr="00995FD0">
        <w:rPr>
          <w:rFonts w:asciiTheme="majorHAnsi" w:hAnsiTheme="majorHAnsi" w:cstheme="majorHAnsi"/>
          <w:sz w:val="24"/>
          <w:szCs w:val="24"/>
          <w:lang w:val="ro-MD"/>
        </w:rPr>
        <w:t>relevă că</w:t>
      </w:r>
      <w:r w:rsidR="001829B9">
        <w:rPr>
          <w:rFonts w:asciiTheme="majorHAnsi" w:hAnsiTheme="majorHAnsi" w:cstheme="majorHAnsi"/>
          <w:sz w:val="24"/>
          <w:szCs w:val="24"/>
          <w:lang w:val="ro-MD"/>
        </w:rPr>
        <w:t>,</w:t>
      </w:r>
      <w:r w:rsidR="00995FD0" w:rsidRPr="00995FD0">
        <w:rPr>
          <w:rFonts w:asciiTheme="majorHAnsi" w:hAnsiTheme="majorHAnsi" w:cstheme="majorHAnsi"/>
          <w:sz w:val="24"/>
          <w:szCs w:val="24"/>
          <w:lang w:val="ro-MD"/>
        </w:rPr>
        <w:t xml:space="preserve"> </w:t>
      </w:r>
      <w:r w:rsidR="006942F9" w:rsidRPr="007917DD">
        <w:rPr>
          <w:rFonts w:asciiTheme="majorHAnsi" w:hAnsiTheme="majorHAnsi" w:cstheme="majorHAnsi"/>
          <w:sz w:val="24"/>
          <w:szCs w:val="24"/>
          <w:lang w:val="ro-MD"/>
        </w:rPr>
        <w:t xml:space="preserve"> în componența imobilizărilor</w:t>
      </w:r>
      <w:r w:rsidR="006D2BB1">
        <w:rPr>
          <w:rFonts w:asciiTheme="majorHAnsi" w:hAnsiTheme="majorHAnsi" w:cstheme="majorHAnsi"/>
          <w:sz w:val="24"/>
          <w:szCs w:val="24"/>
          <w:lang w:val="ro-MD"/>
        </w:rPr>
        <w:t xml:space="preserve"> corporale</w:t>
      </w:r>
      <w:r w:rsidR="006942F9" w:rsidRPr="007917DD">
        <w:rPr>
          <w:rFonts w:asciiTheme="majorHAnsi" w:hAnsiTheme="majorHAnsi" w:cstheme="majorHAnsi"/>
          <w:sz w:val="24"/>
          <w:szCs w:val="24"/>
          <w:lang w:val="ro-MD"/>
        </w:rPr>
        <w:t xml:space="preserve"> în curs de </w:t>
      </w:r>
      <w:r w:rsidR="006942F9">
        <w:rPr>
          <w:rFonts w:asciiTheme="majorHAnsi" w:hAnsiTheme="majorHAnsi" w:cstheme="majorHAnsi"/>
          <w:sz w:val="24"/>
          <w:szCs w:val="24"/>
          <w:lang w:val="ro-MD"/>
        </w:rPr>
        <w:t>execuție</w:t>
      </w:r>
      <w:r w:rsidR="00C577FD">
        <w:rPr>
          <w:rFonts w:asciiTheme="majorHAnsi" w:hAnsiTheme="majorHAnsi" w:cstheme="majorHAnsi"/>
          <w:sz w:val="24"/>
          <w:szCs w:val="24"/>
          <w:lang w:val="ro-MD"/>
        </w:rPr>
        <w:t xml:space="preserve"> a</w:t>
      </w:r>
      <w:r w:rsidR="002F2F89">
        <w:rPr>
          <w:rFonts w:asciiTheme="majorHAnsi" w:hAnsiTheme="majorHAnsi" w:cstheme="majorHAnsi"/>
          <w:sz w:val="24"/>
          <w:szCs w:val="24"/>
          <w:lang w:val="ro-MD"/>
        </w:rPr>
        <w:t>le</w:t>
      </w:r>
      <w:r w:rsidR="00C577FD">
        <w:rPr>
          <w:rFonts w:asciiTheme="majorHAnsi" w:hAnsiTheme="majorHAnsi" w:cstheme="majorHAnsi"/>
          <w:sz w:val="24"/>
          <w:szCs w:val="24"/>
          <w:lang w:val="ro-MD"/>
        </w:rPr>
        <w:t xml:space="preserve"> ISM</w:t>
      </w:r>
      <w:r w:rsidR="006942F9">
        <w:rPr>
          <w:rFonts w:asciiTheme="majorHAnsi" w:hAnsiTheme="majorHAnsi" w:cstheme="majorHAnsi"/>
          <w:sz w:val="24"/>
          <w:szCs w:val="24"/>
          <w:lang w:val="ro-MD"/>
        </w:rPr>
        <w:t xml:space="preserve"> se află </w:t>
      </w:r>
      <w:r w:rsidR="006D2BB1">
        <w:rPr>
          <w:rFonts w:asciiTheme="majorHAnsi" w:hAnsiTheme="majorHAnsi" w:cstheme="majorHAnsi"/>
          <w:sz w:val="24"/>
          <w:szCs w:val="24"/>
          <w:lang w:val="ro-MD"/>
        </w:rPr>
        <w:t xml:space="preserve">17 unități de </w:t>
      </w:r>
      <w:r w:rsidR="006942F9" w:rsidRPr="006D2BB1">
        <w:rPr>
          <w:rFonts w:asciiTheme="majorHAnsi" w:hAnsiTheme="majorHAnsi" w:cstheme="majorHAnsi"/>
          <w:sz w:val="24"/>
          <w:szCs w:val="24"/>
          <w:lang w:val="ro-MD"/>
        </w:rPr>
        <w:t>echipament</w:t>
      </w:r>
      <w:r w:rsidR="006D2BB1">
        <w:rPr>
          <w:rFonts w:asciiTheme="majorHAnsi" w:hAnsiTheme="majorHAnsi" w:cstheme="majorHAnsi"/>
          <w:sz w:val="24"/>
          <w:szCs w:val="24"/>
          <w:lang w:val="ro-MD"/>
        </w:rPr>
        <w:t xml:space="preserve"> tehnic pentru sălile de conferință</w:t>
      </w:r>
      <w:r w:rsidR="002F2F89">
        <w:rPr>
          <w:rFonts w:asciiTheme="majorHAnsi" w:hAnsiTheme="majorHAnsi" w:cstheme="majorHAnsi"/>
          <w:sz w:val="24"/>
          <w:szCs w:val="24"/>
          <w:lang w:val="ro-MD"/>
        </w:rPr>
        <w:t>,</w:t>
      </w:r>
      <w:r w:rsidR="006942F9" w:rsidRPr="007917DD">
        <w:rPr>
          <w:rFonts w:asciiTheme="majorHAnsi" w:hAnsiTheme="majorHAnsi" w:cstheme="majorHAnsi"/>
          <w:sz w:val="24"/>
          <w:szCs w:val="24"/>
          <w:lang w:val="ro-MD"/>
        </w:rPr>
        <w:t xml:space="preserve"> cu valoarea de 303</w:t>
      </w:r>
      <w:r w:rsidR="002F2F89">
        <w:rPr>
          <w:rFonts w:asciiTheme="majorHAnsi" w:hAnsiTheme="majorHAnsi" w:cstheme="majorHAnsi"/>
          <w:sz w:val="24"/>
          <w:szCs w:val="24"/>
          <w:lang w:val="ro-MD"/>
        </w:rPr>
        <w:t>,0</w:t>
      </w:r>
      <w:r w:rsidR="006942F9" w:rsidRPr="007917DD">
        <w:rPr>
          <w:rFonts w:asciiTheme="majorHAnsi" w:hAnsiTheme="majorHAnsi" w:cstheme="majorHAnsi"/>
          <w:sz w:val="24"/>
          <w:szCs w:val="24"/>
          <w:lang w:val="ro-MD"/>
        </w:rPr>
        <w:t xml:space="preserve"> mii lei</w:t>
      </w:r>
      <w:r w:rsidR="006D2BB1">
        <w:rPr>
          <w:rFonts w:asciiTheme="majorHAnsi" w:hAnsiTheme="majorHAnsi" w:cstheme="majorHAnsi"/>
          <w:sz w:val="24"/>
          <w:szCs w:val="24"/>
          <w:lang w:val="ro-MD"/>
        </w:rPr>
        <w:t xml:space="preserve">, </w:t>
      </w:r>
      <w:r w:rsidR="006942F9" w:rsidRPr="007917DD">
        <w:rPr>
          <w:rFonts w:asciiTheme="majorHAnsi" w:hAnsiTheme="majorHAnsi" w:cstheme="majorHAnsi"/>
          <w:sz w:val="24"/>
          <w:szCs w:val="24"/>
          <w:lang w:val="ro-MD"/>
        </w:rPr>
        <w:t xml:space="preserve"> preluat</w:t>
      </w:r>
      <w:r w:rsidR="006D2BB1">
        <w:rPr>
          <w:rFonts w:asciiTheme="majorHAnsi" w:hAnsiTheme="majorHAnsi" w:cstheme="majorHAnsi"/>
          <w:sz w:val="24"/>
          <w:szCs w:val="24"/>
          <w:lang w:val="ro-MD"/>
        </w:rPr>
        <w:t>e</w:t>
      </w:r>
      <w:r w:rsidR="006942F9" w:rsidRPr="007917DD">
        <w:rPr>
          <w:rFonts w:asciiTheme="majorHAnsi" w:hAnsiTheme="majorHAnsi" w:cstheme="majorHAnsi"/>
          <w:sz w:val="24"/>
          <w:szCs w:val="24"/>
          <w:lang w:val="ro-MD"/>
        </w:rPr>
        <w:t xml:space="preserve"> în evidența contabilă</w:t>
      </w:r>
      <w:r w:rsidR="00C577FD">
        <w:rPr>
          <w:rFonts w:asciiTheme="majorHAnsi" w:hAnsiTheme="majorHAnsi" w:cstheme="majorHAnsi"/>
          <w:sz w:val="24"/>
          <w:szCs w:val="24"/>
          <w:lang w:val="ro-MD"/>
        </w:rPr>
        <w:t xml:space="preserve"> a</w:t>
      </w:r>
      <w:r w:rsidR="006942F9" w:rsidRPr="007917DD">
        <w:rPr>
          <w:rFonts w:asciiTheme="majorHAnsi" w:hAnsiTheme="majorHAnsi" w:cstheme="majorHAnsi"/>
          <w:sz w:val="24"/>
          <w:szCs w:val="24"/>
          <w:lang w:val="ro-MD"/>
        </w:rPr>
        <w:t xml:space="preserve"> </w:t>
      </w:r>
      <w:r w:rsidR="006942F9" w:rsidRPr="007917DD">
        <w:rPr>
          <w:rFonts w:asciiTheme="majorHAnsi" w:hAnsiTheme="majorHAnsi" w:cstheme="majorHAnsi"/>
          <w:b/>
          <w:sz w:val="24"/>
          <w:szCs w:val="24"/>
          <w:lang w:val="ro-MD"/>
        </w:rPr>
        <w:t>ISM</w:t>
      </w:r>
      <w:r w:rsidR="006942F9" w:rsidRPr="007917DD">
        <w:rPr>
          <w:rFonts w:asciiTheme="majorHAnsi" w:hAnsiTheme="majorHAnsi" w:cstheme="majorHAnsi"/>
          <w:sz w:val="24"/>
          <w:szCs w:val="24"/>
          <w:lang w:val="ro-MD"/>
        </w:rPr>
        <w:t xml:space="preserve"> </w:t>
      </w:r>
      <w:r w:rsidR="002F2F89">
        <w:rPr>
          <w:rFonts w:asciiTheme="majorHAnsi" w:hAnsiTheme="majorHAnsi" w:cstheme="majorHAnsi"/>
          <w:sz w:val="24"/>
          <w:szCs w:val="24"/>
          <w:lang w:val="ro-MD"/>
        </w:rPr>
        <w:t xml:space="preserve">ca </w:t>
      </w:r>
      <w:r w:rsidR="006942F9" w:rsidRPr="007917DD">
        <w:rPr>
          <w:rFonts w:asciiTheme="majorHAnsi" w:hAnsiTheme="majorHAnsi" w:cstheme="majorHAnsi"/>
          <w:sz w:val="24"/>
          <w:szCs w:val="24"/>
          <w:lang w:val="ro-MD"/>
        </w:rPr>
        <w:t xml:space="preserve">urmare </w:t>
      </w:r>
      <w:r w:rsidR="002F2F89">
        <w:rPr>
          <w:rFonts w:asciiTheme="majorHAnsi" w:hAnsiTheme="majorHAnsi" w:cstheme="majorHAnsi"/>
          <w:sz w:val="24"/>
          <w:szCs w:val="24"/>
          <w:lang w:val="ro-MD"/>
        </w:rPr>
        <w:t xml:space="preserve">a </w:t>
      </w:r>
      <w:r w:rsidR="006942F9" w:rsidRPr="007917DD">
        <w:rPr>
          <w:rFonts w:asciiTheme="majorHAnsi" w:hAnsiTheme="majorHAnsi" w:cstheme="majorHAnsi"/>
          <w:sz w:val="24"/>
          <w:szCs w:val="24"/>
          <w:lang w:val="ro-MD"/>
        </w:rPr>
        <w:t xml:space="preserve">reorganizării din anul 2013. </w:t>
      </w:r>
      <w:r w:rsidR="00D32164">
        <w:rPr>
          <w:rFonts w:asciiTheme="majorHAnsi" w:hAnsiTheme="majorHAnsi" w:cstheme="majorHAnsi"/>
          <w:sz w:val="24"/>
          <w:szCs w:val="24"/>
          <w:lang w:val="ro-MD"/>
        </w:rPr>
        <w:t xml:space="preserve"> Pâ</w:t>
      </w:r>
      <w:r w:rsidR="006D2BB1">
        <w:rPr>
          <w:rFonts w:asciiTheme="majorHAnsi" w:hAnsiTheme="majorHAnsi" w:cstheme="majorHAnsi"/>
          <w:sz w:val="24"/>
          <w:szCs w:val="24"/>
          <w:lang w:val="ro-MD"/>
        </w:rPr>
        <w:t>nă l</w:t>
      </w:r>
      <w:r w:rsidR="009D7416">
        <w:rPr>
          <w:rFonts w:asciiTheme="majorHAnsi" w:hAnsiTheme="majorHAnsi" w:cstheme="majorHAnsi"/>
          <w:sz w:val="24"/>
          <w:szCs w:val="24"/>
          <w:lang w:val="ro-MD"/>
        </w:rPr>
        <w:t>a moment</w:t>
      </w:r>
      <w:r w:rsidR="00ED3752">
        <w:rPr>
          <w:rFonts w:asciiTheme="majorHAnsi" w:hAnsiTheme="majorHAnsi" w:cstheme="majorHAnsi"/>
          <w:sz w:val="24"/>
          <w:szCs w:val="24"/>
          <w:lang w:val="ro-MD"/>
        </w:rPr>
        <w:t>,</w:t>
      </w:r>
      <w:r w:rsidR="009D7416">
        <w:rPr>
          <w:rFonts w:asciiTheme="majorHAnsi" w:hAnsiTheme="majorHAnsi" w:cstheme="majorHAnsi"/>
          <w:sz w:val="24"/>
          <w:szCs w:val="24"/>
          <w:lang w:val="ro-MD"/>
        </w:rPr>
        <w:t xml:space="preserve"> activele în cauză nu a</w:t>
      </w:r>
      <w:r w:rsidR="00D32164">
        <w:rPr>
          <w:rFonts w:asciiTheme="majorHAnsi" w:hAnsiTheme="majorHAnsi" w:cstheme="majorHAnsi"/>
          <w:sz w:val="24"/>
          <w:szCs w:val="24"/>
          <w:lang w:val="ro-MD"/>
        </w:rPr>
        <w:t>u fost date în ex</w:t>
      </w:r>
      <w:r w:rsidR="006D2BB1">
        <w:rPr>
          <w:rFonts w:asciiTheme="majorHAnsi" w:hAnsiTheme="majorHAnsi" w:cstheme="majorHAnsi"/>
          <w:sz w:val="24"/>
          <w:szCs w:val="24"/>
          <w:lang w:val="ro-MD"/>
        </w:rPr>
        <w:t>p</w:t>
      </w:r>
      <w:r w:rsidR="00D32164">
        <w:rPr>
          <w:rFonts w:asciiTheme="majorHAnsi" w:hAnsiTheme="majorHAnsi" w:cstheme="majorHAnsi"/>
          <w:sz w:val="24"/>
          <w:szCs w:val="24"/>
          <w:lang w:val="ro-MD"/>
        </w:rPr>
        <w:t>l</w:t>
      </w:r>
      <w:r w:rsidR="00914DD7">
        <w:rPr>
          <w:rFonts w:asciiTheme="majorHAnsi" w:hAnsiTheme="majorHAnsi" w:cstheme="majorHAnsi"/>
          <w:sz w:val="24"/>
          <w:szCs w:val="24"/>
          <w:lang w:val="ro-MD"/>
        </w:rPr>
        <w:t>o</w:t>
      </w:r>
      <w:r w:rsidR="006D2BB1">
        <w:rPr>
          <w:rFonts w:asciiTheme="majorHAnsi" w:hAnsiTheme="majorHAnsi" w:cstheme="majorHAnsi"/>
          <w:sz w:val="24"/>
          <w:szCs w:val="24"/>
          <w:lang w:val="ro-MD"/>
        </w:rPr>
        <w:t xml:space="preserve">atare, nu </w:t>
      </w:r>
      <w:r w:rsidR="002F2F89">
        <w:rPr>
          <w:rFonts w:asciiTheme="majorHAnsi" w:hAnsiTheme="majorHAnsi" w:cstheme="majorHAnsi"/>
          <w:sz w:val="24"/>
          <w:szCs w:val="24"/>
          <w:lang w:val="ro-MD"/>
        </w:rPr>
        <w:t xml:space="preserve"> s-</w:t>
      </w:r>
      <w:r w:rsidR="006D2BB1">
        <w:rPr>
          <w:rFonts w:asciiTheme="majorHAnsi" w:hAnsiTheme="majorHAnsi" w:cstheme="majorHAnsi"/>
          <w:sz w:val="24"/>
          <w:szCs w:val="24"/>
          <w:lang w:val="ro-MD"/>
        </w:rPr>
        <w:t>au întreprins careva acțiuni în raport cu acestea și nu au fost luate decizii aferente.</w:t>
      </w:r>
      <w:r w:rsidR="00E944AA">
        <w:rPr>
          <w:rFonts w:asciiTheme="majorHAnsi" w:hAnsiTheme="majorHAnsi" w:cstheme="majorHAnsi"/>
          <w:sz w:val="24"/>
          <w:szCs w:val="24"/>
          <w:lang w:val="ro-MD"/>
        </w:rPr>
        <w:t xml:space="preserve">  </w:t>
      </w:r>
      <w:r w:rsidR="009D7416">
        <w:rPr>
          <w:rFonts w:asciiTheme="majorHAnsi" w:hAnsiTheme="majorHAnsi" w:cstheme="majorHAnsi"/>
          <w:sz w:val="24"/>
          <w:szCs w:val="24"/>
          <w:lang w:val="ro-MD"/>
        </w:rPr>
        <w:t>Cauzele in</w:t>
      </w:r>
      <w:r w:rsidR="00914DD7">
        <w:rPr>
          <w:rFonts w:asciiTheme="majorHAnsi" w:hAnsiTheme="majorHAnsi" w:cstheme="majorHAnsi"/>
          <w:sz w:val="24"/>
          <w:szCs w:val="24"/>
          <w:lang w:val="ro-MD"/>
        </w:rPr>
        <w:t>vocate de respon</w:t>
      </w:r>
      <w:r w:rsidR="009D7416">
        <w:rPr>
          <w:rFonts w:asciiTheme="majorHAnsi" w:hAnsiTheme="majorHAnsi" w:cstheme="majorHAnsi"/>
          <w:sz w:val="24"/>
          <w:szCs w:val="24"/>
          <w:lang w:val="ro-MD"/>
        </w:rPr>
        <w:t>sabilii din cadrul ISM se rezumă la faptul că</w:t>
      </w:r>
      <w:r w:rsidR="00E944AA">
        <w:rPr>
          <w:rFonts w:asciiTheme="majorHAnsi" w:hAnsiTheme="majorHAnsi" w:cstheme="majorHAnsi"/>
          <w:sz w:val="24"/>
          <w:szCs w:val="24"/>
          <w:lang w:val="ro-MD"/>
        </w:rPr>
        <w:t xml:space="preserve">, </w:t>
      </w:r>
      <w:r w:rsidR="004447A9">
        <w:rPr>
          <w:rFonts w:asciiTheme="majorHAnsi" w:hAnsiTheme="majorHAnsi" w:cstheme="majorHAnsi"/>
          <w:sz w:val="24"/>
          <w:szCs w:val="24"/>
          <w:lang w:val="ro-MD"/>
        </w:rPr>
        <w:t xml:space="preserve">din cauza </w:t>
      </w:r>
      <w:r w:rsidR="00CE5B99">
        <w:rPr>
          <w:rFonts w:asciiTheme="majorHAnsi" w:hAnsiTheme="majorHAnsi" w:cstheme="majorHAnsi"/>
          <w:sz w:val="24"/>
          <w:szCs w:val="24"/>
          <w:lang w:val="ro-MD"/>
        </w:rPr>
        <w:t>bugetul</w:t>
      </w:r>
      <w:r w:rsidR="004447A9">
        <w:rPr>
          <w:rFonts w:asciiTheme="majorHAnsi" w:hAnsiTheme="majorHAnsi" w:cstheme="majorHAnsi"/>
          <w:sz w:val="24"/>
          <w:szCs w:val="24"/>
          <w:lang w:val="ro-MD"/>
        </w:rPr>
        <w:t>ui</w:t>
      </w:r>
      <w:r w:rsidR="00CE5B99">
        <w:rPr>
          <w:rFonts w:asciiTheme="majorHAnsi" w:hAnsiTheme="majorHAnsi" w:cstheme="majorHAnsi"/>
          <w:sz w:val="24"/>
          <w:szCs w:val="24"/>
          <w:lang w:val="ro-MD"/>
        </w:rPr>
        <w:t xml:space="preserve"> limitat ș</w:t>
      </w:r>
      <w:r w:rsidR="00FF7CED">
        <w:rPr>
          <w:rFonts w:asciiTheme="majorHAnsi" w:hAnsiTheme="majorHAnsi" w:cstheme="majorHAnsi"/>
          <w:sz w:val="24"/>
          <w:szCs w:val="24"/>
          <w:lang w:val="ro-MD"/>
        </w:rPr>
        <w:t xml:space="preserve">i </w:t>
      </w:r>
      <w:r w:rsidR="002F2F89">
        <w:rPr>
          <w:rFonts w:asciiTheme="majorHAnsi" w:hAnsiTheme="majorHAnsi" w:cstheme="majorHAnsi"/>
          <w:sz w:val="24"/>
          <w:szCs w:val="24"/>
          <w:lang w:val="ro-MD"/>
        </w:rPr>
        <w:t xml:space="preserve">a </w:t>
      </w:r>
      <w:r w:rsidR="00FF7CED">
        <w:rPr>
          <w:rFonts w:asciiTheme="majorHAnsi" w:hAnsiTheme="majorHAnsi" w:cstheme="majorHAnsi"/>
          <w:sz w:val="24"/>
          <w:szCs w:val="24"/>
          <w:lang w:val="ro-MD"/>
        </w:rPr>
        <w:t>necesităț</w:t>
      </w:r>
      <w:r w:rsidR="004F7EFE">
        <w:rPr>
          <w:rFonts w:asciiTheme="majorHAnsi" w:hAnsiTheme="majorHAnsi" w:cstheme="majorHAnsi"/>
          <w:sz w:val="24"/>
          <w:szCs w:val="24"/>
          <w:lang w:val="ro-MD"/>
        </w:rPr>
        <w:t>ilor</w:t>
      </w:r>
      <w:r w:rsidR="007D002B" w:rsidRPr="007D002B">
        <w:rPr>
          <w:rFonts w:asciiTheme="majorHAnsi" w:hAnsiTheme="majorHAnsi" w:cstheme="majorHAnsi"/>
          <w:sz w:val="24"/>
          <w:szCs w:val="24"/>
          <w:lang w:val="ro-MD"/>
        </w:rPr>
        <w:t xml:space="preserve"> financiare multiple ale ISM, nu era posibil</w:t>
      </w:r>
      <w:r w:rsidR="00ED3752">
        <w:rPr>
          <w:rFonts w:asciiTheme="majorHAnsi" w:hAnsiTheme="majorHAnsi" w:cstheme="majorHAnsi"/>
          <w:sz w:val="24"/>
          <w:szCs w:val="24"/>
          <w:lang w:val="ro-MD"/>
        </w:rPr>
        <w:t>,</w:t>
      </w:r>
      <w:r w:rsidR="007D002B" w:rsidRPr="007D002B">
        <w:rPr>
          <w:rFonts w:asciiTheme="majorHAnsi" w:hAnsiTheme="majorHAnsi" w:cstheme="majorHAnsi"/>
          <w:sz w:val="24"/>
          <w:szCs w:val="24"/>
          <w:lang w:val="ro-MD"/>
        </w:rPr>
        <w:t xml:space="preserve"> din mai multe considerente</w:t>
      </w:r>
      <w:r w:rsidR="00ED3752">
        <w:rPr>
          <w:rFonts w:asciiTheme="majorHAnsi" w:hAnsiTheme="majorHAnsi" w:cstheme="majorHAnsi"/>
          <w:sz w:val="24"/>
          <w:szCs w:val="24"/>
          <w:lang w:val="ro-MD"/>
        </w:rPr>
        <w:t>,</w:t>
      </w:r>
      <w:r w:rsidR="007D002B" w:rsidRPr="007D002B">
        <w:rPr>
          <w:rFonts w:asciiTheme="majorHAnsi" w:hAnsiTheme="majorHAnsi" w:cstheme="majorHAnsi"/>
          <w:sz w:val="24"/>
          <w:szCs w:val="24"/>
          <w:lang w:val="ro-MD"/>
        </w:rPr>
        <w:t xml:space="preserve"> de</w:t>
      </w:r>
      <w:r w:rsidR="00FF7CED">
        <w:rPr>
          <w:rFonts w:asciiTheme="majorHAnsi" w:hAnsiTheme="majorHAnsi" w:cstheme="majorHAnsi"/>
          <w:sz w:val="24"/>
          <w:szCs w:val="24"/>
          <w:lang w:val="ro-MD"/>
        </w:rPr>
        <w:t xml:space="preserve"> a crea un centru de instruire. </w:t>
      </w:r>
      <w:r w:rsidR="004447A9">
        <w:rPr>
          <w:rFonts w:asciiTheme="majorHAnsi" w:hAnsiTheme="majorHAnsi" w:cstheme="majorHAnsi"/>
          <w:sz w:val="24"/>
          <w:szCs w:val="24"/>
          <w:lang w:val="ro-MD"/>
        </w:rPr>
        <w:t>Deși,</w:t>
      </w:r>
      <w:r w:rsidR="00ED3752">
        <w:rPr>
          <w:rFonts w:asciiTheme="majorHAnsi" w:hAnsiTheme="majorHAnsi" w:cstheme="majorHAnsi"/>
          <w:sz w:val="24"/>
          <w:szCs w:val="24"/>
          <w:lang w:val="ro-MD"/>
        </w:rPr>
        <w:t xml:space="preserve"> începând cu anul 2018 </w:t>
      </w:r>
      <w:r w:rsidR="002F2F89">
        <w:rPr>
          <w:rFonts w:asciiTheme="majorHAnsi" w:hAnsiTheme="majorHAnsi" w:cstheme="majorHAnsi"/>
          <w:sz w:val="24"/>
          <w:szCs w:val="24"/>
          <w:lang w:val="ro-MD"/>
        </w:rPr>
        <w:t xml:space="preserve">și </w:t>
      </w:r>
      <w:r w:rsidR="00ED3752">
        <w:rPr>
          <w:rFonts w:asciiTheme="majorHAnsi" w:hAnsiTheme="majorHAnsi" w:cstheme="majorHAnsi"/>
          <w:sz w:val="24"/>
          <w:szCs w:val="24"/>
          <w:lang w:val="ro-MD"/>
        </w:rPr>
        <w:t xml:space="preserve">până în </w:t>
      </w:r>
      <w:r w:rsidR="007D002B" w:rsidRPr="007D002B">
        <w:rPr>
          <w:rFonts w:asciiTheme="majorHAnsi" w:hAnsiTheme="majorHAnsi" w:cstheme="majorHAnsi"/>
          <w:sz w:val="24"/>
          <w:szCs w:val="24"/>
          <w:lang w:val="ro-MD"/>
        </w:rPr>
        <w:t>prezent</w:t>
      </w:r>
      <w:r w:rsidR="00FF7CED">
        <w:rPr>
          <w:rFonts w:asciiTheme="majorHAnsi" w:hAnsiTheme="majorHAnsi" w:cstheme="majorHAnsi"/>
          <w:sz w:val="24"/>
          <w:szCs w:val="24"/>
          <w:lang w:val="ro-MD"/>
        </w:rPr>
        <w:t>, se depune efort în selectarea ș</w:t>
      </w:r>
      <w:r w:rsidR="007D002B" w:rsidRPr="007D002B">
        <w:rPr>
          <w:rFonts w:asciiTheme="majorHAnsi" w:hAnsiTheme="majorHAnsi" w:cstheme="majorHAnsi"/>
          <w:sz w:val="24"/>
          <w:szCs w:val="24"/>
          <w:lang w:val="ro-MD"/>
        </w:rPr>
        <w:t xml:space="preserve">i instruirea personalului </w:t>
      </w:r>
      <w:r w:rsidR="004447A9">
        <w:rPr>
          <w:rFonts w:asciiTheme="majorHAnsi" w:hAnsiTheme="majorHAnsi" w:cstheme="majorHAnsi"/>
          <w:sz w:val="24"/>
          <w:szCs w:val="24"/>
          <w:lang w:val="ro-MD"/>
        </w:rPr>
        <w:t xml:space="preserve"> din cadrul ISM </w:t>
      </w:r>
      <w:r w:rsidR="007D002B" w:rsidRPr="007D002B">
        <w:rPr>
          <w:rFonts w:asciiTheme="majorHAnsi" w:hAnsiTheme="majorHAnsi" w:cstheme="majorHAnsi"/>
          <w:sz w:val="24"/>
          <w:szCs w:val="24"/>
          <w:lang w:val="ro-MD"/>
        </w:rPr>
        <w:t>pentru a presta servicii de i</w:t>
      </w:r>
      <w:r w:rsidR="00FF7CED">
        <w:rPr>
          <w:rFonts w:asciiTheme="majorHAnsi" w:hAnsiTheme="majorHAnsi" w:cstheme="majorHAnsi"/>
          <w:sz w:val="24"/>
          <w:szCs w:val="24"/>
          <w:lang w:val="ro-MD"/>
        </w:rPr>
        <w:t xml:space="preserve">nstruire contra plată, </w:t>
      </w:r>
      <w:r w:rsidR="00FA5B3A">
        <w:rPr>
          <w:rFonts w:asciiTheme="majorHAnsi" w:hAnsiTheme="majorHAnsi" w:cstheme="majorHAnsi"/>
          <w:sz w:val="24"/>
          <w:szCs w:val="24"/>
          <w:lang w:val="ro-MD"/>
        </w:rPr>
        <w:t xml:space="preserve"> centrul de instruire </w:t>
      </w:r>
      <w:r w:rsidR="002F2F89">
        <w:rPr>
          <w:rFonts w:asciiTheme="majorHAnsi" w:hAnsiTheme="majorHAnsi" w:cstheme="majorHAnsi"/>
          <w:sz w:val="24"/>
          <w:szCs w:val="24"/>
          <w:lang w:val="ro-MD"/>
        </w:rPr>
        <w:t>a fost</w:t>
      </w:r>
      <w:r w:rsidR="00FA5B3A">
        <w:rPr>
          <w:rFonts w:asciiTheme="majorHAnsi" w:hAnsiTheme="majorHAnsi" w:cstheme="majorHAnsi"/>
          <w:sz w:val="24"/>
          <w:szCs w:val="24"/>
          <w:lang w:val="ro-MD"/>
        </w:rPr>
        <w:t xml:space="preserve"> creat </w:t>
      </w:r>
      <w:r w:rsidR="002F2F89">
        <w:rPr>
          <w:rFonts w:asciiTheme="majorHAnsi" w:hAnsiTheme="majorHAnsi" w:cstheme="majorHAnsi"/>
          <w:sz w:val="24"/>
          <w:szCs w:val="24"/>
          <w:lang w:val="ro-MD"/>
        </w:rPr>
        <w:t>abia</w:t>
      </w:r>
      <w:r w:rsidR="00FF7CED">
        <w:rPr>
          <w:rFonts w:asciiTheme="majorHAnsi" w:hAnsiTheme="majorHAnsi" w:cstheme="majorHAnsi"/>
          <w:sz w:val="24"/>
          <w:szCs w:val="24"/>
          <w:lang w:val="ro-MD"/>
        </w:rPr>
        <w:t xml:space="preserve"> î</w:t>
      </w:r>
      <w:r w:rsidR="00FA5B3A">
        <w:rPr>
          <w:rFonts w:asciiTheme="majorHAnsi" w:hAnsiTheme="majorHAnsi" w:cstheme="majorHAnsi"/>
          <w:sz w:val="24"/>
          <w:szCs w:val="24"/>
          <w:lang w:val="ro-MD"/>
        </w:rPr>
        <w:t>n anul 2021</w:t>
      </w:r>
      <w:r w:rsidR="000C1583">
        <w:rPr>
          <w:rFonts w:asciiTheme="majorHAnsi" w:hAnsiTheme="majorHAnsi" w:cstheme="majorHAnsi"/>
          <w:sz w:val="24"/>
          <w:szCs w:val="24"/>
          <w:lang w:val="ro-MD"/>
        </w:rPr>
        <w:t xml:space="preserve">. </w:t>
      </w:r>
      <w:r w:rsidR="004447A9">
        <w:rPr>
          <w:rFonts w:asciiTheme="majorHAnsi" w:hAnsiTheme="majorHAnsi" w:cstheme="majorHAnsi"/>
          <w:sz w:val="24"/>
          <w:szCs w:val="24"/>
          <w:lang w:val="ro-MD"/>
        </w:rPr>
        <w:t xml:space="preserve">Însă </w:t>
      </w:r>
      <w:r w:rsidR="00FF7CED">
        <w:rPr>
          <w:rFonts w:asciiTheme="majorHAnsi" w:hAnsiTheme="majorHAnsi" w:cstheme="majorHAnsi"/>
          <w:sz w:val="24"/>
          <w:szCs w:val="24"/>
          <w:lang w:val="ro-MD"/>
        </w:rPr>
        <w:t xml:space="preserve"> anii de pandemie </w:t>
      </w:r>
      <w:r w:rsidR="004447A9">
        <w:rPr>
          <w:rFonts w:asciiTheme="majorHAnsi" w:hAnsiTheme="majorHAnsi" w:cstheme="majorHAnsi"/>
          <w:sz w:val="24"/>
          <w:szCs w:val="24"/>
          <w:lang w:val="ro-MD"/>
        </w:rPr>
        <w:t xml:space="preserve"> </w:t>
      </w:r>
      <w:r w:rsidR="00FF7CED">
        <w:rPr>
          <w:rFonts w:asciiTheme="majorHAnsi" w:hAnsiTheme="majorHAnsi" w:cstheme="majorHAnsi"/>
          <w:sz w:val="24"/>
          <w:szCs w:val="24"/>
          <w:lang w:val="ro-MD"/>
        </w:rPr>
        <w:t>și fluctuația cadre</w:t>
      </w:r>
      <w:r w:rsidR="004447A9">
        <w:rPr>
          <w:rFonts w:asciiTheme="majorHAnsi" w:hAnsiTheme="majorHAnsi" w:cstheme="majorHAnsi"/>
          <w:sz w:val="24"/>
          <w:szCs w:val="24"/>
          <w:lang w:val="ro-MD"/>
        </w:rPr>
        <w:t>lor instruite</w:t>
      </w:r>
      <w:r w:rsidR="00FF7CED">
        <w:rPr>
          <w:rFonts w:asciiTheme="majorHAnsi" w:hAnsiTheme="majorHAnsi" w:cstheme="majorHAnsi"/>
          <w:sz w:val="24"/>
          <w:szCs w:val="24"/>
          <w:lang w:val="ro-MD"/>
        </w:rPr>
        <w:t xml:space="preserve"> î</w:t>
      </w:r>
      <w:r w:rsidR="007D002B" w:rsidRPr="007D002B">
        <w:rPr>
          <w:rFonts w:asciiTheme="majorHAnsi" w:hAnsiTheme="majorHAnsi" w:cstheme="majorHAnsi"/>
          <w:sz w:val="24"/>
          <w:szCs w:val="24"/>
          <w:lang w:val="ro-MD"/>
        </w:rPr>
        <w:t xml:space="preserve">n calitate de </w:t>
      </w:r>
      <w:r w:rsidR="001829B9">
        <w:rPr>
          <w:rFonts w:asciiTheme="majorHAnsi" w:hAnsiTheme="majorHAnsi" w:cstheme="majorHAnsi"/>
          <w:sz w:val="24"/>
          <w:szCs w:val="24"/>
          <w:lang w:val="ro-MD"/>
        </w:rPr>
        <w:t>formatori</w:t>
      </w:r>
      <w:r w:rsidR="004447A9">
        <w:rPr>
          <w:rFonts w:asciiTheme="majorHAnsi" w:hAnsiTheme="majorHAnsi" w:cstheme="majorHAnsi"/>
          <w:sz w:val="24"/>
          <w:szCs w:val="24"/>
          <w:lang w:val="ro-MD"/>
        </w:rPr>
        <w:t xml:space="preserve"> </w:t>
      </w:r>
      <w:r w:rsidR="00FF7CED">
        <w:rPr>
          <w:rFonts w:asciiTheme="majorHAnsi" w:hAnsiTheme="majorHAnsi" w:cstheme="majorHAnsi"/>
          <w:sz w:val="24"/>
          <w:szCs w:val="24"/>
          <w:lang w:val="ro-MD"/>
        </w:rPr>
        <w:t xml:space="preserve">au </w:t>
      </w:r>
      <w:r w:rsidR="00501509">
        <w:rPr>
          <w:rFonts w:asciiTheme="majorHAnsi" w:hAnsiTheme="majorHAnsi" w:cstheme="majorHAnsi"/>
          <w:sz w:val="24"/>
          <w:szCs w:val="24"/>
          <w:lang w:val="ro-MD"/>
        </w:rPr>
        <w:t>creat</w:t>
      </w:r>
      <w:r w:rsidR="00FF7CED">
        <w:rPr>
          <w:rFonts w:asciiTheme="majorHAnsi" w:hAnsiTheme="majorHAnsi" w:cstheme="majorHAnsi"/>
          <w:sz w:val="24"/>
          <w:szCs w:val="24"/>
          <w:lang w:val="ro-MD"/>
        </w:rPr>
        <w:t xml:space="preserve"> un impediment în dezvoltarea cursurilor </w:t>
      </w:r>
      <w:r w:rsidR="004447A9">
        <w:rPr>
          <w:rFonts w:asciiTheme="majorHAnsi" w:hAnsiTheme="majorHAnsi" w:cstheme="majorHAnsi"/>
          <w:sz w:val="24"/>
          <w:szCs w:val="24"/>
          <w:lang w:val="ro-MD"/>
        </w:rPr>
        <w:t>cu prezența</w:t>
      </w:r>
      <w:r w:rsidR="00FF7CED">
        <w:rPr>
          <w:rFonts w:asciiTheme="majorHAnsi" w:hAnsiTheme="majorHAnsi" w:cstheme="majorHAnsi"/>
          <w:sz w:val="24"/>
          <w:szCs w:val="24"/>
          <w:lang w:val="ro-MD"/>
        </w:rPr>
        <w:t xml:space="preserve"> fizică</w:t>
      </w:r>
      <w:r w:rsidR="004447A9">
        <w:rPr>
          <w:rFonts w:asciiTheme="majorHAnsi" w:hAnsiTheme="majorHAnsi" w:cstheme="majorHAnsi"/>
          <w:sz w:val="24"/>
          <w:szCs w:val="24"/>
          <w:lang w:val="ro-MD"/>
        </w:rPr>
        <w:t xml:space="preserve"> a participanților</w:t>
      </w:r>
      <w:r w:rsidR="00ED3752">
        <w:rPr>
          <w:rFonts w:asciiTheme="majorHAnsi" w:hAnsiTheme="majorHAnsi" w:cstheme="majorHAnsi"/>
          <w:sz w:val="24"/>
          <w:szCs w:val="24"/>
          <w:lang w:val="ro-MD"/>
        </w:rPr>
        <w:t>,</w:t>
      </w:r>
      <w:r w:rsidR="004447A9">
        <w:rPr>
          <w:rFonts w:asciiTheme="majorHAnsi" w:hAnsiTheme="majorHAnsi" w:cstheme="majorHAnsi"/>
          <w:sz w:val="24"/>
          <w:szCs w:val="24"/>
          <w:lang w:val="ro-MD"/>
        </w:rPr>
        <w:t xml:space="preserve"> </w:t>
      </w:r>
      <w:r w:rsidR="00501509">
        <w:rPr>
          <w:rFonts w:asciiTheme="majorHAnsi" w:hAnsiTheme="majorHAnsi" w:cstheme="majorHAnsi"/>
          <w:sz w:val="24"/>
          <w:szCs w:val="24"/>
          <w:lang w:val="ro-MD"/>
        </w:rPr>
        <w:t>precum</w:t>
      </w:r>
      <w:r w:rsidR="00FF7CED">
        <w:rPr>
          <w:rFonts w:asciiTheme="majorHAnsi" w:hAnsiTheme="majorHAnsi" w:cstheme="majorHAnsi"/>
          <w:sz w:val="24"/>
          <w:szCs w:val="24"/>
          <w:lang w:val="ro-MD"/>
        </w:rPr>
        <w:t xml:space="preserve"> ș</w:t>
      </w:r>
      <w:r w:rsidR="007D002B" w:rsidRPr="007D002B">
        <w:rPr>
          <w:rFonts w:asciiTheme="majorHAnsi" w:hAnsiTheme="majorHAnsi" w:cstheme="majorHAnsi"/>
          <w:sz w:val="24"/>
          <w:szCs w:val="24"/>
          <w:lang w:val="ro-MD"/>
        </w:rPr>
        <w:t xml:space="preserve">i </w:t>
      </w:r>
      <w:r w:rsidR="00FA5B3A">
        <w:rPr>
          <w:rFonts w:asciiTheme="majorHAnsi" w:hAnsiTheme="majorHAnsi" w:cstheme="majorHAnsi"/>
          <w:sz w:val="24"/>
          <w:szCs w:val="24"/>
          <w:lang w:val="ro-MD"/>
        </w:rPr>
        <w:t xml:space="preserve">în </w:t>
      </w:r>
      <w:r w:rsidR="007D002B" w:rsidRPr="007D002B">
        <w:rPr>
          <w:rFonts w:asciiTheme="majorHAnsi" w:hAnsiTheme="majorHAnsi" w:cstheme="majorHAnsi"/>
          <w:sz w:val="24"/>
          <w:szCs w:val="24"/>
          <w:lang w:val="ro-MD"/>
        </w:rPr>
        <w:t>dezvoltarea centrului.</w:t>
      </w:r>
    </w:p>
    <w:p w14:paraId="197D7110" w14:textId="41425A60" w:rsidR="006F2B55" w:rsidRDefault="00F01912" w:rsidP="00C276D5">
      <w:pPr>
        <w:pStyle w:val="ListParagraph"/>
        <w:tabs>
          <w:tab w:val="left" w:pos="27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w:t>
      </w:r>
      <w:r w:rsidRPr="003B5807">
        <w:rPr>
          <w:rFonts w:asciiTheme="majorHAnsi" w:hAnsiTheme="majorHAnsi" w:cstheme="majorHAnsi"/>
          <w:sz w:val="24"/>
          <w:szCs w:val="24"/>
          <w:shd w:val="clear" w:color="auto" w:fill="FFFFFF"/>
          <w:lang w:val="ro-MD"/>
        </w:rPr>
        <w:t>contextul</w:t>
      </w:r>
      <w:r>
        <w:rPr>
          <w:rFonts w:asciiTheme="majorHAnsi" w:hAnsiTheme="majorHAnsi" w:cstheme="majorHAnsi"/>
          <w:sz w:val="24"/>
          <w:szCs w:val="24"/>
          <w:lang w:val="ro-MD"/>
        </w:rPr>
        <w:t xml:space="preserve"> dat, auditul atestă </w:t>
      </w:r>
      <w:r w:rsidR="00987BF4" w:rsidRPr="00ED3752">
        <w:rPr>
          <w:rFonts w:asciiTheme="majorHAnsi" w:hAnsiTheme="majorHAnsi" w:cstheme="majorHAnsi"/>
          <w:sz w:val="24"/>
          <w:szCs w:val="24"/>
          <w:lang w:val="ro-MD"/>
        </w:rPr>
        <w:t>lipsa</w:t>
      </w:r>
      <w:r w:rsidRPr="00ED3752">
        <w:rPr>
          <w:rFonts w:asciiTheme="majorHAnsi" w:hAnsiTheme="majorHAnsi" w:cstheme="majorHAnsi"/>
          <w:sz w:val="24"/>
          <w:szCs w:val="24"/>
          <w:lang w:val="ro-MD"/>
        </w:rPr>
        <w:t xml:space="preserve"> </w:t>
      </w:r>
      <w:r>
        <w:rPr>
          <w:rFonts w:asciiTheme="majorHAnsi" w:hAnsiTheme="majorHAnsi" w:cstheme="majorHAnsi"/>
          <w:sz w:val="24"/>
          <w:szCs w:val="24"/>
          <w:lang w:val="ro-MD"/>
        </w:rPr>
        <w:t>unor  decizii în raport cu activele nominalizate, dat</w:t>
      </w:r>
      <w:r w:rsidR="00501509">
        <w:rPr>
          <w:rFonts w:asciiTheme="majorHAnsi" w:hAnsiTheme="majorHAnsi" w:cstheme="majorHAnsi"/>
          <w:sz w:val="24"/>
          <w:szCs w:val="24"/>
          <w:lang w:val="ro-MD"/>
        </w:rPr>
        <w:t xml:space="preserve">ă </w:t>
      </w:r>
      <w:r>
        <w:rPr>
          <w:rFonts w:asciiTheme="majorHAnsi" w:hAnsiTheme="majorHAnsi" w:cstheme="majorHAnsi"/>
          <w:sz w:val="24"/>
          <w:szCs w:val="24"/>
          <w:lang w:val="ro-MD"/>
        </w:rPr>
        <w:t xml:space="preserve"> fiind existența </w:t>
      </w:r>
      <w:r w:rsidR="00653B2D">
        <w:rPr>
          <w:rFonts w:asciiTheme="majorHAnsi" w:hAnsiTheme="majorHAnsi" w:cstheme="majorHAnsi"/>
          <w:sz w:val="24"/>
          <w:szCs w:val="24"/>
          <w:lang w:val="ro-MD"/>
        </w:rPr>
        <w:t>riscului de pierdere a particularităților funcționale</w:t>
      </w:r>
      <w:r>
        <w:rPr>
          <w:rFonts w:asciiTheme="majorHAnsi" w:hAnsiTheme="majorHAnsi" w:cstheme="majorHAnsi"/>
          <w:sz w:val="24"/>
          <w:szCs w:val="24"/>
          <w:lang w:val="ro-MD"/>
        </w:rPr>
        <w:t xml:space="preserve"> inițiale</w:t>
      </w:r>
      <w:r w:rsidR="008752D3">
        <w:rPr>
          <w:rFonts w:asciiTheme="majorHAnsi" w:hAnsiTheme="majorHAnsi" w:cstheme="majorHAnsi"/>
          <w:sz w:val="24"/>
          <w:szCs w:val="24"/>
          <w:lang w:val="ro-MD"/>
        </w:rPr>
        <w:t xml:space="preserve"> </w:t>
      </w:r>
      <w:r w:rsidR="00A2328D">
        <w:rPr>
          <w:rFonts w:asciiTheme="majorHAnsi" w:hAnsiTheme="majorHAnsi" w:cstheme="majorHAnsi"/>
          <w:sz w:val="24"/>
          <w:szCs w:val="24"/>
          <w:lang w:val="ro-MD"/>
        </w:rPr>
        <w:t>prin pris</w:t>
      </w:r>
      <w:r w:rsidR="00F93171">
        <w:rPr>
          <w:rFonts w:asciiTheme="majorHAnsi" w:hAnsiTheme="majorHAnsi" w:cstheme="majorHAnsi"/>
          <w:sz w:val="24"/>
          <w:szCs w:val="24"/>
          <w:lang w:val="ro-MD"/>
        </w:rPr>
        <w:t>ma</w:t>
      </w:r>
      <w:r w:rsidR="00237F56">
        <w:rPr>
          <w:rFonts w:asciiTheme="majorHAnsi" w:hAnsiTheme="majorHAnsi" w:cstheme="majorHAnsi"/>
          <w:sz w:val="24"/>
          <w:szCs w:val="24"/>
          <w:lang w:val="ro-MD"/>
        </w:rPr>
        <w:t xml:space="preserve"> </w:t>
      </w:r>
      <w:r w:rsidR="009302C9">
        <w:rPr>
          <w:rFonts w:asciiTheme="majorHAnsi" w:hAnsiTheme="majorHAnsi" w:cstheme="majorHAnsi"/>
          <w:sz w:val="24"/>
          <w:szCs w:val="24"/>
          <w:lang w:val="ro-MD"/>
        </w:rPr>
        <w:t xml:space="preserve">amortizării </w:t>
      </w:r>
      <w:r w:rsidR="009302C9" w:rsidRPr="00C66909">
        <w:rPr>
          <w:rFonts w:asciiTheme="majorHAnsi" w:hAnsiTheme="majorHAnsi" w:cstheme="majorHAnsi"/>
          <w:sz w:val="24"/>
          <w:szCs w:val="24"/>
          <w:lang w:val="ro-MD"/>
        </w:rPr>
        <w:t>morale</w:t>
      </w:r>
      <w:r w:rsidR="00C76144" w:rsidRPr="00C66909">
        <w:rPr>
          <w:rFonts w:asciiTheme="majorHAnsi" w:hAnsiTheme="majorHAnsi" w:cstheme="majorHAnsi"/>
          <w:sz w:val="24"/>
          <w:szCs w:val="24"/>
          <w:lang w:val="ro-MD"/>
        </w:rPr>
        <w:t xml:space="preserve"> a acestora</w:t>
      </w:r>
      <w:r w:rsidR="00C76144">
        <w:rPr>
          <w:rFonts w:asciiTheme="majorHAnsi" w:hAnsiTheme="majorHAnsi" w:cstheme="majorHAnsi"/>
          <w:sz w:val="24"/>
          <w:szCs w:val="24"/>
          <w:lang w:val="ro-MD"/>
        </w:rPr>
        <w:t xml:space="preserve"> </w:t>
      </w:r>
      <w:r w:rsidR="009302C9">
        <w:rPr>
          <w:rFonts w:asciiTheme="majorHAnsi" w:hAnsiTheme="majorHAnsi" w:cstheme="majorHAnsi"/>
          <w:sz w:val="24"/>
          <w:szCs w:val="24"/>
          <w:lang w:val="ro-MD"/>
        </w:rPr>
        <w:t xml:space="preserve"> (</w:t>
      </w:r>
      <w:r w:rsidR="00673B05">
        <w:rPr>
          <w:rFonts w:asciiTheme="majorHAnsi" w:hAnsiTheme="majorHAnsi" w:cstheme="majorHAnsi"/>
          <w:sz w:val="24"/>
          <w:szCs w:val="24"/>
          <w:lang w:val="ro-MD"/>
        </w:rPr>
        <w:t>stabilirea</w:t>
      </w:r>
      <w:r w:rsidR="00237F56">
        <w:rPr>
          <w:rFonts w:asciiTheme="majorHAnsi" w:hAnsiTheme="majorHAnsi" w:cstheme="majorHAnsi"/>
          <w:sz w:val="24"/>
          <w:szCs w:val="24"/>
          <w:lang w:val="ro-MD"/>
        </w:rPr>
        <w:t xml:space="preserve"> de </w:t>
      </w:r>
      <w:r w:rsidR="00501509">
        <w:rPr>
          <w:rFonts w:asciiTheme="majorHAnsi" w:hAnsiTheme="majorHAnsi" w:cstheme="majorHAnsi"/>
          <w:sz w:val="24"/>
          <w:szCs w:val="24"/>
          <w:lang w:val="ro-MD"/>
        </w:rPr>
        <w:t xml:space="preserve">către </w:t>
      </w:r>
      <w:r w:rsidR="00237F56">
        <w:rPr>
          <w:rFonts w:asciiTheme="majorHAnsi" w:hAnsiTheme="majorHAnsi" w:cstheme="majorHAnsi"/>
          <w:sz w:val="24"/>
          <w:szCs w:val="24"/>
          <w:lang w:val="ro-MD"/>
        </w:rPr>
        <w:t>cadrul normativ</w:t>
      </w:r>
      <w:r w:rsidR="00A2328D" w:rsidRPr="00A2328D">
        <w:rPr>
          <w:rFonts w:asciiTheme="majorHAnsi" w:hAnsiTheme="majorHAnsi" w:cstheme="majorHAnsi"/>
          <w:sz w:val="24"/>
          <w:szCs w:val="24"/>
          <w:lang w:val="ro-MD"/>
        </w:rPr>
        <w:t xml:space="preserve"> </w:t>
      </w:r>
      <w:r w:rsidR="00A2328D">
        <w:rPr>
          <w:rFonts w:asciiTheme="majorHAnsi" w:hAnsiTheme="majorHAnsi" w:cstheme="majorHAnsi"/>
          <w:sz w:val="24"/>
          <w:szCs w:val="24"/>
          <w:lang w:val="ro-MD"/>
        </w:rPr>
        <w:t xml:space="preserve"> a duratei de funcționare utilă</w:t>
      </w:r>
      <w:r w:rsidR="00501509">
        <w:rPr>
          <w:rFonts w:asciiTheme="majorHAnsi" w:hAnsiTheme="majorHAnsi" w:cstheme="majorHAnsi"/>
          <w:sz w:val="24"/>
          <w:szCs w:val="24"/>
          <w:lang w:val="ro-MD"/>
        </w:rPr>
        <w:t xml:space="preserve"> </w:t>
      </w:r>
      <w:r w:rsidR="00673B05">
        <w:rPr>
          <w:rFonts w:asciiTheme="majorHAnsi" w:hAnsiTheme="majorHAnsi" w:cstheme="majorHAnsi"/>
          <w:sz w:val="24"/>
          <w:szCs w:val="24"/>
          <w:lang w:val="ro-MD"/>
        </w:rPr>
        <w:t>-</w:t>
      </w:r>
      <w:r w:rsidR="00501509">
        <w:rPr>
          <w:rFonts w:asciiTheme="majorHAnsi" w:hAnsiTheme="majorHAnsi" w:cstheme="majorHAnsi"/>
          <w:sz w:val="24"/>
          <w:szCs w:val="24"/>
          <w:lang w:val="ro-MD"/>
        </w:rPr>
        <w:t xml:space="preserve"> </w:t>
      </w:r>
      <w:r w:rsidR="00814354">
        <w:rPr>
          <w:rFonts w:asciiTheme="majorHAnsi" w:hAnsiTheme="majorHAnsi" w:cstheme="majorHAnsi"/>
          <w:sz w:val="24"/>
          <w:szCs w:val="24"/>
          <w:lang w:val="ro-MD"/>
        </w:rPr>
        <w:t>5 ani</w:t>
      </w:r>
      <w:r w:rsidR="00237F56" w:rsidRPr="003B6E18">
        <w:rPr>
          <w:rStyle w:val="FootnoteReference"/>
          <w:rFonts w:asciiTheme="majorHAnsi" w:hAnsiTheme="majorHAnsi" w:cstheme="majorHAnsi"/>
          <w:szCs w:val="24"/>
          <w:lang w:val="ro-MD"/>
        </w:rPr>
        <w:footnoteReference w:id="23"/>
      </w:r>
      <w:r w:rsidR="001829B9" w:rsidRPr="003B6E18">
        <w:rPr>
          <w:rFonts w:asciiTheme="majorHAnsi" w:hAnsiTheme="majorHAnsi" w:cstheme="majorHAnsi"/>
          <w:sz w:val="24"/>
          <w:szCs w:val="24"/>
          <w:lang w:val="ro-MD"/>
        </w:rPr>
        <w:t>,</w:t>
      </w:r>
      <w:r w:rsidR="00F93171" w:rsidRPr="003B6E18">
        <w:rPr>
          <w:rFonts w:asciiTheme="majorHAnsi" w:hAnsiTheme="majorHAnsi" w:cstheme="majorHAnsi"/>
          <w:sz w:val="24"/>
          <w:szCs w:val="24"/>
          <w:lang w:val="ro-MD"/>
        </w:rPr>
        <w:t xml:space="preserve"> </w:t>
      </w:r>
      <w:r w:rsidR="00673B05" w:rsidRPr="003B6E18">
        <w:rPr>
          <w:rFonts w:asciiTheme="majorHAnsi" w:hAnsiTheme="majorHAnsi" w:cstheme="majorHAnsi"/>
          <w:sz w:val="24"/>
          <w:szCs w:val="24"/>
          <w:lang w:val="ro-MD"/>
        </w:rPr>
        <w:t xml:space="preserve"> iar</w:t>
      </w:r>
      <w:r w:rsidR="00A2328D" w:rsidRPr="003B6E18">
        <w:rPr>
          <w:rFonts w:asciiTheme="majorHAnsi" w:hAnsiTheme="majorHAnsi" w:cstheme="majorHAnsi"/>
          <w:sz w:val="24"/>
          <w:szCs w:val="24"/>
          <w:lang w:val="ro-MD"/>
        </w:rPr>
        <w:t xml:space="preserve"> </w:t>
      </w:r>
      <w:r w:rsidR="001829B9" w:rsidRPr="003B6E18">
        <w:rPr>
          <w:rFonts w:asciiTheme="majorHAnsi" w:hAnsiTheme="majorHAnsi" w:cstheme="majorHAnsi"/>
          <w:sz w:val="24"/>
          <w:szCs w:val="24"/>
          <w:lang w:val="ro-MD"/>
        </w:rPr>
        <w:t xml:space="preserve">perioada de </w:t>
      </w:r>
      <w:r w:rsidR="00673B05" w:rsidRPr="003B6E18">
        <w:rPr>
          <w:rFonts w:asciiTheme="majorHAnsi" w:hAnsiTheme="majorHAnsi" w:cstheme="majorHAnsi"/>
          <w:sz w:val="24"/>
          <w:szCs w:val="24"/>
          <w:lang w:val="ro-MD"/>
        </w:rPr>
        <w:t>neutilizare</w:t>
      </w:r>
      <w:r w:rsidR="001829B9" w:rsidRPr="003B6E18">
        <w:rPr>
          <w:rFonts w:asciiTheme="majorHAnsi" w:hAnsiTheme="majorHAnsi" w:cstheme="majorHAnsi"/>
          <w:sz w:val="24"/>
          <w:szCs w:val="24"/>
          <w:lang w:val="ro-MD"/>
        </w:rPr>
        <w:t xml:space="preserve"> </w:t>
      </w:r>
      <w:r w:rsidR="00673B05" w:rsidRPr="003B6E18">
        <w:rPr>
          <w:rFonts w:asciiTheme="majorHAnsi" w:hAnsiTheme="majorHAnsi" w:cstheme="majorHAnsi"/>
          <w:sz w:val="24"/>
          <w:szCs w:val="24"/>
          <w:lang w:val="ro-MD"/>
        </w:rPr>
        <w:t>a</w:t>
      </w:r>
      <w:r w:rsidR="00F93171" w:rsidRPr="003B6E18">
        <w:rPr>
          <w:rFonts w:asciiTheme="majorHAnsi" w:hAnsiTheme="majorHAnsi" w:cstheme="majorHAnsi"/>
          <w:sz w:val="24"/>
          <w:szCs w:val="24"/>
          <w:lang w:val="ro-MD"/>
        </w:rPr>
        <w:t xml:space="preserve"> </w:t>
      </w:r>
      <w:r w:rsidR="001829B9" w:rsidRPr="003B6E18">
        <w:rPr>
          <w:rFonts w:asciiTheme="majorHAnsi" w:hAnsiTheme="majorHAnsi" w:cstheme="majorHAnsi"/>
          <w:sz w:val="24"/>
          <w:szCs w:val="24"/>
          <w:lang w:val="ro-MD"/>
        </w:rPr>
        <w:t xml:space="preserve">acestora de la momentul procurării constituie deja </w:t>
      </w:r>
      <w:r w:rsidR="00F93171" w:rsidRPr="003B6E18">
        <w:rPr>
          <w:rFonts w:asciiTheme="majorHAnsi" w:hAnsiTheme="majorHAnsi" w:cstheme="majorHAnsi"/>
          <w:sz w:val="24"/>
          <w:szCs w:val="24"/>
          <w:lang w:val="ro-MD"/>
        </w:rPr>
        <w:t>9 ani</w:t>
      </w:r>
      <w:r w:rsidR="00814354" w:rsidRPr="003B6E18">
        <w:rPr>
          <w:rFonts w:asciiTheme="majorHAnsi" w:hAnsiTheme="majorHAnsi" w:cstheme="majorHAnsi"/>
          <w:sz w:val="24"/>
          <w:szCs w:val="24"/>
          <w:lang w:val="ro-MD"/>
        </w:rPr>
        <w:t>)</w:t>
      </w:r>
      <w:r w:rsidR="00653B2D" w:rsidRPr="003B6E18">
        <w:rPr>
          <w:rFonts w:asciiTheme="majorHAnsi" w:hAnsiTheme="majorHAnsi" w:cstheme="majorHAnsi"/>
          <w:sz w:val="24"/>
          <w:szCs w:val="24"/>
          <w:lang w:val="ro-MD"/>
        </w:rPr>
        <w:t>.</w:t>
      </w:r>
    </w:p>
    <w:p w14:paraId="2C0BCDBF" w14:textId="77777777" w:rsidR="00C276D5" w:rsidRPr="00C276D5" w:rsidRDefault="00C276D5" w:rsidP="00C276D5">
      <w:pPr>
        <w:pStyle w:val="ListParagraph"/>
        <w:tabs>
          <w:tab w:val="left" w:pos="270"/>
        </w:tabs>
        <w:spacing w:after="0" w:line="276" w:lineRule="auto"/>
        <w:ind w:left="0" w:firstLine="720"/>
        <w:jc w:val="both"/>
        <w:rPr>
          <w:rFonts w:asciiTheme="majorHAnsi" w:hAnsiTheme="majorHAnsi" w:cstheme="majorHAnsi"/>
          <w:sz w:val="24"/>
          <w:szCs w:val="24"/>
          <w:lang w:val="ro-MD"/>
        </w:rPr>
      </w:pPr>
    </w:p>
    <w:p w14:paraId="583EA7B6" w14:textId="2991E832" w:rsidR="00242256" w:rsidRPr="00C276D5" w:rsidRDefault="00242256" w:rsidP="007E002D">
      <w:pPr>
        <w:pStyle w:val="ListParagraph"/>
        <w:numPr>
          <w:ilvl w:val="3"/>
          <w:numId w:val="38"/>
        </w:numPr>
        <w:tabs>
          <w:tab w:val="left" w:pos="0"/>
        </w:tabs>
        <w:spacing w:after="0" w:line="276" w:lineRule="auto"/>
        <w:ind w:left="0" w:firstLine="0"/>
        <w:contextualSpacing w:val="0"/>
        <w:jc w:val="both"/>
        <w:outlineLvl w:val="0"/>
        <w:rPr>
          <w:rFonts w:asciiTheme="majorHAnsi" w:hAnsiTheme="majorHAnsi" w:cstheme="majorHAnsi"/>
          <w:b/>
          <w:i/>
          <w:sz w:val="24"/>
          <w:szCs w:val="24"/>
          <w:lang w:val="ro-MD"/>
        </w:rPr>
      </w:pPr>
      <w:bookmarkStart w:id="124" w:name="_Toc61608204"/>
      <w:bookmarkStart w:id="125" w:name="_Toc123116709"/>
      <w:r w:rsidRPr="0073357B">
        <w:rPr>
          <w:rFonts w:asciiTheme="majorHAnsi" w:hAnsiTheme="majorHAnsi" w:cstheme="majorHAnsi"/>
          <w:b/>
          <w:i/>
          <w:sz w:val="24"/>
          <w:szCs w:val="24"/>
          <w:lang w:val="ro-MD"/>
        </w:rPr>
        <w:t>Neajustarea valorii contabile a mijloacelor fixe amortizate integral și utilizate în</w:t>
      </w:r>
      <w:r w:rsidRPr="00C276D5">
        <w:rPr>
          <w:rFonts w:asciiTheme="majorHAnsi" w:hAnsiTheme="majorHAnsi" w:cstheme="majorHAnsi"/>
          <w:b/>
          <w:i/>
          <w:sz w:val="24"/>
          <w:szCs w:val="24"/>
          <w:lang w:val="ro-MD"/>
        </w:rPr>
        <w:t xml:space="preserve"> procesul operațional creează condiții de aplicare a cuantumului tarifelor la serviciile prestate, care nu va putea asigura capacitatea investițională a </w:t>
      </w:r>
      <w:r w:rsidR="00790A18">
        <w:rPr>
          <w:rFonts w:asciiTheme="majorHAnsi" w:hAnsiTheme="majorHAnsi" w:cstheme="majorHAnsi"/>
          <w:b/>
          <w:i/>
          <w:sz w:val="24"/>
          <w:szCs w:val="24"/>
          <w:lang w:val="ro-MD"/>
        </w:rPr>
        <w:t>instituțiilor publice</w:t>
      </w:r>
      <w:r w:rsidRPr="00C276D5">
        <w:rPr>
          <w:rFonts w:asciiTheme="majorHAnsi" w:hAnsiTheme="majorHAnsi" w:cstheme="majorHAnsi"/>
          <w:b/>
          <w:i/>
          <w:sz w:val="24"/>
          <w:szCs w:val="24"/>
          <w:lang w:val="ro-MD"/>
        </w:rPr>
        <w:t xml:space="preserve"> din domeniul infrastructurii în perioadele de gestiune viitoare.</w:t>
      </w:r>
      <w:bookmarkEnd w:id="124"/>
      <w:bookmarkEnd w:id="125"/>
    </w:p>
    <w:p w14:paraId="10CBD687" w14:textId="41483AB4" w:rsidR="00283BD3" w:rsidRPr="003B6E18" w:rsidRDefault="00283BD3" w:rsidP="00C276D5">
      <w:pPr>
        <w:pStyle w:val="ListParagraph"/>
        <w:tabs>
          <w:tab w:val="left" w:pos="270"/>
        </w:tabs>
        <w:spacing w:after="0" w:line="276" w:lineRule="auto"/>
        <w:ind w:left="0" w:firstLine="720"/>
        <w:jc w:val="both"/>
        <w:rPr>
          <w:rFonts w:asciiTheme="majorHAnsi" w:hAnsiTheme="majorHAnsi" w:cstheme="majorHAnsi"/>
          <w:i/>
          <w:sz w:val="24"/>
          <w:szCs w:val="24"/>
          <w:lang w:val="ro-RO"/>
        </w:rPr>
      </w:pPr>
      <w:r w:rsidRPr="007917DD">
        <w:rPr>
          <w:rFonts w:asciiTheme="majorHAnsi" w:hAnsiTheme="majorHAnsi" w:cstheme="majorHAnsi"/>
          <w:sz w:val="24"/>
          <w:szCs w:val="24"/>
          <w:shd w:val="clear" w:color="auto" w:fill="FFFFFF"/>
          <w:lang w:val="ro-MD"/>
        </w:rPr>
        <w:t>Evaluarea activelor corp</w:t>
      </w:r>
      <w:r w:rsidR="00ED3752">
        <w:rPr>
          <w:rFonts w:asciiTheme="majorHAnsi" w:hAnsiTheme="majorHAnsi" w:cstheme="majorHAnsi"/>
          <w:sz w:val="24"/>
          <w:szCs w:val="24"/>
          <w:shd w:val="clear" w:color="auto" w:fill="FFFFFF"/>
          <w:lang w:val="ro-MD"/>
        </w:rPr>
        <w:t>orale/necorporale se face atât î</w:t>
      </w:r>
      <w:r w:rsidRPr="007917DD">
        <w:rPr>
          <w:rFonts w:asciiTheme="majorHAnsi" w:hAnsiTheme="majorHAnsi" w:cstheme="majorHAnsi"/>
          <w:sz w:val="24"/>
          <w:szCs w:val="24"/>
          <w:shd w:val="clear" w:color="auto" w:fill="FFFFFF"/>
          <w:lang w:val="ro-MD"/>
        </w:rPr>
        <w:t>n mod curent</w:t>
      </w:r>
      <w:r w:rsidR="00790A18">
        <w:rPr>
          <w:rFonts w:asciiTheme="majorHAnsi" w:hAnsiTheme="majorHAnsi" w:cstheme="majorHAnsi"/>
          <w:sz w:val="24"/>
          <w:szCs w:val="24"/>
          <w:shd w:val="clear" w:color="auto" w:fill="FFFFFF"/>
          <w:lang w:val="ro-MD"/>
        </w:rPr>
        <w:t>,</w:t>
      </w:r>
      <w:r w:rsidRPr="007917DD">
        <w:rPr>
          <w:rFonts w:asciiTheme="majorHAnsi" w:hAnsiTheme="majorHAnsi" w:cstheme="majorHAnsi"/>
          <w:sz w:val="24"/>
          <w:szCs w:val="24"/>
          <w:shd w:val="clear" w:color="auto" w:fill="FFFFFF"/>
          <w:lang w:val="ro-MD"/>
        </w:rPr>
        <w:t xml:space="preserve"> pentru reflectarea operațiilor econo</w:t>
      </w:r>
      <w:r w:rsidR="00FA5B3A">
        <w:rPr>
          <w:rFonts w:asciiTheme="majorHAnsi" w:hAnsiTheme="majorHAnsi" w:cstheme="majorHAnsi"/>
          <w:sz w:val="24"/>
          <w:szCs w:val="24"/>
          <w:shd w:val="clear" w:color="auto" w:fill="FFFFFF"/>
          <w:lang w:val="ro-MD"/>
        </w:rPr>
        <w:t>mice și financiare care au loc î</w:t>
      </w:r>
      <w:r w:rsidRPr="007917DD">
        <w:rPr>
          <w:rFonts w:asciiTheme="majorHAnsi" w:hAnsiTheme="majorHAnsi" w:cstheme="majorHAnsi"/>
          <w:sz w:val="24"/>
          <w:szCs w:val="24"/>
          <w:shd w:val="clear" w:color="auto" w:fill="FFFFFF"/>
          <w:lang w:val="ro-MD"/>
        </w:rPr>
        <w:t xml:space="preserve">n cursul perioadelor de gestiune și care modifică </w:t>
      </w:r>
      <w:r w:rsidRPr="003B6E18">
        <w:rPr>
          <w:rFonts w:asciiTheme="majorHAnsi" w:hAnsiTheme="majorHAnsi" w:cstheme="majorHAnsi"/>
          <w:sz w:val="24"/>
          <w:szCs w:val="24"/>
          <w:shd w:val="clear" w:color="auto" w:fill="FFFFFF"/>
          <w:lang w:val="ro-MD"/>
        </w:rPr>
        <w:t>mărimea valorică a elementelor de activ, cât și în mod periodic</w:t>
      </w:r>
      <w:r w:rsidR="00ED3752">
        <w:rPr>
          <w:rFonts w:asciiTheme="majorHAnsi" w:hAnsiTheme="majorHAnsi" w:cstheme="majorHAnsi"/>
          <w:sz w:val="24"/>
          <w:szCs w:val="24"/>
          <w:shd w:val="clear" w:color="auto" w:fill="FFFFFF"/>
          <w:lang w:val="ro-MD"/>
        </w:rPr>
        <w:t>,</w:t>
      </w:r>
      <w:r w:rsidRPr="003B6E18">
        <w:rPr>
          <w:rFonts w:asciiTheme="majorHAnsi" w:hAnsiTheme="majorHAnsi" w:cstheme="majorHAnsi"/>
          <w:sz w:val="24"/>
          <w:szCs w:val="24"/>
          <w:shd w:val="clear" w:color="auto" w:fill="FFFFFF"/>
          <w:lang w:val="ro-MD"/>
        </w:rPr>
        <w:t xml:space="preserve"> cu ocazia inventarierii elementelor patrimoniale de activ și a elaborării documentelor raportare (bilanțul contabil). Evaluarea în contabilitate a imobiliz</w:t>
      </w:r>
      <w:r w:rsidR="004611D9">
        <w:rPr>
          <w:rFonts w:asciiTheme="majorHAnsi" w:hAnsiTheme="majorHAnsi" w:cstheme="majorHAnsi"/>
          <w:sz w:val="24"/>
          <w:szCs w:val="24"/>
          <w:shd w:val="clear" w:color="auto" w:fill="FFFFFF"/>
          <w:lang w:val="ro-MD"/>
        </w:rPr>
        <w:t>ărilor corporale se realizează î</w:t>
      </w:r>
      <w:r w:rsidRPr="003B6E18">
        <w:rPr>
          <w:rFonts w:asciiTheme="majorHAnsi" w:hAnsiTheme="majorHAnsi" w:cstheme="majorHAnsi"/>
          <w:sz w:val="24"/>
          <w:szCs w:val="24"/>
          <w:shd w:val="clear" w:color="auto" w:fill="FFFFFF"/>
          <w:lang w:val="ro-MD"/>
        </w:rPr>
        <w:t>n toate momentele de sintetizare, raportare si analiză a situației patrimoniului și a rezultatelor obținute</w:t>
      </w:r>
      <w:r w:rsidRPr="003B6E18">
        <w:rPr>
          <w:rStyle w:val="FootnoteReference"/>
          <w:rFonts w:asciiTheme="majorHAnsi" w:hAnsiTheme="majorHAnsi" w:cstheme="majorHAnsi"/>
          <w:sz w:val="24"/>
          <w:szCs w:val="24"/>
          <w:shd w:val="clear" w:color="auto" w:fill="FFFFFF"/>
          <w:lang w:val="ro-MD"/>
        </w:rPr>
        <w:footnoteReference w:id="24"/>
      </w:r>
      <w:r w:rsidRPr="003B6E18">
        <w:rPr>
          <w:rFonts w:asciiTheme="majorHAnsi" w:hAnsiTheme="majorHAnsi" w:cstheme="majorHAnsi"/>
          <w:sz w:val="24"/>
          <w:szCs w:val="24"/>
          <w:shd w:val="clear" w:color="auto" w:fill="FFFFFF"/>
          <w:lang w:val="ro-MD"/>
        </w:rPr>
        <w:t>.</w:t>
      </w:r>
    </w:p>
    <w:p w14:paraId="4D770BD3" w14:textId="7A92B3F6" w:rsidR="0030452C" w:rsidRPr="003B6E18" w:rsidRDefault="000B4636" w:rsidP="00C276D5">
      <w:pPr>
        <w:pStyle w:val="ListParagraph"/>
        <w:tabs>
          <w:tab w:val="left" w:pos="270"/>
        </w:tabs>
        <w:spacing w:after="0" w:line="276" w:lineRule="auto"/>
        <w:ind w:left="0" w:firstLine="720"/>
        <w:jc w:val="both"/>
        <w:rPr>
          <w:rFonts w:asciiTheme="majorHAnsi" w:hAnsiTheme="majorHAnsi" w:cstheme="majorHAnsi"/>
          <w:sz w:val="24"/>
          <w:szCs w:val="24"/>
          <w:lang w:val="ro-RO"/>
        </w:rPr>
      </w:pPr>
      <w:r w:rsidRPr="00C276D5">
        <w:rPr>
          <w:rFonts w:asciiTheme="majorHAnsi" w:hAnsiTheme="majorHAnsi" w:cstheme="majorHAnsi"/>
          <w:sz w:val="24"/>
          <w:szCs w:val="24"/>
          <w:shd w:val="clear" w:color="auto" w:fill="FFFFFF"/>
          <w:lang w:val="ro-MD"/>
        </w:rPr>
        <w:t>Activitățile</w:t>
      </w:r>
      <w:r w:rsidRPr="003B6E18">
        <w:rPr>
          <w:rFonts w:asciiTheme="majorHAnsi" w:hAnsiTheme="majorHAnsi" w:cstheme="majorHAnsi"/>
          <w:sz w:val="24"/>
          <w:szCs w:val="24"/>
          <w:lang w:val="ro-RO"/>
        </w:rPr>
        <w:t xml:space="preserve"> desfășurate de audit atestă că</w:t>
      </w:r>
      <w:r w:rsidR="00790A18">
        <w:rPr>
          <w:rFonts w:asciiTheme="majorHAnsi" w:hAnsiTheme="majorHAnsi" w:cstheme="majorHAnsi"/>
          <w:sz w:val="24"/>
          <w:szCs w:val="24"/>
          <w:lang w:val="ro-RO"/>
        </w:rPr>
        <w:t xml:space="preserve"> instituțiile publice</w:t>
      </w:r>
      <w:r w:rsidRPr="003B6E18">
        <w:rPr>
          <w:rFonts w:asciiTheme="majorHAnsi" w:hAnsiTheme="majorHAnsi" w:cstheme="majorHAnsi"/>
          <w:sz w:val="24"/>
          <w:szCs w:val="24"/>
          <w:lang w:val="ro-RO"/>
        </w:rPr>
        <w:t xml:space="preserve"> din domeniul infrastru</w:t>
      </w:r>
      <w:r w:rsidR="00A74435" w:rsidRPr="003B6E18">
        <w:rPr>
          <w:rFonts w:asciiTheme="majorHAnsi" w:hAnsiTheme="majorHAnsi" w:cstheme="majorHAnsi"/>
          <w:sz w:val="24"/>
          <w:szCs w:val="24"/>
          <w:lang w:val="ro-RO"/>
        </w:rPr>
        <w:t>cturii calității dețin 4</w:t>
      </w:r>
      <w:r w:rsidR="006212F1" w:rsidRPr="003B6E18">
        <w:rPr>
          <w:rFonts w:asciiTheme="majorHAnsi" w:hAnsiTheme="majorHAnsi" w:cstheme="majorHAnsi"/>
          <w:sz w:val="24"/>
          <w:szCs w:val="24"/>
          <w:lang w:val="ro-RO"/>
        </w:rPr>
        <w:t>7</w:t>
      </w:r>
      <w:r w:rsidR="00A74435" w:rsidRPr="003B6E18">
        <w:rPr>
          <w:rFonts w:asciiTheme="majorHAnsi" w:hAnsiTheme="majorHAnsi" w:cstheme="majorHAnsi"/>
          <w:sz w:val="24"/>
          <w:szCs w:val="24"/>
          <w:lang w:val="ro-RO"/>
        </w:rPr>
        <w:t xml:space="preserve"> unități</w:t>
      </w:r>
      <w:r w:rsidRPr="003B6E18">
        <w:rPr>
          <w:rFonts w:asciiTheme="majorHAnsi" w:hAnsiTheme="majorHAnsi" w:cstheme="majorHAnsi"/>
          <w:sz w:val="24"/>
          <w:szCs w:val="24"/>
          <w:lang w:val="ro-RO"/>
        </w:rPr>
        <w:t xml:space="preserve"> </w:t>
      </w:r>
      <w:r w:rsidR="00ED3752">
        <w:rPr>
          <w:rFonts w:asciiTheme="majorHAnsi" w:hAnsiTheme="majorHAnsi" w:cstheme="majorHAnsi"/>
          <w:sz w:val="24"/>
          <w:szCs w:val="24"/>
          <w:lang w:val="ro-RO"/>
        </w:rPr>
        <w:t xml:space="preserve">de </w:t>
      </w:r>
      <w:r w:rsidRPr="003B6E18">
        <w:rPr>
          <w:rFonts w:asciiTheme="majorHAnsi" w:hAnsiTheme="majorHAnsi" w:cstheme="majorHAnsi"/>
          <w:sz w:val="24"/>
          <w:szCs w:val="24"/>
          <w:lang w:val="ro-RO"/>
        </w:rPr>
        <w:t>imobilizări necorporale</w:t>
      </w:r>
      <w:r w:rsidR="00790A18">
        <w:rPr>
          <w:rFonts w:asciiTheme="majorHAnsi" w:hAnsiTheme="majorHAnsi" w:cstheme="majorHAnsi"/>
          <w:sz w:val="24"/>
          <w:szCs w:val="24"/>
          <w:lang w:val="ro-RO"/>
        </w:rPr>
        <w:t>,</w:t>
      </w:r>
      <w:r w:rsidRPr="003B6E18">
        <w:rPr>
          <w:rFonts w:asciiTheme="majorHAnsi" w:hAnsiTheme="majorHAnsi" w:cstheme="majorHAnsi"/>
          <w:sz w:val="24"/>
          <w:szCs w:val="24"/>
          <w:lang w:val="ro-RO"/>
        </w:rPr>
        <w:t xml:space="preserve"> cu valoarea inițială de</w:t>
      </w:r>
      <w:r w:rsidR="00A74435" w:rsidRPr="003B6E18">
        <w:rPr>
          <w:rFonts w:asciiTheme="majorHAnsi" w:hAnsiTheme="majorHAnsi" w:cstheme="majorHAnsi"/>
          <w:sz w:val="24"/>
          <w:szCs w:val="24"/>
          <w:lang w:val="ro-RO"/>
        </w:rPr>
        <w:t xml:space="preserve"> 5</w:t>
      </w:r>
      <w:r w:rsidR="00ED3752">
        <w:rPr>
          <w:rFonts w:asciiTheme="majorHAnsi" w:hAnsiTheme="majorHAnsi" w:cstheme="majorHAnsi"/>
          <w:sz w:val="24"/>
          <w:szCs w:val="24"/>
          <w:lang w:val="ro-RO"/>
        </w:rPr>
        <w:t xml:space="preserve"> </w:t>
      </w:r>
      <w:r w:rsidR="006212F1" w:rsidRPr="003B6E18">
        <w:rPr>
          <w:rFonts w:asciiTheme="majorHAnsi" w:hAnsiTheme="majorHAnsi" w:cstheme="majorHAnsi"/>
          <w:sz w:val="24"/>
          <w:szCs w:val="24"/>
          <w:lang w:val="ro-RO"/>
        </w:rPr>
        <w:t xml:space="preserve">368,03 </w:t>
      </w:r>
      <w:r w:rsidR="00A74435" w:rsidRPr="003B6E18">
        <w:rPr>
          <w:rFonts w:asciiTheme="majorHAnsi" w:hAnsiTheme="majorHAnsi" w:cstheme="majorHAnsi"/>
          <w:sz w:val="24"/>
          <w:szCs w:val="24"/>
          <w:lang w:val="ro-RO"/>
        </w:rPr>
        <w:t>mii lei</w:t>
      </w:r>
      <w:r w:rsidR="00863272" w:rsidRPr="003B6E18">
        <w:rPr>
          <w:rFonts w:asciiTheme="majorHAnsi" w:hAnsiTheme="majorHAnsi" w:cstheme="majorHAnsi"/>
          <w:sz w:val="24"/>
          <w:szCs w:val="24"/>
          <w:lang w:val="ro-RO"/>
        </w:rPr>
        <w:t xml:space="preserve"> </w:t>
      </w:r>
      <w:r w:rsidRPr="003B6E18">
        <w:rPr>
          <w:rFonts w:asciiTheme="majorHAnsi" w:hAnsiTheme="majorHAnsi" w:cstheme="majorHAnsi"/>
          <w:sz w:val="24"/>
          <w:szCs w:val="24"/>
          <w:lang w:val="ro-RO"/>
        </w:rPr>
        <w:t>(</w:t>
      </w:r>
      <w:r w:rsidR="00A74435" w:rsidRPr="003B6E18">
        <w:rPr>
          <w:rFonts w:asciiTheme="majorHAnsi" w:hAnsiTheme="majorHAnsi" w:cstheme="majorHAnsi"/>
          <w:sz w:val="24"/>
          <w:szCs w:val="24"/>
          <w:lang w:val="ro-RO"/>
        </w:rPr>
        <w:t>c</w:t>
      </w:r>
      <w:r w:rsidR="00790A18">
        <w:rPr>
          <w:rFonts w:asciiTheme="majorHAnsi" w:hAnsiTheme="majorHAnsi" w:cstheme="majorHAnsi"/>
          <w:sz w:val="24"/>
          <w:szCs w:val="24"/>
          <w:lang w:val="ro-RO"/>
        </w:rPr>
        <w:t>ir</w:t>
      </w:r>
      <w:r w:rsidR="00A74435" w:rsidRPr="003B6E18">
        <w:rPr>
          <w:rFonts w:asciiTheme="majorHAnsi" w:hAnsiTheme="majorHAnsi" w:cstheme="majorHAnsi"/>
          <w:sz w:val="24"/>
          <w:szCs w:val="24"/>
          <w:lang w:val="ro-RO"/>
        </w:rPr>
        <w:t xml:space="preserve">ca </w:t>
      </w:r>
      <w:r w:rsidR="00C825ED" w:rsidRPr="003B6E18">
        <w:rPr>
          <w:rFonts w:asciiTheme="majorHAnsi" w:hAnsiTheme="majorHAnsi" w:cstheme="majorHAnsi"/>
          <w:sz w:val="24"/>
          <w:szCs w:val="24"/>
          <w:lang w:val="ro-RO"/>
        </w:rPr>
        <w:t>5</w:t>
      </w:r>
      <w:r w:rsidR="006212F1" w:rsidRPr="003B6E18">
        <w:rPr>
          <w:rFonts w:asciiTheme="majorHAnsi" w:hAnsiTheme="majorHAnsi" w:cstheme="majorHAnsi"/>
          <w:sz w:val="24"/>
          <w:szCs w:val="24"/>
          <w:lang w:val="ro-RO"/>
        </w:rPr>
        <w:t>5</w:t>
      </w:r>
      <w:r w:rsidRPr="003B6E18">
        <w:rPr>
          <w:rFonts w:asciiTheme="majorHAnsi" w:hAnsiTheme="majorHAnsi" w:cstheme="majorHAnsi"/>
          <w:sz w:val="24"/>
          <w:szCs w:val="24"/>
          <w:lang w:val="ro-RO"/>
        </w:rPr>
        <w:t>% din totalul activelor nemateriale )</w:t>
      </w:r>
      <w:r w:rsidR="00790A18">
        <w:rPr>
          <w:rFonts w:asciiTheme="majorHAnsi" w:hAnsiTheme="majorHAnsi" w:cstheme="majorHAnsi"/>
          <w:sz w:val="24"/>
          <w:szCs w:val="24"/>
          <w:lang w:val="ro-RO"/>
        </w:rPr>
        <w:t>,</w:t>
      </w:r>
      <w:r w:rsidRPr="003B6E18">
        <w:rPr>
          <w:rFonts w:asciiTheme="majorHAnsi" w:hAnsiTheme="majorHAnsi" w:cstheme="majorHAnsi"/>
          <w:sz w:val="24"/>
          <w:szCs w:val="24"/>
          <w:lang w:val="ro-RO"/>
        </w:rPr>
        <w:t xml:space="preserve"> precum ș</w:t>
      </w:r>
      <w:r w:rsidR="00C825ED" w:rsidRPr="003B6E18">
        <w:rPr>
          <w:rFonts w:asciiTheme="majorHAnsi" w:hAnsiTheme="majorHAnsi" w:cstheme="majorHAnsi"/>
          <w:sz w:val="24"/>
          <w:szCs w:val="24"/>
          <w:lang w:val="ro-RO"/>
        </w:rPr>
        <w:t xml:space="preserve">i  </w:t>
      </w:r>
      <w:r w:rsidR="006212F1" w:rsidRPr="003B6E18">
        <w:rPr>
          <w:rFonts w:asciiTheme="majorHAnsi" w:hAnsiTheme="majorHAnsi" w:cstheme="majorHAnsi"/>
          <w:sz w:val="24"/>
          <w:szCs w:val="24"/>
          <w:lang w:val="ro-RO"/>
        </w:rPr>
        <w:t>452</w:t>
      </w:r>
      <w:r w:rsidR="00C825ED" w:rsidRPr="003B6E18">
        <w:rPr>
          <w:rFonts w:asciiTheme="majorHAnsi" w:hAnsiTheme="majorHAnsi" w:cstheme="majorHAnsi"/>
          <w:sz w:val="24"/>
          <w:szCs w:val="24"/>
          <w:lang w:val="ro-RO"/>
        </w:rPr>
        <w:t xml:space="preserve"> </w:t>
      </w:r>
      <w:r w:rsidRPr="003B6E18">
        <w:rPr>
          <w:rFonts w:asciiTheme="majorHAnsi" w:hAnsiTheme="majorHAnsi" w:cstheme="majorHAnsi"/>
          <w:sz w:val="24"/>
          <w:szCs w:val="24"/>
          <w:lang w:val="ro-RO"/>
        </w:rPr>
        <w:t>unități de imobilizări corporale</w:t>
      </w:r>
      <w:r w:rsidR="00790A18">
        <w:rPr>
          <w:rFonts w:asciiTheme="majorHAnsi" w:hAnsiTheme="majorHAnsi" w:cstheme="majorHAnsi"/>
          <w:sz w:val="24"/>
          <w:szCs w:val="24"/>
          <w:lang w:val="ro-RO"/>
        </w:rPr>
        <w:t>,</w:t>
      </w:r>
      <w:r w:rsidR="00BA19BF" w:rsidRPr="003B6E18">
        <w:rPr>
          <w:rFonts w:asciiTheme="majorHAnsi" w:hAnsiTheme="majorHAnsi" w:cstheme="majorHAnsi"/>
          <w:sz w:val="24"/>
          <w:szCs w:val="24"/>
          <w:lang w:val="ro-RO"/>
        </w:rPr>
        <w:t xml:space="preserve"> cu valoarea inițială de</w:t>
      </w:r>
      <w:r w:rsidR="00A74435" w:rsidRPr="003B6E18">
        <w:rPr>
          <w:rFonts w:asciiTheme="majorHAnsi" w:hAnsiTheme="majorHAnsi" w:cstheme="majorHAnsi"/>
          <w:sz w:val="24"/>
          <w:szCs w:val="24"/>
          <w:lang w:val="ro-RO"/>
        </w:rPr>
        <w:t xml:space="preserve"> </w:t>
      </w:r>
      <w:r w:rsidR="006212F1" w:rsidRPr="003B6E18">
        <w:rPr>
          <w:rFonts w:asciiTheme="majorHAnsi" w:hAnsiTheme="majorHAnsi" w:cstheme="majorHAnsi"/>
          <w:sz w:val="24"/>
          <w:szCs w:val="24"/>
          <w:lang w:val="ro-RO"/>
        </w:rPr>
        <w:t>47</w:t>
      </w:r>
      <w:r w:rsidR="00ED3752">
        <w:rPr>
          <w:rFonts w:asciiTheme="majorHAnsi" w:hAnsiTheme="majorHAnsi" w:cstheme="majorHAnsi"/>
          <w:sz w:val="24"/>
          <w:szCs w:val="24"/>
          <w:lang w:val="ro-RO"/>
        </w:rPr>
        <w:t xml:space="preserve"> </w:t>
      </w:r>
      <w:r w:rsidR="006212F1" w:rsidRPr="003B6E18">
        <w:rPr>
          <w:rFonts w:asciiTheme="majorHAnsi" w:hAnsiTheme="majorHAnsi" w:cstheme="majorHAnsi"/>
          <w:sz w:val="24"/>
          <w:szCs w:val="24"/>
          <w:lang w:val="ro-RO"/>
        </w:rPr>
        <w:t>710,43</w:t>
      </w:r>
      <w:r w:rsidR="00A74435" w:rsidRPr="003B6E18">
        <w:rPr>
          <w:rFonts w:asciiTheme="majorHAnsi" w:hAnsiTheme="majorHAnsi" w:cstheme="majorHAnsi"/>
          <w:sz w:val="24"/>
          <w:szCs w:val="24"/>
          <w:lang w:val="ro-RO"/>
        </w:rPr>
        <w:t xml:space="preserve"> </w:t>
      </w:r>
      <w:r w:rsidR="00BA19BF" w:rsidRPr="003B6E18">
        <w:rPr>
          <w:rFonts w:asciiTheme="majorHAnsi" w:hAnsiTheme="majorHAnsi" w:cstheme="majorHAnsi"/>
          <w:sz w:val="24"/>
          <w:szCs w:val="24"/>
          <w:lang w:val="ro-RO"/>
        </w:rPr>
        <w:t xml:space="preserve"> mii lei</w:t>
      </w:r>
      <w:r w:rsidR="00863272" w:rsidRPr="003B6E18">
        <w:rPr>
          <w:rFonts w:asciiTheme="majorHAnsi" w:hAnsiTheme="majorHAnsi" w:cstheme="majorHAnsi"/>
          <w:sz w:val="24"/>
          <w:szCs w:val="24"/>
          <w:lang w:val="ro-RO"/>
        </w:rPr>
        <w:t xml:space="preserve"> </w:t>
      </w:r>
      <w:r w:rsidR="00BA19BF" w:rsidRPr="003B6E18">
        <w:rPr>
          <w:rFonts w:asciiTheme="majorHAnsi" w:hAnsiTheme="majorHAnsi" w:cstheme="majorHAnsi"/>
          <w:sz w:val="24"/>
          <w:szCs w:val="24"/>
          <w:lang w:val="ro-RO"/>
        </w:rPr>
        <w:t>(c</w:t>
      </w:r>
      <w:r w:rsidR="00790A18">
        <w:rPr>
          <w:rFonts w:asciiTheme="majorHAnsi" w:hAnsiTheme="majorHAnsi" w:cstheme="majorHAnsi"/>
          <w:sz w:val="24"/>
          <w:szCs w:val="24"/>
          <w:lang w:val="ro-RO"/>
        </w:rPr>
        <w:t>ir</w:t>
      </w:r>
      <w:r w:rsidR="00BA19BF" w:rsidRPr="003B6E18">
        <w:rPr>
          <w:rFonts w:asciiTheme="majorHAnsi" w:hAnsiTheme="majorHAnsi" w:cstheme="majorHAnsi"/>
          <w:sz w:val="24"/>
          <w:szCs w:val="24"/>
          <w:lang w:val="ro-RO"/>
        </w:rPr>
        <w:t xml:space="preserve">ca </w:t>
      </w:r>
      <w:r w:rsidR="00C825ED" w:rsidRPr="003B6E18">
        <w:rPr>
          <w:rFonts w:asciiTheme="majorHAnsi" w:hAnsiTheme="majorHAnsi" w:cstheme="majorHAnsi"/>
          <w:sz w:val="24"/>
          <w:szCs w:val="24"/>
          <w:lang w:val="ro-RO"/>
        </w:rPr>
        <w:t>4</w:t>
      </w:r>
      <w:r w:rsidR="00507425" w:rsidRPr="003B6E18">
        <w:rPr>
          <w:rFonts w:asciiTheme="majorHAnsi" w:hAnsiTheme="majorHAnsi" w:cstheme="majorHAnsi"/>
          <w:sz w:val="24"/>
          <w:szCs w:val="24"/>
          <w:lang w:val="ro-RO"/>
        </w:rPr>
        <w:t>8</w:t>
      </w:r>
      <w:r w:rsidR="00C825ED" w:rsidRPr="003B6E18">
        <w:rPr>
          <w:rFonts w:asciiTheme="majorHAnsi" w:hAnsiTheme="majorHAnsi" w:cstheme="majorHAnsi"/>
          <w:sz w:val="24"/>
          <w:szCs w:val="24"/>
          <w:lang w:val="ro-RO"/>
        </w:rPr>
        <w:t xml:space="preserve">% </w:t>
      </w:r>
      <w:r w:rsidR="00BA19BF" w:rsidRPr="003B6E18">
        <w:rPr>
          <w:rFonts w:asciiTheme="majorHAnsi" w:hAnsiTheme="majorHAnsi" w:cstheme="majorHAnsi"/>
          <w:sz w:val="24"/>
          <w:szCs w:val="24"/>
          <w:lang w:val="ro-RO"/>
        </w:rPr>
        <w:t xml:space="preserve"> din totalul imobilizărilor corporale)</w:t>
      </w:r>
      <w:r w:rsidR="00790A18">
        <w:rPr>
          <w:rFonts w:asciiTheme="majorHAnsi" w:hAnsiTheme="majorHAnsi" w:cstheme="majorHAnsi"/>
          <w:sz w:val="24"/>
          <w:szCs w:val="24"/>
          <w:lang w:val="ro-RO"/>
        </w:rPr>
        <w:t>,</w:t>
      </w:r>
      <w:r w:rsidR="00BA19BF" w:rsidRPr="003B6E18">
        <w:rPr>
          <w:rFonts w:asciiTheme="majorHAnsi" w:hAnsiTheme="majorHAnsi" w:cstheme="majorHAnsi"/>
          <w:sz w:val="24"/>
          <w:szCs w:val="24"/>
          <w:lang w:val="ro-RO"/>
        </w:rPr>
        <w:t xml:space="preserve"> amortizate integral</w:t>
      </w:r>
      <w:r w:rsidR="00313D5B" w:rsidRPr="003B6E18">
        <w:rPr>
          <w:rFonts w:asciiTheme="majorHAnsi" w:hAnsiTheme="majorHAnsi" w:cstheme="majorHAnsi"/>
          <w:sz w:val="24"/>
          <w:szCs w:val="24"/>
          <w:lang w:val="ro-RO"/>
        </w:rPr>
        <w:t>, dar utilizate în activitatea operațională a instituțiilor</w:t>
      </w:r>
      <w:r w:rsidR="00914DD7" w:rsidRPr="003B6E18">
        <w:rPr>
          <w:rFonts w:asciiTheme="majorHAnsi" w:hAnsiTheme="majorHAnsi" w:cstheme="majorHAnsi"/>
          <w:sz w:val="24"/>
          <w:szCs w:val="24"/>
          <w:lang w:val="ro-RO"/>
        </w:rPr>
        <w:t>,</w:t>
      </w:r>
      <w:r w:rsidR="00D278EA" w:rsidRPr="003B6E18">
        <w:rPr>
          <w:rFonts w:asciiTheme="majorHAnsi" w:hAnsiTheme="majorHAnsi" w:cstheme="majorHAnsi"/>
          <w:sz w:val="24"/>
          <w:szCs w:val="24"/>
          <w:lang w:val="ro-RO"/>
        </w:rPr>
        <w:t xml:space="preserve"> acestea nefiind reevaluate conform prevederilor aferente</w:t>
      </w:r>
      <w:r w:rsidR="00D278EA" w:rsidRPr="003B6E18">
        <w:rPr>
          <w:rStyle w:val="FootnoteReference"/>
          <w:rFonts w:asciiTheme="majorHAnsi" w:hAnsiTheme="majorHAnsi" w:cstheme="majorHAnsi"/>
          <w:sz w:val="24"/>
          <w:szCs w:val="24"/>
          <w:lang w:val="ro-RO"/>
        </w:rPr>
        <w:footnoteReference w:id="25"/>
      </w:r>
      <w:r w:rsidR="00BA19BF" w:rsidRPr="003B6E18">
        <w:rPr>
          <w:rFonts w:asciiTheme="majorHAnsi" w:hAnsiTheme="majorHAnsi" w:cstheme="majorHAnsi"/>
          <w:sz w:val="24"/>
          <w:szCs w:val="24"/>
          <w:lang w:val="ro-RO"/>
        </w:rPr>
        <w:t>.</w:t>
      </w:r>
      <w:r w:rsidR="004A3E14">
        <w:rPr>
          <w:rFonts w:asciiTheme="majorHAnsi" w:hAnsiTheme="majorHAnsi" w:cstheme="majorHAnsi"/>
          <w:sz w:val="24"/>
          <w:szCs w:val="24"/>
          <w:lang w:val="ro-RO"/>
        </w:rPr>
        <w:t xml:space="preserve"> </w:t>
      </w:r>
    </w:p>
    <w:p w14:paraId="3AD2090D" w14:textId="77777777" w:rsidR="00ED3752" w:rsidRDefault="00ED3752" w:rsidP="00C276D5">
      <w:pPr>
        <w:pStyle w:val="FootnoteText"/>
        <w:ind w:firstLine="567"/>
        <w:jc w:val="right"/>
        <w:rPr>
          <w:rFonts w:asciiTheme="majorHAnsi" w:hAnsiTheme="majorHAnsi" w:cstheme="majorHAnsi"/>
          <w:b/>
          <w:i/>
          <w:color w:val="333333"/>
          <w:sz w:val="24"/>
          <w:szCs w:val="24"/>
          <w:vertAlign w:val="baseline"/>
          <w:lang w:val="ro-MD"/>
        </w:rPr>
      </w:pPr>
    </w:p>
    <w:p w14:paraId="542EF0C4" w14:textId="690EEB76" w:rsidR="00456EF2" w:rsidRDefault="00456EF2" w:rsidP="00C276D5">
      <w:pPr>
        <w:pStyle w:val="FootnoteText"/>
        <w:ind w:firstLine="567"/>
        <w:jc w:val="right"/>
        <w:rPr>
          <w:rFonts w:asciiTheme="majorHAnsi" w:hAnsiTheme="majorHAnsi" w:cstheme="majorHAnsi"/>
          <w:b/>
          <w:i/>
          <w:color w:val="333333"/>
          <w:sz w:val="24"/>
          <w:szCs w:val="24"/>
          <w:vertAlign w:val="baseline"/>
          <w:lang w:val="ro-MD"/>
        </w:rPr>
      </w:pPr>
      <w:r w:rsidRPr="00C276D5">
        <w:rPr>
          <w:rFonts w:asciiTheme="majorHAnsi" w:hAnsiTheme="majorHAnsi" w:cstheme="majorHAnsi"/>
          <w:b/>
          <w:i/>
          <w:color w:val="333333"/>
          <w:sz w:val="24"/>
          <w:szCs w:val="24"/>
          <w:vertAlign w:val="baseline"/>
          <w:lang w:val="ro-MD"/>
        </w:rPr>
        <w:t xml:space="preserve">Tabelul </w:t>
      </w:r>
      <w:r w:rsidR="00CA446B">
        <w:rPr>
          <w:rFonts w:asciiTheme="majorHAnsi" w:hAnsiTheme="majorHAnsi" w:cstheme="majorHAnsi"/>
          <w:b/>
          <w:i/>
          <w:color w:val="333333"/>
          <w:sz w:val="24"/>
          <w:szCs w:val="24"/>
          <w:vertAlign w:val="baseline"/>
          <w:lang w:val="ro-MD"/>
        </w:rPr>
        <w:t xml:space="preserve">nr. </w:t>
      </w:r>
      <w:r w:rsidRPr="00C276D5">
        <w:rPr>
          <w:rFonts w:asciiTheme="majorHAnsi" w:hAnsiTheme="majorHAnsi" w:cstheme="majorHAnsi"/>
          <w:b/>
          <w:i/>
          <w:color w:val="333333"/>
          <w:sz w:val="24"/>
          <w:szCs w:val="24"/>
          <w:vertAlign w:val="baseline"/>
          <w:lang w:val="ro-MD"/>
        </w:rPr>
        <w:t>4.1.</w:t>
      </w:r>
      <w:r w:rsidR="00C04E58" w:rsidRPr="006243C6">
        <w:rPr>
          <w:rFonts w:asciiTheme="majorHAnsi" w:hAnsiTheme="majorHAnsi" w:cstheme="majorHAnsi"/>
          <w:b/>
          <w:i/>
          <w:color w:val="333333"/>
          <w:sz w:val="24"/>
          <w:szCs w:val="24"/>
          <w:vertAlign w:val="baseline"/>
          <w:lang w:val="ro-MD"/>
        </w:rPr>
        <w:t>2.</w:t>
      </w:r>
      <w:r w:rsidR="00543E99" w:rsidRPr="006243C6">
        <w:rPr>
          <w:rFonts w:asciiTheme="majorHAnsi" w:hAnsiTheme="majorHAnsi" w:cstheme="majorHAnsi"/>
          <w:b/>
          <w:i/>
          <w:color w:val="333333"/>
          <w:sz w:val="24"/>
          <w:szCs w:val="24"/>
          <w:vertAlign w:val="baseline"/>
          <w:lang w:val="ro-MD"/>
        </w:rPr>
        <w:t>1</w:t>
      </w:r>
      <w:r w:rsidR="00184FC1" w:rsidRPr="006243C6">
        <w:rPr>
          <w:rFonts w:asciiTheme="majorHAnsi" w:hAnsiTheme="majorHAnsi" w:cstheme="majorHAnsi"/>
          <w:b/>
          <w:i/>
          <w:color w:val="333333"/>
          <w:sz w:val="24"/>
          <w:szCs w:val="24"/>
          <w:vertAlign w:val="baseline"/>
          <w:lang w:val="ro-MD"/>
        </w:rPr>
        <w:t>.</w:t>
      </w:r>
    </w:p>
    <w:p w14:paraId="30FA6E95" w14:textId="6012FF25" w:rsidR="00BF4F53" w:rsidRPr="00456EF2" w:rsidRDefault="00BF4F53" w:rsidP="00BF4F53">
      <w:pPr>
        <w:spacing w:after="0" w:line="240" w:lineRule="auto"/>
        <w:jc w:val="center"/>
        <w:rPr>
          <w:rFonts w:asciiTheme="majorHAnsi" w:eastAsia="Times New Roman" w:hAnsiTheme="majorHAnsi" w:cstheme="majorHAnsi"/>
          <w:b/>
          <w:bCs/>
          <w:color w:val="000000"/>
          <w:sz w:val="24"/>
          <w:szCs w:val="24"/>
        </w:rPr>
      </w:pPr>
      <w:r w:rsidRPr="00456EF2">
        <w:rPr>
          <w:rFonts w:asciiTheme="majorHAnsi" w:eastAsia="Times New Roman" w:hAnsiTheme="majorHAnsi" w:cstheme="majorHAnsi"/>
          <w:b/>
          <w:bCs/>
          <w:color w:val="000000"/>
          <w:sz w:val="24"/>
          <w:szCs w:val="24"/>
          <w:lang w:val="ro-MD"/>
        </w:rPr>
        <w:t>I</w:t>
      </w:r>
      <w:r w:rsidRPr="00456EF2">
        <w:rPr>
          <w:rFonts w:asciiTheme="majorHAnsi" w:eastAsia="Times New Roman" w:hAnsiTheme="majorHAnsi" w:cstheme="majorHAnsi"/>
          <w:b/>
          <w:bCs/>
          <w:color w:val="000000"/>
          <w:sz w:val="24"/>
          <w:szCs w:val="24"/>
        </w:rPr>
        <w:t>mobilizările amortizate integral în cadrul instituțiilor publice din domeniul infrastructurii calității</w:t>
      </w:r>
      <w:r>
        <w:rPr>
          <w:rFonts w:asciiTheme="majorHAnsi" w:eastAsia="Times New Roman" w:hAnsiTheme="majorHAnsi" w:cstheme="majorHAnsi"/>
          <w:b/>
          <w:bCs/>
          <w:color w:val="000000"/>
          <w:sz w:val="24"/>
          <w:szCs w:val="24"/>
        </w:rPr>
        <w:t xml:space="preserve"> </w:t>
      </w:r>
      <w:r>
        <w:rPr>
          <w:rFonts w:asciiTheme="majorHAnsi" w:hAnsiTheme="majorHAnsi" w:cstheme="majorHAnsi"/>
          <w:b/>
          <w:sz w:val="24"/>
          <w:szCs w:val="24"/>
          <w:lang w:val="ro-MD"/>
        </w:rPr>
        <w:t>(ISM</w:t>
      </w:r>
      <w:r w:rsidR="00184FC1">
        <w:rPr>
          <w:rFonts w:asciiTheme="majorHAnsi" w:hAnsiTheme="majorHAnsi" w:cstheme="majorHAnsi"/>
          <w:b/>
          <w:sz w:val="24"/>
          <w:szCs w:val="24"/>
          <w:lang w:val="ro-MD"/>
        </w:rPr>
        <w:t>,</w:t>
      </w:r>
      <w:r>
        <w:rPr>
          <w:rFonts w:asciiTheme="majorHAnsi" w:hAnsiTheme="majorHAnsi" w:cstheme="majorHAnsi"/>
          <w:b/>
          <w:sz w:val="24"/>
          <w:szCs w:val="24"/>
          <w:lang w:val="ro-MD"/>
        </w:rPr>
        <w:t xml:space="preserve"> INM</w:t>
      </w:r>
      <w:r w:rsidR="00184FC1">
        <w:rPr>
          <w:rFonts w:asciiTheme="majorHAnsi" w:hAnsiTheme="majorHAnsi" w:cstheme="majorHAnsi"/>
          <w:b/>
          <w:sz w:val="24"/>
          <w:szCs w:val="24"/>
          <w:lang w:val="ro-MD"/>
        </w:rPr>
        <w:t>,</w:t>
      </w:r>
      <w:r>
        <w:rPr>
          <w:rFonts w:asciiTheme="majorHAnsi" w:hAnsiTheme="majorHAnsi" w:cstheme="majorHAnsi"/>
          <w:b/>
          <w:sz w:val="24"/>
          <w:szCs w:val="24"/>
          <w:lang w:val="ro-MD"/>
        </w:rPr>
        <w:t xml:space="preserve"> MOLDAC) </w:t>
      </w:r>
      <w:r>
        <w:rPr>
          <w:rFonts w:asciiTheme="majorHAnsi" w:eastAsia="Times New Roman" w:hAnsiTheme="majorHAnsi" w:cstheme="majorHAnsi"/>
          <w:b/>
          <w:bCs/>
          <w:color w:val="000000"/>
          <w:sz w:val="24"/>
          <w:szCs w:val="24"/>
        </w:rPr>
        <w:t xml:space="preserve"> </w:t>
      </w:r>
      <w:r>
        <w:rPr>
          <w:rFonts w:ascii="Calibri Light" w:eastAsia="Times New Roman" w:hAnsi="Calibri Light" w:cs="Calibri Light"/>
          <w:b/>
          <w:bCs/>
          <w:color w:val="000000"/>
          <w:sz w:val="24"/>
          <w:szCs w:val="24"/>
        </w:rPr>
        <w:t xml:space="preserve">la situația </w:t>
      </w:r>
      <w:r w:rsidR="00790A18">
        <w:rPr>
          <w:rFonts w:ascii="Calibri Light" w:eastAsia="Times New Roman" w:hAnsi="Calibri Light" w:cs="Calibri Light"/>
          <w:b/>
          <w:bCs/>
          <w:color w:val="000000"/>
          <w:sz w:val="24"/>
          <w:szCs w:val="24"/>
        </w:rPr>
        <w:t xml:space="preserve">din </w:t>
      </w:r>
      <w:r>
        <w:rPr>
          <w:rFonts w:ascii="Calibri Light" w:eastAsia="Times New Roman" w:hAnsi="Calibri Light" w:cs="Calibri Light"/>
          <w:b/>
          <w:bCs/>
          <w:color w:val="000000"/>
          <w:sz w:val="24"/>
          <w:szCs w:val="24"/>
        </w:rPr>
        <w:t>31.12.2021</w:t>
      </w:r>
    </w:p>
    <w:p w14:paraId="74CB9085" w14:textId="4497A38E" w:rsidR="00BF4F53" w:rsidRPr="00255E9C" w:rsidRDefault="00BF4F53" w:rsidP="00BF4F53">
      <w:pPr>
        <w:pStyle w:val="FootnoteText"/>
        <w:ind w:firstLine="567"/>
        <w:jc w:val="right"/>
        <w:rPr>
          <w:rFonts w:asciiTheme="majorHAnsi" w:eastAsia="Times New Roman" w:hAnsiTheme="majorHAnsi" w:cstheme="majorHAnsi"/>
          <w:bCs/>
          <w:color w:val="000000"/>
          <w:sz w:val="24"/>
          <w:szCs w:val="24"/>
        </w:rPr>
      </w:pPr>
      <w:r w:rsidRPr="00255E9C">
        <w:rPr>
          <w:rFonts w:asciiTheme="majorHAnsi" w:eastAsia="Times New Roman" w:hAnsiTheme="majorHAnsi" w:cstheme="majorHAnsi"/>
          <w:bCs/>
          <w:color w:val="000000"/>
          <w:sz w:val="24"/>
          <w:szCs w:val="24"/>
        </w:rPr>
        <w:t>(mii lei)</w:t>
      </w:r>
    </w:p>
    <w:tbl>
      <w:tblPr>
        <w:tblStyle w:val="PlainTable2"/>
        <w:tblW w:w="9341" w:type="dxa"/>
        <w:tblLook w:val="04A0" w:firstRow="1" w:lastRow="0" w:firstColumn="1" w:lastColumn="0" w:noHBand="0" w:noVBand="1"/>
      </w:tblPr>
      <w:tblGrid>
        <w:gridCol w:w="2081"/>
        <w:gridCol w:w="1048"/>
        <w:gridCol w:w="1281"/>
        <w:gridCol w:w="1281"/>
        <w:gridCol w:w="1251"/>
        <w:gridCol w:w="1150"/>
        <w:gridCol w:w="1249"/>
      </w:tblGrid>
      <w:tr w:rsidR="00BF4F53" w:rsidRPr="00BF4F53" w14:paraId="410B1606" w14:textId="77777777" w:rsidTr="00217DF9">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081" w:type="dxa"/>
            <w:vMerge w:val="restart"/>
            <w:tcBorders>
              <w:bottom w:val="none" w:sz="0" w:space="0" w:color="auto"/>
            </w:tcBorders>
            <w:hideMark/>
          </w:tcPr>
          <w:p w14:paraId="2C9E37D7" w14:textId="24A0D428" w:rsidR="00BF4F53" w:rsidRPr="00BF4F53" w:rsidRDefault="00BF4F53" w:rsidP="00BF4F53">
            <w:pPr>
              <w:jc w:val="center"/>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Cont</w:t>
            </w:r>
            <w:r w:rsidR="00790A18">
              <w:rPr>
                <w:rFonts w:ascii="Calibri Light" w:eastAsia="Times New Roman" w:hAnsi="Calibri Light" w:cs="Calibri Light"/>
                <w:color w:val="000000"/>
                <w:sz w:val="20"/>
                <w:szCs w:val="20"/>
              </w:rPr>
              <w:t>ul</w:t>
            </w:r>
            <w:r w:rsidRPr="00BF4F53">
              <w:rPr>
                <w:rFonts w:ascii="Calibri Light" w:eastAsia="Times New Roman" w:hAnsi="Calibri Light" w:cs="Calibri Light"/>
                <w:color w:val="000000"/>
                <w:sz w:val="20"/>
                <w:szCs w:val="20"/>
              </w:rPr>
              <w:t xml:space="preserve"> de  evidenţă  a imobilizărilor necorporale și corporale</w:t>
            </w:r>
          </w:p>
        </w:tc>
        <w:tc>
          <w:tcPr>
            <w:tcW w:w="2329" w:type="dxa"/>
            <w:gridSpan w:val="2"/>
            <w:tcBorders>
              <w:bottom w:val="none" w:sz="0" w:space="0" w:color="auto"/>
            </w:tcBorders>
            <w:hideMark/>
          </w:tcPr>
          <w:p w14:paraId="4CD104B4" w14:textId="77777777" w:rsidR="00BF4F53" w:rsidRPr="00BF4F53" w:rsidRDefault="00BF4F53" w:rsidP="00BF4F53">
            <w:pPr>
              <w:tabs>
                <w:tab w:val="left" w:pos="2098"/>
              </w:tabs>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Valoarea totală a imobilizărilor la 31.12.2021</w:t>
            </w:r>
          </w:p>
        </w:tc>
        <w:tc>
          <w:tcPr>
            <w:tcW w:w="2532" w:type="dxa"/>
            <w:gridSpan w:val="2"/>
            <w:tcBorders>
              <w:bottom w:val="none" w:sz="0" w:space="0" w:color="auto"/>
            </w:tcBorders>
            <w:hideMark/>
          </w:tcPr>
          <w:p w14:paraId="09AE3FD1" w14:textId="77777777" w:rsidR="00BF4F53" w:rsidRPr="00BF4F53" w:rsidRDefault="00BF4F53" w:rsidP="00BF4F5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Valoarea imobilizărilor amortizate integral la 31.12.2021</w:t>
            </w:r>
          </w:p>
        </w:tc>
        <w:tc>
          <w:tcPr>
            <w:tcW w:w="2399" w:type="dxa"/>
            <w:gridSpan w:val="2"/>
            <w:tcBorders>
              <w:bottom w:val="none" w:sz="0" w:space="0" w:color="auto"/>
            </w:tcBorders>
            <w:hideMark/>
          </w:tcPr>
          <w:p w14:paraId="7CD2E0E8" w14:textId="77777777" w:rsidR="00BF4F53" w:rsidRPr="00BF4F53" w:rsidRDefault="00BF4F53" w:rsidP="00BF4F5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Bunurile care se utilizează în activitate</w:t>
            </w:r>
          </w:p>
        </w:tc>
      </w:tr>
      <w:tr w:rsidR="00BF4F53" w:rsidRPr="00BF4F53" w14:paraId="28077147"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vMerge/>
            <w:tcBorders>
              <w:top w:val="none" w:sz="0" w:space="0" w:color="auto"/>
              <w:bottom w:val="none" w:sz="0" w:space="0" w:color="auto"/>
            </w:tcBorders>
            <w:hideMark/>
          </w:tcPr>
          <w:p w14:paraId="6158B3D4" w14:textId="77777777" w:rsidR="00BF4F53" w:rsidRPr="00BF4F53" w:rsidRDefault="00BF4F53" w:rsidP="00BF4F53">
            <w:pPr>
              <w:rPr>
                <w:rFonts w:ascii="Calibri Light" w:eastAsia="Times New Roman" w:hAnsi="Calibri Light" w:cs="Calibri Light"/>
                <w:b w:val="0"/>
                <w:bCs w:val="0"/>
                <w:color w:val="000000"/>
                <w:sz w:val="20"/>
                <w:szCs w:val="20"/>
              </w:rPr>
            </w:pPr>
          </w:p>
        </w:tc>
        <w:tc>
          <w:tcPr>
            <w:tcW w:w="1048" w:type="dxa"/>
            <w:tcBorders>
              <w:top w:val="none" w:sz="0" w:space="0" w:color="auto"/>
              <w:bottom w:val="none" w:sz="0" w:space="0" w:color="auto"/>
            </w:tcBorders>
            <w:hideMark/>
          </w:tcPr>
          <w:p w14:paraId="22F7A914"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Unit.</w:t>
            </w:r>
          </w:p>
        </w:tc>
        <w:tc>
          <w:tcPr>
            <w:tcW w:w="1281" w:type="dxa"/>
            <w:tcBorders>
              <w:top w:val="none" w:sz="0" w:space="0" w:color="auto"/>
              <w:bottom w:val="none" w:sz="0" w:space="0" w:color="auto"/>
            </w:tcBorders>
            <w:noWrap/>
            <w:hideMark/>
          </w:tcPr>
          <w:p w14:paraId="121E2EAC"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c>
          <w:tcPr>
            <w:tcW w:w="1281" w:type="dxa"/>
            <w:tcBorders>
              <w:top w:val="none" w:sz="0" w:space="0" w:color="auto"/>
              <w:bottom w:val="none" w:sz="0" w:space="0" w:color="auto"/>
            </w:tcBorders>
            <w:hideMark/>
          </w:tcPr>
          <w:p w14:paraId="2AF13E20"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Unit.</w:t>
            </w:r>
          </w:p>
        </w:tc>
        <w:tc>
          <w:tcPr>
            <w:tcW w:w="1251" w:type="dxa"/>
            <w:tcBorders>
              <w:top w:val="none" w:sz="0" w:space="0" w:color="auto"/>
              <w:bottom w:val="none" w:sz="0" w:space="0" w:color="auto"/>
            </w:tcBorders>
            <w:noWrap/>
            <w:hideMark/>
          </w:tcPr>
          <w:p w14:paraId="03E9099A"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c>
          <w:tcPr>
            <w:tcW w:w="1150" w:type="dxa"/>
            <w:tcBorders>
              <w:top w:val="none" w:sz="0" w:space="0" w:color="auto"/>
              <w:bottom w:val="none" w:sz="0" w:space="0" w:color="auto"/>
            </w:tcBorders>
            <w:hideMark/>
          </w:tcPr>
          <w:p w14:paraId="1E22005C" w14:textId="53D31DC9" w:rsidR="00BF4F53" w:rsidRPr="00BF4F53" w:rsidRDefault="00790A18"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U</w:t>
            </w:r>
            <w:r w:rsidR="00BF4F53" w:rsidRPr="00BF4F53">
              <w:rPr>
                <w:rFonts w:ascii="Calibri Light" w:eastAsia="Times New Roman" w:hAnsi="Calibri Light" w:cs="Calibri Light"/>
                <w:b/>
                <w:bCs/>
                <w:color w:val="000000"/>
                <w:sz w:val="20"/>
                <w:szCs w:val="20"/>
              </w:rPr>
              <w:t>nit.</w:t>
            </w:r>
          </w:p>
        </w:tc>
        <w:tc>
          <w:tcPr>
            <w:tcW w:w="1249" w:type="dxa"/>
            <w:tcBorders>
              <w:top w:val="none" w:sz="0" w:space="0" w:color="auto"/>
              <w:bottom w:val="none" w:sz="0" w:space="0" w:color="auto"/>
            </w:tcBorders>
            <w:noWrap/>
            <w:hideMark/>
          </w:tcPr>
          <w:p w14:paraId="197491BB"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r>
      <w:tr w:rsidR="00BF4F53" w:rsidRPr="00BF4F53" w14:paraId="7739ED24"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14:paraId="40916910"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112.1</w:t>
            </w:r>
          </w:p>
        </w:tc>
        <w:tc>
          <w:tcPr>
            <w:tcW w:w="1048" w:type="dxa"/>
            <w:noWrap/>
            <w:hideMark/>
          </w:tcPr>
          <w:p w14:paraId="25787477"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w:t>
            </w:r>
          </w:p>
        </w:tc>
        <w:tc>
          <w:tcPr>
            <w:tcW w:w="1281" w:type="dxa"/>
            <w:noWrap/>
            <w:hideMark/>
          </w:tcPr>
          <w:p w14:paraId="1918B10E"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150,02</w:t>
            </w:r>
          </w:p>
        </w:tc>
        <w:tc>
          <w:tcPr>
            <w:tcW w:w="1281" w:type="dxa"/>
            <w:noWrap/>
            <w:hideMark/>
          </w:tcPr>
          <w:p w14:paraId="634D25EC"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51" w:type="dxa"/>
            <w:noWrap/>
            <w:hideMark/>
          </w:tcPr>
          <w:p w14:paraId="21B4C5A6"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150" w:type="dxa"/>
            <w:noWrap/>
            <w:hideMark/>
          </w:tcPr>
          <w:p w14:paraId="2F0F2EE6"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49" w:type="dxa"/>
            <w:noWrap/>
            <w:hideMark/>
          </w:tcPr>
          <w:p w14:paraId="7486ECDE"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r>
      <w:tr w:rsidR="00BF4F53" w:rsidRPr="00BF4F53" w14:paraId="3E1CE549"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044B7EE2"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112.2</w:t>
            </w:r>
          </w:p>
        </w:tc>
        <w:tc>
          <w:tcPr>
            <w:tcW w:w="1048" w:type="dxa"/>
            <w:tcBorders>
              <w:top w:val="none" w:sz="0" w:space="0" w:color="auto"/>
              <w:bottom w:val="none" w:sz="0" w:space="0" w:color="auto"/>
            </w:tcBorders>
            <w:noWrap/>
            <w:hideMark/>
          </w:tcPr>
          <w:p w14:paraId="5F4F60DE"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w:t>
            </w:r>
          </w:p>
        </w:tc>
        <w:tc>
          <w:tcPr>
            <w:tcW w:w="1281" w:type="dxa"/>
            <w:tcBorders>
              <w:top w:val="none" w:sz="0" w:space="0" w:color="auto"/>
              <w:bottom w:val="none" w:sz="0" w:space="0" w:color="auto"/>
            </w:tcBorders>
            <w:noWrap/>
            <w:hideMark/>
          </w:tcPr>
          <w:p w14:paraId="03440A68"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367,5</w:t>
            </w:r>
          </w:p>
        </w:tc>
        <w:tc>
          <w:tcPr>
            <w:tcW w:w="1281" w:type="dxa"/>
            <w:tcBorders>
              <w:top w:val="none" w:sz="0" w:space="0" w:color="auto"/>
              <w:bottom w:val="none" w:sz="0" w:space="0" w:color="auto"/>
            </w:tcBorders>
            <w:noWrap/>
            <w:hideMark/>
          </w:tcPr>
          <w:p w14:paraId="644FDE84"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51" w:type="dxa"/>
            <w:tcBorders>
              <w:top w:val="none" w:sz="0" w:space="0" w:color="auto"/>
              <w:bottom w:val="none" w:sz="0" w:space="0" w:color="auto"/>
            </w:tcBorders>
            <w:noWrap/>
            <w:hideMark/>
          </w:tcPr>
          <w:p w14:paraId="67186AA2"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150" w:type="dxa"/>
            <w:tcBorders>
              <w:top w:val="none" w:sz="0" w:space="0" w:color="auto"/>
              <w:bottom w:val="none" w:sz="0" w:space="0" w:color="auto"/>
            </w:tcBorders>
            <w:noWrap/>
            <w:hideMark/>
          </w:tcPr>
          <w:p w14:paraId="2EBFC34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49" w:type="dxa"/>
            <w:tcBorders>
              <w:top w:val="none" w:sz="0" w:space="0" w:color="auto"/>
              <w:bottom w:val="none" w:sz="0" w:space="0" w:color="auto"/>
            </w:tcBorders>
            <w:noWrap/>
            <w:hideMark/>
          </w:tcPr>
          <w:p w14:paraId="0DB399B8"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r>
      <w:tr w:rsidR="00BF4F53" w:rsidRPr="00BF4F53" w14:paraId="47C2B33B"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14:paraId="7594F942"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112.3</w:t>
            </w:r>
          </w:p>
        </w:tc>
        <w:tc>
          <w:tcPr>
            <w:tcW w:w="1048" w:type="dxa"/>
            <w:noWrap/>
            <w:hideMark/>
          </w:tcPr>
          <w:p w14:paraId="6F2B4DB6"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9</w:t>
            </w:r>
          </w:p>
        </w:tc>
        <w:tc>
          <w:tcPr>
            <w:tcW w:w="1281" w:type="dxa"/>
            <w:noWrap/>
            <w:hideMark/>
          </w:tcPr>
          <w:p w14:paraId="6B513F51"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2.786,94</w:t>
            </w:r>
          </w:p>
        </w:tc>
        <w:tc>
          <w:tcPr>
            <w:tcW w:w="1281" w:type="dxa"/>
            <w:noWrap/>
            <w:hideMark/>
          </w:tcPr>
          <w:p w14:paraId="26F6FE8A"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w:t>
            </w:r>
          </w:p>
        </w:tc>
        <w:tc>
          <w:tcPr>
            <w:tcW w:w="1251" w:type="dxa"/>
            <w:noWrap/>
            <w:hideMark/>
          </w:tcPr>
          <w:p w14:paraId="6C8FAE33"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2.210,93</w:t>
            </w:r>
          </w:p>
        </w:tc>
        <w:tc>
          <w:tcPr>
            <w:tcW w:w="1150" w:type="dxa"/>
            <w:noWrap/>
            <w:hideMark/>
          </w:tcPr>
          <w:p w14:paraId="5F1AD1F6"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w:t>
            </w:r>
          </w:p>
        </w:tc>
        <w:tc>
          <w:tcPr>
            <w:tcW w:w="1249" w:type="dxa"/>
            <w:noWrap/>
            <w:hideMark/>
          </w:tcPr>
          <w:p w14:paraId="22F5B8E3"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2.210,93</w:t>
            </w:r>
          </w:p>
        </w:tc>
      </w:tr>
      <w:tr w:rsidR="00BF4F53" w:rsidRPr="00BF4F53" w14:paraId="458E6DC5"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1362C550"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112.4</w:t>
            </w:r>
          </w:p>
        </w:tc>
        <w:tc>
          <w:tcPr>
            <w:tcW w:w="1048" w:type="dxa"/>
            <w:tcBorders>
              <w:top w:val="none" w:sz="0" w:space="0" w:color="auto"/>
              <w:bottom w:val="none" w:sz="0" w:space="0" w:color="auto"/>
            </w:tcBorders>
            <w:noWrap/>
            <w:hideMark/>
          </w:tcPr>
          <w:p w14:paraId="4F38509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48</w:t>
            </w:r>
          </w:p>
        </w:tc>
        <w:tc>
          <w:tcPr>
            <w:tcW w:w="1281" w:type="dxa"/>
            <w:tcBorders>
              <w:top w:val="none" w:sz="0" w:space="0" w:color="auto"/>
              <w:bottom w:val="none" w:sz="0" w:space="0" w:color="auto"/>
            </w:tcBorders>
            <w:noWrap/>
            <w:hideMark/>
          </w:tcPr>
          <w:p w14:paraId="3E78E2D0"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4.731,72</w:t>
            </w:r>
          </w:p>
        </w:tc>
        <w:tc>
          <w:tcPr>
            <w:tcW w:w="1281" w:type="dxa"/>
            <w:tcBorders>
              <w:top w:val="none" w:sz="0" w:space="0" w:color="auto"/>
              <w:bottom w:val="none" w:sz="0" w:space="0" w:color="auto"/>
            </w:tcBorders>
            <w:noWrap/>
            <w:hideMark/>
          </w:tcPr>
          <w:p w14:paraId="3EA20840"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36</w:t>
            </w:r>
          </w:p>
        </w:tc>
        <w:tc>
          <w:tcPr>
            <w:tcW w:w="1251" w:type="dxa"/>
            <w:tcBorders>
              <w:top w:val="none" w:sz="0" w:space="0" w:color="auto"/>
              <w:bottom w:val="none" w:sz="0" w:space="0" w:color="auto"/>
            </w:tcBorders>
            <w:noWrap/>
            <w:hideMark/>
          </w:tcPr>
          <w:p w14:paraId="69234C0D"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2.861,26</w:t>
            </w:r>
          </w:p>
        </w:tc>
        <w:tc>
          <w:tcPr>
            <w:tcW w:w="1150" w:type="dxa"/>
            <w:tcBorders>
              <w:top w:val="none" w:sz="0" w:space="0" w:color="auto"/>
              <w:bottom w:val="none" w:sz="0" w:space="0" w:color="auto"/>
            </w:tcBorders>
            <w:noWrap/>
            <w:hideMark/>
          </w:tcPr>
          <w:p w14:paraId="0A296F8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32</w:t>
            </w:r>
          </w:p>
        </w:tc>
        <w:tc>
          <w:tcPr>
            <w:tcW w:w="1249" w:type="dxa"/>
            <w:tcBorders>
              <w:top w:val="none" w:sz="0" w:space="0" w:color="auto"/>
              <w:bottom w:val="none" w:sz="0" w:space="0" w:color="auto"/>
            </w:tcBorders>
            <w:noWrap/>
            <w:hideMark/>
          </w:tcPr>
          <w:p w14:paraId="72A881F4"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2.860,86</w:t>
            </w:r>
          </w:p>
        </w:tc>
      </w:tr>
      <w:tr w:rsidR="00BF4F53" w:rsidRPr="00BF4F53" w14:paraId="2F268D65"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14:paraId="0415E96C"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112.5</w:t>
            </w:r>
          </w:p>
        </w:tc>
        <w:tc>
          <w:tcPr>
            <w:tcW w:w="1048" w:type="dxa"/>
            <w:noWrap/>
            <w:hideMark/>
          </w:tcPr>
          <w:p w14:paraId="57A89951"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w:t>
            </w:r>
          </w:p>
        </w:tc>
        <w:tc>
          <w:tcPr>
            <w:tcW w:w="1281" w:type="dxa"/>
            <w:noWrap/>
            <w:hideMark/>
          </w:tcPr>
          <w:p w14:paraId="7A0EA46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1.354,36</w:t>
            </w:r>
          </w:p>
        </w:tc>
        <w:tc>
          <w:tcPr>
            <w:tcW w:w="1281" w:type="dxa"/>
            <w:noWrap/>
            <w:hideMark/>
          </w:tcPr>
          <w:p w14:paraId="1EC5AD1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w:t>
            </w:r>
          </w:p>
        </w:tc>
        <w:tc>
          <w:tcPr>
            <w:tcW w:w="1251" w:type="dxa"/>
            <w:noWrap/>
            <w:hideMark/>
          </w:tcPr>
          <w:p w14:paraId="208DB1CF"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52,25</w:t>
            </w:r>
          </w:p>
        </w:tc>
        <w:tc>
          <w:tcPr>
            <w:tcW w:w="1150" w:type="dxa"/>
            <w:noWrap/>
            <w:hideMark/>
          </w:tcPr>
          <w:p w14:paraId="76EB07FF"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w:t>
            </w:r>
          </w:p>
        </w:tc>
        <w:tc>
          <w:tcPr>
            <w:tcW w:w="1249" w:type="dxa"/>
            <w:noWrap/>
            <w:hideMark/>
          </w:tcPr>
          <w:p w14:paraId="319EAB83"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52,25</w:t>
            </w:r>
          </w:p>
        </w:tc>
      </w:tr>
      <w:tr w:rsidR="00BF4F53" w:rsidRPr="00BF4F53" w14:paraId="51680F73"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750B1622"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112.9</w:t>
            </w:r>
          </w:p>
        </w:tc>
        <w:tc>
          <w:tcPr>
            <w:tcW w:w="1048" w:type="dxa"/>
            <w:tcBorders>
              <w:top w:val="none" w:sz="0" w:space="0" w:color="auto"/>
              <w:bottom w:val="none" w:sz="0" w:space="0" w:color="auto"/>
            </w:tcBorders>
            <w:noWrap/>
            <w:hideMark/>
          </w:tcPr>
          <w:p w14:paraId="455D0A44"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w:t>
            </w:r>
          </w:p>
        </w:tc>
        <w:tc>
          <w:tcPr>
            <w:tcW w:w="1281" w:type="dxa"/>
            <w:tcBorders>
              <w:top w:val="none" w:sz="0" w:space="0" w:color="auto"/>
              <w:bottom w:val="none" w:sz="0" w:space="0" w:color="auto"/>
            </w:tcBorders>
            <w:noWrap/>
            <w:hideMark/>
          </w:tcPr>
          <w:p w14:paraId="1D5FAC8B"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111,88</w:t>
            </w:r>
          </w:p>
        </w:tc>
        <w:tc>
          <w:tcPr>
            <w:tcW w:w="1281" w:type="dxa"/>
            <w:tcBorders>
              <w:top w:val="none" w:sz="0" w:space="0" w:color="auto"/>
              <w:bottom w:val="none" w:sz="0" w:space="0" w:color="auto"/>
            </w:tcBorders>
            <w:noWrap/>
            <w:hideMark/>
          </w:tcPr>
          <w:p w14:paraId="7A6B222A"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w:t>
            </w:r>
          </w:p>
        </w:tc>
        <w:tc>
          <w:tcPr>
            <w:tcW w:w="1251" w:type="dxa"/>
            <w:tcBorders>
              <w:top w:val="none" w:sz="0" w:space="0" w:color="auto"/>
              <w:bottom w:val="none" w:sz="0" w:space="0" w:color="auto"/>
            </w:tcBorders>
            <w:noWrap/>
            <w:hideMark/>
          </w:tcPr>
          <w:p w14:paraId="7B0AA502"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79,6</w:t>
            </w:r>
          </w:p>
        </w:tc>
        <w:tc>
          <w:tcPr>
            <w:tcW w:w="1150" w:type="dxa"/>
            <w:tcBorders>
              <w:top w:val="none" w:sz="0" w:space="0" w:color="auto"/>
              <w:bottom w:val="none" w:sz="0" w:space="0" w:color="auto"/>
            </w:tcBorders>
            <w:noWrap/>
            <w:hideMark/>
          </w:tcPr>
          <w:p w14:paraId="62693263"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w:t>
            </w:r>
          </w:p>
        </w:tc>
        <w:tc>
          <w:tcPr>
            <w:tcW w:w="1249" w:type="dxa"/>
            <w:tcBorders>
              <w:top w:val="none" w:sz="0" w:space="0" w:color="auto"/>
              <w:bottom w:val="none" w:sz="0" w:space="0" w:color="auto"/>
            </w:tcBorders>
            <w:noWrap/>
            <w:hideMark/>
          </w:tcPr>
          <w:p w14:paraId="78BEF91F"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79,6</w:t>
            </w:r>
          </w:p>
        </w:tc>
      </w:tr>
      <w:tr w:rsidR="00BF4F53" w:rsidRPr="00BF4F53" w14:paraId="15DEDCFC" w14:textId="77777777" w:rsidTr="00217DF9">
        <w:trPr>
          <w:trHeight w:val="212"/>
        </w:trPr>
        <w:tc>
          <w:tcPr>
            <w:cnfStyle w:val="001000000000" w:firstRow="0" w:lastRow="0" w:firstColumn="1" w:lastColumn="0" w:oddVBand="0" w:evenVBand="0" w:oddHBand="0" w:evenHBand="0" w:firstRowFirstColumn="0" w:firstRowLastColumn="0" w:lastRowFirstColumn="0" w:lastRowLastColumn="0"/>
            <w:tcW w:w="2081" w:type="dxa"/>
            <w:hideMark/>
          </w:tcPr>
          <w:p w14:paraId="20258BEA" w14:textId="652A7EB6" w:rsidR="00BF4F53" w:rsidRPr="00BF4F53" w:rsidRDefault="00BF4F53" w:rsidP="00BF4F53">
            <w:pPr>
              <w:jc w:val="center"/>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Total imobilizări neco</w:t>
            </w:r>
            <w:r w:rsidR="00790A18">
              <w:rPr>
                <w:rFonts w:ascii="Calibri Light" w:eastAsia="Times New Roman" w:hAnsi="Calibri Light" w:cs="Calibri Light"/>
                <w:color w:val="000000"/>
                <w:sz w:val="20"/>
                <w:szCs w:val="20"/>
              </w:rPr>
              <w:t>rp</w:t>
            </w:r>
            <w:r w:rsidRPr="00BF4F53">
              <w:rPr>
                <w:rFonts w:ascii="Calibri Light" w:eastAsia="Times New Roman" w:hAnsi="Calibri Light" w:cs="Calibri Light"/>
                <w:color w:val="000000"/>
                <w:sz w:val="20"/>
                <w:szCs w:val="20"/>
              </w:rPr>
              <w:t>orale</w:t>
            </w:r>
          </w:p>
        </w:tc>
        <w:tc>
          <w:tcPr>
            <w:tcW w:w="1048" w:type="dxa"/>
            <w:noWrap/>
            <w:hideMark/>
          </w:tcPr>
          <w:p w14:paraId="5B756161"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77</w:t>
            </w:r>
          </w:p>
        </w:tc>
        <w:tc>
          <w:tcPr>
            <w:tcW w:w="1281" w:type="dxa"/>
            <w:noWrap/>
            <w:hideMark/>
          </w:tcPr>
          <w:p w14:paraId="4125AA1E"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9.502,42</w:t>
            </w:r>
          </w:p>
        </w:tc>
        <w:tc>
          <w:tcPr>
            <w:tcW w:w="1281" w:type="dxa"/>
            <w:noWrap/>
            <w:hideMark/>
          </w:tcPr>
          <w:p w14:paraId="5CFC1F9B"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45</w:t>
            </w:r>
          </w:p>
        </w:tc>
        <w:tc>
          <w:tcPr>
            <w:tcW w:w="1251" w:type="dxa"/>
            <w:noWrap/>
            <w:hideMark/>
          </w:tcPr>
          <w:p w14:paraId="4F556DED"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5.204,04</w:t>
            </w:r>
          </w:p>
        </w:tc>
        <w:tc>
          <w:tcPr>
            <w:tcW w:w="1150" w:type="dxa"/>
            <w:noWrap/>
            <w:hideMark/>
          </w:tcPr>
          <w:p w14:paraId="1B66F72A"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41</w:t>
            </w:r>
          </w:p>
        </w:tc>
        <w:tc>
          <w:tcPr>
            <w:tcW w:w="1249" w:type="dxa"/>
            <w:noWrap/>
            <w:hideMark/>
          </w:tcPr>
          <w:p w14:paraId="5824C678"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5.203,64</w:t>
            </w:r>
          </w:p>
        </w:tc>
      </w:tr>
      <w:tr w:rsidR="00BF4F53" w:rsidRPr="00BF4F53" w14:paraId="68A4D82E"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noWrap/>
            <w:hideMark/>
          </w:tcPr>
          <w:p w14:paraId="21D07EE6"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123.1</w:t>
            </w:r>
          </w:p>
        </w:tc>
        <w:tc>
          <w:tcPr>
            <w:tcW w:w="1048" w:type="dxa"/>
            <w:tcBorders>
              <w:top w:val="none" w:sz="0" w:space="0" w:color="auto"/>
              <w:bottom w:val="none" w:sz="0" w:space="0" w:color="auto"/>
            </w:tcBorders>
            <w:noWrap/>
            <w:hideMark/>
          </w:tcPr>
          <w:p w14:paraId="56A0FEBE"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9</w:t>
            </w:r>
          </w:p>
        </w:tc>
        <w:tc>
          <w:tcPr>
            <w:tcW w:w="1281" w:type="dxa"/>
            <w:tcBorders>
              <w:top w:val="none" w:sz="0" w:space="0" w:color="auto"/>
              <w:bottom w:val="none" w:sz="0" w:space="0" w:color="auto"/>
            </w:tcBorders>
            <w:noWrap/>
            <w:hideMark/>
          </w:tcPr>
          <w:p w14:paraId="795999E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15.363,19</w:t>
            </w:r>
          </w:p>
        </w:tc>
        <w:tc>
          <w:tcPr>
            <w:tcW w:w="1281" w:type="dxa"/>
            <w:tcBorders>
              <w:top w:val="none" w:sz="0" w:space="0" w:color="auto"/>
              <w:bottom w:val="none" w:sz="0" w:space="0" w:color="auto"/>
            </w:tcBorders>
            <w:noWrap/>
            <w:hideMark/>
          </w:tcPr>
          <w:p w14:paraId="7D726625"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w:t>
            </w:r>
          </w:p>
        </w:tc>
        <w:tc>
          <w:tcPr>
            <w:tcW w:w="1251" w:type="dxa"/>
            <w:tcBorders>
              <w:top w:val="none" w:sz="0" w:space="0" w:color="auto"/>
              <w:bottom w:val="none" w:sz="0" w:space="0" w:color="auto"/>
            </w:tcBorders>
            <w:noWrap/>
            <w:hideMark/>
          </w:tcPr>
          <w:p w14:paraId="28C585DD"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298,7</w:t>
            </w:r>
          </w:p>
        </w:tc>
        <w:tc>
          <w:tcPr>
            <w:tcW w:w="1150" w:type="dxa"/>
            <w:tcBorders>
              <w:top w:val="none" w:sz="0" w:space="0" w:color="auto"/>
              <w:bottom w:val="none" w:sz="0" w:space="0" w:color="auto"/>
            </w:tcBorders>
            <w:noWrap/>
            <w:hideMark/>
          </w:tcPr>
          <w:p w14:paraId="3CAD42D5"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w:t>
            </w:r>
          </w:p>
        </w:tc>
        <w:tc>
          <w:tcPr>
            <w:tcW w:w="1249" w:type="dxa"/>
            <w:tcBorders>
              <w:top w:val="none" w:sz="0" w:space="0" w:color="auto"/>
              <w:bottom w:val="none" w:sz="0" w:space="0" w:color="auto"/>
            </w:tcBorders>
            <w:noWrap/>
            <w:hideMark/>
          </w:tcPr>
          <w:p w14:paraId="5DE9AD2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298,7</w:t>
            </w:r>
          </w:p>
        </w:tc>
      </w:tr>
      <w:tr w:rsidR="00BF4F53" w:rsidRPr="00BF4F53" w14:paraId="2A467473"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noWrap/>
            <w:hideMark/>
          </w:tcPr>
          <w:p w14:paraId="17065832"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123.2</w:t>
            </w:r>
          </w:p>
        </w:tc>
        <w:tc>
          <w:tcPr>
            <w:tcW w:w="1048" w:type="dxa"/>
            <w:noWrap/>
            <w:hideMark/>
          </w:tcPr>
          <w:p w14:paraId="697236D3"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w:t>
            </w:r>
          </w:p>
        </w:tc>
        <w:tc>
          <w:tcPr>
            <w:tcW w:w="1281" w:type="dxa"/>
            <w:noWrap/>
            <w:hideMark/>
          </w:tcPr>
          <w:p w14:paraId="5DAE337D"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20,13</w:t>
            </w:r>
          </w:p>
        </w:tc>
        <w:tc>
          <w:tcPr>
            <w:tcW w:w="1281" w:type="dxa"/>
            <w:noWrap/>
            <w:hideMark/>
          </w:tcPr>
          <w:p w14:paraId="7EFA1F6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51" w:type="dxa"/>
            <w:noWrap/>
            <w:hideMark/>
          </w:tcPr>
          <w:p w14:paraId="5C934F7D"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150" w:type="dxa"/>
            <w:noWrap/>
            <w:hideMark/>
          </w:tcPr>
          <w:p w14:paraId="1A5D5A89"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c>
          <w:tcPr>
            <w:tcW w:w="1249" w:type="dxa"/>
            <w:noWrap/>
            <w:hideMark/>
          </w:tcPr>
          <w:p w14:paraId="0A66F15F"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0</w:t>
            </w:r>
          </w:p>
        </w:tc>
      </w:tr>
      <w:tr w:rsidR="00BF4F53" w:rsidRPr="00BF4F53" w14:paraId="03D1C57F"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6BEE1653"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123.3</w:t>
            </w:r>
          </w:p>
        </w:tc>
        <w:tc>
          <w:tcPr>
            <w:tcW w:w="1048" w:type="dxa"/>
            <w:tcBorders>
              <w:top w:val="none" w:sz="0" w:space="0" w:color="auto"/>
              <w:bottom w:val="none" w:sz="0" w:space="0" w:color="auto"/>
            </w:tcBorders>
            <w:noWrap/>
            <w:hideMark/>
          </w:tcPr>
          <w:p w14:paraId="27DB50FC"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567</w:t>
            </w:r>
          </w:p>
        </w:tc>
        <w:tc>
          <w:tcPr>
            <w:tcW w:w="1281" w:type="dxa"/>
            <w:tcBorders>
              <w:top w:val="none" w:sz="0" w:space="0" w:color="auto"/>
              <w:bottom w:val="none" w:sz="0" w:space="0" w:color="auto"/>
            </w:tcBorders>
            <w:noWrap/>
            <w:hideMark/>
          </w:tcPr>
          <w:p w14:paraId="23BE9D81"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71.952,21</w:t>
            </w:r>
          </w:p>
        </w:tc>
        <w:tc>
          <w:tcPr>
            <w:tcW w:w="1281" w:type="dxa"/>
            <w:tcBorders>
              <w:top w:val="none" w:sz="0" w:space="0" w:color="auto"/>
              <w:bottom w:val="none" w:sz="0" w:space="0" w:color="auto"/>
            </w:tcBorders>
            <w:noWrap/>
            <w:hideMark/>
          </w:tcPr>
          <w:p w14:paraId="62AD1C0D"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297</w:t>
            </w:r>
          </w:p>
        </w:tc>
        <w:tc>
          <w:tcPr>
            <w:tcW w:w="1251" w:type="dxa"/>
            <w:tcBorders>
              <w:top w:val="none" w:sz="0" w:space="0" w:color="auto"/>
              <w:bottom w:val="none" w:sz="0" w:space="0" w:color="auto"/>
            </w:tcBorders>
            <w:noWrap/>
            <w:hideMark/>
          </w:tcPr>
          <w:p w14:paraId="261A15C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44.363,21</w:t>
            </w:r>
          </w:p>
        </w:tc>
        <w:tc>
          <w:tcPr>
            <w:tcW w:w="1150" w:type="dxa"/>
            <w:tcBorders>
              <w:top w:val="none" w:sz="0" w:space="0" w:color="auto"/>
              <w:bottom w:val="none" w:sz="0" w:space="0" w:color="auto"/>
            </w:tcBorders>
            <w:noWrap/>
            <w:hideMark/>
          </w:tcPr>
          <w:p w14:paraId="51C28B8C"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238</w:t>
            </w:r>
          </w:p>
        </w:tc>
        <w:tc>
          <w:tcPr>
            <w:tcW w:w="1249" w:type="dxa"/>
            <w:tcBorders>
              <w:top w:val="none" w:sz="0" w:space="0" w:color="auto"/>
              <w:bottom w:val="none" w:sz="0" w:space="0" w:color="auto"/>
            </w:tcBorders>
            <w:noWrap/>
            <w:hideMark/>
          </w:tcPr>
          <w:p w14:paraId="2F70574C"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43.527,37</w:t>
            </w:r>
          </w:p>
        </w:tc>
      </w:tr>
      <w:tr w:rsidR="00BF4F53" w:rsidRPr="00BF4F53" w14:paraId="7CD0D1F8"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14:paraId="2192462C"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123.4</w:t>
            </w:r>
          </w:p>
        </w:tc>
        <w:tc>
          <w:tcPr>
            <w:tcW w:w="1048" w:type="dxa"/>
            <w:noWrap/>
            <w:hideMark/>
          </w:tcPr>
          <w:p w14:paraId="039ABFD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w:t>
            </w:r>
          </w:p>
        </w:tc>
        <w:tc>
          <w:tcPr>
            <w:tcW w:w="1281" w:type="dxa"/>
            <w:noWrap/>
            <w:hideMark/>
          </w:tcPr>
          <w:p w14:paraId="62BE0A8B"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2.049,38</w:t>
            </w:r>
          </w:p>
        </w:tc>
        <w:tc>
          <w:tcPr>
            <w:tcW w:w="1281" w:type="dxa"/>
            <w:noWrap/>
            <w:hideMark/>
          </w:tcPr>
          <w:p w14:paraId="2FA7713B"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w:t>
            </w:r>
          </w:p>
        </w:tc>
        <w:tc>
          <w:tcPr>
            <w:tcW w:w="1251" w:type="dxa"/>
            <w:noWrap/>
            <w:hideMark/>
          </w:tcPr>
          <w:p w14:paraId="45AFAC24"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648,67</w:t>
            </w:r>
          </w:p>
        </w:tc>
        <w:tc>
          <w:tcPr>
            <w:tcW w:w="1150" w:type="dxa"/>
            <w:noWrap/>
            <w:hideMark/>
          </w:tcPr>
          <w:p w14:paraId="7F6BB46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w:t>
            </w:r>
          </w:p>
        </w:tc>
        <w:tc>
          <w:tcPr>
            <w:tcW w:w="1249" w:type="dxa"/>
            <w:noWrap/>
            <w:hideMark/>
          </w:tcPr>
          <w:p w14:paraId="61F4864B"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462,67</w:t>
            </w:r>
          </w:p>
        </w:tc>
      </w:tr>
      <w:tr w:rsidR="00BF4F53" w:rsidRPr="00BF4F53" w14:paraId="5F416FB3" w14:textId="77777777" w:rsidTr="00217DF9">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7214186B"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123,5</w:t>
            </w:r>
          </w:p>
        </w:tc>
        <w:tc>
          <w:tcPr>
            <w:tcW w:w="1048" w:type="dxa"/>
            <w:tcBorders>
              <w:top w:val="none" w:sz="0" w:space="0" w:color="auto"/>
              <w:bottom w:val="none" w:sz="0" w:space="0" w:color="auto"/>
            </w:tcBorders>
            <w:noWrap/>
            <w:hideMark/>
          </w:tcPr>
          <w:p w14:paraId="07F9AE7F"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20</w:t>
            </w:r>
          </w:p>
        </w:tc>
        <w:tc>
          <w:tcPr>
            <w:tcW w:w="1281" w:type="dxa"/>
            <w:tcBorders>
              <w:top w:val="none" w:sz="0" w:space="0" w:color="auto"/>
              <w:bottom w:val="none" w:sz="0" w:space="0" w:color="auto"/>
            </w:tcBorders>
            <w:noWrap/>
            <w:hideMark/>
          </w:tcPr>
          <w:p w14:paraId="10A7E7BA"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183,61</w:t>
            </w:r>
          </w:p>
        </w:tc>
        <w:tc>
          <w:tcPr>
            <w:tcW w:w="1281" w:type="dxa"/>
            <w:tcBorders>
              <w:top w:val="none" w:sz="0" w:space="0" w:color="auto"/>
              <w:bottom w:val="none" w:sz="0" w:space="0" w:color="auto"/>
            </w:tcBorders>
            <w:noWrap/>
            <w:hideMark/>
          </w:tcPr>
          <w:p w14:paraId="147176C8"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18</w:t>
            </w:r>
          </w:p>
        </w:tc>
        <w:tc>
          <w:tcPr>
            <w:tcW w:w="1251" w:type="dxa"/>
            <w:tcBorders>
              <w:top w:val="none" w:sz="0" w:space="0" w:color="auto"/>
              <w:bottom w:val="none" w:sz="0" w:space="0" w:color="auto"/>
            </w:tcBorders>
            <w:noWrap/>
            <w:hideMark/>
          </w:tcPr>
          <w:p w14:paraId="5FE69093"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155,39</w:t>
            </w:r>
          </w:p>
        </w:tc>
        <w:tc>
          <w:tcPr>
            <w:tcW w:w="1150" w:type="dxa"/>
            <w:tcBorders>
              <w:top w:val="none" w:sz="0" w:space="0" w:color="auto"/>
              <w:bottom w:val="none" w:sz="0" w:space="0" w:color="auto"/>
            </w:tcBorders>
            <w:noWrap/>
            <w:hideMark/>
          </w:tcPr>
          <w:p w14:paraId="2B4540E7"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18</w:t>
            </w:r>
          </w:p>
        </w:tc>
        <w:tc>
          <w:tcPr>
            <w:tcW w:w="1249" w:type="dxa"/>
            <w:tcBorders>
              <w:top w:val="none" w:sz="0" w:space="0" w:color="auto"/>
              <w:bottom w:val="none" w:sz="0" w:space="0" w:color="auto"/>
            </w:tcBorders>
            <w:noWrap/>
            <w:hideMark/>
          </w:tcPr>
          <w:p w14:paraId="1AD7AE2B"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155,39</w:t>
            </w:r>
          </w:p>
        </w:tc>
      </w:tr>
      <w:tr w:rsidR="00BF4F53" w:rsidRPr="00BF4F53" w14:paraId="597E018C" w14:textId="77777777" w:rsidTr="00217DF9">
        <w:trPr>
          <w:trHeight w:val="196"/>
        </w:trPr>
        <w:tc>
          <w:tcPr>
            <w:cnfStyle w:val="001000000000" w:firstRow="0" w:lastRow="0" w:firstColumn="1" w:lastColumn="0" w:oddVBand="0" w:evenVBand="0" w:oddHBand="0" w:evenHBand="0" w:firstRowFirstColumn="0" w:firstRowLastColumn="0" w:lastRowFirstColumn="0" w:lastRowLastColumn="0"/>
            <w:tcW w:w="2081" w:type="dxa"/>
            <w:hideMark/>
          </w:tcPr>
          <w:p w14:paraId="6C671C30" w14:textId="77777777" w:rsidR="00BF4F53" w:rsidRPr="00BF4F53" w:rsidRDefault="00BF4F53" w:rsidP="00BF4F53">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123.9</w:t>
            </w:r>
          </w:p>
        </w:tc>
        <w:tc>
          <w:tcPr>
            <w:tcW w:w="1048" w:type="dxa"/>
            <w:noWrap/>
            <w:hideMark/>
          </w:tcPr>
          <w:p w14:paraId="4AB1486F"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37</w:t>
            </w:r>
          </w:p>
        </w:tc>
        <w:tc>
          <w:tcPr>
            <w:tcW w:w="1281" w:type="dxa"/>
            <w:noWrap/>
            <w:hideMark/>
          </w:tcPr>
          <w:p w14:paraId="0E34B2DA"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291,55</w:t>
            </w:r>
          </w:p>
        </w:tc>
        <w:tc>
          <w:tcPr>
            <w:tcW w:w="1281" w:type="dxa"/>
            <w:noWrap/>
            <w:hideMark/>
          </w:tcPr>
          <w:p w14:paraId="16BE1796"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34</w:t>
            </w:r>
          </w:p>
        </w:tc>
        <w:tc>
          <w:tcPr>
            <w:tcW w:w="1251" w:type="dxa"/>
            <w:noWrap/>
            <w:hideMark/>
          </w:tcPr>
          <w:p w14:paraId="159B866C"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257,11</w:t>
            </w:r>
          </w:p>
        </w:tc>
        <w:tc>
          <w:tcPr>
            <w:tcW w:w="1150" w:type="dxa"/>
            <w:noWrap/>
            <w:hideMark/>
          </w:tcPr>
          <w:p w14:paraId="0A80A82B"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w:t>
            </w:r>
          </w:p>
        </w:tc>
        <w:tc>
          <w:tcPr>
            <w:tcW w:w="1249" w:type="dxa"/>
            <w:noWrap/>
            <w:hideMark/>
          </w:tcPr>
          <w:p w14:paraId="04C01F50"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77,52</w:t>
            </w:r>
          </w:p>
        </w:tc>
      </w:tr>
      <w:tr w:rsidR="00BF4F53" w:rsidRPr="00BF4F53" w14:paraId="28933A69" w14:textId="77777777" w:rsidTr="00217DF9">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081" w:type="dxa"/>
            <w:tcBorders>
              <w:top w:val="none" w:sz="0" w:space="0" w:color="auto"/>
              <w:bottom w:val="none" w:sz="0" w:space="0" w:color="auto"/>
            </w:tcBorders>
            <w:hideMark/>
          </w:tcPr>
          <w:p w14:paraId="520E4E9F" w14:textId="77777777" w:rsidR="00BF4F53" w:rsidRPr="00BF4F53" w:rsidRDefault="00BF4F53" w:rsidP="00BF4F53">
            <w:pPr>
              <w:jc w:val="center"/>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Total imobilizări corporale</w:t>
            </w:r>
          </w:p>
        </w:tc>
        <w:tc>
          <w:tcPr>
            <w:tcW w:w="1048" w:type="dxa"/>
            <w:tcBorders>
              <w:top w:val="none" w:sz="0" w:space="0" w:color="auto"/>
              <w:bottom w:val="none" w:sz="0" w:space="0" w:color="auto"/>
            </w:tcBorders>
            <w:noWrap/>
            <w:hideMark/>
          </w:tcPr>
          <w:p w14:paraId="09EAFFC8"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640</w:t>
            </w:r>
          </w:p>
        </w:tc>
        <w:tc>
          <w:tcPr>
            <w:tcW w:w="1281" w:type="dxa"/>
            <w:tcBorders>
              <w:top w:val="none" w:sz="0" w:space="0" w:color="auto"/>
              <w:bottom w:val="none" w:sz="0" w:space="0" w:color="auto"/>
            </w:tcBorders>
            <w:noWrap/>
            <w:hideMark/>
          </w:tcPr>
          <w:p w14:paraId="17636337"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89.860,07</w:t>
            </w:r>
          </w:p>
        </w:tc>
        <w:tc>
          <w:tcPr>
            <w:tcW w:w="1281" w:type="dxa"/>
            <w:tcBorders>
              <w:top w:val="none" w:sz="0" w:space="0" w:color="auto"/>
              <w:bottom w:val="none" w:sz="0" w:space="0" w:color="auto"/>
            </w:tcBorders>
            <w:noWrap/>
            <w:hideMark/>
          </w:tcPr>
          <w:p w14:paraId="5AE1FA5D"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356</w:t>
            </w:r>
          </w:p>
        </w:tc>
        <w:tc>
          <w:tcPr>
            <w:tcW w:w="1251" w:type="dxa"/>
            <w:tcBorders>
              <w:top w:val="none" w:sz="0" w:space="0" w:color="auto"/>
              <w:bottom w:val="none" w:sz="0" w:space="0" w:color="auto"/>
            </w:tcBorders>
            <w:noWrap/>
            <w:hideMark/>
          </w:tcPr>
          <w:p w14:paraId="2A4EA345"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45.723,08</w:t>
            </w:r>
          </w:p>
        </w:tc>
        <w:tc>
          <w:tcPr>
            <w:tcW w:w="1150" w:type="dxa"/>
            <w:tcBorders>
              <w:top w:val="none" w:sz="0" w:space="0" w:color="auto"/>
              <w:bottom w:val="none" w:sz="0" w:space="0" w:color="auto"/>
            </w:tcBorders>
            <w:noWrap/>
            <w:hideMark/>
          </w:tcPr>
          <w:p w14:paraId="25DA4D9C"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267</w:t>
            </w:r>
          </w:p>
        </w:tc>
        <w:tc>
          <w:tcPr>
            <w:tcW w:w="1249" w:type="dxa"/>
            <w:tcBorders>
              <w:top w:val="none" w:sz="0" w:space="0" w:color="auto"/>
              <w:bottom w:val="none" w:sz="0" w:space="0" w:color="auto"/>
            </w:tcBorders>
            <w:noWrap/>
            <w:hideMark/>
          </w:tcPr>
          <w:p w14:paraId="42E00E59" w14:textId="77777777" w:rsidR="00BF4F53" w:rsidRPr="00BF4F53" w:rsidRDefault="00BF4F53" w:rsidP="00BF4F5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44.521,65</w:t>
            </w:r>
          </w:p>
        </w:tc>
      </w:tr>
      <w:tr w:rsidR="00BF4F53" w:rsidRPr="00BF4F53" w14:paraId="72B64615" w14:textId="77777777" w:rsidTr="00217DF9">
        <w:trPr>
          <w:trHeight w:val="386"/>
        </w:trPr>
        <w:tc>
          <w:tcPr>
            <w:cnfStyle w:val="001000000000" w:firstRow="0" w:lastRow="0" w:firstColumn="1" w:lastColumn="0" w:oddVBand="0" w:evenVBand="0" w:oddHBand="0" w:evenHBand="0" w:firstRowFirstColumn="0" w:firstRowLastColumn="0" w:lastRowFirstColumn="0" w:lastRowLastColumn="0"/>
            <w:tcW w:w="2081" w:type="dxa"/>
            <w:hideMark/>
          </w:tcPr>
          <w:p w14:paraId="33348BF6" w14:textId="2A4BEC07" w:rsidR="00BF4F53" w:rsidRPr="00BF4F53" w:rsidRDefault="00BF4F53" w:rsidP="00BF4F53">
            <w:pPr>
              <w:jc w:val="center"/>
              <w:rPr>
                <w:rFonts w:ascii="Calibri Light" w:eastAsia="Times New Roman" w:hAnsi="Calibri Light" w:cs="Calibri Light"/>
                <w:bCs w:val="0"/>
                <w:color w:val="000000"/>
              </w:rPr>
            </w:pPr>
            <w:r w:rsidRPr="00BF4F53">
              <w:rPr>
                <w:rFonts w:ascii="Calibri Light" w:eastAsia="Times New Roman" w:hAnsi="Calibri Light" w:cs="Calibri Light"/>
                <w:color w:val="000000"/>
              </w:rPr>
              <w:t xml:space="preserve">TOTAL </w:t>
            </w:r>
            <w:r w:rsidR="00790A18">
              <w:rPr>
                <w:rFonts w:ascii="Calibri Light" w:eastAsia="Times New Roman" w:hAnsi="Calibri Light" w:cs="Calibri Light"/>
                <w:color w:val="000000"/>
              </w:rPr>
              <w:t>i</w:t>
            </w:r>
            <w:r w:rsidRPr="00BF4F53">
              <w:rPr>
                <w:rFonts w:ascii="Calibri Light" w:eastAsia="Times New Roman" w:hAnsi="Calibri Light" w:cs="Calibri Light"/>
                <w:color w:val="000000"/>
              </w:rPr>
              <w:t>mobilizări</w:t>
            </w:r>
          </w:p>
        </w:tc>
        <w:tc>
          <w:tcPr>
            <w:tcW w:w="1048" w:type="dxa"/>
            <w:noWrap/>
            <w:hideMark/>
          </w:tcPr>
          <w:p w14:paraId="01EA3097"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717</w:t>
            </w:r>
          </w:p>
        </w:tc>
        <w:tc>
          <w:tcPr>
            <w:tcW w:w="1281" w:type="dxa"/>
            <w:noWrap/>
            <w:hideMark/>
          </w:tcPr>
          <w:p w14:paraId="1056CAA1"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99.362,49</w:t>
            </w:r>
          </w:p>
        </w:tc>
        <w:tc>
          <w:tcPr>
            <w:tcW w:w="1281" w:type="dxa"/>
            <w:noWrap/>
            <w:hideMark/>
          </w:tcPr>
          <w:p w14:paraId="6CA837B0"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401</w:t>
            </w:r>
          </w:p>
        </w:tc>
        <w:tc>
          <w:tcPr>
            <w:tcW w:w="1251" w:type="dxa"/>
            <w:noWrap/>
            <w:hideMark/>
          </w:tcPr>
          <w:p w14:paraId="0C6D4A6F"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50.927,12</w:t>
            </w:r>
          </w:p>
        </w:tc>
        <w:tc>
          <w:tcPr>
            <w:tcW w:w="1150" w:type="dxa"/>
            <w:noWrap/>
            <w:hideMark/>
          </w:tcPr>
          <w:p w14:paraId="57CD4297"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308</w:t>
            </w:r>
          </w:p>
        </w:tc>
        <w:tc>
          <w:tcPr>
            <w:tcW w:w="1249" w:type="dxa"/>
            <w:noWrap/>
            <w:hideMark/>
          </w:tcPr>
          <w:p w14:paraId="78807285" w14:textId="77777777" w:rsidR="00BF4F53" w:rsidRPr="00BF4F53" w:rsidRDefault="00BF4F53" w:rsidP="00BF4F5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color w:val="000000"/>
              </w:rPr>
            </w:pPr>
            <w:r w:rsidRPr="00BF4F53">
              <w:rPr>
                <w:rFonts w:ascii="Calibri Light" w:eastAsia="Times New Roman" w:hAnsi="Calibri Light" w:cs="Calibri Light"/>
                <w:bCs/>
                <w:color w:val="000000"/>
              </w:rPr>
              <w:t>49.725,29</w:t>
            </w:r>
          </w:p>
        </w:tc>
      </w:tr>
    </w:tbl>
    <w:p w14:paraId="5779C393" w14:textId="3DAA8F33" w:rsidR="000B4636" w:rsidRPr="00C276D5" w:rsidRDefault="00A63901" w:rsidP="00255E9C">
      <w:pPr>
        <w:pStyle w:val="ListParagraph"/>
        <w:tabs>
          <w:tab w:val="left" w:pos="270"/>
        </w:tabs>
        <w:spacing w:after="0" w:line="276" w:lineRule="auto"/>
        <w:ind w:left="0"/>
        <w:jc w:val="both"/>
        <w:rPr>
          <w:rFonts w:asciiTheme="majorHAnsi" w:hAnsiTheme="majorHAnsi" w:cstheme="majorHAnsi"/>
          <w:sz w:val="20"/>
          <w:szCs w:val="24"/>
          <w:shd w:val="clear" w:color="auto" w:fill="FFFFFF"/>
          <w:lang w:val="ro-MD"/>
        </w:rPr>
      </w:pPr>
      <w:r w:rsidRPr="00C276D5">
        <w:rPr>
          <w:rFonts w:asciiTheme="majorHAnsi" w:hAnsiTheme="majorHAnsi" w:cstheme="majorHAnsi"/>
          <w:b/>
          <w:i/>
          <w:sz w:val="20"/>
          <w:szCs w:val="24"/>
          <w:shd w:val="clear" w:color="auto" w:fill="FFFFFF"/>
          <w:lang w:val="ro-MD"/>
        </w:rPr>
        <w:t>Sursă:</w:t>
      </w:r>
      <w:r w:rsidRPr="00C276D5">
        <w:rPr>
          <w:rFonts w:asciiTheme="majorHAnsi" w:hAnsiTheme="majorHAnsi" w:cstheme="majorHAnsi"/>
          <w:sz w:val="20"/>
          <w:szCs w:val="24"/>
          <w:shd w:val="clear" w:color="auto" w:fill="FFFFFF"/>
          <w:lang w:val="ro-MD"/>
        </w:rPr>
        <w:t xml:space="preserve"> </w:t>
      </w:r>
      <w:r w:rsidRPr="00255E9C">
        <w:rPr>
          <w:rFonts w:asciiTheme="majorHAnsi" w:hAnsiTheme="majorHAnsi" w:cstheme="majorHAnsi"/>
          <w:i/>
          <w:sz w:val="20"/>
          <w:szCs w:val="24"/>
          <w:shd w:val="clear" w:color="auto" w:fill="FFFFFF"/>
          <w:lang w:val="ro-MD"/>
        </w:rPr>
        <w:t xml:space="preserve">Elaborat de audit în baza </w:t>
      </w:r>
      <w:r w:rsidR="00790A18">
        <w:rPr>
          <w:rFonts w:asciiTheme="majorHAnsi" w:hAnsiTheme="majorHAnsi" w:cstheme="majorHAnsi"/>
          <w:i/>
          <w:sz w:val="20"/>
          <w:szCs w:val="24"/>
          <w:shd w:val="clear" w:color="auto" w:fill="FFFFFF"/>
          <w:lang w:val="ro-MD"/>
        </w:rPr>
        <w:t>R</w:t>
      </w:r>
      <w:r w:rsidRPr="00255E9C">
        <w:rPr>
          <w:rFonts w:asciiTheme="majorHAnsi" w:hAnsiTheme="majorHAnsi" w:cstheme="majorHAnsi"/>
          <w:i/>
          <w:sz w:val="20"/>
          <w:szCs w:val="24"/>
          <w:shd w:val="clear" w:color="auto" w:fill="FFFFFF"/>
          <w:lang w:val="ro-MD"/>
        </w:rPr>
        <w:t>aportului de solduri a</w:t>
      </w:r>
      <w:r w:rsidR="00790A18">
        <w:rPr>
          <w:rFonts w:asciiTheme="majorHAnsi" w:hAnsiTheme="majorHAnsi" w:cstheme="majorHAnsi"/>
          <w:i/>
          <w:sz w:val="20"/>
          <w:szCs w:val="24"/>
          <w:shd w:val="clear" w:color="auto" w:fill="FFFFFF"/>
          <w:lang w:val="ro-MD"/>
        </w:rPr>
        <w:t>le</w:t>
      </w:r>
      <w:r w:rsidRPr="00255E9C">
        <w:rPr>
          <w:rFonts w:asciiTheme="majorHAnsi" w:hAnsiTheme="majorHAnsi" w:cstheme="majorHAnsi"/>
          <w:i/>
          <w:sz w:val="20"/>
          <w:szCs w:val="24"/>
          <w:shd w:val="clear" w:color="auto" w:fill="FFFFFF"/>
          <w:lang w:val="ro-MD"/>
        </w:rPr>
        <w:t xml:space="preserve"> imobilizărilor necorporale și corporale la data de 31.12.2021 a</w:t>
      </w:r>
      <w:r w:rsidR="00790A18">
        <w:rPr>
          <w:rFonts w:asciiTheme="majorHAnsi" w:hAnsiTheme="majorHAnsi" w:cstheme="majorHAnsi"/>
          <w:i/>
          <w:sz w:val="20"/>
          <w:szCs w:val="24"/>
          <w:shd w:val="clear" w:color="auto" w:fill="FFFFFF"/>
          <w:lang w:val="ro-MD"/>
        </w:rPr>
        <w:t>l</w:t>
      </w:r>
      <w:r w:rsidRPr="00255E9C">
        <w:rPr>
          <w:rFonts w:asciiTheme="majorHAnsi" w:hAnsiTheme="majorHAnsi" w:cstheme="majorHAnsi"/>
          <w:i/>
          <w:sz w:val="20"/>
          <w:szCs w:val="24"/>
          <w:shd w:val="clear" w:color="auto" w:fill="FFFFFF"/>
          <w:lang w:val="ro-MD"/>
        </w:rPr>
        <w:t xml:space="preserve"> ISM, INM și MOLDAC</w:t>
      </w:r>
      <w:r w:rsidR="00790A18">
        <w:rPr>
          <w:rFonts w:asciiTheme="majorHAnsi" w:hAnsiTheme="majorHAnsi" w:cstheme="majorHAnsi"/>
          <w:i/>
          <w:sz w:val="20"/>
          <w:szCs w:val="24"/>
          <w:shd w:val="clear" w:color="auto" w:fill="FFFFFF"/>
          <w:lang w:val="ro-MD"/>
        </w:rPr>
        <w:t>.</w:t>
      </w:r>
    </w:p>
    <w:p w14:paraId="7C28CEC0" w14:textId="77777777" w:rsidR="00BF4F53" w:rsidRDefault="00BF4F53" w:rsidP="00C276D5">
      <w:pPr>
        <w:pStyle w:val="FootnoteText"/>
        <w:ind w:firstLine="567"/>
        <w:jc w:val="right"/>
        <w:rPr>
          <w:rFonts w:asciiTheme="majorHAnsi" w:hAnsiTheme="majorHAnsi" w:cstheme="majorHAnsi"/>
          <w:b/>
          <w:i/>
          <w:color w:val="333333"/>
          <w:sz w:val="24"/>
          <w:szCs w:val="24"/>
          <w:vertAlign w:val="baseline"/>
          <w:lang w:val="ro-MD"/>
        </w:rPr>
      </w:pPr>
    </w:p>
    <w:p w14:paraId="542779DD" w14:textId="15495AC9" w:rsidR="00A63901" w:rsidRPr="00C276D5" w:rsidRDefault="00C04E58" w:rsidP="00C276D5">
      <w:pPr>
        <w:pStyle w:val="FootnoteText"/>
        <w:ind w:firstLine="567"/>
        <w:jc w:val="right"/>
        <w:rPr>
          <w:rFonts w:asciiTheme="majorHAnsi" w:hAnsiTheme="majorHAnsi" w:cstheme="majorHAnsi"/>
          <w:b/>
          <w:i/>
          <w:color w:val="333333"/>
          <w:sz w:val="24"/>
          <w:szCs w:val="24"/>
          <w:vertAlign w:val="baseline"/>
          <w:lang w:val="ro-MD"/>
        </w:rPr>
      </w:pPr>
      <w:r w:rsidRPr="00C276D5">
        <w:rPr>
          <w:rFonts w:asciiTheme="majorHAnsi" w:hAnsiTheme="majorHAnsi" w:cstheme="majorHAnsi"/>
          <w:b/>
          <w:i/>
          <w:color w:val="333333"/>
          <w:sz w:val="24"/>
          <w:szCs w:val="24"/>
          <w:vertAlign w:val="baseline"/>
          <w:lang w:val="ro-MD"/>
        </w:rPr>
        <w:t xml:space="preserve">Tabelul </w:t>
      </w:r>
      <w:r w:rsidR="00CA446B">
        <w:rPr>
          <w:rFonts w:asciiTheme="majorHAnsi" w:hAnsiTheme="majorHAnsi" w:cstheme="majorHAnsi"/>
          <w:b/>
          <w:i/>
          <w:color w:val="333333"/>
          <w:sz w:val="24"/>
          <w:szCs w:val="24"/>
          <w:vertAlign w:val="baseline"/>
          <w:lang w:val="ro-MD"/>
        </w:rPr>
        <w:t xml:space="preserve">nr. </w:t>
      </w:r>
      <w:r w:rsidRPr="00C276D5">
        <w:rPr>
          <w:rFonts w:asciiTheme="majorHAnsi" w:hAnsiTheme="majorHAnsi" w:cstheme="majorHAnsi"/>
          <w:b/>
          <w:i/>
          <w:color w:val="333333"/>
          <w:sz w:val="24"/>
          <w:szCs w:val="24"/>
          <w:vertAlign w:val="baseline"/>
          <w:lang w:val="ro-MD"/>
        </w:rPr>
        <w:t>4.1.2</w:t>
      </w:r>
      <w:r w:rsidRPr="006243C6">
        <w:rPr>
          <w:rFonts w:asciiTheme="majorHAnsi" w:hAnsiTheme="majorHAnsi" w:cstheme="majorHAnsi"/>
          <w:b/>
          <w:i/>
          <w:color w:val="333333"/>
          <w:sz w:val="24"/>
          <w:szCs w:val="24"/>
          <w:vertAlign w:val="baseline"/>
          <w:lang w:val="ro-MD"/>
        </w:rPr>
        <w:t>.2</w:t>
      </w:r>
      <w:r w:rsidR="00184FC1" w:rsidRPr="006243C6">
        <w:rPr>
          <w:rFonts w:asciiTheme="majorHAnsi" w:hAnsiTheme="majorHAnsi" w:cstheme="majorHAnsi"/>
          <w:b/>
          <w:i/>
          <w:color w:val="333333"/>
          <w:sz w:val="24"/>
          <w:szCs w:val="24"/>
          <w:vertAlign w:val="baseline"/>
          <w:lang w:val="ro-MD"/>
        </w:rPr>
        <w:t>.</w:t>
      </w:r>
    </w:p>
    <w:tbl>
      <w:tblPr>
        <w:tblStyle w:val="PlainTable2"/>
        <w:tblW w:w="9028" w:type="dxa"/>
        <w:tblLook w:val="04A0" w:firstRow="1" w:lastRow="0" w:firstColumn="1" w:lastColumn="0" w:noHBand="0" w:noVBand="1"/>
      </w:tblPr>
      <w:tblGrid>
        <w:gridCol w:w="1538"/>
        <w:gridCol w:w="986"/>
        <w:gridCol w:w="1499"/>
        <w:gridCol w:w="1400"/>
        <w:gridCol w:w="1148"/>
        <w:gridCol w:w="1118"/>
        <w:gridCol w:w="1339"/>
      </w:tblGrid>
      <w:tr w:rsidR="00A63901" w:rsidRPr="00BF4F53" w14:paraId="1DE03576" w14:textId="77777777" w:rsidTr="00217DF9">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028" w:type="dxa"/>
            <w:gridSpan w:val="7"/>
            <w:tcBorders>
              <w:bottom w:val="none" w:sz="0" w:space="0" w:color="auto"/>
            </w:tcBorders>
            <w:noWrap/>
            <w:hideMark/>
          </w:tcPr>
          <w:p w14:paraId="236075F6" w14:textId="2F93DE02" w:rsidR="00C04E58" w:rsidRPr="00BF4F53" w:rsidRDefault="00A63901" w:rsidP="00BF4F53">
            <w:pPr>
              <w:jc w:val="center"/>
              <w:rPr>
                <w:rFonts w:ascii="Calibri Light" w:eastAsia="Times New Roman" w:hAnsi="Calibri Light" w:cs="Calibri Light"/>
                <w:b w:val="0"/>
                <w:bCs w:val="0"/>
                <w:color w:val="000000"/>
                <w:sz w:val="24"/>
                <w:szCs w:val="24"/>
              </w:rPr>
            </w:pPr>
            <w:r w:rsidRPr="00BF4F53">
              <w:rPr>
                <w:rFonts w:ascii="Calibri Light" w:eastAsia="Times New Roman" w:hAnsi="Calibri Light" w:cs="Calibri Light"/>
                <w:color w:val="000000"/>
                <w:sz w:val="24"/>
                <w:szCs w:val="24"/>
              </w:rPr>
              <w:t>Lista mijloacelor fixe amortizate integral în cadrul APCSP</w:t>
            </w:r>
            <w:r w:rsidR="00456EF2" w:rsidRPr="00BF4F53">
              <w:rPr>
                <w:rFonts w:ascii="Calibri Light" w:eastAsia="Times New Roman" w:hAnsi="Calibri Light" w:cs="Calibri Light"/>
                <w:color w:val="000000"/>
                <w:sz w:val="24"/>
                <w:szCs w:val="24"/>
              </w:rPr>
              <w:t xml:space="preserve"> la situația </w:t>
            </w:r>
            <w:r w:rsidR="0034780E">
              <w:rPr>
                <w:rFonts w:ascii="Calibri Light" w:eastAsia="Times New Roman" w:hAnsi="Calibri Light" w:cs="Calibri Light"/>
                <w:color w:val="000000"/>
                <w:sz w:val="24"/>
                <w:szCs w:val="24"/>
              </w:rPr>
              <w:t xml:space="preserve">din </w:t>
            </w:r>
            <w:r w:rsidR="00456EF2" w:rsidRPr="00BF4F53">
              <w:rPr>
                <w:rFonts w:ascii="Calibri Light" w:eastAsia="Times New Roman" w:hAnsi="Calibri Light" w:cs="Calibri Light"/>
                <w:color w:val="000000"/>
                <w:sz w:val="24"/>
                <w:szCs w:val="24"/>
              </w:rPr>
              <w:t>31.12.2021</w:t>
            </w:r>
          </w:p>
          <w:p w14:paraId="42750226" w14:textId="50D20040" w:rsidR="00A63901" w:rsidRPr="0034780E" w:rsidRDefault="00C04E58" w:rsidP="00C04E58">
            <w:pPr>
              <w:jc w:val="right"/>
              <w:rPr>
                <w:rFonts w:ascii="Calibri Light" w:eastAsia="Times New Roman" w:hAnsi="Calibri Light" w:cs="Calibri Light"/>
                <w:b w:val="0"/>
                <w:bCs w:val="0"/>
                <w:color w:val="000000"/>
                <w:sz w:val="20"/>
                <w:szCs w:val="20"/>
              </w:rPr>
            </w:pPr>
            <w:r w:rsidRPr="0034780E">
              <w:rPr>
                <w:rFonts w:ascii="Calibri Light" w:eastAsia="Times New Roman" w:hAnsi="Calibri Light" w:cs="Calibri Light"/>
                <w:color w:val="000000"/>
                <w:sz w:val="20"/>
                <w:szCs w:val="20"/>
              </w:rPr>
              <w:t>(mii lei)</w:t>
            </w:r>
          </w:p>
        </w:tc>
      </w:tr>
      <w:tr w:rsidR="00A63901" w:rsidRPr="00BF4F53" w14:paraId="0A59131E" w14:textId="77777777" w:rsidTr="00217DF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vMerge w:val="restart"/>
            <w:tcBorders>
              <w:top w:val="none" w:sz="0" w:space="0" w:color="auto"/>
              <w:bottom w:val="none" w:sz="0" w:space="0" w:color="auto"/>
            </w:tcBorders>
            <w:hideMark/>
          </w:tcPr>
          <w:p w14:paraId="3D6FB88C" w14:textId="63EAEF1E" w:rsidR="00A63901" w:rsidRPr="00BF4F53" w:rsidRDefault="00A63901" w:rsidP="004D496F">
            <w:pPr>
              <w:jc w:val="center"/>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Cont</w:t>
            </w:r>
            <w:r w:rsidR="0034780E">
              <w:rPr>
                <w:rFonts w:ascii="Calibri Light" w:eastAsia="Times New Roman" w:hAnsi="Calibri Light" w:cs="Calibri Light"/>
                <w:color w:val="000000"/>
                <w:sz w:val="20"/>
                <w:szCs w:val="20"/>
              </w:rPr>
              <w:t>ul</w:t>
            </w:r>
            <w:r w:rsidRPr="00BF4F53">
              <w:rPr>
                <w:rFonts w:ascii="Calibri Light" w:eastAsia="Times New Roman" w:hAnsi="Calibri Light" w:cs="Calibri Light"/>
                <w:color w:val="000000"/>
                <w:sz w:val="20"/>
                <w:szCs w:val="20"/>
              </w:rPr>
              <w:t xml:space="preserve"> de  evidenţă  a mijloacelor fixe</w:t>
            </w:r>
          </w:p>
        </w:tc>
        <w:tc>
          <w:tcPr>
            <w:tcW w:w="2485" w:type="dxa"/>
            <w:gridSpan w:val="2"/>
            <w:tcBorders>
              <w:top w:val="none" w:sz="0" w:space="0" w:color="auto"/>
              <w:bottom w:val="none" w:sz="0" w:space="0" w:color="auto"/>
            </w:tcBorders>
            <w:hideMark/>
          </w:tcPr>
          <w:p w14:paraId="7C92D406" w14:textId="53447C61" w:rsidR="00A63901" w:rsidRPr="00BF4F53" w:rsidRDefault="00A63901"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Valoarea totală a mijloacelor fixe la 31.12.2021</w:t>
            </w:r>
          </w:p>
        </w:tc>
        <w:tc>
          <w:tcPr>
            <w:tcW w:w="2548" w:type="dxa"/>
            <w:gridSpan w:val="2"/>
            <w:tcBorders>
              <w:top w:val="none" w:sz="0" w:space="0" w:color="auto"/>
              <w:bottom w:val="none" w:sz="0" w:space="0" w:color="auto"/>
            </w:tcBorders>
            <w:hideMark/>
          </w:tcPr>
          <w:p w14:paraId="5DFF3DF8" w14:textId="7A95A1E1" w:rsidR="00A63901" w:rsidRPr="00BF4F53" w:rsidRDefault="00A63901"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Valoarea mijloacelor fixe amortizate integral la 31.12.2021</w:t>
            </w:r>
          </w:p>
        </w:tc>
        <w:tc>
          <w:tcPr>
            <w:tcW w:w="2455" w:type="dxa"/>
            <w:gridSpan w:val="2"/>
            <w:tcBorders>
              <w:top w:val="none" w:sz="0" w:space="0" w:color="auto"/>
              <w:bottom w:val="none" w:sz="0" w:space="0" w:color="auto"/>
            </w:tcBorders>
            <w:hideMark/>
          </w:tcPr>
          <w:p w14:paraId="23F93C4C"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Bunurile care se utilizează în activitate</w:t>
            </w:r>
          </w:p>
          <w:p w14:paraId="2B8AE3FC" w14:textId="10C4719B"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r>
      <w:tr w:rsidR="00A63901" w:rsidRPr="00BF4F53" w14:paraId="7CCA4603" w14:textId="77777777" w:rsidTr="00217DF9">
        <w:trPr>
          <w:trHeight w:val="36"/>
        </w:trPr>
        <w:tc>
          <w:tcPr>
            <w:cnfStyle w:val="001000000000" w:firstRow="0" w:lastRow="0" w:firstColumn="1" w:lastColumn="0" w:oddVBand="0" w:evenVBand="0" w:oddHBand="0" w:evenHBand="0" w:firstRowFirstColumn="0" w:firstRowLastColumn="0" w:lastRowFirstColumn="0" w:lastRowLastColumn="0"/>
            <w:tcW w:w="1538" w:type="dxa"/>
            <w:vMerge/>
            <w:hideMark/>
          </w:tcPr>
          <w:p w14:paraId="163F0DD7" w14:textId="77777777" w:rsidR="00A63901" w:rsidRPr="00BF4F53" w:rsidRDefault="00A63901" w:rsidP="004D496F">
            <w:pPr>
              <w:rPr>
                <w:rFonts w:ascii="Calibri Light" w:eastAsia="Times New Roman" w:hAnsi="Calibri Light" w:cs="Calibri Light"/>
                <w:b w:val="0"/>
                <w:bCs w:val="0"/>
                <w:color w:val="000000"/>
                <w:sz w:val="20"/>
                <w:szCs w:val="20"/>
              </w:rPr>
            </w:pPr>
          </w:p>
        </w:tc>
        <w:tc>
          <w:tcPr>
            <w:tcW w:w="986" w:type="dxa"/>
            <w:hideMark/>
          </w:tcPr>
          <w:p w14:paraId="0C029D77"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Unit.</w:t>
            </w:r>
          </w:p>
        </w:tc>
        <w:tc>
          <w:tcPr>
            <w:tcW w:w="1499" w:type="dxa"/>
            <w:noWrap/>
            <w:hideMark/>
          </w:tcPr>
          <w:p w14:paraId="5B5FA616"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c>
          <w:tcPr>
            <w:tcW w:w="1400" w:type="dxa"/>
            <w:hideMark/>
          </w:tcPr>
          <w:p w14:paraId="7F737B3F"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Unit.</w:t>
            </w:r>
          </w:p>
        </w:tc>
        <w:tc>
          <w:tcPr>
            <w:tcW w:w="1147" w:type="dxa"/>
            <w:noWrap/>
            <w:hideMark/>
          </w:tcPr>
          <w:p w14:paraId="0C4C1740"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c>
          <w:tcPr>
            <w:tcW w:w="1118" w:type="dxa"/>
            <w:hideMark/>
          </w:tcPr>
          <w:p w14:paraId="5E24B35C" w14:textId="056481D0" w:rsidR="00A63901" w:rsidRPr="00BF4F53" w:rsidRDefault="0034780E"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U</w:t>
            </w:r>
            <w:r w:rsidR="00A63901" w:rsidRPr="00BF4F53">
              <w:rPr>
                <w:rFonts w:ascii="Calibri Light" w:eastAsia="Times New Roman" w:hAnsi="Calibri Light" w:cs="Calibri Light"/>
                <w:b/>
                <w:bCs/>
                <w:color w:val="000000"/>
                <w:sz w:val="20"/>
                <w:szCs w:val="20"/>
              </w:rPr>
              <w:t>nit.</w:t>
            </w:r>
          </w:p>
        </w:tc>
        <w:tc>
          <w:tcPr>
            <w:tcW w:w="1336" w:type="dxa"/>
            <w:noWrap/>
            <w:hideMark/>
          </w:tcPr>
          <w:p w14:paraId="4101CAB5"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Suma</w:t>
            </w:r>
          </w:p>
        </w:tc>
      </w:tr>
      <w:tr w:rsidR="00A63901" w:rsidRPr="00BF4F53" w14:paraId="431CB3D4" w14:textId="77777777" w:rsidTr="00217DF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14:paraId="76ECCD22" w14:textId="77777777" w:rsidR="00A63901" w:rsidRPr="00BF4F53" w:rsidRDefault="00A63901" w:rsidP="004D496F">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314</w:t>
            </w:r>
          </w:p>
        </w:tc>
        <w:tc>
          <w:tcPr>
            <w:tcW w:w="986" w:type="dxa"/>
            <w:tcBorders>
              <w:top w:val="none" w:sz="0" w:space="0" w:color="auto"/>
              <w:bottom w:val="none" w:sz="0" w:space="0" w:color="auto"/>
            </w:tcBorders>
            <w:hideMark/>
          </w:tcPr>
          <w:p w14:paraId="75868EDA"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396</w:t>
            </w:r>
          </w:p>
        </w:tc>
        <w:tc>
          <w:tcPr>
            <w:tcW w:w="1499" w:type="dxa"/>
            <w:tcBorders>
              <w:top w:val="none" w:sz="0" w:space="0" w:color="auto"/>
              <w:bottom w:val="none" w:sz="0" w:space="0" w:color="auto"/>
            </w:tcBorders>
            <w:noWrap/>
            <w:hideMark/>
          </w:tcPr>
          <w:p w14:paraId="46234AFD"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7.552,03</w:t>
            </w:r>
          </w:p>
        </w:tc>
        <w:tc>
          <w:tcPr>
            <w:tcW w:w="1400" w:type="dxa"/>
            <w:tcBorders>
              <w:top w:val="none" w:sz="0" w:space="0" w:color="auto"/>
              <w:bottom w:val="none" w:sz="0" w:space="0" w:color="auto"/>
            </w:tcBorders>
            <w:hideMark/>
          </w:tcPr>
          <w:p w14:paraId="5300A73F"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302</w:t>
            </w:r>
          </w:p>
        </w:tc>
        <w:tc>
          <w:tcPr>
            <w:tcW w:w="1147" w:type="dxa"/>
            <w:tcBorders>
              <w:top w:val="none" w:sz="0" w:space="0" w:color="auto"/>
              <w:bottom w:val="none" w:sz="0" w:space="0" w:color="auto"/>
            </w:tcBorders>
            <w:noWrap/>
            <w:hideMark/>
          </w:tcPr>
          <w:p w14:paraId="5B1D05D6"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4.553,87</w:t>
            </w:r>
          </w:p>
        </w:tc>
        <w:tc>
          <w:tcPr>
            <w:tcW w:w="1118" w:type="dxa"/>
            <w:tcBorders>
              <w:top w:val="none" w:sz="0" w:space="0" w:color="auto"/>
              <w:bottom w:val="none" w:sz="0" w:space="0" w:color="auto"/>
            </w:tcBorders>
            <w:hideMark/>
          </w:tcPr>
          <w:p w14:paraId="0375B671"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142</w:t>
            </w:r>
          </w:p>
        </w:tc>
        <w:tc>
          <w:tcPr>
            <w:tcW w:w="1336" w:type="dxa"/>
            <w:tcBorders>
              <w:top w:val="none" w:sz="0" w:space="0" w:color="auto"/>
              <w:bottom w:val="none" w:sz="0" w:space="0" w:color="auto"/>
            </w:tcBorders>
            <w:noWrap/>
            <w:hideMark/>
          </w:tcPr>
          <w:p w14:paraId="55E4BC68"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3.069,47</w:t>
            </w:r>
          </w:p>
        </w:tc>
      </w:tr>
      <w:tr w:rsidR="00A63901" w:rsidRPr="00BF4F53" w14:paraId="5381643A" w14:textId="77777777" w:rsidTr="00217DF9">
        <w:trPr>
          <w:trHeight w:val="190"/>
        </w:trPr>
        <w:tc>
          <w:tcPr>
            <w:cnfStyle w:val="001000000000" w:firstRow="0" w:lastRow="0" w:firstColumn="1" w:lastColumn="0" w:oddVBand="0" w:evenVBand="0" w:oddHBand="0" w:evenHBand="0" w:firstRowFirstColumn="0" w:firstRowLastColumn="0" w:lastRowFirstColumn="0" w:lastRowLastColumn="0"/>
            <w:tcW w:w="1538" w:type="dxa"/>
            <w:hideMark/>
          </w:tcPr>
          <w:p w14:paraId="3F2BA1E2" w14:textId="77777777" w:rsidR="00A63901" w:rsidRPr="00BF4F53" w:rsidRDefault="00A63901" w:rsidP="004D496F">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315</w:t>
            </w:r>
          </w:p>
        </w:tc>
        <w:tc>
          <w:tcPr>
            <w:tcW w:w="986" w:type="dxa"/>
            <w:hideMark/>
          </w:tcPr>
          <w:p w14:paraId="07EE3B17"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w:t>
            </w:r>
          </w:p>
        </w:tc>
        <w:tc>
          <w:tcPr>
            <w:tcW w:w="1499" w:type="dxa"/>
            <w:noWrap/>
            <w:hideMark/>
          </w:tcPr>
          <w:p w14:paraId="595D889E"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854,13</w:t>
            </w:r>
          </w:p>
        </w:tc>
        <w:tc>
          <w:tcPr>
            <w:tcW w:w="1400" w:type="dxa"/>
            <w:hideMark/>
          </w:tcPr>
          <w:p w14:paraId="744EF621" w14:textId="3AAFA196" w:rsidR="00A63901" w:rsidRPr="00BF4F53" w:rsidRDefault="0084658B"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x</w:t>
            </w:r>
            <w:r w:rsidR="00A63901" w:rsidRPr="00BF4F53">
              <w:rPr>
                <w:rFonts w:ascii="Calibri Light" w:eastAsia="Times New Roman" w:hAnsi="Calibri Light" w:cs="Calibri Light"/>
                <w:color w:val="000000"/>
                <w:sz w:val="20"/>
                <w:szCs w:val="20"/>
              </w:rPr>
              <w:t> </w:t>
            </w:r>
          </w:p>
        </w:tc>
        <w:tc>
          <w:tcPr>
            <w:tcW w:w="1147" w:type="dxa"/>
            <w:hideMark/>
          </w:tcPr>
          <w:p w14:paraId="14453CF0" w14:textId="424AC16B"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 </w:t>
            </w:r>
            <w:r w:rsidR="0084658B" w:rsidRPr="00BF4F53">
              <w:rPr>
                <w:rFonts w:ascii="Calibri Light" w:eastAsia="Times New Roman" w:hAnsi="Calibri Light" w:cs="Calibri Light"/>
                <w:color w:val="000000"/>
                <w:sz w:val="20"/>
                <w:szCs w:val="20"/>
              </w:rPr>
              <w:t>x</w:t>
            </w:r>
          </w:p>
        </w:tc>
        <w:tc>
          <w:tcPr>
            <w:tcW w:w="1118" w:type="dxa"/>
            <w:noWrap/>
            <w:hideMark/>
          </w:tcPr>
          <w:p w14:paraId="3F3F7ADC" w14:textId="5E1660B3" w:rsidR="00A63901" w:rsidRPr="00BF4F53" w:rsidRDefault="0084658B"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x</w:t>
            </w:r>
            <w:r w:rsidR="00A63901" w:rsidRPr="00BF4F53">
              <w:rPr>
                <w:rFonts w:ascii="Calibri Light" w:eastAsia="Times New Roman" w:hAnsi="Calibri Light" w:cs="Calibri Light"/>
                <w:color w:val="000000"/>
                <w:sz w:val="20"/>
                <w:szCs w:val="20"/>
              </w:rPr>
              <w:t> </w:t>
            </w:r>
          </w:p>
        </w:tc>
        <w:tc>
          <w:tcPr>
            <w:tcW w:w="1336" w:type="dxa"/>
            <w:noWrap/>
            <w:hideMark/>
          </w:tcPr>
          <w:p w14:paraId="01592231" w14:textId="4131A34C"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 </w:t>
            </w:r>
            <w:r w:rsidR="00D842B1" w:rsidRPr="00BF4F53">
              <w:rPr>
                <w:rFonts w:ascii="Calibri Light" w:eastAsia="Times New Roman" w:hAnsi="Calibri Light" w:cs="Calibri Light"/>
                <w:color w:val="000000"/>
                <w:sz w:val="20"/>
                <w:szCs w:val="20"/>
              </w:rPr>
              <w:t>X</w:t>
            </w:r>
          </w:p>
        </w:tc>
      </w:tr>
      <w:tr w:rsidR="00A63901" w:rsidRPr="00BF4F53" w14:paraId="28E0A48A" w14:textId="77777777" w:rsidTr="00217DF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14:paraId="25EEE847" w14:textId="77777777" w:rsidR="00A63901" w:rsidRPr="00BF4F53" w:rsidRDefault="00A63901" w:rsidP="004D496F">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316</w:t>
            </w:r>
          </w:p>
        </w:tc>
        <w:tc>
          <w:tcPr>
            <w:tcW w:w="986" w:type="dxa"/>
            <w:tcBorders>
              <w:top w:val="none" w:sz="0" w:space="0" w:color="auto"/>
              <w:bottom w:val="none" w:sz="0" w:space="0" w:color="auto"/>
            </w:tcBorders>
            <w:hideMark/>
          </w:tcPr>
          <w:p w14:paraId="5951BD9D"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344</w:t>
            </w:r>
          </w:p>
        </w:tc>
        <w:tc>
          <w:tcPr>
            <w:tcW w:w="1499" w:type="dxa"/>
            <w:tcBorders>
              <w:top w:val="none" w:sz="0" w:space="0" w:color="auto"/>
              <w:bottom w:val="none" w:sz="0" w:space="0" w:color="auto"/>
            </w:tcBorders>
            <w:noWrap/>
            <w:hideMark/>
          </w:tcPr>
          <w:p w14:paraId="2FE4175D"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686,41</w:t>
            </w:r>
          </w:p>
        </w:tc>
        <w:tc>
          <w:tcPr>
            <w:tcW w:w="1400" w:type="dxa"/>
            <w:tcBorders>
              <w:top w:val="none" w:sz="0" w:space="0" w:color="auto"/>
              <w:bottom w:val="none" w:sz="0" w:space="0" w:color="auto"/>
            </w:tcBorders>
            <w:hideMark/>
          </w:tcPr>
          <w:p w14:paraId="5C6110C4"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52</w:t>
            </w:r>
          </w:p>
        </w:tc>
        <w:tc>
          <w:tcPr>
            <w:tcW w:w="1147" w:type="dxa"/>
            <w:tcBorders>
              <w:top w:val="none" w:sz="0" w:space="0" w:color="auto"/>
              <w:bottom w:val="none" w:sz="0" w:space="0" w:color="auto"/>
            </w:tcBorders>
            <w:hideMark/>
          </w:tcPr>
          <w:p w14:paraId="12CD2212"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141,96</w:t>
            </w:r>
          </w:p>
        </w:tc>
        <w:tc>
          <w:tcPr>
            <w:tcW w:w="1118" w:type="dxa"/>
            <w:tcBorders>
              <w:top w:val="none" w:sz="0" w:space="0" w:color="auto"/>
              <w:bottom w:val="none" w:sz="0" w:space="0" w:color="auto"/>
            </w:tcBorders>
            <w:noWrap/>
            <w:hideMark/>
          </w:tcPr>
          <w:p w14:paraId="62A0D179"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43</w:t>
            </w:r>
          </w:p>
        </w:tc>
        <w:tc>
          <w:tcPr>
            <w:tcW w:w="1336" w:type="dxa"/>
            <w:tcBorders>
              <w:top w:val="none" w:sz="0" w:space="0" w:color="auto"/>
              <w:bottom w:val="none" w:sz="0" w:space="0" w:color="auto"/>
            </w:tcBorders>
            <w:noWrap/>
            <w:hideMark/>
          </w:tcPr>
          <w:p w14:paraId="4E90ECFE"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119,31</w:t>
            </w:r>
          </w:p>
        </w:tc>
      </w:tr>
      <w:tr w:rsidR="008B5B45" w:rsidRPr="00BF4F53" w14:paraId="71DFCCD2" w14:textId="77777777" w:rsidTr="00217DF9">
        <w:trPr>
          <w:trHeight w:val="190"/>
        </w:trPr>
        <w:tc>
          <w:tcPr>
            <w:cnfStyle w:val="001000000000" w:firstRow="0" w:lastRow="0" w:firstColumn="1" w:lastColumn="0" w:oddVBand="0" w:evenVBand="0" w:oddHBand="0" w:evenHBand="0" w:firstRowFirstColumn="0" w:firstRowLastColumn="0" w:lastRowFirstColumn="0" w:lastRowLastColumn="0"/>
            <w:tcW w:w="1538" w:type="dxa"/>
          </w:tcPr>
          <w:p w14:paraId="3FC606F8" w14:textId="4B327F3E" w:rsidR="008B5B45" w:rsidRPr="00BF4F53" w:rsidRDefault="008B5B45" w:rsidP="008B5B45">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Total active materiale</w:t>
            </w:r>
          </w:p>
        </w:tc>
        <w:tc>
          <w:tcPr>
            <w:tcW w:w="986" w:type="dxa"/>
          </w:tcPr>
          <w:p w14:paraId="2B0636F4" w14:textId="6B484975"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745</w:t>
            </w:r>
          </w:p>
        </w:tc>
        <w:tc>
          <w:tcPr>
            <w:tcW w:w="1499" w:type="dxa"/>
            <w:noWrap/>
          </w:tcPr>
          <w:p w14:paraId="287706D5" w14:textId="4F3708D6"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9.092,57</w:t>
            </w:r>
          </w:p>
        </w:tc>
        <w:tc>
          <w:tcPr>
            <w:tcW w:w="1400" w:type="dxa"/>
          </w:tcPr>
          <w:p w14:paraId="794DEB33" w14:textId="0D5AD2FC"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354</w:t>
            </w:r>
          </w:p>
        </w:tc>
        <w:tc>
          <w:tcPr>
            <w:tcW w:w="1147" w:type="dxa"/>
          </w:tcPr>
          <w:p w14:paraId="3D44EADB" w14:textId="705CCDD5"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4.695,83</w:t>
            </w:r>
          </w:p>
        </w:tc>
        <w:tc>
          <w:tcPr>
            <w:tcW w:w="1118" w:type="dxa"/>
            <w:noWrap/>
          </w:tcPr>
          <w:p w14:paraId="17F2999F" w14:textId="33515EBD"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185</w:t>
            </w:r>
          </w:p>
        </w:tc>
        <w:tc>
          <w:tcPr>
            <w:tcW w:w="1336" w:type="dxa"/>
            <w:noWrap/>
          </w:tcPr>
          <w:p w14:paraId="50FC15DE" w14:textId="53AC43F6" w:rsidR="008B5B45" w:rsidRPr="00BF4F53" w:rsidRDefault="008B5B45" w:rsidP="008B5B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3.188,78</w:t>
            </w:r>
          </w:p>
        </w:tc>
      </w:tr>
      <w:tr w:rsidR="00A63901" w:rsidRPr="00BF4F53" w14:paraId="72F1DAE8" w14:textId="77777777" w:rsidTr="00217DF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hideMark/>
          </w:tcPr>
          <w:p w14:paraId="4D151AEC" w14:textId="77777777" w:rsidR="00A63901" w:rsidRPr="00BF4F53" w:rsidRDefault="00A63901" w:rsidP="004D496F">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317</w:t>
            </w:r>
          </w:p>
        </w:tc>
        <w:tc>
          <w:tcPr>
            <w:tcW w:w="986" w:type="dxa"/>
            <w:tcBorders>
              <w:top w:val="none" w:sz="0" w:space="0" w:color="auto"/>
              <w:bottom w:val="none" w:sz="0" w:space="0" w:color="auto"/>
            </w:tcBorders>
            <w:hideMark/>
          </w:tcPr>
          <w:p w14:paraId="3DB6B2F1"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w:t>
            </w:r>
          </w:p>
        </w:tc>
        <w:tc>
          <w:tcPr>
            <w:tcW w:w="1499" w:type="dxa"/>
            <w:tcBorders>
              <w:top w:val="none" w:sz="0" w:space="0" w:color="auto"/>
              <w:bottom w:val="none" w:sz="0" w:space="0" w:color="auto"/>
            </w:tcBorders>
            <w:noWrap/>
            <w:hideMark/>
          </w:tcPr>
          <w:p w14:paraId="24FB8DE9"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284,39</w:t>
            </w:r>
          </w:p>
        </w:tc>
        <w:tc>
          <w:tcPr>
            <w:tcW w:w="1400" w:type="dxa"/>
            <w:tcBorders>
              <w:top w:val="none" w:sz="0" w:space="0" w:color="auto"/>
              <w:bottom w:val="none" w:sz="0" w:space="0" w:color="auto"/>
            </w:tcBorders>
            <w:hideMark/>
          </w:tcPr>
          <w:p w14:paraId="617FEC9F"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7</w:t>
            </w:r>
          </w:p>
        </w:tc>
        <w:tc>
          <w:tcPr>
            <w:tcW w:w="1147" w:type="dxa"/>
            <w:tcBorders>
              <w:top w:val="none" w:sz="0" w:space="0" w:color="auto"/>
              <w:bottom w:val="none" w:sz="0" w:space="0" w:color="auto"/>
            </w:tcBorders>
            <w:hideMark/>
          </w:tcPr>
          <w:p w14:paraId="03A58CD2"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164,39</w:t>
            </w:r>
          </w:p>
        </w:tc>
        <w:tc>
          <w:tcPr>
            <w:tcW w:w="1118" w:type="dxa"/>
            <w:tcBorders>
              <w:top w:val="none" w:sz="0" w:space="0" w:color="auto"/>
              <w:bottom w:val="none" w:sz="0" w:space="0" w:color="auto"/>
            </w:tcBorders>
            <w:noWrap/>
            <w:hideMark/>
          </w:tcPr>
          <w:p w14:paraId="01180DD7"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6</w:t>
            </w:r>
          </w:p>
        </w:tc>
        <w:tc>
          <w:tcPr>
            <w:tcW w:w="1336" w:type="dxa"/>
            <w:tcBorders>
              <w:top w:val="none" w:sz="0" w:space="0" w:color="auto"/>
              <w:bottom w:val="none" w:sz="0" w:space="0" w:color="auto"/>
            </w:tcBorders>
            <w:noWrap/>
            <w:hideMark/>
          </w:tcPr>
          <w:p w14:paraId="12D79167" w14:textId="77777777" w:rsidR="00A63901" w:rsidRPr="00BF4F53" w:rsidRDefault="00A63901" w:rsidP="004D496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164,39</w:t>
            </w:r>
          </w:p>
        </w:tc>
      </w:tr>
      <w:tr w:rsidR="00A63901" w:rsidRPr="00BF4F53" w14:paraId="3901FFA7" w14:textId="77777777" w:rsidTr="00217DF9">
        <w:trPr>
          <w:trHeight w:val="190"/>
        </w:trPr>
        <w:tc>
          <w:tcPr>
            <w:cnfStyle w:val="001000000000" w:firstRow="0" w:lastRow="0" w:firstColumn="1" w:lastColumn="0" w:oddVBand="0" w:evenVBand="0" w:oddHBand="0" w:evenHBand="0" w:firstRowFirstColumn="0" w:firstRowLastColumn="0" w:lastRowFirstColumn="0" w:lastRowLastColumn="0"/>
            <w:tcW w:w="1538" w:type="dxa"/>
            <w:hideMark/>
          </w:tcPr>
          <w:p w14:paraId="4367EE5B" w14:textId="77777777" w:rsidR="00A63901" w:rsidRPr="00BF4F53" w:rsidRDefault="00A63901" w:rsidP="004D496F">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318</w:t>
            </w:r>
          </w:p>
        </w:tc>
        <w:tc>
          <w:tcPr>
            <w:tcW w:w="986" w:type="dxa"/>
            <w:hideMark/>
          </w:tcPr>
          <w:p w14:paraId="052FE2DE"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1</w:t>
            </w:r>
          </w:p>
        </w:tc>
        <w:tc>
          <w:tcPr>
            <w:tcW w:w="1499" w:type="dxa"/>
            <w:noWrap/>
            <w:hideMark/>
          </w:tcPr>
          <w:p w14:paraId="191F0EE8"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39,11</w:t>
            </w:r>
          </w:p>
        </w:tc>
        <w:tc>
          <w:tcPr>
            <w:tcW w:w="1400" w:type="dxa"/>
            <w:hideMark/>
          </w:tcPr>
          <w:p w14:paraId="578B8CDB" w14:textId="659A6866"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 </w:t>
            </w:r>
            <w:r w:rsidR="0084658B" w:rsidRPr="00BF4F53">
              <w:rPr>
                <w:rFonts w:ascii="Calibri Light" w:eastAsia="Times New Roman" w:hAnsi="Calibri Light" w:cs="Calibri Light"/>
                <w:color w:val="000000"/>
                <w:sz w:val="20"/>
                <w:szCs w:val="20"/>
              </w:rPr>
              <w:t>x</w:t>
            </w:r>
          </w:p>
        </w:tc>
        <w:tc>
          <w:tcPr>
            <w:tcW w:w="1147" w:type="dxa"/>
            <w:hideMark/>
          </w:tcPr>
          <w:p w14:paraId="1FA79EB4" w14:textId="174C60FB"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 </w:t>
            </w:r>
            <w:r w:rsidR="0084658B" w:rsidRPr="00BF4F53">
              <w:rPr>
                <w:rFonts w:ascii="Calibri Light" w:eastAsia="Times New Roman" w:hAnsi="Calibri Light" w:cs="Calibri Light"/>
                <w:color w:val="000000"/>
                <w:sz w:val="20"/>
                <w:szCs w:val="20"/>
              </w:rPr>
              <w:t>x</w:t>
            </w:r>
          </w:p>
        </w:tc>
        <w:tc>
          <w:tcPr>
            <w:tcW w:w="1118" w:type="dxa"/>
            <w:noWrap/>
            <w:hideMark/>
          </w:tcPr>
          <w:p w14:paraId="7C801D81" w14:textId="085F2A32"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 </w:t>
            </w:r>
            <w:r w:rsidR="0084658B" w:rsidRPr="00BF4F53">
              <w:rPr>
                <w:rFonts w:ascii="Calibri Light" w:eastAsia="Times New Roman" w:hAnsi="Calibri Light" w:cs="Calibri Light"/>
                <w:color w:val="000000"/>
                <w:sz w:val="20"/>
                <w:szCs w:val="20"/>
              </w:rPr>
              <w:t>x</w:t>
            </w:r>
          </w:p>
        </w:tc>
        <w:tc>
          <w:tcPr>
            <w:tcW w:w="1336" w:type="dxa"/>
            <w:noWrap/>
            <w:hideMark/>
          </w:tcPr>
          <w:p w14:paraId="59F8CDF4" w14:textId="23538E91" w:rsidR="00A63901" w:rsidRPr="00BF4F53" w:rsidRDefault="0084658B"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x</w:t>
            </w:r>
            <w:r w:rsidR="00A63901" w:rsidRPr="00BF4F53">
              <w:rPr>
                <w:rFonts w:ascii="Calibri Light" w:eastAsia="Times New Roman" w:hAnsi="Calibri Light" w:cs="Calibri Light"/>
                <w:color w:val="000000"/>
                <w:sz w:val="20"/>
                <w:szCs w:val="20"/>
              </w:rPr>
              <w:t> </w:t>
            </w:r>
          </w:p>
        </w:tc>
      </w:tr>
      <w:tr w:rsidR="008B5B45" w:rsidRPr="00BF4F53" w14:paraId="6D345F53" w14:textId="77777777" w:rsidTr="00217DF9">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 w:type="dxa"/>
            <w:tcBorders>
              <w:top w:val="none" w:sz="0" w:space="0" w:color="auto"/>
              <w:bottom w:val="none" w:sz="0" w:space="0" w:color="auto"/>
            </w:tcBorders>
          </w:tcPr>
          <w:p w14:paraId="2F2B66F9" w14:textId="40D55F13" w:rsidR="008B5B45" w:rsidRPr="00BF4F53" w:rsidRDefault="008B5B45" w:rsidP="008B5B45">
            <w:pPr>
              <w:jc w:val="center"/>
              <w:rPr>
                <w:rFonts w:ascii="Calibri Light" w:eastAsia="Times New Roman" w:hAnsi="Calibri Light" w:cs="Calibri Light"/>
                <w:color w:val="000000"/>
                <w:sz w:val="20"/>
                <w:szCs w:val="20"/>
              </w:rPr>
            </w:pPr>
            <w:r w:rsidRPr="00BF4F53">
              <w:rPr>
                <w:rFonts w:ascii="Calibri Light" w:eastAsia="Times New Roman" w:hAnsi="Calibri Light" w:cs="Calibri Light"/>
                <w:color w:val="000000"/>
                <w:sz w:val="20"/>
                <w:szCs w:val="20"/>
              </w:rPr>
              <w:t>Total active nemateriale</w:t>
            </w:r>
          </w:p>
        </w:tc>
        <w:tc>
          <w:tcPr>
            <w:tcW w:w="986" w:type="dxa"/>
            <w:tcBorders>
              <w:top w:val="none" w:sz="0" w:space="0" w:color="auto"/>
              <w:bottom w:val="none" w:sz="0" w:space="0" w:color="auto"/>
            </w:tcBorders>
          </w:tcPr>
          <w:p w14:paraId="2F1A269D" w14:textId="54AD2F12"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8</w:t>
            </w:r>
          </w:p>
        </w:tc>
        <w:tc>
          <w:tcPr>
            <w:tcW w:w="1499" w:type="dxa"/>
            <w:tcBorders>
              <w:top w:val="none" w:sz="0" w:space="0" w:color="auto"/>
              <w:bottom w:val="none" w:sz="0" w:space="0" w:color="auto"/>
            </w:tcBorders>
            <w:noWrap/>
          </w:tcPr>
          <w:p w14:paraId="19482BCE" w14:textId="12F3B735"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323,50</w:t>
            </w:r>
          </w:p>
        </w:tc>
        <w:tc>
          <w:tcPr>
            <w:tcW w:w="1400" w:type="dxa"/>
            <w:tcBorders>
              <w:top w:val="none" w:sz="0" w:space="0" w:color="auto"/>
              <w:bottom w:val="none" w:sz="0" w:space="0" w:color="auto"/>
            </w:tcBorders>
          </w:tcPr>
          <w:p w14:paraId="00C53E5A" w14:textId="2AC834C9"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7</w:t>
            </w:r>
          </w:p>
        </w:tc>
        <w:tc>
          <w:tcPr>
            <w:tcW w:w="1147" w:type="dxa"/>
            <w:tcBorders>
              <w:top w:val="none" w:sz="0" w:space="0" w:color="auto"/>
              <w:bottom w:val="none" w:sz="0" w:space="0" w:color="auto"/>
            </w:tcBorders>
          </w:tcPr>
          <w:p w14:paraId="29F5C53C" w14:textId="5D9DD643"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164,39</w:t>
            </w:r>
          </w:p>
        </w:tc>
        <w:tc>
          <w:tcPr>
            <w:tcW w:w="1118" w:type="dxa"/>
            <w:tcBorders>
              <w:top w:val="none" w:sz="0" w:space="0" w:color="auto"/>
              <w:bottom w:val="none" w:sz="0" w:space="0" w:color="auto"/>
            </w:tcBorders>
            <w:noWrap/>
          </w:tcPr>
          <w:p w14:paraId="549C4DA9" w14:textId="0B31C0FA"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6</w:t>
            </w:r>
          </w:p>
        </w:tc>
        <w:tc>
          <w:tcPr>
            <w:tcW w:w="1336" w:type="dxa"/>
            <w:tcBorders>
              <w:top w:val="none" w:sz="0" w:space="0" w:color="auto"/>
              <w:bottom w:val="none" w:sz="0" w:space="0" w:color="auto"/>
            </w:tcBorders>
            <w:noWrap/>
          </w:tcPr>
          <w:p w14:paraId="0B5C40F3" w14:textId="0EC4FB3C" w:rsidR="008B5B45" w:rsidRPr="00BF4F53" w:rsidRDefault="008B5B45" w:rsidP="008B5B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F4F53">
              <w:rPr>
                <w:rFonts w:ascii="Calibri Light" w:eastAsia="Times New Roman" w:hAnsi="Calibri Light" w:cs="Calibri Light"/>
                <w:b/>
                <w:bCs/>
                <w:color w:val="000000"/>
                <w:sz w:val="20"/>
                <w:szCs w:val="20"/>
              </w:rPr>
              <w:t>164,39</w:t>
            </w:r>
          </w:p>
        </w:tc>
      </w:tr>
      <w:tr w:rsidR="00A63901" w:rsidRPr="00BF4F53" w14:paraId="235F20C4" w14:textId="77777777" w:rsidTr="00217DF9">
        <w:trPr>
          <w:trHeight w:val="190"/>
        </w:trPr>
        <w:tc>
          <w:tcPr>
            <w:cnfStyle w:val="001000000000" w:firstRow="0" w:lastRow="0" w:firstColumn="1" w:lastColumn="0" w:oddVBand="0" w:evenVBand="0" w:oddHBand="0" w:evenHBand="0" w:firstRowFirstColumn="0" w:firstRowLastColumn="0" w:lastRowFirstColumn="0" w:lastRowLastColumn="0"/>
            <w:tcW w:w="1538" w:type="dxa"/>
            <w:noWrap/>
            <w:hideMark/>
          </w:tcPr>
          <w:p w14:paraId="1CB986BB" w14:textId="7BD4C39A" w:rsidR="00A63901" w:rsidRPr="00BF4F53" w:rsidRDefault="00A63901" w:rsidP="004D496F">
            <w:pPr>
              <w:jc w:val="center"/>
              <w:rPr>
                <w:rFonts w:ascii="Calibri Light" w:eastAsia="Times New Roman" w:hAnsi="Calibri Light" w:cs="Calibri Light"/>
                <w:b w:val="0"/>
                <w:bCs w:val="0"/>
                <w:color w:val="000000"/>
                <w:sz w:val="20"/>
                <w:szCs w:val="20"/>
              </w:rPr>
            </w:pPr>
            <w:r w:rsidRPr="00BF4F53">
              <w:rPr>
                <w:rFonts w:ascii="Calibri Light" w:eastAsia="Times New Roman" w:hAnsi="Calibri Light" w:cs="Calibri Light"/>
                <w:color w:val="000000"/>
                <w:sz w:val="20"/>
                <w:szCs w:val="20"/>
              </w:rPr>
              <w:t xml:space="preserve">TOTAL </w:t>
            </w:r>
            <w:r w:rsidR="0034780E">
              <w:rPr>
                <w:rFonts w:ascii="Calibri Light" w:eastAsia="Times New Roman" w:hAnsi="Calibri Light" w:cs="Calibri Light"/>
                <w:color w:val="000000"/>
                <w:sz w:val="20"/>
                <w:szCs w:val="20"/>
              </w:rPr>
              <w:t>m</w:t>
            </w:r>
            <w:r w:rsidRPr="00BF4F53">
              <w:rPr>
                <w:rFonts w:ascii="Calibri Light" w:eastAsia="Times New Roman" w:hAnsi="Calibri Light" w:cs="Calibri Light"/>
                <w:color w:val="000000"/>
                <w:sz w:val="20"/>
                <w:szCs w:val="20"/>
              </w:rPr>
              <w:t>ijloace fixe</w:t>
            </w:r>
          </w:p>
        </w:tc>
        <w:tc>
          <w:tcPr>
            <w:tcW w:w="986" w:type="dxa"/>
            <w:noWrap/>
            <w:hideMark/>
          </w:tcPr>
          <w:p w14:paraId="14727E57"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753</w:t>
            </w:r>
          </w:p>
        </w:tc>
        <w:tc>
          <w:tcPr>
            <w:tcW w:w="1499" w:type="dxa"/>
            <w:noWrap/>
            <w:hideMark/>
          </w:tcPr>
          <w:p w14:paraId="0765913F"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9.416,07</w:t>
            </w:r>
          </w:p>
        </w:tc>
        <w:tc>
          <w:tcPr>
            <w:tcW w:w="1400" w:type="dxa"/>
            <w:noWrap/>
            <w:hideMark/>
          </w:tcPr>
          <w:p w14:paraId="5E81D5DB"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361</w:t>
            </w:r>
          </w:p>
        </w:tc>
        <w:tc>
          <w:tcPr>
            <w:tcW w:w="1147" w:type="dxa"/>
            <w:noWrap/>
            <w:hideMark/>
          </w:tcPr>
          <w:p w14:paraId="35F626B3"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4.860,22</w:t>
            </w:r>
          </w:p>
        </w:tc>
        <w:tc>
          <w:tcPr>
            <w:tcW w:w="1118" w:type="dxa"/>
            <w:noWrap/>
            <w:hideMark/>
          </w:tcPr>
          <w:p w14:paraId="3F376955"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191</w:t>
            </w:r>
          </w:p>
        </w:tc>
        <w:tc>
          <w:tcPr>
            <w:tcW w:w="1336" w:type="dxa"/>
            <w:noWrap/>
            <w:hideMark/>
          </w:tcPr>
          <w:p w14:paraId="4BD0C695" w14:textId="77777777" w:rsidR="00A63901" w:rsidRPr="00BF4F53" w:rsidRDefault="00A63901" w:rsidP="004D496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F4F53">
              <w:rPr>
                <w:rFonts w:ascii="Calibri Light" w:eastAsia="Times New Roman" w:hAnsi="Calibri Light" w:cs="Calibri Light"/>
                <w:b/>
                <w:bCs/>
                <w:color w:val="000000"/>
                <w:sz w:val="20"/>
                <w:szCs w:val="20"/>
              </w:rPr>
              <w:t>3.353,17</w:t>
            </w:r>
          </w:p>
        </w:tc>
      </w:tr>
    </w:tbl>
    <w:p w14:paraId="1378C27E" w14:textId="2C60F03F" w:rsidR="00A63901" w:rsidRPr="00BF4F53" w:rsidRDefault="00A63901" w:rsidP="00BF4F53">
      <w:pPr>
        <w:tabs>
          <w:tab w:val="left" w:pos="270"/>
        </w:tabs>
        <w:spacing w:after="0" w:line="276" w:lineRule="auto"/>
        <w:rPr>
          <w:rFonts w:asciiTheme="majorHAnsi" w:hAnsiTheme="majorHAnsi" w:cstheme="majorHAnsi"/>
          <w:i/>
          <w:sz w:val="20"/>
          <w:szCs w:val="24"/>
          <w:shd w:val="clear" w:color="auto" w:fill="FFFFFF"/>
          <w:lang w:val="ro-MD"/>
        </w:rPr>
      </w:pPr>
      <w:r w:rsidRPr="008656E4">
        <w:rPr>
          <w:rFonts w:asciiTheme="majorHAnsi" w:hAnsiTheme="majorHAnsi" w:cstheme="majorHAnsi"/>
          <w:b/>
          <w:i/>
          <w:sz w:val="20"/>
          <w:szCs w:val="24"/>
          <w:shd w:val="clear" w:color="auto" w:fill="FFFFFF"/>
          <w:lang w:val="ro-MD"/>
        </w:rPr>
        <w:t>Sursă:</w:t>
      </w:r>
      <w:r w:rsidRPr="00BF4F53">
        <w:rPr>
          <w:rFonts w:asciiTheme="majorHAnsi" w:hAnsiTheme="majorHAnsi" w:cstheme="majorHAnsi"/>
          <w:i/>
          <w:sz w:val="20"/>
          <w:szCs w:val="24"/>
          <w:shd w:val="clear" w:color="auto" w:fill="FFFFFF"/>
          <w:lang w:val="ro-MD"/>
        </w:rPr>
        <w:t xml:space="preserve"> Elaborat de audit în baza </w:t>
      </w:r>
      <w:r w:rsidR="0034780E">
        <w:rPr>
          <w:rFonts w:asciiTheme="majorHAnsi" w:hAnsiTheme="majorHAnsi" w:cstheme="majorHAnsi"/>
          <w:i/>
          <w:sz w:val="20"/>
          <w:szCs w:val="24"/>
          <w:shd w:val="clear" w:color="auto" w:fill="FFFFFF"/>
          <w:lang w:val="ro-MD"/>
        </w:rPr>
        <w:t>R</w:t>
      </w:r>
      <w:r w:rsidRPr="00BF4F53">
        <w:rPr>
          <w:rFonts w:asciiTheme="majorHAnsi" w:hAnsiTheme="majorHAnsi" w:cstheme="majorHAnsi"/>
          <w:i/>
          <w:sz w:val="20"/>
          <w:szCs w:val="24"/>
          <w:shd w:val="clear" w:color="auto" w:fill="FFFFFF"/>
          <w:lang w:val="ro-MD"/>
        </w:rPr>
        <w:t>aportului de solduri a</w:t>
      </w:r>
      <w:r w:rsidR="0034780E">
        <w:rPr>
          <w:rFonts w:asciiTheme="majorHAnsi" w:hAnsiTheme="majorHAnsi" w:cstheme="majorHAnsi"/>
          <w:i/>
          <w:sz w:val="20"/>
          <w:szCs w:val="24"/>
          <w:shd w:val="clear" w:color="auto" w:fill="FFFFFF"/>
          <w:lang w:val="ro-MD"/>
        </w:rPr>
        <w:t>le</w:t>
      </w:r>
      <w:r w:rsidRPr="00BF4F53">
        <w:rPr>
          <w:rFonts w:asciiTheme="majorHAnsi" w:hAnsiTheme="majorHAnsi" w:cstheme="majorHAnsi"/>
          <w:i/>
          <w:sz w:val="20"/>
          <w:szCs w:val="24"/>
          <w:shd w:val="clear" w:color="auto" w:fill="FFFFFF"/>
          <w:lang w:val="ro-MD"/>
        </w:rPr>
        <w:t xml:space="preserve"> mijloacelor fixe </w:t>
      </w:r>
      <w:r w:rsidR="003B6E18" w:rsidRPr="00BF4F53">
        <w:rPr>
          <w:rFonts w:asciiTheme="majorHAnsi" w:hAnsiTheme="majorHAnsi" w:cstheme="majorHAnsi"/>
          <w:i/>
          <w:sz w:val="20"/>
          <w:szCs w:val="24"/>
          <w:shd w:val="clear" w:color="auto" w:fill="FFFFFF"/>
          <w:lang w:val="ro-MD"/>
        </w:rPr>
        <w:t>a</w:t>
      </w:r>
      <w:r w:rsidR="0034780E">
        <w:rPr>
          <w:rFonts w:asciiTheme="majorHAnsi" w:hAnsiTheme="majorHAnsi" w:cstheme="majorHAnsi"/>
          <w:i/>
          <w:sz w:val="20"/>
          <w:szCs w:val="24"/>
          <w:shd w:val="clear" w:color="auto" w:fill="FFFFFF"/>
          <w:lang w:val="ro-MD"/>
        </w:rPr>
        <w:t>l</w:t>
      </w:r>
      <w:r w:rsidR="003B6E18" w:rsidRPr="00BF4F53">
        <w:rPr>
          <w:rFonts w:asciiTheme="majorHAnsi" w:hAnsiTheme="majorHAnsi" w:cstheme="majorHAnsi"/>
          <w:i/>
          <w:sz w:val="20"/>
          <w:szCs w:val="24"/>
          <w:shd w:val="clear" w:color="auto" w:fill="FFFFFF"/>
          <w:lang w:val="ro-MD"/>
        </w:rPr>
        <w:t xml:space="preserve"> ISSPNPC </w:t>
      </w:r>
      <w:r w:rsidRPr="00BF4F53">
        <w:rPr>
          <w:rFonts w:asciiTheme="majorHAnsi" w:hAnsiTheme="majorHAnsi" w:cstheme="majorHAnsi"/>
          <w:i/>
          <w:sz w:val="20"/>
          <w:szCs w:val="24"/>
          <w:shd w:val="clear" w:color="auto" w:fill="FFFFFF"/>
          <w:lang w:val="ro-MD"/>
        </w:rPr>
        <w:t>la data de 31.12.2021.</w:t>
      </w:r>
    </w:p>
    <w:p w14:paraId="4240FC29" w14:textId="77777777" w:rsidR="00A63901" w:rsidRPr="00DD1EAB" w:rsidRDefault="00A63901" w:rsidP="00DD1EAB">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p>
    <w:p w14:paraId="65087A81" w14:textId="5B642C31" w:rsidR="008D19F6" w:rsidRPr="00DD1EAB" w:rsidRDefault="008D19F6" w:rsidP="00DD1EAB">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8D19F6">
        <w:rPr>
          <w:rFonts w:asciiTheme="majorHAnsi" w:hAnsiTheme="majorHAnsi" w:cstheme="majorHAnsi"/>
          <w:sz w:val="24"/>
          <w:szCs w:val="24"/>
          <w:shd w:val="clear" w:color="auto" w:fill="FFFFFF"/>
          <w:lang w:val="ro-MD"/>
        </w:rPr>
        <w:t>De menționat că</w:t>
      </w:r>
      <w:r w:rsidR="00D94273">
        <w:rPr>
          <w:rFonts w:asciiTheme="majorHAnsi" w:hAnsiTheme="majorHAnsi" w:cstheme="majorHAnsi"/>
          <w:sz w:val="24"/>
          <w:szCs w:val="24"/>
          <w:shd w:val="clear" w:color="auto" w:fill="FFFFFF"/>
          <w:lang w:val="ro-MD"/>
        </w:rPr>
        <w:t>,</w:t>
      </w:r>
      <w:r w:rsidRPr="008D19F6">
        <w:rPr>
          <w:rFonts w:asciiTheme="majorHAnsi" w:hAnsiTheme="majorHAnsi" w:cstheme="majorHAnsi"/>
          <w:sz w:val="24"/>
          <w:szCs w:val="24"/>
          <w:shd w:val="clear" w:color="auto" w:fill="FFFFFF"/>
          <w:lang w:val="ro-MD"/>
        </w:rPr>
        <w:t xml:space="preserve"> deși Politicile </w:t>
      </w:r>
      <w:r w:rsidR="0034780E">
        <w:rPr>
          <w:rFonts w:asciiTheme="majorHAnsi" w:hAnsiTheme="majorHAnsi" w:cstheme="majorHAnsi"/>
          <w:sz w:val="24"/>
          <w:szCs w:val="24"/>
          <w:shd w:val="clear" w:color="auto" w:fill="FFFFFF"/>
          <w:lang w:val="ro-MD"/>
        </w:rPr>
        <w:t>c</w:t>
      </w:r>
      <w:r w:rsidRPr="008D19F6">
        <w:rPr>
          <w:rFonts w:asciiTheme="majorHAnsi" w:hAnsiTheme="majorHAnsi" w:cstheme="majorHAnsi"/>
          <w:sz w:val="24"/>
          <w:szCs w:val="24"/>
          <w:shd w:val="clear" w:color="auto" w:fill="FFFFFF"/>
          <w:lang w:val="ro-MD"/>
        </w:rPr>
        <w:t>ontabile ale ISM pentru anul 2021 prevăd că</w:t>
      </w:r>
      <w:r>
        <w:rPr>
          <w:rFonts w:asciiTheme="majorHAnsi" w:hAnsiTheme="majorHAnsi" w:cstheme="majorHAnsi"/>
          <w:sz w:val="24"/>
          <w:szCs w:val="24"/>
          <w:shd w:val="clear" w:color="auto" w:fill="FFFFFF"/>
          <w:lang w:val="ro-MD"/>
        </w:rPr>
        <w:t xml:space="preserve"> instituția</w:t>
      </w:r>
      <w:r w:rsidRPr="008D19F6">
        <w:rPr>
          <w:rFonts w:asciiTheme="majorHAnsi" w:hAnsiTheme="majorHAnsi" w:cstheme="majorHAnsi"/>
          <w:sz w:val="24"/>
          <w:szCs w:val="24"/>
          <w:shd w:val="clear" w:color="auto" w:fill="FFFFFF"/>
          <w:lang w:val="ro-MD"/>
        </w:rPr>
        <w:t xml:space="preserve"> </w:t>
      </w:r>
      <w:r w:rsidR="008656E4">
        <w:rPr>
          <w:rFonts w:asciiTheme="majorHAnsi" w:hAnsiTheme="majorHAnsi" w:cstheme="majorHAnsi"/>
          <w:i/>
          <w:sz w:val="24"/>
          <w:szCs w:val="24"/>
          <w:shd w:val="clear" w:color="auto" w:fill="FFFFFF"/>
          <w:lang w:val="ro-MD"/>
        </w:rPr>
        <w:t>„</w:t>
      </w:r>
      <w:r w:rsidRPr="008656E4">
        <w:rPr>
          <w:rFonts w:asciiTheme="majorHAnsi" w:hAnsiTheme="majorHAnsi" w:cstheme="majorHAnsi"/>
          <w:i/>
          <w:sz w:val="24"/>
          <w:szCs w:val="24"/>
          <w:shd w:val="clear" w:color="auto" w:fill="FFFFFF"/>
          <w:lang w:val="ro-MD"/>
        </w:rPr>
        <w:t xml:space="preserve">poate reevalua obiectele de imobilizări complet amortizate, separat de clasa din care acestea fac parte, cu stabilirea acestora </w:t>
      </w:r>
      <w:r w:rsidR="0034780E">
        <w:rPr>
          <w:rFonts w:asciiTheme="majorHAnsi" w:hAnsiTheme="majorHAnsi" w:cstheme="majorHAnsi"/>
          <w:i/>
          <w:sz w:val="24"/>
          <w:szCs w:val="24"/>
          <w:shd w:val="clear" w:color="auto" w:fill="FFFFFF"/>
          <w:lang w:val="ro-MD"/>
        </w:rPr>
        <w:t xml:space="preserve">a </w:t>
      </w:r>
      <w:r w:rsidRPr="008656E4">
        <w:rPr>
          <w:rFonts w:asciiTheme="majorHAnsi" w:hAnsiTheme="majorHAnsi" w:cstheme="majorHAnsi"/>
          <w:i/>
          <w:sz w:val="24"/>
          <w:szCs w:val="24"/>
          <w:shd w:val="clear" w:color="auto" w:fill="FFFFFF"/>
          <w:lang w:val="ro-MD"/>
        </w:rPr>
        <w:t>unei noi valori și a unei noi durate de utilizare corespunzătoare perioadei estimate rămase de utilizare</w:t>
      </w:r>
      <w:r w:rsidR="008656E4">
        <w:rPr>
          <w:rFonts w:asciiTheme="majorHAnsi" w:hAnsiTheme="majorHAnsi" w:cstheme="majorHAnsi"/>
          <w:i/>
          <w:sz w:val="24"/>
          <w:szCs w:val="24"/>
          <w:shd w:val="clear" w:color="auto" w:fill="FFFFFF"/>
          <w:lang w:val="ro-MD"/>
        </w:rPr>
        <w:t>”</w:t>
      </w:r>
      <w:r w:rsidRPr="00DD1EAB">
        <w:rPr>
          <w:rFonts w:asciiTheme="majorHAnsi" w:hAnsiTheme="majorHAnsi" w:cstheme="majorHAnsi"/>
          <w:sz w:val="24"/>
          <w:szCs w:val="24"/>
          <w:shd w:val="clear" w:color="auto" w:fill="FFFFFF"/>
          <w:lang w:val="ro-MD"/>
        </w:rPr>
        <w:t>, reevaluarea acestora nu a avut loc.</w:t>
      </w:r>
      <w:r w:rsidR="003C0E05" w:rsidRPr="00DD1EAB">
        <w:rPr>
          <w:rFonts w:asciiTheme="majorHAnsi" w:hAnsiTheme="majorHAnsi" w:cstheme="majorHAnsi"/>
          <w:sz w:val="24"/>
          <w:szCs w:val="24"/>
          <w:shd w:val="clear" w:color="auto" w:fill="FFFFFF"/>
          <w:lang w:val="ro-MD"/>
        </w:rPr>
        <w:t xml:space="preserve"> Cauzele invocate de instituție sunt axate pe: necesitatea de alocare a resurselor financiare pentru identificarea unui </w:t>
      </w:r>
      <w:r w:rsidR="00AA6769">
        <w:rPr>
          <w:rFonts w:asciiTheme="majorHAnsi" w:hAnsiTheme="majorHAnsi" w:cstheme="majorHAnsi"/>
          <w:sz w:val="24"/>
          <w:szCs w:val="24"/>
          <w:shd w:val="clear" w:color="auto" w:fill="FFFFFF"/>
          <w:lang w:val="ro-MD"/>
        </w:rPr>
        <w:t>evaluator, irelevanța</w:t>
      </w:r>
      <w:r w:rsidR="003C0E05" w:rsidRPr="00DD1EAB">
        <w:rPr>
          <w:rFonts w:asciiTheme="majorHAnsi" w:hAnsiTheme="majorHAnsi" w:cstheme="majorHAnsi"/>
          <w:sz w:val="24"/>
          <w:szCs w:val="24"/>
          <w:shd w:val="clear" w:color="auto" w:fill="FFFFFF"/>
          <w:lang w:val="ro-MD"/>
        </w:rPr>
        <w:t xml:space="preserve"> aplicării prevederii respective din Politicile </w:t>
      </w:r>
      <w:r w:rsidR="0034780E">
        <w:rPr>
          <w:rFonts w:asciiTheme="majorHAnsi" w:hAnsiTheme="majorHAnsi" w:cstheme="majorHAnsi"/>
          <w:sz w:val="24"/>
          <w:szCs w:val="24"/>
          <w:shd w:val="clear" w:color="auto" w:fill="FFFFFF"/>
          <w:lang w:val="ro-MD"/>
        </w:rPr>
        <w:t>c</w:t>
      </w:r>
      <w:r w:rsidR="003C0E05" w:rsidRPr="00DD1EAB">
        <w:rPr>
          <w:rFonts w:asciiTheme="majorHAnsi" w:hAnsiTheme="majorHAnsi" w:cstheme="majorHAnsi"/>
          <w:sz w:val="24"/>
          <w:szCs w:val="24"/>
          <w:shd w:val="clear" w:color="auto" w:fill="FFFFFF"/>
          <w:lang w:val="ro-MD"/>
        </w:rPr>
        <w:t>ontabile asupra acestor imobilizări</w:t>
      </w:r>
      <w:r w:rsidR="008656E4">
        <w:rPr>
          <w:rFonts w:asciiTheme="majorHAnsi" w:hAnsiTheme="majorHAnsi" w:cstheme="majorHAnsi"/>
          <w:sz w:val="24"/>
          <w:szCs w:val="24"/>
          <w:shd w:val="clear" w:color="auto" w:fill="FFFFFF"/>
          <w:lang w:val="ro-MD"/>
        </w:rPr>
        <w:t>,</w:t>
      </w:r>
      <w:r w:rsidR="003C0E05" w:rsidRPr="00DD1EAB">
        <w:rPr>
          <w:rFonts w:asciiTheme="majorHAnsi" w:hAnsiTheme="majorHAnsi" w:cstheme="majorHAnsi"/>
          <w:sz w:val="24"/>
          <w:szCs w:val="24"/>
          <w:shd w:val="clear" w:color="auto" w:fill="FFFFFF"/>
          <w:lang w:val="ro-MD"/>
        </w:rPr>
        <w:t xml:space="preserve"> deoarece sunt depășite at</w:t>
      </w:r>
      <w:r w:rsidR="008656E4">
        <w:rPr>
          <w:rFonts w:asciiTheme="majorHAnsi" w:hAnsiTheme="majorHAnsi" w:cstheme="majorHAnsi"/>
          <w:sz w:val="24"/>
          <w:szCs w:val="24"/>
          <w:shd w:val="clear" w:color="auto" w:fill="FFFFFF"/>
          <w:lang w:val="ro-RO"/>
        </w:rPr>
        <w:t>ât</w:t>
      </w:r>
      <w:r w:rsidR="003C0E05" w:rsidRPr="00DD1EAB">
        <w:rPr>
          <w:rFonts w:asciiTheme="majorHAnsi" w:hAnsiTheme="majorHAnsi" w:cstheme="majorHAnsi"/>
          <w:sz w:val="24"/>
          <w:szCs w:val="24"/>
          <w:shd w:val="clear" w:color="auto" w:fill="FFFFFF"/>
          <w:lang w:val="ro-MD"/>
        </w:rPr>
        <w:t xml:space="preserve"> fizic</w:t>
      </w:r>
      <w:r w:rsidR="008656E4">
        <w:rPr>
          <w:rFonts w:asciiTheme="majorHAnsi" w:hAnsiTheme="majorHAnsi" w:cstheme="majorHAnsi"/>
          <w:sz w:val="24"/>
          <w:szCs w:val="24"/>
          <w:shd w:val="clear" w:color="auto" w:fill="FFFFFF"/>
          <w:lang w:val="ro-MD"/>
        </w:rPr>
        <w:t>, câ</w:t>
      </w:r>
      <w:r w:rsidR="003C0E05" w:rsidRPr="00DD1EAB">
        <w:rPr>
          <w:rFonts w:asciiTheme="majorHAnsi" w:hAnsiTheme="majorHAnsi" w:cstheme="majorHAnsi"/>
          <w:sz w:val="24"/>
          <w:szCs w:val="24"/>
          <w:shd w:val="clear" w:color="auto" w:fill="FFFFFF"/>
          <w:lang w:val="ro-MD"/>
        </w:rPr>
        <w:t>t și tehnologic</w:t>
      </w:r>
      <w:r w:rsidR="00914DD7" w:rsidRPr="00DD1EAB">
        <w:rPr>
          <w:rFonts w:asciiTheme="majorHAnsi" w:hAnsiTheme="majorHAnsi" w:cstheme="majorHAnsi"/>
          <w:sz w:val="24"/>
          <w:szCs w:val="24"/>
          <w:shd w:val="clear" w:color="auto" w:fill="FFFFFF"/>
          <w:lang w:val="ro-MD"/>
        </w:rPr>
        <w:t>,</w:t>
      </w:r>
      <w:r w:rsidR="003C0E05" w:rsidRPr="00DD1EAB">
        <w:rPr>
          <w:rFonts w:asciiTheme="majorHAnsi" w:hAnsiTheme="majorHAnsi" w:cstheme="majorHAnsi"/>
          <w:sz w:val="24"/>
          <w:szCs w:val="24"/>
          <w:shd w:val="clear" w:color="auto" w:fill="FFFFFF"/>
          <w:lang w:val="ro-MD"/>
        </w:rPr>
        <w:t xml:space="preserve"> fiind prelu</w:t>
      </w:r>
      <w:r w:rsidR="00F523BF" w:rsidRPr="00DD1EAB">
        <w:rPr>
          <w:rFonts w:asciiTheme="majorHAnsi" w:hAnsiTheme="majorHAnsi" w:cstheme="majorHAnsi"/>
          <w:sz w:val="24"/>
          <w:szCs w:val="24"/>
          <w:shd w:val="clear" w:color="auto" w:fill="FFFFFF"/>
          <w:lang w:val="ro-MD"/>
        </w:rPr>
        <w:t>ate de la predecesorul său</w:t>
      </w:r>
      <w:r w:rsidR="00C9282F" w:rsidRPr="00DD1EAB">
        <w:rPr>
          <w:rFonts w:asciiTheme="majorHAnsi" w:hAnsiTheme="majorHAnsi" w:cstheme="majorHAnsi"/>
          <w:sz w:val="24"/>
          <w:szCs w:val="24"/>
          <w:shd w:val="clear" w:color="auto" w:fill="FFFFFF"/>
          <w:lang w:val="ro-MD"/>
        </w:rPr>
        <w:t xml:space="preserve"> </w:t>
      </w:r>
      <w:r w:rsidR="00F72A8A" w:rsidRPr="00DD1EAB">
        <w:rPr>
          <w:rFonts w:asciiTheme="majorHAnsi" w:hAnsiTheme="majorHAnsi" w:cstheme="majorHAnsi"/>
          <w:sz w:val="24"/>
          <w:szCs w:val="24"/>
          <w:shd w:val="clear" w:color="auto" w:fill="FFFFFF"/>
          <w:lang w:val="ro-MD"/>
        </w:rPr>
        <w:t>(CMAC)</w:t>
      </w:r>
      <w:r w:rsidR="003C0E05" w:rsidRPr="00DD1EAB">
        <w:rPr>
          <w:rFonts w:asciiTheme="majorHAnsi" w:hAnsiTheme="majorHAnsi" w:cstheme="majorHAnsi"/>
          <w:sz w:val="24"/>
          <w:szCs w:val="24"/>
          <w:shd w:val="clear" w:color="auto" w:fill="FFFFFF"/>
          <w:lang w:val="ro-MD"/>
        </w:rPr>
        <w:t xml:space="preserve"> la fondarea ISM.</w:t>
      </w:r>
      <w:r w:rsidR="007E14B4" w:rsidRPr="00DD1EAB">
        <w:rPr>
          <w:rFonts w:asciiTheme="majorHAnsi" w:hAnsiTheme="majorHAnsi" w:cstheme="majorHAnsi"/>
          <w:sz w:val="24"/>
          <w:szCs w:val="24"/>
          <w:shd w:val="clear" w:color="auto" w:fill="FFFFFF"/>
          <w:lang w:val="ro-MD"/>
        </w:rPr>
        <w:t xml:space="preserve"> Explicații  similare au fost prezentate și de către  INM</w:t>
      </w:r>
      <w:r w:rsidR="000A6C7A" w:rsidRPr="00DD1EAB">
        <w:rPr>
          <w:rFonts w:asciiTheme="majorHAnsi" w:hAnsiTheme="majorHAnsi" w:cstheme="majorHAnsi"/>
          <w:sz w:val="24"/>
          <w:szCs w:val="24"/>
          <w:shd w:val="clear" w:color="auto" w:fill="FFFFFF"/>
          <w:lang w:val="ro-MD"/>
        </w:rPr>
        <w:t>,</w:t>
      </w:r>
      <w:r w:rsidR="007E14B4" w:rsidRPr="00DD1EAB">
        <w:rPr>
          <w:rFonts w:asciiTheme="majorHAnsi" w:hAnsiTheme="majorHAnsi" w:cstheme="majorHAnsi"/>
          <w:sz w:val="24"/>
          <w:szCs w:val="24"/>
          <w:shd w:val="clear" w:color="auto" w:fill="FFFFFF"/>
          <w:lang w:val="ro-MD"/>
        </w:rPr>
        <w:t xml:space="preserve"> care  invocă aceleași cauze, </w:t>
      </w:r>
      <w:r w:rsidR="008656E4">
        <w:rPr>
          <w:rFonts w:asciiTheme="majorHAnsi" w:hAnsiTheme="majorHAnsi" w:cstheme="majorHAnsi"/>
          <w:sz w:val="24"/>
          <w:szCs w:val="24"/>
          <w:shd w:val="clear" w:color="auto" w:fill="FFFFFF"/>
          <w:lang w:val="ro-MD"/>
        </w:rPr>
        <w:t>făcâ</w:t>
      </w:r>
      <w:r w:rsidR="00357E22" w:rsidRPr="00DD1EAB">
        <w:rPr>
          <w:rFonts w:asciiTheme="majorHAnsi" w:hAnsiTheme="majorHAnsi" w:cstheme="majorHAnsi"/>
          <w:sz w:val="24"/>
          <w:szCs w:val="24"/>
          <w:shd w:val="clear" w:color="auto" w:fill="FFFFFF"/>
          <w:lang w:val="ro-MD"/>
        </w:rPr>
        <w:t>nd referinț</w:t>
      </w:r>
      <w:r w:rsidR="000A6C7A" w:rsidRPr="00DD1EAB">
        <w:rPr>
          <w:rFonts w:asciiTheme="majorHAnsi" w:hAnsiTheme="majorHAnsi" w:cstheme="majorHAnsi"/>
          <w:sz w:val="24"/>
          <w:szCs w:val="24"/>
          <w:shd w:val="clear" w:color="auto" w:fill="FFFFFF"/>
          <w:lang w:val="ro-MD"/>
        </w:rPr>
        <w:t>ă și la faptul că asemenea prev</w:t>
      </w:r>
      <w:r w:rsidR="00357E22" w:rsidRPr="00DD1EAB">
        <w:rPr>
          <w:rFonts w:asciiTheme="majorHAnsi" w:hAnsiTheme="majorHAnsi" w:cstheme="majorHAnsi"/>
          <w:sz w:val="24"/>
          <w:szCs w:val="24"/>
          <w:shd w:val="clear" w:color="auto" w:fill="FFFFFF"/>
          <w:lang w:val="ro-MD"/>
        </w:rPr>
        <w:t xml:space="preserve">ederi </w:t>
      </w:r>
      <w:r w:rsidR="007E14B4" w:rsidRPr="00DD1EAB">
        <w:rPr>
          <w:rFonts w:asciiTheme="majorHAnsi" w:hAnsiTheme="majorHAnsi" w:cstheme="majorHAnsi"/>
          <w:sz w:val="24"/>
          <w:szCs w:val="24"/>
          <w:shd w:val="clear" w:color="auto" w:fill="FFFFFF"/>
          <w:lang w:val="ro-MD"/>
        </w:rPr>
        <w:t xml:space="preserve"> nu au </w:t>
      </w:r>
      <w:r w:rsidR="000A6C7A" w:rsidRPr="00DD1EAB">
        <w:rPr>
          <w:rFonts w:asciiTheme="majorHAnsi" w:hAnsiTheme="majorHAnsi" w:cstheme="majorHAnsi"/>
          <w:sz w:val="24"/>
          <w:szCs w:val="24"/>
          <w:shd w:val="clear" w:color="auto" w:fill="FFFFFF"/>
          <w:lang w:val="ro-MD"/>
        </w:rPr>
        <w:t xml:space="preserve">fost </w:t>
      </w:r>
      <w:r w:rsidR="007E14B4" w:rsidRPr="00DD1EAB">
        <w:rPr>
          <w:rFonts w:asciiTheme="majorHAnsi" w:hAnsiTheme="majorHAnsi" w:cstheme="majorHAnsi"/>
          <w:sz w:val="24"/>
          <w:szCs w:val="24"/>
          <w:shd w:val="clear" w:color="auto" w:fill="FFFFFF"/>
          <w:lang w:val="ro-MD"/>
        </w:rPr>
        <w:t xml:space="preserve">stabilite </w:t>
      </w:r>
      <w:r w:rsidR="00357E22" w:rsidRPr="00DD1EAB">
        <w:rPr>
          <w:rFonts w:asciiTheme="majorHAnsi" w:hAnsiTheme="majorHAnsi" w:cstheme="majorHAnsi"/>
          <w:sz w:val="24"/>
          <w:szCs w:val="24"/>
          <w:shd w:val="clear" w:color="auto" w:fill="FFFFFF"/>
          <w:lang w:val="ro-MD"/>
        </w:rPr>
        <w:t xml:space="preserve">în Politicile </w:t>
      </w:r>
      <w:r w:rsidR="0034780E">
        <w:rPr>
          <w:rFonts w:asciiTheme="majorHAnsi" w:hAnsiTheme="majorHAnsi" w:cstheme="majorHAnsi"/>
          <w:sz w:val="24"/>
          <w:szCs w:val="24"/>
          <w:shd w:val="clear" w:color="auto" w:fill="FFFFFF"/>
          <w:lang w:val="ro-MD"/>
        </w:rPr>
        <w:t>c</w:t>
      </w:r>
      <w:r w:rsidR="00357E22" w:rsidRPr="00DD1EAB">
        <w:rPr>
          <w:rFonts w:asciiTheme="majorHAnsi" w:hAnsiTheme="majorHAnsi" w:cstheme="majorHAnsi"/>
          <w:sz w:val="24"/>
          <w:szCs w:val="24"/>
          <w:shd w:val="clear" w:color="auto" w:fill="FFFFFF"/>
          <w:lang w:val="ro-MD"/>
        </w:rPr>
        <w:t>ontabile.</w:t>
      </w:r>
      <w:r w:rsidR="007E14B4" w:rsidRPr="00DD1EAB">
        <w:rPr>
          <w:rFonts w:asciiTheme="majorHAnsi" w:hAnsiTheme="majorHAnsi" w:cstheme="majorHAnsi"/>
          <w:sz w:val="24"/>
          <w:szCs w:val="24"/>
          <w:shd w:val="clear" w:color="auto" w:fill="FFFFFF"/>
          <w:lang w:val="ro-MD"/>
        </w:rPr>
        <w:t xml:space="preserve"> </w:t>
      </w:r>
    </w:p>
    <w:p w14:paraId="4B35CF38" w14:textId="2D002C5E" w:rsidR="00516C27" w:rsidRDefault="00516C27" w:rsidP="00DD1EAB">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516C27">
        <w:rPr>
          <w:rFonts w:asciiTheme="majorHAnsi" w:hAnsiTheme="majorHAnsi" w:cstheme="majorHAnsi"/>
          <w:sz w:val="24"/>
          <w:szCs w:val="24"/>
          <w:shd w:val="clear" w:color="auto" w:fill="FFFFFF"/>
          <w:lang w:val="ro-MD"/>
        </w:rPr>
        <w:t xml:space="preserve">În contextul explicațiilor prezentate, auditul atestă o abordare neconformă de către </w:t>
      </w:r>
      <w:r w:rsidR="00C66909">
        <w:rPr>
          <w:rFonts w:asciiTheme="majorHAnsi" w:hAnsiTheme="majorHAnsi" w:cstheme="majorHAnsi"/>
          <w:sz w:val="24"/>
          <w:szCs w:val="24"/>
          <w:shd w:val="clear" w:color="auto" w:fill="FFFFFF"/>
          <w:lang w:val="ro-MD"/>
        </w:rPr>
        <w:t>instituția publică</w:t>
      </w:r>
      <w:r w:rsidRPr="00516C27">
        <w:rPr>
          <w:rFonts w:asciiTheme="majorHAnsi" w:hAnsiTheme="majorHAnsi" w:cstheme="majorHAnsi"/>
          <w:sz w:val="24"/>
          <w:szCs w:val="24"/>
          <w:shd w:val="clear" w:color="auto" w:fill="FFFFFF"/>
          <w:lang w:val="ro-MD"/>
        </w:rPr>
        <w:t xml:space="preserve"> asupra s</w:t>
      </w:r>
      <w:r w:rsidR="00AA6769">
        <w:rPr>
          <w:rFonts w:asciiTheme="majorHAnsi" w:hAnsiTheme="majorHAnsi" w:cstheme="majorHAnsi"/>
          <w:sz w:val="24"/>
          <w:szCs w:val="24"/>
          <w:shd w:val="clear" w:color="auto" w:fill="FFFFFF"/>
          <w:lang w:val="ro-MD"/>
        </w:rPr>
        <w:t>ituației create, deoarece actul</w:t>
      </w:r>
      <w:r w:rsidRPr="00516C27">
        <w:rPr>
          <w:rFonts w:asciiTheme="majorHAnsi" w:hAnsiTheme="majorHAnsi" w:cstheme="majorHAnsi"/>
          <w:sz w:val="24"/>
          <w:szCs w:val="24"/>
          <w:shd w:val="clear" w:color="auto" w:fill="FFFFFF"/>
          <w:lang w:val="ro-MD"/>
        </w:rPr>
        <w:t xml:space="preserve"> normativ </w:t>
      </w:r>
      <w:r w:rsidR="00AA6769">
        <w:rPr>
          <w:rFonts w:asciiTheme="majorHAnsi" w:hAnsiTheme="majorHAnsi" w:cstheme="majorHAnsi"/>
          <w:sz w:val="24"/>
          <w:szCs w:val="24"/>
          <w:shd w:val="clear" w:color="auto" w:fill="FFFFFF"/>
          <w:lang w:val="ro-MD"/>
        </w:rPr>
        <w:t>aplicabil</w:t>
      </w:r>
      <w:r w:rsidRPr="00516C27">
        <w:rPr>
          <w:rFonts w:asciiTheme="majorHAnsi" w:hAnsiTheme="majorHAnsi" w:cstheme="majorHAnsi"/>
          <w:sz w:val="24"/>
          <w:szCs w:val="24"/>
          <w:shd w:val="clear" w:color="auto" w:fill="FFFFFF"/>
          <w:lang w:val="ro-MD"/>
        </w:rPr>
        <w:t xml:space="preserve"> prevede expres acțiuni</w:t>
      </w:r>
      <w:r w:rsidR="00AA6769">
        <w:rPr>
          <w:rFonts w:asciiTheme="majorHAnsi" w:hAnsiTheme="majorHAnsi" w:cstheme="majorHAnsi"/>
          <w:sz w:val="24"/>
          <w:szCs w:val="24"/>
          <w:shd w:val="clear" w:color="auto" w:fill="FFFFFF"/>
          <w:lang w:val="ro-MD"/>
        </w:rPr>
        <w:t>le</w:t>
      </w:r>
      <w:r w:rsidRPr="00516C27">
        <w:rPr>
          <w:rFonts w:asciiTheme="majorHAnsi" w:hAnsiTheme="majorHAnsi" w:cstheme="majorHAnsi"/>
          <w:sz w:val="24"/>
          <w:szCs w:val="24"/>
          <w:shd w:val="clear" w:color="auto" w:fill="FFFFFF"/>
          <w:lang w:val="ro-MD"/>
        </w:rPr>
        <w:t xml:space="preserve"> care urmează a fi realizate în cazul utilizării imobilizărilor corporale amortizate/uzate integral</w:t>
      </w:r>
      <w:r w:rsidRPr="00516C27">
        <w:rPr>
          <w:rStyle w:val="FootnoteReference"/>
          <w:rFonts w:asciiTheme="majorHAnsi" w:hAnsiTheme="majorHAnsi" w:cstheme="majorHAnsi"/>
          <w:szCs w:val="24"/>
          <w:shd w:val="clear" w:color="auto" w:fill="FFFFFF"/>
          <w:lang w:val="ro-MD"/>
        </w:rPr>
        <w:footnoteReference w:id="26"/>
      </w:r>
      <w:r w:rsidRPr="00516C27">
        <w:rPr>
          <w:rFonts w:asciiTheme="majorHAnsi" w:hAnsiTheme="majorHAnsi" w:cstheme="majorHAnsi"/>
          <w:sz w:val="24"/>
          <w:szCs w:val="24"/>
          <w:shd w:val="clear" w:color="auto" w:fill="FFFFFF"/>
          <w:lang w:val="ro-MD"/>
        </w:rPr>
        <w:t>.</w:t>
      </w:r>
    </w:p>
    <w:p w14:paraId="4E36BB02" w14:textId="7AB2E072" w:rsidR="00516C27" w:rsidRPr="00D34074" w:rsidRDefault="00D34074" w:rsidP="00DD1EAB">
      <w:pPr>
        <w:pStyle w:val="ListParagraph"/>
        <w:tabs>
          <w:tab w:val="left" w:pos="270"/>
        </w:tabs>
        <w:spacing w:after="0" w:line="276" w:lineRule="auto"/>
        <w:ind w:left="0" w:firstLine="720"/>
        <w:jc w:val="both"/>
        <w:rPr>
          <w:rFonts w:asciiTheme="majorHAnsi" w:eastAsia="Times New Roman" w:hAnsiTheme="majorHAnsi" w:cstheme="majorHAnsi"/>
          <w:sz w:val="24"/>
          <w:szCs w:val="24"/>
          <w:lang w:eastAsia="ro-RO"/>
        </w:rPr>
      </w:pPr>
      <w:r w:rsidRPr="00DD1EAB">
        <w:rPr>
          <w:rFonts w:asciiTheme="majorHAnsi" w:hAnsiTheme="majorHAnsi" w:cstheme="majorHAnsi"/>
          <w:sz w:val="24"/>
          <w:szCs w:val="24"/>
          <w:shd w:val="clear" w:color="auto" w:fill="FFFFFF"/>
          <w:lang w:val="ro-MD"/>
        </w:rPr>
        <w:t>Prin</w:t>
      </w:r>
      <w:r w:rsidRPr="005439FD">
        <w:rPr>
          <w:rFonts w:asciiTheme="majorHAnsi" w:eastAsia="Times New Roman" w:hAnsiTheme="majorHAnsi" w:cstheme="majorHAnsi"/>
          <w:sz w:val="24"/>
          <w:szCs w:val="24"/>
          <w:lang w:eastAsia="ro-RO"/>
        </w:rPr>
        <w:t xml:space="preserve"> urmare, neajustarea valorii contabile a imobilizărilor corporale și necorporale implicate nemijlocit în procesul tehnologic și amortizate</w:t>
      </w:r>
      <w:r>
        <w:rPr>
          <w:rFonts w:asciiTheme="majorHAnsi" w:eastAsia="Times New Roman" w:hAnsiTheme="majorHAnsi" w:cstheme="majorHAnsi"/>
          <w:sz w:val="24"/>
          <w:szCs w:val="24"/>
          <w:lang w:eastAsia="ro-RO"/>
        </w:rPr>
        <w:t>/uzate</w:t>
      </w:r>
      <w:r w:rsidRPr="005439FD">
        <w:rPr>
          <w:rFonts w:asciiTheme="majorHAnsi" w:eastAsia="Times New Roman" w:hAnsiTheme="majorHAnsi" w:cstheme="majorHAnsi"/>
          <w:sz w:val="24"/>
          <w:szCs w:val="24"/>
          <w:lang w:eastAsia="ro-RO"/>
        </w:rPr>
        <w:t xml:space="preserve"> integral, precum și a duratei de funcționare utilă a acestora</w:t>
      </w:r>
      <w:r>
        <w:rPr>
          <w:rFonts w:asciiTheme="majorHAnsi" w:eastAsia="Times New Roman" w:hAnsiTheme="majorHAnsi" w:cstheme="majorHAnsi"/>
          <w:sz w:val="24"/>
          <w:szCs w:val="24"/>
          <w:lang w:eastAsia="ro-RO"/>
        </w:rPr>
        <w:t xml:space="preserve"> determină</w:t>
      </w:r>
      <w:r w:rsidRPr="005439FD">
        <w:rPr>
          <w:rFonts w:asciiTheme="majorHAnsi" w:eastAsia="Times New Roman" w:hAnsiTheme="majorHAnsi" w:cstheme="majorHAnsi"/>
          <w:sz w:val="24"/>
          <w:szCs w:val="24"/>
          <w:lang w:eastAsia="ro-RO"/>
        </w:rPr>
        <w:t xml:space="preserve"> n</w:t>
      </w:r>
      <w:r>
        <w:rPr>
          <w:rFonts w:asciiTheme="majorHAnsi" w:eastAsia="Times New Roman" w:hAnsiTheme="majorHAnsi" w:cstheme="majorHAnsi"/>
          <w:sz w:val="24"/>
          <w:szCs w:val="24"/>
          <w:lang w:eastAsia="ro-RO"/>
        </w:rPr>
        <w:t>ereflectarea reală a</w:t>
      </w:r>
      <w:r w:rsidRPr="005439FD">
        <w:rPr>
          <w:rFonts w:asciiTheme="majorHAnsi" w:eastAsia="Times New Roman" w:hAnsiTheme="majorHAnsi" w:cstheme="majorHAnsi"/>
          <w:sz w:val="24"/>
          <w:szCs w:val="24"/>
          <w:lang w:eastAsia="ro-RO"/>
        </w:rPr>
        <w:t xml:space="preserve"> valo</w:t>
      </w:r>
      <w:r>
        <w:rPr>
          <w:rFonts w:asciiTheme="majorHAnsi" w:eastAsia="Times New Roman" w:hAnsiTheme="majorHAnsi" w:cstheme="majorHAnsi"/>
          <w:sz w:val="24"/>
          <w:szCs w:val="24"/>
          <w:lang w:eastAsia="ro-RO"/>
        </w:rPr>
        <w:t>rii</w:t>
      </w:r>
      <w:r w:rsidRPr="005439FD">
        <w:rPr>
          <w:rFonts w:asciiTheme="majorHAnsi" w:eastAsia="Times New Roman" w:hAnsiTheme="majorHAnsi" w:cstheme="majorHAnsi"/>
          <w:sz w:val="24"/>
          <w:szCs w:val="24"/>
          <w:lang w:eastAsia="ro-RO"/>
        </w:rPr>
        <w:t xml:space="preserve"> concret</w:t>
      </w:r>
      <w:r>
        <w:rPr>
          <w:rFonts w:asciiTheme="majorHAnsi" w:eastAsia="Times New Roman" w:hAnsiTheme="majorHAnsi" w:cstheme="majorHAnsi"/>
          <w:sz w:val="24"/>
          <w:szCs w:val="24"/>
          <w:lang w:eastAsia="ro-RO"/>
        </w:rPr>
        <w:t>e</w:t>
      </w:r>
      <w:r w:rsidR="00846DA1">
        <w:rPr>
          <w:rFonts w:asciiTheme="majorHAnsi" w:eastAsia="Times New Roman" w:hAnsiTheme="majorHAnsi" w:cstheme="majorHAnsi"/>
          <w:sz w:val="24"/>
          <w:szCs w:val="24"/>
          <w:lang w:eastAsia="ro-RO"/>
        </w:rPr>
        <w:t xml:space="preserve"> a activelor instituțiilor</w:t>
      </w:r>
      <w:r>
        <w:rPr>
          <w:rFonts w:asciiTheme="majorHAnsi" w:eastAsia="Times New Roman" w:hAnsiTheme="majorHAnsi" w:cstheme="majorHAnsi"/>
          <w:sz w:val="24"/>
          <w:szCs w:val="24"/>
          <w:lang w:eastAsia="ro-RO"/>
        </w:rPr>
        <w:t>,</w:t>
      </w:r>
      <w:r w:rsidRPr="005439FD">
        <w:rPr>
          <w:rFonts w:asciiTheme="majorHAnsi" w:eastAsia="Times New Roman" w:hAnsiTheme="majorHAnsi" w:cstheme="majorHAnsi"/>
          <w:sz w:val="24"/>
          <w:szCs w:val="24"/>
          <w:lang w:eastAsia="ro-RO"/>
        </w:rPr>
        <w:t xml:space="preserve"> dar și</w:t>
      </w:r>
      <w:r>
        <w:rPr>
          <w:rFonts w:asciiTheme="majorHAnsi" w:eastAsia="Times New Roman" w:hAnsiTheme="majorHAnsi" w:cstheme="majorHAnsi"/>
          <w:sz w:val="24"/>
          <w:szCs w:val="24"/>
          <w:lang w:eastAsia="ro-RO"/>
        </w:rPr>
        <w:t xml:space="preserve"> a impactului asupra costului serviciilor prestate.</w:t>
      </w:r>
    </w:p>
    <w:p w14:paraId="718E08F0" w14:textId="09004126" w:rsidR="00083D35" w:rsidRPr="00F561D7" w:rsidRDefault="00CD5BFE" w:rsidP="007E002D">
      <w:pPr>
        <w:pStyle w:val="ListParagraph"/>
        <w:numPr>
          <w:ilvl w:val="3"/>
          <w:numId w:val="38"/>
        </w:numPr>
        <w:tabs>
          <w:tab w:val="left" w:pos="0"/>
        </w:tabs>
        <w:spacing w:after="0" w:line="276" w:lineRule="auto"/>
        <w:ind w:left="0" w:firstLine="0"/>
        <w:contextualSpacing w:val="0"/>
        <w:jc w:val="both"/>
        <w:outlineLvl w:val="0"/>
        <w:rPr>
          <w:rFonts w:asciiTheme="majorHAnsi" w:hAnsiTheme="majorHAnsi" w:cstheme="majorHAnsi"/>
          <w:b/>
          <w:i/>
          <w:sz w:val="24"/>
          <w:szCs w:val="24"/>
          <w:lang w:val="ro-MD"/>
        </w:rPr>
      </w:pPr>
      <w:bookmarkStart w:id="126" w:name="_Toc123116710"/>
      <w:r w:rsidRPr="00F561D7">
        <w:rPr>
          <w:rFonts w:asciiTheme="majorHAnsi" w:hAnsiTheme="majorHAnsi" w:cstheme="majorHAnsi"/>
          <w:b/>
          <w:i/>
          <w:sz w:val="24"/>
          <w:szCs w:val="24"/>
          <w:lang w:val="ro-MD"/>
        </w:rPr>
        <w:t>Neaplicarea reglementărilor aferente imobilizărilor corporale neutilizate în activitatea operațională nu contribuie la raportarea conformă a patrimoniului gestionat.</w:t>
      </w:r>
      <w:bookmarkEnd w:id="126"/>
    </w:p>
    <w:p w14:paraId="6F591B6A" w14:textId="3B596E80" w:rsidR="00072AC2" w:rsidRDefault="00072AC2" w:rsidP="00DB09AA">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sidRPr="00072AC2">
        <w:rPr>
          <w:rFonts w:asciiTheme="majorHAnsi" w:hAnsiTheme="majorHAnsi" w:cstheme="majorHAnsi"/>
          <w:sz w:val="24"/>
          <w:szCs w:val="24"/>
          <w:shd w:val="clear" w:color="auto" w:fill="FFFFFF"/>
          <w:lang w:val="ro-MD"/>
        </w:rPr>
        <w:t>Im</w:t>
      </w:r>
      <w:r w:rsidR="008656E4">
        <w:rPr>
          <w:rFonts w:asciiTheme="majorHAnsi" w:hAnsiTheme="majorHAnsi" w:cstheme="majorHAnsi"/>
          <w:sz w:val="24"/>
          <w:szCs w:val="24"/>
          <w:shd w:val="clear" w:color="auto" w:fill="FFFFFF"/>
          <w:lang w:val="ro-MD"/>
        </w:rPr>
        <w:t>obilizările corporale care nu su</w:t>
      </w:r>
      <w:r w:rsidRPr="00072AC2">
        <w:rPr>
          <w:rFonts w:asciiTheme="majorHAnsi" w:hAnsiTheme="majorHAnsi" w:cstheme="majorHAnsi"/>
          <w:sz w:val="24"/>
          <w:szCs w:val="24"/>
          <w:shd w:val="clear" w:color="auto" w:fill="FFFFFF"/>
          <w:lang w:val="ro-MD"/>
        </w:rPr>
        <w:t>nt utilizate din diferite motive şi/sau care nu se supun restabilirii se includ într-o listă de inventariere separată</w:t>
      </w:r>
      <w:r w:rsidR="008656E4">
        <w:rPr>
          <w:rFonts w:asciiTheme="majorHAnsi" w:hAnsiTheme="majorHAnsi" w:cstheme="majorHAnsi"/>
          <w:sz w:val="24"/>
          <w:szCs w:val="24"/>
          <w:shd w:val="clear" w:color="auto" w:fill="FFFFFF"/>
          <w:lang w:val="ro-MD"/>
        </w:rPr>
        <w:t>,</w:t>
      </w:r>
      <w:r w:rsidRPr="00072AC2">
        <w:rPr>
          <w:rFonts w:asciiTheme="majorHAnsi" w:hAnsiTheme="majorHAnsi" w:cstheme="majorHAnsi"/>
          <w:sz w:val="24"/>
          <w:szCs w:val="24"/>
          <w:shd w:val="clear" w:color="auto" w:fill="FFFFFF"/>
          <w:lang w:val="ro-MD"/>
        </w:rPr>
        <w:t xml:space="preserve"> cu indicarea motivelor care au cauzat neutilizarea lor (deteriorarea, uzura completă etc.) şi se transmit comisiei centrale, după caz, sau conducătorului entităţii, cu în</w:t>
      </w:r>
      <w:r w:rsidR="008656E4">
        <w:rPr>
          <w:rFonts w:asciiTheme="majorHAnsi" w:hAnsiTheme="majorHAnsi" w:cstheme="majorHAnsi"/>
          <w:sz w:val="24"/>
          <w:szCs w:val="24"/>
          <w:shd w:val="clear" w:color="auto" w:fill="FFFFFF"/>
          <w:lang w:val="ro-MD"/>
        </w:rPr>
        <w:t>aintarea propunerilor privind vâ</w:t>
      </w:r>
      <w:r w:rsidRPr="00072AC2">
        <w:rPr>
          <w:rFonts w:asciiTheme="majorHAnsi" w:hAnsiTheme="majorHAnsi" w:cstheme="majorHAnsi"/>
          <w:sz w:val="24"/>
          <w:szCs w:val="24"/>
          <w:shd w:val="clear" w:color="auto" w:fill="FFFFFF"/>
          <w:lang w:val="ro-MD"/>
        </w:rPr>
        <w:t>nzarea, casarea sau reutilarea acestora</w:t>
      </w:r>
      <w:r>
        <w:rPr>
          <w:rStyle w:val="FootnoteReference"/>
          <w:rFonts w:asciiTheme="majorHAnsi" w:hAnsiTheme="majorHAnsi" w:cstheme="majorHAnsi"/>
          <w:szCs w:val="24"/>
          <w:shd w:val="clear" w:color="auto" w:fill="FFFFFF"/>
          <w:lang w:val="ro-MD"/>
        </w:rPr>
        <w:footnoteReference w:id="27"/>
      </w:r>
      <w:r w:rsidR="00BD5C8E">
        <w:rPr>
          <w:rFonts w:asciiTheme="majorHAnsi" w:hAnsiTheme="majorHAnsi" w:cstheme="majorHAnsi"/>
          <w:sz w:val="24"/>
          <w:szCs w:val="24"/>
          <w:shd w:val="clear" w:color="auto" w:fill="FFFFFF"/>
          <w:lang w:val="ro-MD"/>
        </w:rPr>
        <w:t>.</w:t>
      </w:r>
    </w:p>
    <w:p w14:paraId="54E9F2EA" w14:textId="79AA6725" w:rsidR="005B6A34" w:rsidRDefault="0084661D" w:rsidP="00DB09AA">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Probele de audit acumulate denotă că</w:t>
      </w:r>
      <w:r w:rsidR="00013297">
        <w:rPr>
          <w:rFonts w:asciiTheme="majorHAnsi" w:hAnsiTheme="majorHAnsi" w:cstheme="majorHAnsi"/>
          <w:sz w:val="24"/>
          <w:szCs w:val="24"/>
          <w:shd w:val="clear" w:color="auto" w:fill="FFFFFF"/>
          <w:lang w:val="ro-MD"/>
        </w:rPr>
        <w:t>,</w:t>
      </w:r>
      <w:r w:rsidR="00013297" w:rsidRPr="00013297">
        <w:rPr>
          <w:rFonts w:asciiTheme="majorHAnsi" w:hAnsiTheme="majorHAnsi" w:cstheme="majorHAnsi"/>
          <w:sz w:val="24"/>
          <w:szCs w:val="24"/>
          <w:shd w:val="clear" w:color="auto" w:fill="FFFFFF"/>
          <w:lang w:val="ro-MD"/>
        </w:rPr>
        <w:t xml:space="preserve"> </w:t>
      </w:r>
      <w:r w:rsidR="0039123E">
        <w:rPr>
          <w:rFonts w:asciiTheme="majorHAnsi" w:hAnsiTheme="majorHAnsi" w:cstheme="majorHAnsi"/>
          <w:sz w:val="24"/>
          <w:szCs w:val="24"/>
          <w:shd w:val="clear" w:color="auto" w:fill="FFFFFF"/>
          <w:lang w:val="ro-MD"/>
        </w:rPr>
        <w:t xml:space="preserve">la situația </w:t>
      </w:r>
      <w:r w:rsidR="00CB4BE8">
        <w:rPr>
          <w:rFonts w:asciiTheme="majorHAnsi" w:hAnsiTheme="majorHAnsi" w:cstheme="majorHAnsi"/>
          <w:sz w:val="24"/>
          <w:szCs w:val="24"/>
          <w:shd w:val="clear" w:color="auto" w:fill="FFFFFF"/>
          <w:lang w:val="ro-MD"/>
        </w:rPr>
        <w:t xml:space="preserve">din </w:t>
      </w:r>
      <w:r w:rsidR="00013297">
        <w:rPr>
          <w:rFonts w:asciiTheme="majorHAnsi" w:hAnsiTheme="majorHAnsi" w:cstheme="majorHAnsi"/>
          <w:sz w:val="24"/>
          <w:szCs w:val="24"/>
          <w:shd w:val="clear" w:color="auto" w:fill="FFFFFF"/>
          <w:lang w:val="ro-MD"/>
        </w:rPr>
        <w:t>31 decemb</w:t>
      </w:r>
      <w:r w:rsidR="0034780E">
        <w:rPr>
          <w:rFonts w:asciiTheme="majorHAnsi" w:hAnsiTheme="majorHAnsi" w:cstheme="majorHAnsi"/>
          <w:sz w:val="24"/>
          <w:szCs w:val="24"/>
          <w:shd w:val="clear" w:color="auto" w:fill="FFFFFF"/>
          <w:lang w:val="ro-MD"/>
        </w:rPr>
        <w:t>r</w:t>
      </w:r>
      <w:r w:rsidR="00013297">
        <w:rPr>
          <w:rFonts w:asciiTheme="majorHAnsi" w:hAnsiTheme="majorHAnsi" w:cstheme="majorHAnsi"/>
          <w:sz w:val="24"/>
          <w:szCs w:val="24"/>
          <w:shd w:val="clear" w:color="auto" w:fill="FFFFFF"/>
          <w:lang w:val="ro-MD"/>
        </w:rPr>
        <w:t xml:space="preserve">ie 2021, </w:t>
      </w:r>
      <w:r w:rsidR="00552A7F">
        <w:rPr>
          <w:rFonts w:asciiTheme="majorHAnsi" w:hAnsiTheme="majorHAnsi" w:cstheme="majorHAnsi"/>
          <w:sz w:val="24"/>
          <w:szCs w:val="24"/>
          <w:shd w:val="clear" w:color="auto" w:fill="FFFFFF"/>
          <w:lang w:val="ro-MD"/>
        </w:rPr>
        <w:t xml:space="preserve"> unele </w:t>
      </w:r>
      <w:r w:rsidR="00CB4BE8">
        <w:rPr>
          <w:rFonts w:asciiTheme="majorHAnsi" w:hAnsiTheme="majorHAnsi" w:cstheme="majorHAnsi"/>
          <w:sz w:val="24"/>
          <w:szCs w:val="24"/>
          <w:shd w:val="clear" w:color="auto" w:fill="FFFFFF"/>
          <w:lang w:val="ro-MD"/>
        </w:rPr>
        <w:t>i</w:t>
      </w:r>
      <w:r w:rsidR="00552A7F">
        <w:rPr>
          <w:rFonts w:asciiTheme="majorHAnsi" w:hAnsiTheme="majorHAnsi" w:cstheme="majorHAnsi"/>
          <w:sz w:val="24"/>
          <w:szCs w:val="24"/>
          <w:shd w:val="clear" w:color="auto" w:fill="FFFFFF"/>
          <w:lang w:val="ro-MD"/>
        </w:rPr>
        <w:t>nstituții</w:t>
      </w:r>
      <w:r w:rsidR="00013297">
        <w:rPr>
          <w:rFonts w:asciiTheme="majorHAnsi" w:hAnsiTheme="majorHAnsi" w:cstheme="majorHAnsi"/>
          <w:sz w:val="24"/>
          <w:szCs w:val="24"/>
          <w:shd w:val="clear" w:color="auto" w:fill="FFFFFF"/>
          <w:lang w:val="ro-MD"/>
        </w:rPr>
        <w:t xml:space="preserve"> </w:t>
      </w:r>
      <w:r w:rsidR="00CB4BE8">
        <w:rPr>
          <w:rFonts w:asciiTheme="majorHAnsi" w:hAnsiTheme="majorHAnsi" w:cstheme="majorHAnsi"/>
          <w:sz w:val="24"/>
          <w:szCs w:val="24"/>
          <w:shd w:val="clear" w:color="auto" w:fill="FFFFFF"/>
          <w:lang w:val="ro-MD"/>
        </w:rPr>
        <w:t>p</w:t>
      </w:r>
      <w:r w:rsidR="00013297">
        <w:rPr>
          <w:rFonts w:asciiTheme="majorHAnsi" w:hAnsiTheme="majorHAnsi" w:cstheme="majorHAnsi"/>
          <w:sz w:val="24"/>
          <w:szCs w:val="24"/>
          <w:shd w:val="clear" w:color="auto" w:fill="FFFFFF"/>
          <w:lang w:val="ro-MD"/>
        </w:rPr>
        <w:t>ublice</w:t>
      </w:r>
      <w:r>
        <w:rPr>
          <w:rFonts w:asciiTheme="majorHAnsi" w:hAnsiTheme="majorHAnsi" w:cstheme="majorHAnsi"/>
          <w:sz w:val="24"/>
          <w:szCs w:val="24"/>
          <w:shd w:val="clear" w:color="auto" w:fill="FFFFFF"/>
          <w:lang w:val="ro-MD"/>
        </w:rPr>
        <w:t xml:space="preserve"> </w:t>
      </w:r>
      <w:r w:rsidR="00013297">
        <w:rPr>
          <w:rFonts w:asciiTheme="majorHAnsi" w:hAnsiTheme="majorHAnsi" w:cstheme="majorHAnsi"/>
          <w:sz w:val="24"/>
          <w:szCs w:val="24"/>
          <w:shd w:val="clear" w:color="auto" w:fill="FFFFFF"/>
          <w:lang w:val="ro-MD"/>
        </w:rPr>
        <w:t xml:space="preserve">dețin  </w:t>
      </w:r>
      <w:r w:rsidR="00414419">
        <w:rPr>
          <w:rFonts w:asciiTheme="majorHAnsi" w:hAnsiTheme="majorHAnsi" w:cstheme="majorHAnsi"/>
          <w:sz w:val="24"/>
          <w:szCs w:val="24"/>
          <w:shd w:val="clear" w:color="auto" w:fill="FFFFFF"/>
          <w:lang w:val="ro-MD"/>
        </w:rPr>
        <w:t>imobilizări corporale amortizate 100%</w:t>
      </w:r>
      <w:r w:rsidR="005B6A34">
        <w:rPr>
          <w:rFonts w:asciiTheme="majorHAnsi" w:hAnsiTheme="majorHAnsi" w:cstheme="majorHAnsi"/>
          <w:sz w:val="24"/>
          <w:szCs w:val="24"/>
          <w:shd w:val="clear" w:color="auto" w:fill="FFFFFF"/>
          <w:lang w:val="ro-MD"/>
        </w:rPr>
        <w:t xml:space="preserve"> </w:t>
      </w:r>
      <w:r w:rsidR="00414419">
        <w:rPr>
          <w:rFonts w:asciiTheme="majorHAnsi" w:hAnsiTheme="majorHAnsi" w:cstheme="majorHAnsi"/>
          <w:sz w:val="24"/>
          <w:szCs w:val="24"/>
          <w:shd w:val="clear" w:color="auto" w:fill="FFFFFF"/>
          <w:lang w:val="ro-MD"/>
        </w:rPr>
        <w:t>(cu</w:t>
      </w:r>
      <w:r w:rsidR="005B6A34">
        <w:rPr>
          <w:rFonts w:asciiTheme="majorHAnsi" w:hAnsiTheme="majorHAnsi" w:cstheme="majorHAnsi"/>
          <w:sz w:val="24"/>
          <w:szCs w:val="24"/>
          <w:shd w:val="clear" w:color="auto" w:fill="FFFFFF"/>
          <w:lang w:val="ro-MD"/>
        </w:rPr>
        <w:t xml:space="preserve">  valoarea inițială  de</w:t>
      </w:r>
      <w:r w:rsidR="008E6148">
        <w:rPr>
          <w:rFonts w:asciiTheme="majorHAnsi" w:hAnsiTheme="majorHAnsi" w:cstheme="majorHAnsi"/>
          <w:sz w:val="24"/>
          <w:szCs w:val="24"/>
          <w:shd w:val="clear" w:color="auto" w:fill="FFFFFF"/>
          <w:lang w:val="ro-MD"/>
        </w:rPr>
        <w:t xml:space="preserve"> </w:t>
      </w:r>
      <w:r w:rsidR="000912E1">
        <w:rPr>
          <w:rFonts w:asciiTheme="majorHAnsi" w:hAnsiTheme="majorHAnsi" w:cstheme="majorHAnsi"/>
          <w:sz w:val="24"/>
          <w:szCs w:val="24"/>
          <w:shd w:val="clear" w:color="auto" w:fill="FFFFFF"/>
          <w:lang w:val="ro-MD"/>
        </w:rPr>
        <w:t>594,04</w:t>
      </w:r>
      <w:r w:rsidR="008E6148" w:rsidRPr="008E6148">
        <w:rPr>
          <w:rFonts w:asciiTheme="majorHAnsi" w:hAnsiTheme="majorHAnsi" w:cstheme="majorHAnsi"/>
          <w:sz w:val="24"/>
          <w:szCs w:val="24"/>
          <w:shd w:val="clear" w:color="auto" w:fill="FFFFFF"/>
          <w:lang w:val="ro-MD"/>
        </w:rPr>
        <w:t xml:space="preserve"> mii lei</w:t>
      </w:r>
      <w:r w:rsidR="00D80F8F" w:rsidRPr="008E6148">
        <w:rPr>
          <w:rStyle w:val="FootnoteReference"/>
          <w:rFonts w:asciiTheme="majorHAnsi" w:hAnsiTheme="majorHAnsi" w:cstheme="majorHAnsi"/>
          <w:szCs w:val="24"/>
          <w:shd w:val="clear" w:color="auto" w:fill="FFFFFF"/>
          <w:lang w:val="ro-MD"/>
        </w:rPr>
        <w:footnoteReference w:id="28"/>
      </w:r>
      <w:r w:rsidRPr="008E6148">
        <w:rPr>
          <w:rFonts w:asciiTheme="majorHAnsi" w:hAnsiTheme="majorHAnsi" w:cstheme="majorHAnsi"/>
          <w:sz w:val="24"/>
          <w:szCs w:val="24"/>
          <w:shd w:val="clear" w:color="auto" w:fill="FFFFFF"/>
          <w:lang w:val="ro-MD"/>
        </w:rPr>
        <w:t xml:space="preserve"> </w:t>
      </w:r>
      <w:r w:rsidR="00414419" w:rsidRPr="008E6148">
        <w:rPr>
          <w:rFonts w:asciiTheme="majorHAnsi" w:hAnsiTheme="majorHAnsi" w:cstheme="majorHAnsi"/>
          <w:sz w:val="24"/>
          <w:szCs w:val="24"/>
          <w:shd w:val="clear" w:color="auto" w:fill="FFFFFF"/>
          <w:lang w:val="ro-MD"/>
        </w:rPr>
        <w:t>),</w:t>
      </w:r>
      <w:r w:rsidR="00414419">
        <w:rPr>
          <w:rFonts w:asciiTheme="majorHAnsi" w:hAnsiTheme="majorHAnsi" w:cstheme="majorHAnsi"/>
          <w:sz w:val="24"/>
          <w:szCs w:val="24"/>
          <w:shd w:val="clear" w:color="auto" w:fill="FFFFFF"/>
          <w:lang w:val="ro-MD"/>
        </w:rPr>
        <w:t xml:space="preserve"> </w:t>
      </w:r>
      <w:r w:rsidR="005B6A34">
        <w:rPr>
          <w:rFonts w:asciiTheme="majorHAnsi" w:hAnsiTheme="majorHAnsi" w:cstheme="majorHAnsi"/>
          <w:sz w:val="24"/>
          <w:szCs w:val="24"/>
          <w:shd w:val="clear" w:color="auto" w:fill="FFFFFF"/>
          <w:lang w:val="ro-MD"/>
        </w:rPr>
        <w:t>care</w:t>
      </w:r>
      <w:r>
        <w:rPr>
          <w:rFonts w:asciiTheme="majorHAnsi" w:hAnsiTheme="majorHAnsi" w:cstheme="majorHAnsi"/>
          <w:sz w:val="24"/>
          <w:szCs w:val="24"/>
          <w:shd w:val="clear" w:color="auto" w:fill="FFFFFF"/>
          <w:lang w:val="ro-MD"/>
        </w:rPr>
        <w:t xml:space="preserve"> nu sunt utilizate în activitatea ope</w:t>
      </w:r>
      <w:r w:rsidR="00CB4BE8">
        <w:rPr>
          <w:rFonts w:asciiTheme="majorHAnsi" w:hAnsiTheme="majorHAnsi" w:cstheme="majorHAnsi"/>
          <w:sz w:val="24"/>
          <w:szCs w:val="24"/>
          <w:shd w:val="clear" w:color="auto" w:fill="FFFFFF"/>
          <w:lang w:val="ro-MD"/>
        </w:rPr>
        <w:t>ra</w:t>
      </w:r>
      <w:r>
        <w:rPr>
          <w:rFonts w:asciiTheme="majorHAnsi" w:hAnsiTheme="majorHAnsi" w:cstheme="majorHAnsi"/>
          <w:sz w:val="24"/>
          <w:szCs w:val="24"/>
          <w:shd w:val="clear" w:color="auto" w:fill="FFFFFF"/>
          <w:lang w:val="ro-MD"/>
        </w:rPr>
        <w:t>țională</w:t>
      </w:r>
      <w:r w:rsidR="00013297">
        <w:rPr>
          <w:rFonts w:asciiTheme="majorHAnsi" w:hAnsiTheme="majorHAnsi" w:cstheme="majorHAnsi"/>
          <w:sz w:val="24"/>
          <w:szCs w:val="24"/>
          <w:shd w:val="clear" w:color="auto" w:fill="FFFFFF"/>
          <w:lang w:val="ro-MD"/>
        </w:rPr>
        <w:t>.</w:t>
      </w:r>
      <w:r w:rsidR="00297184">
        <w:rPr>
          <w:rFonts w:asciiTheme="majorHAnsi" w:hAnsiTheme="majorHAnsi" w:cstheme="majorHAnsi"/>
          <w:sz w:val="24"/>
          <w:szCs w:val="24"/>
          <w:shd w:val="clear" w:color="auto" w:fill="FFFFFF"/>
          <w:lang w:val="ro-MD"/>
        </w:rPr>
        <w:t xml:space="preserve"> Deși informații</w:t>
      </w:r>
      <w:r w:rsidR="0093278F">
        <w:rPr>
          <w:rFonts w:asciiTheme="majorHAnsi" w:hAnsiTheme="majorHAnsi" w:cstheme="majorHAnsi"/>
          <w:sz w:val="24"/>
          <w:szCs w:val="24"/>
          <w:shd w:val="clear" w:color="auto" w:fill="FFFFFF"/>
          <w:lang w:val="ro-MD"/>
        </w:rPr>
        <w:t>le</w:t>
      </w:r>
      <w:r w:rsidR="00297184">
        <w:rPr>
          <w:rFonts w:asciiTheme="majorHAnsi" w:hAnsiTheme="majorHAnsi" w:cstheme="majorHAnsi"/>
          <w:sz w:val="24"/>
          <w:szCs w:val="24"/>
          <w:shd w:val="clear" w:color="auto" w:fill="FFFFFF"/>
          <w:lang w:val="ro-MD"/>
        </w:rPr>
        <w:t xml:space="preserve"> relevante aferente acestor imobilizări corporale se regăsesc în anexele la procesul</w:t>
      </w:r>
      <w:r w:rsidR="00CB4BE8">
        <w:rPr>
          <w:rFonts w:asciiTheme="majorHAnsi" w:hAnsiTheme="majorHAnsi" w:cstheme="majorHAnsi"/>
          <w:sz w:val="24"/>
          <w:szCs w:val="24"/>
          <w:shd w:val="clear" w:color="auto" w:fill="FFFFFF"/>
          <w:lang w:val="ro-MD"/>
        </w:rPr>
        <w:t>-</w:t>
      </w:r>
      <w:r w:rsidR="00297184">
        <w:rPr>
          <w:rFonts w:asciiTheme="majorHAnsi" w:hAnsiTheme="majorHAnsi" w:cstheme="majorHAnsi"/>
          <w:sz w:val="24"/>
          <w:szCs w:val="24"/>
          <w:shd w:val="clear" w:color="auto" w:fill="FFFFFF"/>
          <w:lang w:val="ro-MD"/>
        </w:rPr>
        <w:t>verbal privind rezultatele inventarierii anuale,  managementul instituțional  nu a întreprins acțiuni de v</w:t>
      </w:r>
      <w:r w:rsidR="008656E4">
        <w:rPr>
          <w:rFonts w:asciiTheme="majorHAnsi" w:hAnsiTheme="majorHAnsi" w:cstheme="majorHAnsi"/>
          <w:sz w:val="24"/>
          <w:szCs w:val="24"/>
          <w:shd w:val="clear" w:color="auto" w:fill="FFFFFF"/>
          <w:lang w:val="ro-MD"/>
        </w:rPr>
        <w:t>â</w:t>
      </w:r>
      <w:r w:rsidR="00297184">
        <w:rPr>
          <w:rFonts w:asciiTheme="majorHAnsi" w:hAnsiTheme="majorHAnsi" w:cstheme="majorHAnsi"/>
          <w:sz w:val="24"/>
          <w:szCs w:val="24"/>
          <w:shd w:val="clear" w:color="auto" w:fill="FFFFFF"/>
          <w:lang w:val="ro-MD"/>
        </w:rPr>
        <w:t>nzare, casare sau reutilare a</w:t>
      </w:r>
      <w:r w:rsidR="00CB4BE8">
        <w:rPr>
          <w:rFonts w:asciiTheme="majorHAnsi" w:hAnsiTheme="majorHAnsi" w:cstheme="majorHAnsi"/>
          <w:sz w:val="24"/>
          <w:szCs w:val="24"/>
          <w:shd w:val="clear" w:color="auto" w:fill="FFFFFF"/>
          <w:lang w:val="ro-MD"/>
        </w:rPr>
        <w:t xml:space="preserve"> </w:t>
      </w:r>
      <w:r w:rsidR="00297184">
        <w:rPr>
          <w:rFonts w:asciiTheme="majorHAnsi" w:hAnsiTheme="majorHAnsi" w:cstheme="majorHAnsi"/>
          <w:sz w:val="24"/>
          <w:szCs w:val="24"/>
          <w:shd w:val="clear" w:color="auto" w:fill="FFFFFF"/>
          <w:lang w:val="ro-MD"/>
        </w:rPr>
        <w:t xml:space="preserve"> acestora</w:t>
      </w:r>
      <w:r w:rsidR="0039123E">
        <w:rPr>
          <w:rFonts w:asciiTheme="majorHAnsi" w:hAnsiTheme="majorHAnsi" w:cstheme="majorHAnsi"/>
          <w:sz w:val="24"/>
          <w:szCs w:val="24"/>
          <w:shd w:val="clear" w:color="auto" w:fill="FFFFFF"/>
          <w:lang w:val="ro-MD"/>
        </w:rPr>
        <w:t>.</w:t>
      </w:r>
    </w:p>
    <w:p w14:paraId="2EA1CE5C" w14:textId="19440269" w:rsidR="00EE78F7" w:rsidRDefault="002530BD" w:rsidP="00DB09AA">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Neconformarea</w:t>
      </w:r>
      <w:r w:rsidR="0039123E">
        <w:rPr>
          <w:rFonts w:asciiTheme="majorHAnsi" w:hAnsiTheme="majorHAnsi" w:cstheme="majorHAnsi"/>
          <w:sz w:val="24"/>
          <w:szCs w:val="24"/>
          <w:shd w:val="clear" w:color="auto" w:fill="FFFFFF"/>
          <w:lang w:val="ro-MD"/>
        </w:rPr>
        <w:t xml:space="preserve"> responsabililor</w:t>
      </w:r>
      <w:r>
        <w:rPr>
          <w:rFonts w:asciiTheme="majorHAnsi" w:hAnsiTheme="majorHAnsi" w:cstheme="majorHAnsi"/>
          <w:sz w:val="24"/>
          <w:szCs w:val="24"/>
          <w:shd w:val="clear" w:color="auto" w:fill="FFFFFF"/>
          <w:lang w:val="ro-MD"/>
        </w:rPr>
        <w:t xml:space="preserve"> la prevederile cadrului normativ aferent </w:t>
      </w:r>
      <w:r w:rsidRPr="002530BD">
        <w:rPr>
          <w:rFonts w:asciiTheme="majorHAnsi" w:hAnsiTheme="majorHAnsi" w:cstheme="majorHAnsi"/>
          <w:sz w:val="24"/>
          <w:szCs w:val="24"/>
          <w:shd w:val="clear" w:color="auto" w:fill="FFFFFF"/>
          <w:lang w:val="ro-MD"/>
        </w:rPr>
        <w:t>condiționează consumul neconcludent al resurselor financiare, umane și de timp ale instituției în procesul de inventariere a bunurilor propriu-zise</w:t>
      </w:r>
      <w:r w:rsidR="008656E4">
        <w:rPr>
          <w:rFonts w:asciiTheme="majorHAnsi" w:hAnsiTheme="majorHAnsi" w:cstheme="majorHAnsi"/>
          <w:sz w:val="24"/>
          <w:szCs w:val="24"/>
          <w:shd w:val="clear" w:color="auto" w:fill="FFFFFF"/>
          <w:lang w:val="ro-MD"/>
        </w:rPr>
        <w:t>,</w:t>
      </w:r>
      <w:r w:rsidRPr="002530BD">
        <w:rPr>
          <w:rFonts w:asciiTheme="majorHAnsi" w:hAnsiTheme="majorHAnsi" w:cstheme="majorHAnsi"/>
          <w:sz w:val="24"/>
          <w:szCs w:val="24"/>
          <w:shd w:val="clear" w:color="auto" w:fill="FFFFFF"/>
          <w:lang w:val="ro-MD"/>
        </w:rPr>
        <w:t xml:space="preserve"> în perioadele de gestiune viitoare, precum și ocuparea nerațională a spațiilor/încăperilor pentru păstrarea acestora.</w:t>
      </w:r>
    </w:p>
    <w:p w14:paraId="4B6D889C" w14:textId="611D354F" w:rsidR="0039123E" w:rsidRDefault="00CB4BE8" w:rsidP="00967EEE">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O s</w:t>
      </w:r>
      <w:r w:rsidR="00C720C7">
        <w:rPr>
          <w:rFonts w:asciiTheme="majorHAnsi" w:hAnsiTheme="majorHAnsi" w:cstheme="majorHAnsi"/>
          <w:sz w:val="24"/>
          <w:szCs w:val="24"/>
          <w:shd w:val="clear" w:color="auto" w:fill="FFFFFF"/>
          <w:lang w:val="ro-MD"/>
        </w:rPr>
        <w:t xml:space="preserve">ituație similară se atestă și în cazul </w:t>
      </w:r>
      <w:r w:rsidR="00DA265F">
        <w:rPr>
          <w:rFonts w:asciiTheme="majorHAnsi" w:hAnsiTheme="majorHAnsi" w:cstheme="majorHAnsi"/>
          <w:sz w:val="24"/>
          <w:szCs w:val="24"/>
          <w:shd w:val="clear" w:color="auto" w:fill="FFFFFF"/>
          <w:lang w:val="ro-MD"/>
        </w:rPr>
        <w:t xml:space="preserve"> deținerii unor  bunuri</w:t>
      </w:r>
      <w:r w:rsidR="00DA265F" w:rsidRPr="00C720C7">
        <w:rPr>
          <w:rFonts w:asciiTheme="majorHAnsi" w:hAnsiTheme="majorHAnsi" w:cstheme="majorHAnsi"/>
          <w:sz w:val="24"/>
          <w:szCs w:val="24"/>
          <w:shd w:val="clear" w:color="auto" w:fill="FFFFFF"/>
          <w:lang w:val="ro-MD"/>
        </w:rPr>
        <w:t xml:space="preserve"> neutilizate</w:t>
      </w:r>
      <w:r w:rsidR="00DA265F">
        <w:rPr>
          <w:rFonts w:asciiTheme="majorHAnsi" w:hAnsiTheme="majorHAnsi" w:cstheme="majorHAnsi"/>
          <w:sz w:val="24"/>
          <w:szCs w:val="24"/>
          <w:shd w:val="clear" w:color="auto" w:fill="FFFFFF"/>
          <w:lang w:val="ro-MD"/>
        </w:rPr>
        <w:t xml:space="preserve"> de către MOLDAC</w:t>
      </w:r>
      <w:r w:rsidR="00DA265F" w:rsidRPr="00C720C7">
        <w:rPr>
          <w:rFonts w:asciiTheme="majorHAnsi" w:hAnsiTheme="majorHAnsi" w:cstheme="majorHAnsi"/>
          <w:sz w:val="24"/>
          <w:szCs w:val="24"/>
          <w:shd w:val="clear" w:color="auto" w:fill="FFFFFF"/>
          <w:lang w:val="ro-MD"/>
        </w:rPr>
        <w:t xml:space="preserve"> </w:t>
      </w:r>
      <w:r w:rsidR="00DA265F">
        <w:rPr>
          <w:rFonts w:asciiTheme="majorHAnsi" w:hAnsiTheme="majorHAnsi" w:cstheme="majorHAnsi"/>
          <w:sz w:val="24"/>
          <w:szCs w:val="24"/>
          <w:shd w:val="clear" w:color="auto" w:fill="FFFFFF"/>
          <w:lang w:val="ro-MD"/>
        </w:rPr>
        <w:t xml:space="preserve">(9 unități de </w:t>
      </w:r>
      <w:r w:rsidR="00DA265F" w:rsidRPr="00C720C7">
        <w:rPr>
          <w:rFonts w:asciiTheme="majorHAnsi" w:hAnsiTheme="majorHAnsi" w:cstheme="majorHAnsi"/>
          <w:sz w:val="24"/>
          <w:szCs w:val="24"/>
          <w:shd w:val="clear" w:color="auto" w:fill="FFFFFF"/>
          <w:lang w:val="ro-MD"/>
        </w:rPr>
        <w:t>echipament tehnic pentru sălile de conferințe</w:t>
      </w:r>
      <w:r w:rsidR="00DA265F">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w:t>
      </w:r>
      <w:r w:rsidR="00DA265F" w:rsidRPr="00C720C7">
        <w:rPr>
          <w:rFonts w:asciiTheme="majorHAnsi" w:hAnsiTheme="majorHAnsi" w:cstheme="majorHAnsi"/>
          <w:sz w:val="24"/>
          <w:szCs w:val="24"/>
          <w:shd w:val="clear" w:color="auto" w:fill="FFFFFF"/>
          <w:lang w:val="ro-MD"/>
        </w:rPr>
        <w:t xml:space="preserve"> în valoare de 330,8 mii lei</w:t>
      </w:r>
      <w:r w:rsidR="00DA265F">
        <w:rPr>
          <w:rFonts w:asciiTheme="majorHAnsi" w:hAnsiTheme="majorHAnsi" w:cstheme="majorHAnsi"/>
          <w:sz w:val="24"/>
          <w:szCs w:val="24"/>
          <w:shd w:val="clear" w:color="auto" w:fill="FFFFFF"/>
          <w:lang w:val="ro-MD"/>
        </w:rPr>
        <w:t>,</w:t>
      </w:r>
      <w:r w:rsidR="00C720C7">
        <w:rPr>
          <w:rFonts w:asciiTheme="majorHAnsi" w:hAnsiTheme="majorHAnsi" w:cstheme="majorHAnsi"/>
          <w:sz w:val="24"/>
          <w:szCs w:val="24"/>
          <w:shd w:val="clear" w:color="auto" w:fill="FFFFFF"/>
          <w:lang w:val="ro-MD"/>
        </w:rPr>
        <w:t xml:space="preserve"> </w:t>
      </w:r>
      <w:r w:rsidR="00C720C7" w:rsidRPr="00C720C7">
        <w:rPr>
          <w:rFonts w:asciiTheme="majorHAnsi" w:hAnsiTheme="majorHAnsi" w:cstheme="majorHAnsi"/>
          <w:sz w:val="24"/>
          <w:szCs w:val="24"/>
          <w:shd w:val="clear" w:color="auto" w:fill="FFFFFF"/>
          <w:lang w:val="ro-MD"/>
        </w:rPr>
        <w:t>propuse</w:t>
      </w:r>
      <w:r w:rsidR="00DA265F" w:rsidRPr="00DA265F">
        <w:rPr>
          <w:rFonts w:asciiTheme="majorHAnsi" w:hAnsiTheme="majorHAnsi" w:cstheme="majorHAnsi"/>
          <w:sz w:val="24"/>
          <w:szCs w:val="24"/>
          <w:shd w:val="clear" w:color="auto" w:fill="FFFFFF"/>
          <w:lang w:val="ro-MD"/>
        </w:rPr>
        <w:t xml:space="preserve"> </w:t>
      </w:r>
      <w:r w:rsidR="00DA265F">
        <w:rPr>
          <w:rFonts w:asciiTheme="majorHAnsi" w:hAnsiTheme="majorHAnsi" w:cstheme="majorHAnsi"/>
          <w:sz w:val="24"/>
          <w:szCs w:val="24"/>
          <w:shd w:val="clear" w:color="auto" w:fill="FFFFFF"/>
          <w:lang w:val="ro-MD"/>
        </w:rPr>
        <w:t>în iulie 2019</w:t>
      </w:r>
      <w:r w:rsidR="00DA265F">
        <w:rPr>
          <w:rStyle w:val="FootnoteReference"/>
          <w:rFonts w:asciiTheme="majorHAnsi" w:hAnsiTheme="majorHAnsi" w:cstheme="majorHAnsi"/>
          <w:szCs w:val="24"/>
          <w:shd w:val="clear" w:color="auto" w:fill="FFFFFF"/>
          <w:lang w:val="ro-MD"/>
        </w:rPr>
        <w:footnoteReference w:id="29"/>
      </w:r>
      <w:r w:rsidR="00DA265F">
        <w:rPr>
          <w:rFonts w:asciiTheme="majorHAnsi" w:hAnsiTheme="majorHAnsi" w:cstheme="majorHAnsi"/>
          <w:sz w:val="24"/>
          <w:szCs w:val="24"/>
          <w:shd w:val="clear" w:color="auto" w:fill="FFFFFF"/>
          <w:lang w:val="ro-MD"/>
        </w:rPr>
        <w:t xml:space="preserve"> fondatorului</w:t>
      </w:r>
      <w:r w:rsidR="00C720C7">
        <w:rPr>
          <w:rFonts w:asciiTheme="majorHAnsi" w:hAnsiTheme="majorHAnsi" w:cstheme="majorHAnsi"/>
          <w:sz w:val="24"/>
          <w:szCs w:val="24"/>
          <w:shd w:val="clear" w:color="auto" w:fill="FFFFFF"/>
          <w:lang w:val="ro-MD"/>
        </w:rPr>
        <w:t xml:space="preserve"> pentru examinare</w:t>
      </w:r>
      <w:r w:rsidR="00DA265F">
        <w:rPr>
          <w:rFonts w:asciiTheme="majorHAnsi" w:hAnsiTheme="majorHAnsi" w:cstheme="majorHAnsi"/>
          <w:sz w:val="24"/>
          <w:szCs w:val="24"/>
          <w:shd w:val="clear" w:color="auto" w:fill="FFFFFF"/>
          <w:lang w:val="ro-MD"/>
        </w:rPr>
        <w:t>a</w:t>
      </w:r>
      <w:r w:rsidR="00C720C7">
        <w:rPr>
          <w:rFonts w:asciiTheme="majorHAnsi" w:hAnsiTheme="majorHAnsi" w:cstheme="majorHAnsi"/>
          <w:sz w:val="24"/>
          <w:szCs w:val="24"/>
          <w:shd w:val="clear" w:color="auto" w:fill="FFFFFF"/>
          <w:lang w:val="ro-MD"/>
        </w:rPr>
        <w:t xml:space="preserve"> </w:t>
      </w:r>
      <w:r w:rsidR="00DA265F">
        <w:rPr>
          <w:rFonts w:asciiTheme="majorHAnsi" w:hAnsiTheme="majorHAnsi" w:cstheme="majorHAnsi"/>
          <w:sz w:val="24"/>
          <w:szCs w:val="24"/>
          <w:shd w:val="clear" w:color="auto" w:fill="FFFFFF"/>
          <w:lang w:val="ro-MD"/>
        </w:rPr>
        <w:t>și posibilitatea</w:t>
      </w:r>
      <w:r w:rsidR="00C720C7">
        <w:rPr>
          <w:rFonts w:asciiTheme="majorHAnsi" w:hAnsiTheme="majorHAnsi" w:cstheme="majorHAnsi"/>
          <w:sz w:val="24"/>
          <w:szCs w:val="24"/>
          <w:shd w:val="clear" w:color="auto" w:fill="FFFFFF"/>
          <w:lang w:val="ro-MD"/>
        </w:rPr>
        <w:t xml:space="preserve"> </w:t>
      </w:r>
      <w:r w:rsidR="00DA265F">
        <w:rPr>
          <w:rFonts w:asciiTheme="majorHAnsi" w:hAnsiTheme="majorHAnsi" w:cstheme="majorHAnsi"/>
          <w:sz w:val="24"/>
          <w:szCs w:val="24"/>
          <w:shd w:val="clear" w:color="auto" w:fill="FFFFFF"/>
          <w:lang w:val="ro-MD"/>
        </w:rPr>
        <w:t xml:space="preserve">transmiterii acestora  altor entități din cadrul </w:t>
      </w:r>
      <w:r w:rsidR="00DA265F" w:rsidRPr="00C66909">
        <w:rPr>
          <w:rFonts w:asciiTheme="majorHAnsi" w:hAnsiTheme="majorHAnsi" w:cstheme="majorHAnsi"/>
          <w:sz w:val="24"/>
          <w:szCs w:val="24"/>
          <w:shd w:val="clear" w:color="auto" w:fill="FFFFFF"/>
          <w:lang w:val="ro-MD"/>
        </w:rPr>
        <w:t>M</w:t>
      </w:r>
      <w:r w:rsidR="00C66909">
        <w:rPr>
          <w:rFonts w:asciiTheme="majorHAnsi" w:hAnsiTheme="majorHAnsi" w:cstheme="majorHAnsi"/>
          <w:sz w:val="24"/>
          <w:szCs w:val="24"/>
          <w:shd w:val="clear" w:color="auto" w:fill="FFFFFF"/>
          <w:lang w:val="ro-MD"/>
        </w:rPr>
        <w:t xml:space="preserve">inisterului </w:t>
      </w:r>
      <w:r w:rsidR="00DA265F" w:rsidRPr="00C66909">
        <w:rPr>
          <w:rFonts w:asciiTheme="majorHAnsi" w:hAnsiTheme="majorHAnsi" w:cstheme="majorHAnsi"/>
          <w:sz w:val="24"/>
          <w:szCs w:val="24"/>
          <w:shd w:val="clear" w:color="auto" w:fill="FFFFFF"/>
          <w:lang w:val="ro-MD"/>
        </w:rPr>
        <w:t>E</w:t>
      </w:r>
      <w:r w:rsidR="00C66909">
        <w:rPr>
          <w:rFonts w:asciiTheme="majorHAnsi" w:hAnsiTheme="majorHAnsi" w:cstheme="majorHAnsi"/>
          <w:sz w:val="24"/>
          <w:szCs w:val="24"/>
          <w:shd w:val="clear" w:color="auto" w:fill="FFFFFF"/>
          <w:lang w:val="ro-MD"/>
        </w:rPr>
        <w:t xml:space="preserve">conomiei și </w:t>
      </w:r>
      <w:r w:rsidR="00DA265F" w:rsidRPr="00C66909">
        <w:rPr>
          <w:rFonts w:asciiTheme="majorHAnsi" w:hAnsiTheme="majorHAnsi" w:cstheme="majorHAnsi"/>
          <w:sz w:val="24"/>
          <w:szCs w:val="24"/>
          <w:shd w:val="clear" w:color="auto" w:fill="FFFFFF"/>
          <w:lang w:val="ro-MD"/>
        </w:rPr>
        <w:t>I</w:t>
      </w:r>
      <w:r w:rsidR="00C66909">
        <w:rPr>
          <w:rFonts w:asciiTheme="majorHAnsi" w:hAnsiTheme="majorHAnsi" w:cstheme="majorHAnsi"/>
          <w:sz w:val="24"/>
          <w:szCs w:val="24"/>
          <w:shd w:val="clear" w:color="auto" w:fill="FFFFFF"/>
          <w:lang w:val="ro-MD"/>
        </w:rPr>
        <w:t>nfrastructurii</w:t>
      </w:r>
      <w:r w:rsidR="00DA265F" w:rsidRPr="00C66909">
        <w:rPr>
          <w:rFonts w:asciiTheme="majorHAnsi" w:hAnsiTheme="majorHAnsi" w:cstheme="majorHAnsi"/>
          <w:sz w:val="24"/>
          <w:szCs w:val="24"/>
          <w:shd w:val="clear" w:color="auto" w:fill="FFFFFF"/>
          <w:lang w:val="ro-MD"/>
        </w:rPr>
        <w:t>,</w:t>
      </w:r>
      <w:r w:rsidR="00DA265F">
        <w:rPr>
          <w:rFonts w:asciiTheme="majorHAnsi" w:hAnsiTheme="majorHAnsi" w:cstheme="majorHAnsi"/>
          <w:sz w:val="24"/>
          <w:szCs w:val="24"/>
          <w:shd w:val="clear" w:color="auto" w:fill="FFFFFF"/>
          <w:lang w:val="ro-MD"/>
        </w:rPr>
        <w:t xml:space="preserve">  procedura în cauză nefiind finalizată</w:t>
      </w:r>
      <w:r w:rsidR="008656E4">
        <w:rPr>
          <w:rFonts w:asciiTheme="majorHAnsi" w:hAnsiTheme="majorHAnsi" w:cstheme="majorHAnsi"/>
          <w:sz w:val="24"/>
          <w:szCs w:val="24"/>
          <w:shd w:val="clear" w:color="auto" w:fill="FFFFFF"/>
          <w:lang w:val="ro-MD"/>
        </w:rPr>
        <w:t xml:space="preserve"> pâ</w:t>
      </w:r>
      <w:r w:rsidR="00C720C7">
        <w:rPr>
          <w:rFonts w:asciiTheme="majorHAnsi" w:hAnsiTheme="majorHAnsi" w:cstheme="majorHAnsi"/>
          <w:sz w:val="24"/>
          <w:szCs w:val="24"/>
          <w:shd w:val="clear" w:color="auto" w:fill="FFFFFF"/>
          <w:lang w:val="ro-MD"/>
        </w:rPr>
        <w:t>nă în prezent.</w:t>
      </w:r>
      <w:r w:rsidR="00C720C7" w:rsidRPr="00C720C7">
        <w:rPr>
          <w:rFonts w:asciiTheme="majorHAnsi" w:hAnsiTheme="majorHAnsi" w:cstheme="majorHAnsi"/>
          <w:sz w:val="24"/>
          <w:szCs w:val="24"/>
          <w:shd w:val="clear" w:color="auto" w:fill="FFFFFF"/>
          <w:lang w:val="ro-MD"/>
        </w:rPr>
        <w:t xml:space="preserve"> </w:t>
      </w:r>
    </w:p>
    <w:p w14:paraId="1278AE06" w14:textId="77777777" w:rsidR="00967EEE" w:rsidRPr="00072AC2" w:rsidRDefault="00967EEE" w:rsidP="00967EEE">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p>
    <w:p w14:paraId="0CDE504A" w14:textId="118F7809" w:rsidR="00CD711C" w:rsidRPr="007000F3" w:rsidRDefault="00C26499" w:rsidP="007E002D">
      <w:pPr>
        <w:pStyle w:val="ListParagraph"/>
        <w:numPr>
          <w:ilvl w:val="1"/>
          <w:numId w:val="38"/>
        </w:numPr>
        <w:tabs>
          <w:tab w:val="left" w:pos="720"/>
        </w:tabs>
        <w:spacing w:after="0" w:line="276" w:lineRule="auto"/>
        <w:ind w:left="0" w:firstLine="0"/>
        <w:contextualSpacing w:val="0"/>
        <w:jc w:val="both"/>
        <w:outlineLvl w:val="0"/>
        <w:rPr>
          <w:rFonts w:asciiTheme="majorHAnsi" w:hAnsiTheme="majorHAnsi" w:cstheme="majorHAnsi"/>
          <w:b/>
          <w:color w:val="00B0F0"/>
          <w:sz w:val="24"/>
          <w:szCs w:val="24"/>
          <w:lang w:val="ro-MD"/>
        </w:rPr>
      </w:pPr>
      <w:bookmarkStart w:id="127" w:name="_Toc61608190"/>
      <w:bookmarkStart w:id="128" w:name="_Toc123116711"/>
      <w:r w:rsidRPr="007000F3">
        <w:rPr>
          <w:rFonts w:asciiTheme="majorHAnsi" w:hAnsiTheme="majorHAnsi" w:cstheme="majorHAnsi"/>
          <w:b/>
          <w:color w:val="00B0F0"/>
          <w:sz w:val="24"/>
          <w:szCs w:val="24"/>
          <w:lang w:val="ro-MD"/>
        </w:rPr>
        <w:t>Veniturile au fost gestionate într-o manieră prudentă, asigurând acumularea integrală și conformă a acestora?</w:t>
      </w:r>
      <w:bookmarkEnd w:id="127"/>
      <w:bookmarkEnd w:id="128"/>
    </w:p>
    <w:p w14:paraId="55FB65B0" w14:textId="48D12356" w:rsidR="0007564F" w:rsidRDefault="0007564F" w:rsidP="001445A2">
      <w:pPr>
        <w:pStyle w:val="ListParagraph"/>
        <w:tabs>
          <w:tab w:val="left" w:pos="270"/>
        </w:tabs>
        <w:spacing w:after="0" w:line="276" w:lineRule="auto"/>
        <w:ind w:left="0" w:firstLine="720"/>
        <w:jc w:val="both"/>
        <w:rPr>
          <w:rFonts w:asciiTheme="majorHAnsi" w:eastAsia="Times New Roman" w:hAnsiTheme="majorHAnsi" w:cstheme="majorHAnsi"/>
          <w:iCs/>
          <w:sz w:val="24"/>
          <w:szCs w:val="24"/>
          <w:lang w:val="ro-MD" w:eastAsia="ro-MD"/>
        </w:rPr>
      </w:pPr>
      <w:r w:rsidRPr="001445A2">
        <w:rPr>
          <w:rFonts w:asciiTheme="majorHAnsi" w:hAnsiTheme="majorHAnsi" w:cstheme="majorHAnsi"/>
          <w:sz w:val="24"/>
          <w:szCs w:val="24"/>
          <w:shd w:val="clear" w:color="auto" w:fill="FFFFFF"/>
          <w:lang w:val="ro-MD"/>
        </w:rPr>
        <w:t>Misiunea</w:t>
      </w:r>
      <w:r w:rsidRPr="007917DD">
        <w:rPr>
          <w:rFonts w:asciiTheme="majorHAnsi" w:eastAsia="Times New Roman" w:hAnsiTheme="majorHAnsi" w:cstheme="majorHAnsi"/>
          <w:iCs/>
          <w:sz w:val="24"/>
          <w:szCs w:val="24"/>
          <w:lang w:val="ro-MD" w:eastAsia="ro-MD"/>
        </w:rPr>
        <w:t xml:space="preserve"> de audit public extern realizată a relevat faptul că,</w:t>
      </w:r>
      <w:r w:rsidR="00A63EBE">
        <w:rPr>
          <w:rFonts w:asciiTheme="majorHAnsi" w:eastAsia="Times New Roman" w:hAnsiTheme="majorHAnsi" w:cstheme="majorHAnsi"/>
          <w:iCs/>
          <w:sz w:val="24"/>
          <w:szCs w:val="24"/>
          <w:lang w:val="ro-MD" w:eastAsia="ro-MD"/>
        </w:rPr>
        <w:t xml:space="preserve"> în perioada supusă auditului, </w:t>
      </w:r>
      <w:r w:rsidR="00B305F5">
        <w:rPr>
          <w:rFonts w:asciiTheme="majorHAnsi" w:eastAsia="Times New Roman" w:hAnsiTheme="majorHAnsi" w:cstheme="majorHAnsi"/>
          <w:iCs/>
          <w:sz w:val="24"/>
          <w:szCs w:val="24"/>
          <w:lang w:val="ro-MD" w:eastAsia="ro-MD"/>
        </w:rPr>
        <w:t>i</w:t>
      </w:r>
      <w:r w:rsidR="00A63EBE">
        <w:rPr>
          <w:rFonts w:asciiTheme="majorHAnsi" w:eastAsia="Times New Roman" w:hAnsiTheme="majorHAnsi" w:cstheme="majorHAnsi"/>
          <w:iCs/>
          <w:sz w:val="24"/>
          <w:szCs w:val="24"/>
          <w:lang w:val="ro-MD" w:eastAsia="ro-MD"/>
        </w:rPr>
        <w:t xml:space="preserve">nstituțiile </w:t>
      </w:r>
      <w:r w:rsidR="00B305F5">
        <w:rPr>
          <w:rFonts w:asciiTheme="majorHAnsi" w:eastAsia="Times New Roman" w:hAnsiTheme="majorHAnsi" w:cstheme="majorHAnsi"/>
          <w:iCs/>
          <w:sz w:val="24"/>
          <w:szCs w:val="24"/>
          <w:lang w:val="ro-MD" w:eastAsia="ro-MD"/>
        </w:rPr>
        <w:t>p</w:t>
      </w:r>
      <w:r w:rsidRPr="007917DD">
        <w:rPr>
          <w:rFonts w:asciiTheme="majorHAnsi" w:eastAsia="Times New Roman" w:hAnsiTheme="majorHAnsi" w:cstheme="majorHAnsi"/>
          <w:iCs/>
          <w:sz w:val="24"/>
          <w:szCs w:val="24"/>
          <w:lang w:val="ro-MD" w:eastAsia="ro-MD"/>
        </w:rPr>
        <w:t xml:space="preserve">ublice nu au asigurat în totalitate gestionarea prudentă și conformă a veniturilor sale, iar sistemul de tarifare aplicat </w:t>
      </w:r>
      <w:r>
        <w:rPr>
          <w:rFonts w:asciiTheme="majorHAnsi" w:eastAsia="Times New Roman" w:hAnsiTheme="majorHAnsi" w:cstheme="majorHAnsi"/>
          <w:iCs/>
          <w:sz w:val="24"/>
          <w:szCs w:val="24"/>
          <w:lang w:val="ro-MD" w:eastAsia="ro-MD"/>
        </w:rPr>
        <w:t xml:space="preserve">nu a fost bazat pe </w:t>
      </w:r>
      <w:r w:rsidRPr="007917DD">
        <w:rPr>
          <w:rFonts w:asciiTheme="majorHAnsi" w:eastAsia="Times New Roman" w:hAnsiTheme="majorHAnsi" w:cstheme="majorHAnsi"/>
          <w:iCs/>
          <w:sz w:val="24"/>
          <w:szCs w:val="24"/>
          <w:lang w:val="ro-MD" w:eastAsia="ro-MD"/>
        </w:rPr>
        <w:t xml:space="preserve">costurile </w:t>
      </w:r>
      <w:r>
        <w:rPr>
          <w:rFonts w:asciiTheme="majorHAnsi" w:eastAsia="Times New Roman" w:hAnsiTheme="majorHAnsi" w:cstheme="majorHAnsi"/>
          <w:iCs/>
          <w:sz w:val="24"/>
          <w:szCs w:val="24"/>
          <w:lang w:val="ro-MD" w:eastAsia="ro-MD"/>
        </w:rPr>
        <w:t>aferente serviciilor prestate</w:t>
      </w:r>
      <w:r w:rsidR="00D27CBE">
        <w:rPr>
          <w:rFonts w:asciiTheme="majorHAnsi" w:eastAsia="Times New Roman" w:hAnsiTheme="majorHAnsi" w:cstheme="majorHAnsi"/>
          <w:iCs/>
          <w:sz w:val="24"/>
          <w:szCs w:val="24"/>
          <w:lang w:val="ro-MD" w:eastAsia="ro-MD"/>
        </w:rPr>
        <w:t xml:space="preserve"> real </w:t>
      </w:r>
      <w:r w:rsidR="00D27CBE" w:rsidRPr="007917DD">
        <w:rPr>
          <w:rFonts w:asciiTheme="majorHAnsi" w:eastAsia="Times New Roman" w:hAnsiTheme="majorHAnsi" w:cstheme="majorHAnsi"/>
          <w:iCs/>
          <w:sz w:val="24"/>
          <w:szCs w:val="24"/>
          <w:lang w:val="ro-MD" w:eastAsia="ro-MD"/>
        </w:rPr>
        <w:t>suportate</w:t>
      </w:r>
      <w:r w:rsidRPr="007917DD">
        <w:rPr>
          <w:rFonts w:asciiTheme="majorHAnsi" w:eastAsia="Times New Roman" w:hAnsiTheme="majorHAnsi" w:cstheme="majorHAnsi"/>
          <w:iCs/>
          <w:sz w:val="24"/>
          <w:szCs w:val="24"/>
          <w:lang w:val="ro-MD" w:eastAsia="ro-MD"/>
        </w:rPr>
        <w:t>.</w:t>
      </w:r>
    </w:p>
    <w:p w14:paraId="6F222D55" w14:textId="774F069B" w:rsidR="00231DEF" w:rsidRPr="007917DD" w:rsidRDefault="00231DEF" w:rsidP="001445A2">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1445A2">
        <w:rPr>
          <w:rFonts w:asciiTheme="majorHAnsi" w:hAnsiTheme="majorHAnsi" w:cstheme="majorHAnsi"/>
          <w:sz w:val="24"/>
          <w:szCs w:val="24"/>
          <w:shd w:val="clear" w:color="auto" w:fill="FFFFFF"/>
          <w:lang w:val="ro-MD"/>
        </w:rPr>
        <w:t>Potrivit</w:t>
      </w:r>
      <w:r w:rsidRPr="007917DD">
        <w:rPr>
          <w:rFonts w:asciiTheme="majorHAnsi" w:hAnsiTheme="majorHAnsi" w:cstheme="majorHAnsi"/>
          <w:sz w:val="24"/>
          <w:szCs w:val="24"/>
          <w:lang w:val="ro-MD"/>
        </w:rPr>
        <w:t xml:space="preserve"> cadrului legal</w:t>
      </w:r>
      <w:r w:rsidRPr="007917DD">
        <w:rPr>
          <w:rStyle w:val="FootnoteReference"/>
          <w:rFonts w:asciiTheme="majorHAnsi" w:hAnsiTheme="majorHAnsi" w:cstheme="majorHAnsi"/>
          <w:sz w:val="24"/>
          <w:szCs w:val="24"/>
          <w:lang w:val="ro-MD"/>
        </w:rPr>
        <w:footnoteReference w:id="30"/>
      </w:r>
      <w:r w:rsidRPr="007917DD">
        <w:rPr>
          <w:rFonts w:asciiTheme="majorHAnsi" w:hAnsiTheme="majorHAnsi" w:cstheme="majorHAnsi"/>
          <w:sz w:val="24"/>
          <w:szCs w:val="24"/>
          <w:lang w:val="ro-MD"/>
        </w:rPr>
        <w:t>, veniturile instituțiilor publice (INM, ISM,</w:t>
      </w:r>
      <w:r w:rsidR="00D1487F">
        <w:rPr>
          <w:rFonts w:asciiTheme="majorHAnsi" w:hAnsiTheme="majorHAnsi" w:cstheme="majorHAnsi"/>
          <w:sz w:val="24"/>
          <w:szCs w:val="24"/>
          <w:lang w:val="ro-MD"/>
        </w:rPr>
        <w:t xml:space="preserve"> MOLDAC) provin din</w:t>
      </w:r>
      <w:r w:rsidRPr="007917DD">
        <w:rPr>
          <w:rFonts w:asciiTheme="majorHAnsi" w:hAnsiTheme="majorHAnsi" w:cstheme="majorHAnsi"/>
          <w:sz w:val="24"/>
          <w:szCs w:val="24"/>
          <w:lang w:val="ro-MD"/>
        </w:rPr>
        <w:t>:</w:t>
      </w:r>
      <w:r w:rsidR="00FD4D7F">
        <w:rPr>
          <w:rFonts w:asciiTheme="majorHAnsi" w:hAnsiTheme="majorHAnsi" w:cstheme="majorHAnsi"/>
          <w:sz w:val="24"/>
          <w:szCs w:val="24"/>
          <w:lang w:val="ro-MD"/>
        </w:rPr>
        <w:t xml:space="preserve"> i</w:t>
      </w:r>
      <w:r w:rsidR="00D1487F">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surse financiare de la bugetul de stat (subsidii)</w:t>
      </w:r>
      <w:r w:rsidR="00FD4D7F">
        <w:rPr>
          <w:rFonts w:asciiTheme="majorHAnsi" w:hAnsiTheme="majorHAnsi" w:cstheme="majorHAnsi"/>
          <w:sz w:val="24"/>
          <w:szCs w:val="24"/>
          <w:lang w:val="ro-MD"/>
        </w:rPr>
        <w:t>, ii</w:t>
      </w:r>
      <w:r w:rsidR="00D1487F">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mijloace proprii obținute din prestarea serviciilor cu plată, inclusiv mijloace obținute din darea în locațiune a încăperilor</w:t>
      </w:r>
      <w:r w:rsidR="00FD4D7F">
        <w:rPr>
          <w:rFonts w:asciiTheme="majorHAnsi" w:hAnsiTheme="majorHAnsi" w:cstheme="majorHAnsi"/>
          <w:sz w:val="24"/>
          <w:szCs w:val="24"/>
          <w:lang w:val="ro-MD"/>
        </w:rPr>
        <w:t>, iii</w:t>
      </w:r>
      <w:r w:rsidR="00D1487F">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donații, sponsorizări din alte surse legale</w:t>
      </w:r>
      <w:r w:rsidR="00FD4D7F">
        <w:rPr>
          <w:rFonts w:asciiTheme="majorHAnsi" w:hAnsiTheme="majorHAnsi" w:cstheme="majorHAnsi"/>
          <w:sz w:val="24"/>
          <w:szCs w:val="24"/>
          <w:lang w:val="ro-MD"/>
        </w:rPr>
        <w:t>, iv</w:t>
      </w:r>
      <w:r w:rsidR="00D1487F">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resursele proiectelor finanțate din surse externe</w:t>
      </w:r>
      <w:r w:rsidR="00D1487F">
        <w:rPr>
          <w:rFonts w:asciiTheme="majorHAnsi" w:hAnsiTheme="majorHAnsi" w:cstheme="majorHAnsi"/>
          <w:sz w:val="24"/>
          <w:szCs w:val="24"/>
          <w:lang w:val="ro-MD"/>
        </w:rPr>
        <w:t>, iar veniturile ISSPNPC provin</w:t>
      </w:r>
      <w:r w:rsidR="00FD4D7F">
        <w:rPr>
          <w:rFonts w:asciiTheme="majorHAnsi" w:hAnsiTheme="majorHAnsi" w:cstheme="majorHAnsi"/>
          <w:sz w:val="24"/>
          <w:szCs w:val="24"/>
          <w:lang w:val="ro-MD"/>
        </w:rPr>
        <w:t xml:space="preserve"> integral</w:t>
      </w:r>
      <w:r w:rsidR="00D1487F">
        <w:rPr>
          <w:rFonts w:asciiTheme="majorHAnsi" w:hAnsiTheme="majorHAnsi" w:cstheme="majorHAnsi"/>
          <w:sz w:val="24"/>
          <w:szCs w:val="24"/>
          <w:lang w:val="ro-MD"/>
        </w:rPr>
        <w:t xml:space="preserve"> din </w:t>
      </w:r>
      <w:r w:rsidR="00D1487F" w:rsidRPr="00B920DC">
        <w:rPr>
          <w:rFonts w:asciiTheme="majorHAnsi" w:hAnsiTheme="majorHAnsi" w:cstheme="majorHAnsi"/>
          <w:iCs/>
          <w:sz w:val="24"/>
          <w:szCs w:val="24"/>
          <w:lang w:val="ro-MD"/>
        </w:rPr>
        <w:t>contul bugetului de stat</w:t>
      </w:r>
      <w:r w:rsidRPr="007917DD">
        <w:rPr>
          <w:rFonts w:asciiTheme="majorHAnsi" w:hAnsiTheme="majorHAnsi" w:cstheme="majorHAnsi"/>
          <w:sz w:val="24"/>
          <w:szCs w:val="24"/>
          <w:lang w:val="ro-MD"/>
        </w:rPr>
        <w:t>.</w:t>
      </w:r>
    </w:p>
    <w:p w14:paraId="7766545E" w14:textId="2E6601C1" w:rsidR="00AC550E" w:rsidRPr="009553B3" w:rsidRDefault="00135AEF" w:rsidP="001445A2">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1445A2">
        <w:rPr>
          <w:rFonts w:asciiTheme="majorHAnsi" w:hAnsiTheme="majorHAnsi" w:cstheme="majorHAnsi"/>
          <w:sz w:val="24"/>
          <w:szCs w:val="24"/>
          <w:shd w:val="clear" w:color="auto" w:fill="FFFFFF"/>
          <w:lang w:val="ro-MD"/>
        </w:rPr>
        <w:t>Veniturile</w:t>
      </w:r>
      <w:r w:rsidRPr="00F04239">
        <w:rPr>
          <w:rFonts w:asciiTheme="majorHAnsi" w:hAnsiTheme="majorHAnsi" w:cstheme="majorHAnsi"/>
          <w:sz w:val="24"/>
          <w:szCs w:val="24"/>
          <w:lang w:val="ro-MD"/>
        </w:rPr>
        <w:t xml:space="preserve"> executate ale intituțiilor din cadrul infrastructurii calității au co</w:t>
      </w:r>
      <w:r w:rsidR="00330486" w:rsidRPr="00F04239">
        <w:rPr>
          <w:rFonts w:asciiTheme="majorHAnsi" w:hAnsiTheme="majorHAnsi" w:cstheme="majorHAnsi"/>
          <w:sz w:val="24"/>
          <w:szCs w:val="24"/>
          <w:lang w:val="ro-MD"/>
        </w:rPr>
        <w:t>n</w:t>
      </w:r>
      <w:r w:rsidRPr="00F04239">
        <w:rPr>
          <w:rFonts w:asciiTheme="majorHAnsi" w:hAnsiTheme="majorHAnsi" w:cstheme="majorHAnsi"/>
          <w:sz w:val="24"/>
          <w:szCs w:val="24"/>
          <w:lang w:val="ro-MD"/>
        </w:rPr>
        <w:t xml:space="preserve">stituit </w:t>
      </w:r>
      <w:r w:rsidR="00F04239" w:rsidRPr="00F04239">
        <w:rPr>
          <w:rFonts w:asciiTheme="majorHAnsi" w:hAnsiTheme="majorHAnsi" w:cstheme="majorHAnsi"/>
          <w:sz w:val="24"/>
          <w:szCs w:val="24"/>
          <w:lang w:val="ro-MD"/>
        </w:rPr>
        <w:t>42</w:t>
      </w:r>
      <w:r w:rsidR="008656E4">
        <w:rPr>
          <w:rFonts w:asciiTheme="majorHAnsi" w:hAnsiTheme="majorHAnsi" w:cstheme="majorHAnsi"/>
          <w:sz w:val="24"/>
          <w:szCs w:val="24"/>
          <w:lang w:val="ro-MD"/>
        </w:rPr>
        <w:t xml:space="preserve"> </w:t>
      </w:r>
      <w:r w:rsidR="00F04239" w:rsidRPr="00F04239">
        <w:rPr>
          <w:rFonts w:asciiTheme="majorHAnsi" w:hAnsiTheme="majorHAnsi" w:cstheme="majorHAnsi"/>
          <w:sz w:val="24"/>
          <w:szCs w:val="24"/>
          <w:lang w:val="ro-MD"/>
        </w:rPr>
        <w:t>711,1</w:t>
      </w:r>
      <w:r w:rsidRPr="00F04239">
        <w:rPr>
          <w:rFonts w:asciiTheme="majorHAnsi" w:hAnsiTheme="majorHAnsi" w:cstheme="majorHAnsi"/>
          <w:sz w:val="24"/>
          <w:szCs w:val="24"/>
          <w:lang w:val="ro-MD"/>
        </w:rPr>
        <w:t xml:space="preserve"> mii lei pentru anul 2020, </w:t>
      </w:r>
      <w:r w:rsidR="00B305F5">
        <w:rPr>
          <w:rFonts w:asciiTheme="majorHAnsi" w:hAnsiTheme="majorHAnsi" w:cstheme="majorHAnsi"/>
          <w:sz w:val="24"/>
          <w:szCs w:val="24"/>
          <w:lang w:val="ro-MD"/>
        </w:rPr>
        <w:t xml:space="preserve">sau </w:t>
      </w:r>
      <w:r w:rsidRPr="00F04239">
        <w:rPr>
          <w:rFonts w:asciiTheme="majorHAnsi" w:hAnsiTheme="majorHAnsi" w:cstheme="majorHAnsi"/>
          <w:sz w:val="24"/>
          <w:szCs w:val="24"/>
          <w:lang w:val="ro-MD"/>
        </w:rPr>
        <w:t xml:space="preserve">cu </w:t>
      </w:r>
      <w:r w:rsidR="00F04239" w:rsidRPr="00F04239">
        <w:rPr>
          <w:rFonts w:asciiTheme="majorHAnsi" w:hAnsiTheme="majorHAnsi" w:cstheme="majorHAnsi"/>
          <w:sz w:val="24"/>
          <w:szCs w:val="24"/>
          <w:lang w:val="ro-MD"/>
        </w:rPr>
        <w:t xml:space="preserve">1631,9 </w:t>
      </w:r>
      <w:r w:rsidRPr="00F04239">
        <w:rPr>
          <w:rFonts w:asciiTheme="majorHAnsi" w:hAnsiTheme="majorHAnsi" w:cstheme="majorHAnsi"/>
          <w:sz w:val="24"/>
          <w:szCs w:val="24"/>
          <w:lang w:val="ro-MD"/>
        </w:rPr>
        <w:t>mii</w:t>
      </w:r>
      <w:r w:rsidR="00B920DC" w:rsidRPr="00F04239">
        <w:rPr>
          <w:rFonts w:asciiTheme="majorHAnsi" w:hAnsiTheme="majorHAnsi" w:cstheme="majorHAnsi"/>
          <w:sz w:val="24"/>
          <w:szCs w:val="24"/>
          <w:lang w:val="ro-MD"/>
        </w:rPr>
        <w:t xml:space="preserve"> </w:t>
      </w:r>
      <w:r w:rsidR="00914DD7" w:rsidRPr="00F04239">
        <w:rPr>
          <w:rFonts w:asciiTheme="majorHAnsi" w:hAnsiTheme="majorHAnsi" w:cstheme="majorHAnsi"/>
          <w:sz w:val="24"/>
          <w:szCs w:val="24"/>
          <w:lang w:val="ro-MD"/>
        </w:rPr>
        <w:t xml:space="preserve">lei </w:t>
      </w:r>
      <w:r w:rsidR="00B920DC" w:rsidRPr="00F04239">
        <w:rPr>
          <w:rFonts w:asciiTheme="majorHAnsi" w:hAnsiTheme="majorHAnsi" w:cstheme="majorHAnsi"/>
          <w:sz w:val="24"/>
          <w:szCs w:val="24"/>
          <w:lang w:val="ro-MD"/>
        </w:rPr>
        <w:t xml:space="preserve">mai </w:t>
      </w:r>
      <w:r w:rsidR="00F04239" w:rsidRPr="00F04239">
        <w:rPr>
          <w:rFonts w:asciiTheme="majorHAnsi" w:hAnsiTheme="majorHAnsi" w:cstheme="majorHAnsi"/>
          <w:sz w:val="24"/>
          <w:szCs w:val="24"/>
          <w:lang w:val="ro-MD"/>
        </w:rPr>
        <w:t>puțin</w:t>
      </w:r>
      <w:r w:rsidRPr="00F04239">
        <w:rPr>
          <w:rFonts w:asciiTheme="majorHAnsi" w:hAnsiTheme="majorHAnsi" w:cstheme="majorHAnsi"/>
          <w:sz w:val="24"/>
          <w:szCs w:val="24"/>
          <w:lang w:val="ro-MD"/>
        </w:rPr>
        <w:t xml:space="preserve"> </w:t>
      </w:r>
      <w:r w:rsidR="00B305F5">
        <w:rPr>
          <w:rFonts w:asciiTheme="majorHAnsi" w:hAnsiTheme="majorHAnsi" w:cstheme="majorHAnsi"/>
          <w:sz w:val="24"/>
          <w:szCs w:val="24"/>
          <w:lang w:val="ro-MD"/>
        </w:rPr>
        <w:t>decât s-a</w:t>
      </w:r>
      <w:r w:rsidRPr="00F04239">
        <w:rPr>
          <w:rFonts w:asciiTheme="majorHAnsi" w:hAnsiTheme="majorHAnsi" w:cstheme="majorHAnsi"/>
          <w:sz w:val="24"/>
          <w:szCs w:val="24"/>
          <w:lang w:val="ro-MD"/>
        </w:rPr>
        <w:t xml:space="preserve"> planificat</w:t>
      </w:r>
      <w:r w:rsidR="00B305F5">
        <w:rPr>
          <w:rFonts w:asciiTheme="majorHAnsi" w:hAnsiTheme="majorHAnsi" w:cstheme="majorHAnsi"/>
          <w:sz w:val="24"/>
          <w:szCs w:val="24"/>
          <w:lang w:val="ro-MD"/>
        </w:rPr>
        <w:t>,</w:t>
      </w:r>
      <w:r w:rsidRPr="00F04239">
        <w:rPr>
          <w:rFonts w:asciiTheme="majorHAnsi" w:hAnsiTheme="majorHAnsi" w:cstheme="majorHAnsi"/>
          <w:sz w:val="24"/>
          <w:szCs w:val="24"/>
          <w:lang w:val="ro-MD"/>
        </w:rPr>
        <w:t xml:space="preserve"> și </w:t>
      </w:r>
      <w:r w:rsidR="00F04239" w:rsidRPr="00F04239">
        <w:rPr>
          <w:rFonts w:asciiTheme="majorHAnsi" w:hAnsiTheme="majorHAnsi" w:cstheme="majorHAnsi"/>
          <w:sz w:val="24"/>
          <w:szCs w:val="24"/>
          <w:lang w:val="ro-MD"/>
        </w:rPr>
        <w:t>44</w:t>
      </w:r>
      <w:r w:rsidR="008656E4">
        <w:rPr>
          <w:rFonts w:asciiTheme="majorHAnsi" w:hAnsiTheme="majorHAnsi" w:cstheme="majorHAnsi"/>
          <w:sz w:val="24"/>
          <w:szCs w:val="24"/>
          <w:lang w:val="ro-MD"/>
        </w:rPr>
        <w:t xml:space="preserve"> </w:t>
      </w:r>
      <w:r w:rsidR="00F04239" w:rsidRPr="00F04239">
        <w:rPr>
          <w:rFonts w:asciiTheme="majorHAnsi" w:hAnsiTheme="majorHAnsi" w:cstheme="majorHAnsi"/>
          <w:sz w:val="24"/>
          <w:szCs w:val="24"/>
          <w:lang w:val="ro-MD"/>
        </w:rPr>
        <w:t>294,7</w:t>
      </w:r>
      <w:r w:rsidRPr="00F04239">
        <w:rPr>
          <w:rFonts w:asciiTheme="majorHAnsi" w:hAnsiTheme="majorHAnsi" w:cstheme="majorHAnsi"/>
          <w:sz w:val="24"/>
          <w:szCs w:val="24"/>
          <w:lang w:val="ro-MD"/>
        </w:rPr>
        <w:t xml:space="preserve"> mii lei </w:t>
      </w:r>
      <w:r w:rsidR="00B305F5">
        <w:rPr>
          <w:rFonts w:asciiTheme="majorHAnsi" w:hAnsiTheme="majorHAnsi" w:cstheme="majorHAnsi"/>
          <w:sz w:val="24"/>
          <w:szCs w:val="24"/>
          <w:lang w:val="ro-MD"/>
        </w:rPr>
        <w:t xml:space="preserve">- </w:t>
      </w:r>
      <w:r w:rsidRPr="00F04239">
        <w:rPr>
          <w:rFonts w:asciiTheme="majorHAnsi" w:hAnsiTheme="majorHAnsi" w:cstheme="majorHAnsi"/>
          <w:sz w:val="24"/>
          <w:szCs w:val="24"/>
          <w:lang w:val="ro-MD"/>
        </w:rPr>
        <w:t xml:space="preserve">pentru anul 2021, </w:t>
      </w:r>
      <w:r w:rsidR="00B305F5">
        <w:rPr>
          <w:rFonts w:asciiTheme="majorHAnsi" w:hAnsiTheme="majorHAnsi" w:cstheme="majorHAnsi"/>
          <w:sz w:val="24"/>
          <w:szCs w:val="24"/>
          <w:lang w:val="ro-MD"/>
        </w:rPr>
        <w:t xml:space="preserve">sau </w:t>
      </w:r>
      <w:r w:rsidRPr="00F04239">
        <w:rPr>
          <w:rFonts w:asciiTheme="majorHAnsi" w:hAnsiTheme="majorHAnsi" w:cstheme="majorHAnsi"/>
          <w:sz w:val="24"/>
          <w:szCs w:val="24"/>
          <w:lang w:val="ro-MD"/>
        </w:rPr>
        <w:t xml:space="preserve">cu </w:t>
      </w:r>
      <w:r w:rsidR="00F04239" w:rsidRPr="00F04239">
        <w:rPr>
          <w:rFonts w:asciiTheme="majorHAnsi" w:hAnsiTheme="majorHAnsi" w:cstheme="majorHAnsi"/>
          <w:sz w:val="24"/>
          <w:szCs w:val="24"/>
          <w:lang w:val="ro-MD"/>
        </w:rPr>
        <w:t>2</w:t>
      </w:r>
      <w:r w:rsidR="008656E4">
        <w:rPr>
          <w:rFonts w:asciiTheme="majorHAnsi" w:hAnsiTheme="majorHAnsi" w:cstheme="majorHAnsi"/>
          <w:sz w:val="24"/>
          <w:szCs w:val="24"/>
          <w:lang w:val="ro-MD"/>
        </w:rPr>
        <w:t xml:space="preserve"> </w:t>
      </w:r>
      <w:r w:rsidR="00F04239" w:rsidRPr="00F04239">
        <w:rPr>
          <w:rFonts w:asciiTheme="majorHAnsi" w:hAnsiTheme="majorHAnsi" w:cstheme="majorHAnsi"/>
          <w:sz w:val="24"/>
          <w:szCs w:val="24"/>
          <w:lang w:val="ro-MD"/>
        </w:rPr>
        <w:t xml:space="preserve">116,05 </w:t>
      </w:r>
      <w:r w:rsidRPr="00F04239">
        <w:rPr>
          <w:rFonts w:asciiTheme="majorHAnsi" w:hAnsiTheme="majorHAnsi" w:cstheme="majorHAnsi"/>
          <w:sz w:val="24"/>
          <w:szCs w:val="24"/>
          <w:lang w:val="ro-MD"/>
        </w:rPr>
        <w:t>mii lei</w:t>
      </w:r>
      <w:r w:rsidR="00B920DC" w:rsidRPr="00F04239">
        <w:rPr>
          <w:rFonts w:asciiTheme="majorHAnsi" w:hAnsiTheme="majorHAnsi" w:cstheme="majorHAnsi"/>
          <w:sz w:val="24"/>
          <w:szCs w:val="24"/>
          <w:lang w:val="ro-MD"/>
        </w:rPr>
        <w:t xml:space="preserve"> </w:t>
      </w:r>
      <w:r w:rsidR="00914DD7" w:rsidRPr="00F04239">
        <w:rPr>
          <w:rFonts w:asciiTheme="majorHAnsi" w:hAnsiTheme="majorHAnsi" w:cstheme="majorHAnsi"/>
          <w:sz w:val="24"/>
          <w:szCs w:val="24"/>
          <w:lang w:val="ro-MD"/>
        </w:rPr>
        <w:t xml:space="preserve">mai </w:t>
      </w:r>
      <w:r w:rsidR="00F04239" w:rsidRPr="00F04239">
        <w:rPr>
          <w:rFonts w:asciiTheme="majorHAnsi" w:hAnsiTheme="majorHAnsi" w:cstheme="majorHAnsi"/>
          <w:sz w:val="24"/>
          <w:szCs w:val="24"/>
          <w:lang w:val="ro-MD"/>
        </w:rPr>
        <w:t>puțin</w:t>
      </w:r>
      <w:r w:rsidR="00914DD7" w:rsidRPr="00F04239">
        <w:rPr>
          <w:rFonts w:asciiTheme="majorHAnsi" w:hAnsiTheme="majorHAnsi" w:cstheme="majorHAnsi"/>
          <w:sz w:val="24"/>
          <w:szCs w:val="24"/>
          <w:lang w:val="ro-MD"/>
        </w:rPr>
        <w:t xml:space="preserve"> față </w:t>
      </w:r>
      <w:r w:rsidR="00B920DC" w:rsidRPr="00F04239">
        <w:rPr>
          <w:rFonts w:asciiTheme="majorHAnsi" w:hAnsiTheme="majorHAnsi" w:cstheme="majorHAnsi"/>
          <w:sz w:val="24"/>
          <w:szCs w:val="24"/>
          <w:lang w:val="ro-MD"/>
        </w:rPr>
        <w:t>de</w:t>
      </w:r>
      <w:r w:rsidR="00DF35EF">
        <w:rPr>
          <w:rFonts w:asciiTheme="majorHAnsi" w:hAnsiTheme="majorHAnsi" w:cstheme="majorHAnsi"/>
          <w:sz w:val="24"/>
          <w:szCs w:val="24"/>
          <w:lang w:val="ro-MD"/>
        </w:rPr>
        <w:t xml:space="preserve"> venitul p</w:t>
      </w:r>
      <w:r w:rsidR="00B920DC" w:rsidRPr="00F04239">
        <w:rPr>
          <w:rFonts w:asciiTheme="majorHAnsi" w:hAnsiTheme="majorHAnsi" w:cstheme="majorHAnsi"/>
          <w:sz w:val="24"/>
          <w:szCs w:val="24"/>
          <w:lang w:val="ro-MD"/>
        </w:rPr>
        <w:t>lanificat.</w:t>
      </w:r>
      <w:r w:rsidR="00AC550E">
        <w:rPr>
          <w:rFonts w:asciiTheme="majorHAnsi" w:hAnsiTheme="majorHAnsi" w:cstheme="majorHAnsi"/>
          <w:sz w:val="24"/>
          <w:szCs w:val="24"/>
          <w:lang w:val="ro-MD"/>
        </w:rPr>
        <w:t xml:space="preserve"> </w:t>
      </w:r>
      <w:r w:rsidR="00AC550E" w:rsidRPr="009553B3">
        <w:rPr>
          <w:rFonts w:asciiTheme="majorHAnsi" w:hAnsiTheme="majorHAnsi" w:cstheme="majorHAnsi"/>
          <w:sz w:val="24"/>
          <w:szCs w:val="24"/>
          <w:lang w:val="ro-MD"/>
        </w:rPr>
        <w:t>Una din</w:t>
      </w:r>
      <w:r w:rsidR="00B305F5">
        <w:rPr>
          <w:rFonts w:asciiTheme="majorHAnsi" w:hAnsiTheme="majorHAnsi" w:cstheme="majorHAnsi"/>
          <w:sz w:val="24"/>
          <w:szCs w:val="24"/>
          <w:lang w:val="ro-MD"/>
        </w:rPr>
        <w:t>tre</w:t>
      </w:r>
      <w:r w:rsidR="00AC550E" w:rsidRPr="009553B3">
        <w:rPr>
          <w:rFonts w:asciiTheme="majorHAnsi" w:hAnsiTheme="majorHAnsi" w:cstheme="majorHAnsi"/>
          <w:sz w:val="24"/>
          <w:szCs w:val="24"/>
          <w:lang w:val="ro-MD"/>
        </w:rPr>
        <w:t xml:space="preserve"> cauzele neacumulării veniturilor planificate </w:t>
      </w:r>
      <w:r w:rsidR="00AC550E" w:rsidRPr="00C66909">
        <w:rPr>
          <w:rFonts w:asciiTheme="majorHAnsi" w:hAnsiTheme="majorHAnsi" w:cstheme="majorHAnsi"/>
          <w:sz w:val="24"/>
          <w:szCs w:val="24"/>
          <w:lang w:val="ro-MD"/>
        </w:rPr>
        <w:t>a fost solicitările</w:t>
      </w:r>
      <w:r w:rsidR="00AC550E" w:rsidRPr="009553B3">
        <w:rPr>
          <w:rFonts w:asciiTheme="majorHAnsi" w:hAnsiTheme="majorHAnsi" w:cstheme="majorHAnsi"/>
          <w:sz w:val="24"/>
          <w:szCs w:val="24"/>
          <w:lang w:val="ro-MD"/>
        </w:rPr>
        <w:t xml:space="preserve"> reduse ale utilizatorilor serviciilor din domeniul infrastructurii calității</w:t>
      </w:r>
      <w:r w:rsidR="007359B9" w:rsidRPr="009553B3">
        <w:rPr>
          <w:rFonts w:asciiTheme="majorHAnsi" w:hAnsiTheme="majorHAnsi" w:cstheme="majorHAnsi"/>
          <w:sz w:val="24"/>
          <w:szCs w:val="24"/>
          <w:lang w:val="ro-MD"/>
        </w:rPr>
        <w:t>,</w:t>
      </w:r>
      <w:r w:rsidR="00AC550E" w:rsidRPr="009553B3">
        <w:rPr>
          <w:rFonts w:asciiTheme="majorHAnsi" w:hAnsiTheme="majorHAnsi" w:cstheme="majorHAnsi"/>
          <w:sz w:val="24"/>
          <w:szCs w:val="24"/>
          <w:lang w:val="ro-MD"/>
        </w:rPr>
        <w:t xml:space="preserve"> influențate de situația pandemică din țară</w:t>
      </w:r>
      <w:r w:rsidR="008656E4">
        <w:rPr>
          <w:rFonts w:asciiTheme="majorHAnsi" w:hAnsiTheme="majorHAnsi" w:cstheme="majorHAnsi"/>
          <w:sz w:val="24"/>
          <w:szCs w:val="24"/>
          <w:lang w:val="ro-MD"/>
        </w:rPr>
        <w:t>,</w:t>
      </w:r>
      <w:r w:rsidR="00AC550E" w:rsidRPr="009553B3">
        <w:rPr>
          <w:rFonts w:asciiTheme="majorHAnsi" w:hAnsiTheme="majorHAnsi" w:cstheme="majorHAnsi"/>
          <w:sz w:val="24"/>
          <w:szCs w:val="24"/>
          <w:lang w:val="ro-MD"/>
        </w:rPr>
        <w:t xml:space="preserve"> o perioadă îndelungată de timp.</w:t>
      </w:r>
    </w:p>
    <w:p w14:paraId="191BAE4C" w14:textId="2619D737" w:rsidR="00194D0A" w:rsidRDefault="00194D0A" w:rsidP="001445A2">
      <w:pPr>
        <w:pStyle w:val="ListParagraph"/>
        <w:tabs>
          <w:tab w:val="left" w:pos="270"/>
        </w:tabs>
        <w:spacing w:after="0" w:line="276" w:lineRule="auto"/>
        <w:ind w:left="0" w:firstLine="720"/>
        <w:jc w:val="both"/>
        <w:rPr>
          <w:rFonts w:asciiTheme="majorHAnsi" w:hAnsiTheme="majorHAnsi" w:cstheme="majorHAnsi"/>
          <w:iCs/>
          <w:sz w:val="24"/>
          <w:szCs w:val="24"/>
          <w:lang w:val="ro-MD"/>
        </w:rPr>
      </w:pPr>
      <w:r w:rsidRPr="001445A2">
        <w:rPr>
          <w:rFonts w:asciiTheme="majorHAnsi" w:hAnsiTheme="majorHAnsi" w:cstheme="majorHAnsi"/>
          <w:sz w:val="24"/>
          <w:szCs w:val="24"/>
          <w:shd w:val="clear" w:color="auto" w:fill="FFFFFF"/>
          <w:lang w:val="ro-MD"/>
        </w:rPr>
        <w:t>Ponderea</w:t>
      </w:r>
      <w:r w:rsidRPr="007917DD">
        <w:rPr>
          <w:rFonts w:asciiTheme="majorHAnsi" w:hAnsiTheme="majorHAnsi" w:cstheme="majorHAnsi"/>
          <w:sz w:val="24"/>
          <w:szCs w:val="24"/>
          <w:lang w:val="ro-MD"/>
        </w:rPr>
        <w:t xml:space="preserve"> majoră în totalul veniturilor </w:t>
      </w:r>
      <w:r w:rsidR="00B305F5">
        <w:rPr>
          <w:rFonts w:asciiTheme="majorHAnsi" w:hAnsiTheme="majorHAnsi" w:cstheme="majorHAnsi"/>
          <w:sz w:val="24"/>
          <w:szCs w:val="24"/>
          <w:lang w:val="ro-MD"/>
        </w:rPr>
        <w:t>instituțiilor publice</w:t>
      </w:r>
      <w:r w:rsidRPr="007917DD">
        <w:rPr>
          <w:rFonts w:asciiTheme="majorHAnsi" w:hAnsiTheme="majorHAnsi" w:cstheme="majorHAnsi"/>
          <w:sz w:val="24"/>
          <w:szCs w:val="24"/>
          <w:lang w:val="ro-MD"/>
        </w:rPr>
        <w:t xml:space="preserve"> a revenit finanțărilor din bugetul de stat (subsidii), </w:t>
      </w:r>
      <w:r w:rsidR="00330486">
        <w:rPr>
          <w:rFonts w:asciiTheme="majorHAnsi" w:hAnsiTheme="majorHAnsi" w:cstheme="majorHAnsi"/>
          <w:sz w:val="24"/>
          <w:szCs w:val="24"/>
          <w:lang w:val="ro-MD"/>
        </w:rPr>
        <w:t>pentru</w:t>
      </w:r>
      <w:r w:rsidRPr="007917DD">
        <w:rPr>
          <w:rFonts w:asciiTheme="majorHAnsi" w:hAnsiTheme="majorHAnsi" w:cstheme="majorHAnsi"/>
          <w:sz w:val="24"/>
          <w:szCs w:val="24"/>
          <w:lang w:val="ro-MD"/>
        </w:rPr>
        <w:t xml:space="preserve"> dezvoltarea sectorului infrastructurii calității și protecției consumatorului, conform principalelor obiective și direcții de dezvoltare, repartizate pe priorități</w:t>
      </w:r>
      <w:r w:rsidR="001B24EC">
        <w:rPr>
          <w:rFonts w:asciiTheme="majorHAnsi" w:hAnsiTheme="majorHAnsi" w:cstheme="majorHAnsi"/>
          <w:sz w:val="24"/>
          <w:szCs w:val="24"/>
          <w:lang w:val="ro-MD"/>
        </w:rPr>
        <w:t xml:space="preserve"> </w:t>
      </w:r>
      <w:r w:rsidR="001B24EC" w:rsidRPr="009553B3">
        <w:rPr>
          <w:rFonts w:asciiTheme="majorHAnsi" w:hAnsiTheme="majorHAnsi" w:cstheme="majorHAnsi"/>
          <w:sz w:val="24"/>
          <w:szCs w:val="24"/>
          <w:lang w:val="ro-MD"/>
        </w:rPr>
        <w:t xml:space="preserve">în proporție de </w:t>
      </w:r>
      <w:r w:rsidR="00AC550E" w:rsidRPr="009553B3">
        <w:rPr>
          <w:rFonts w:asciiTheme="majorHAnsi" w:hAnsiTheme="majorHAnsi" w:cstheme="majorHAnsi"/>
          <w:sz w:val="24"/>
          <w:szCs w:val="24"/>
          <w:lang w:val="ro-MD"/>
        </w:rPr>
        <w:t>78</w:t>
      </w:r>
      <w:r w:rsidR="001B24EC" w:rsidRPr="009553B3">
        <w:rPr>
          <w:rFonts w:asciiTheme="majorHAnsi" w:hAnsiTheme="majorHAnsi" w:cstheme="majorHAnsi"/>
          <w:sz w:val="24"/>
          <w:szCs w:val="24"/>
          <w:lang w:val="ro-MD"/>
        </w:rPr>
        <w:t xml:space="preserve">% ( </w:t>
      </w:r>
      <w:r w:rsidR="00DD7501" w:rsidRPr="009553B3">
        <w:rPr>
          <w:rFonts w:asciiTheme="majorHAnsi" w:hAnsiTheme="majorHAnsi" w:cstheme="majorHAnsi"/>
          <w:sz w:val="24"/>
          <w:szCs w:val="24"/>
          <w:lang w:val="ro-MD"/>
        </w:rPr>
        <w:t>33</w:t>
      </w:r>
      <w:r w:rsidR="008656E4">
        <w:rPr>
          <w:rFonts w:asciiTheme="majorHAnsi" w:hAnsiTheme="majorHAnsi" w:cstheme="majorHAnsi"/>
          <w:sz w:val="24"/>
          <w:szCs w:val="24"/>
          <w:lang w:val="ro-MD"/>
        </w:rPr>
        <w:t xml:space="preserve"> </w:t>
      </w:r>
      <w:r w:rsidR="00DD7501" w:rsidRPr="009553B3">
        <w:rPr>
          <w:rFonts w:asciiTheme="majorHAnsi" w:hAnsiTheme="majorHAnsi" w:cstheme="majorHAnsi"/>
          <w:sz w:val="24"/>
          <w:szCs w:val="24"/>
          <w:lang w:val="ro-MD"/>
        </w:rPr>
        <w:t>382,8</w:t>
      </w:r>
      <w:r w:rsidR="00712F3A">
        <w:rPr>
          <w:rFonts w:asciiTheme="majorHAnsi" w:hAnsiTheme="majorHAnsi" w:cstheme="majorHAnsi"/>
          <w:sz w:val="24"/>
          <w:szCs w:val="24"/>
          <w:lang w:val="ro-MD"/>
        </w:rPr>
        <w:t xml:space="preserve"> mii lei) pentru anul 2020 și  </w:t>
      </w:r>
      <w:r w:rsidR="00B305F5">
        <w:rPr>
          <w:rFonts w:asciiTheme="majorHAnsi" w:hAnsiTheme="majorHAnsi" w:cstheme="majorHAnsi"/>
          <w:sz w:val="24"/>
          <w:szCs w:val="24"/>
          <w:lang w:val="ro-MD"/>
        </w:rPr>
        <w:t xml:space="preserve">de </w:t>
      </w:r>
      <w:r w:rsidR="009553B3" w:rsidRPr="009553B3">
        <w:rPr>
          <w:rFonts w:asciiTheme="majorHAnsi" w:hAnsiTheme="majorHAnsi" w:cstheme="majorHAnsi"/>
          <w:sz w:val="24"/>
          <w:szCs w:val="24"/>
          <w:lang w:val="ro-MD"/>
        </w:rPr>
        <w:t>79</w:t>
      </w:r>
      <w:r w:rsidR="001B24EC" w:rsidRPr="009553B3">
        <w:rPr>
          <w:rFonts w:asciiTheme="majorHAnsi" w:hAnsiTheme="majorHAnsi" w:cstheme="majorHAnsi"/>
          <w:sz w:val="24"/>
          <w:szCs w:val="24"/>
          <w:lang w:val="ro-MD"/>
        </w:rPr>
        <w:t xml:space="preserve">% ( </w:t>
      </w:r>
      <w:r w:rsidR="009553B3" w:rsidRPr="009553B3">
        <w:rPr>
          <w:rFonts w:asciiTheme="majorHAnsi" w:hAnsiTheme="majorHAnsi" w:cstheme="majorHAnsi"/>
          <w:sz w:val="24"/>
          <w:szCs w:val="24"/>
          <w:lang w:val="ro-MD"/>
        </w:rPr>
        <w:t>35</w:t>
      </w:r>
      <w:r w:rsidR="008656E4">
        <w:rPr>
          <w:rFonts w:asciiTheme="majorHAnsi" w:hAnsiTheme="majorHAnsi" w:cstheme="majorHAnsi"/>
          <w:sz w:val="24"/>
          <w:szCs w:val="24"/>
          <w:lang w:val="ro-MD"/>
        </w:rPr>
        <w:t xml:space="preserve"> </w:t>
      </w:r>
      <w:r w:rsidR="009553B3" w:rsidRPr="009553B3">
        <w:rPr>
          <w:rFonts w:asciiTheme="majorHAnsi" w:hAnsiTheme="majorHAnsi" w:cstheme="majorHAnsi"/>
          <w:sz w:val="24"/>
          <w:szCs w:val="24"/>
          <w:lang w:val="ro-MD"/>
        </w:rPr>
        <w:t>022</w:t>
      </w:r>
      <w:r w:rsidR="009553B3">
        <w:rPr>
          <w:rFonts w:asciiTheme="majorHAnsi" w:hAnsiTheme="majorHAnsi" w:cstheme="majorHAnsi"/>
          <w:sz w:val="24"/>
          <w:szCs w:val="24"/>
          <w:lang w:val="ro-MD"/>
        </w:rPr>
        <w:t>,0</w:t>
      </w:r>
      <w:r w:rsidR="001B24EC" w:rsidRPr="009553B3">
        <w:rPr>
          <w:rFonts w:asciiTheme="majorHAnsi" w:hAnsiTheme="majorHAnsi" w:cstheme="majorHAnsi"/>
          <w:sz w:val="24"/>
          <w:szCs w:val="24"/>
          <w:lang w:val="ro-MD"/>
        </w:rPr>
        <w:t xml:space="preserve"> mii lei) pentru anul 2021.</w:t>
      </w:r>
      <w:r w:rsidRPr="00B920DC">
        <w:rPr>
          <w:rFonts w:asciiTheme="majorHAnsi" w:hAnsiTheme="majorHAnsi" w:cstheme="majorHAnsi"/>
          <w:sz w:val="24"/>
          <w:szCs w:val="24"/>
          <w:lang w:val="ro-MD"/>
        </w:rPr>
        <w:t xml:space="preserve"> </w:t>
      </w:r>
    </w:p>
    <w:p w14:paraId="5F5EA212" w14:textId="4890168B" w:rsidR="00DA1A94" w:rsidRPr="001445A2" w:rsidRDefault="00DA1A94" w:rsidP="001445A2">
      <w:pPr>
        <w:pStyle w:val="FootnoteText"/>
        <w:ind w:firstLine="567"/>
        <w:jc w:val="right"/>
        <w:rPr>
          <w:rFonts w:asciiTheme="majorHAnsi" w:hAnsiTheme="majorHAnsi" w:cstheme="majorHAnsi"/>
          <w:b/>
          <w:i/>
          <w:color w:val="333333"/>
          <w:sz w:val="24"/>
          <w:szCs w:val="24"/>
          <w:vertAlign w:val="baseline"/>
          <w:lang w:val="ro-MD"/>
        </w:rPr>
      </w:pPr>
      <w:r w:rsidRPr="001445A2">
        <w:rPr>
          <w:rFonts w:asciiTheme="majorHAnsi" w:hAnsiTheme="majorHAnsi" w:cstheme="majorHAnsi"/>
          <w:b/>
          <w:i/>
          <w:color w:val="333333"/>
          <w:sz w:val="24"/>
          <w:szCs w:val="24"/>
          <w:vertAlign w:val="baseline"/>
          <w:lang w:val="ro-MD"/>
        </w:rPr>
        <w:t>Tabelul nr</w:t>
      </w:r>
      <w:r w:rsidR="00D1487F" w:rsidRPr="006243C6">
        <w:rPr>
          <w:rFonts w:asciiTheme="majorHAnsi" w:hAnsiTheme="majorHAnsi" w:cstheme="majorHAnsi"/>
          <w:b/>
          <w:i/>
          <w:color w:val="333333"/>
          <w:sz w:val="24"/>
          <w:szCs w:val="24"/>
          <w:vertAlign w:val="baseline"/>
          <w:lang w:val="ro-MD"/>
        </w:rPr>
        <w:t>. 4.2.1.1</w:t>
      </w:r>
      <w:r w:rsidR="00184FC1">
        <w:rPr>
          <w:rFonts w:asciiTheme="majorHAnsi" w:hAnsiTheme="majorHAnsi" w:cstheme="majorHAnsi"/>
          <w:b/>
          <w:i/>
          <w:color w:val="333333"/>
          <w:sz w:val="24"/>
          <w:szCs w:val="24"/>
          <w:vertAlign w:val="baseline"/>
          <w:lang w:val="ro-MD"/>
        </w:rPr>
        <w:t>.</w:t>
      </w:r>
    </w:p>
    <w:p w14:paraId="24049F6A" w14:textId="5D100726" w:rsidR="00DA1A94" w:rsidRDefault="00B920DC" w:rsidP="001445A2">
      <w:pPr>
        <w:tabs>
          <w:tab w:val="left" w:pos="0"/>
        </w:tabs>
        <w:spacing w:after="0" w:line="276" w:lineRule="auto"/>
        <w:contextualSpacing/>
        <w:jc w:val="center"/>
        <w:rPr>
          <w:rFonts w:asciiTheme="majorHAnsi" w:hAnsiTheme="majorHAnsi" w:cstheme="majorHAnsi"/>
          <w:b/>
          <w:sz w:val="24"/>
          <w:szCs w:val="24"/>
          <w:lang w:val="ro-MD"/>
        </w:rPr>
      </w:pPr>
      <w:r w:rsidRPr="00B920DC">
        <w:rPr>
          <w:rFonts w:asciiTheme="majorHAnsi" w:hAnsiTheme="majorHAnsi" w:cstheme="majorHAnsi"/>
          <w:b/>
          <w:sz w:val="24"/>
          <w:szCs w:val="24"/>
          <w:lang w:val="ro-MD"/>
        </w:rPr>
        <w:t xml:space="preserve">Veniturile </w:t>
      </w:r>
      <w:r w:rsidR="00B305F5">
        <w:rPr>
          <w:rFonts w:asciiTheme="majorHAnsi" w:hAnsiTheme="majorHAnsi" w:cstheme="majorHAnsi"/>
          <w:b/>
          <w:sz w:val="24"/>
          <w:szCs w:val="24"/>
          <w:lang w:val="ro-MD"/>
        </w:rPr>
        <w:t>i</w:t>
      </w:r>
      <w:r w:rsidRPr="00B920DC">
        <w:rPr>
          <w:rFonts w:asciiTheme="majorHAnsi" w:hAnsiTheme="majorHAnsi" w:cstheme="majorHAnsi"/>
          <w:b/>
          <w:sz w:val="24"/>
          <w:szCs w:val="24"/>
          <w:lang w:val="ro-MD"/>
        </w:rPr>
        <w:t xml:space="preserve">nstituțiilor </w:t>
      </w:r>
      <w:r w:rsidR="00B305F5">
        <w:rPr>
          <w:rFonts w:asciiTheme="majorHAnsi" w:hAnsiTheme="majorHAnsi" w:cstheme="majorHAnsi"/>
          <w:b/>
          <w:sz w:val="24"/>
          <w:szCs w:val="24"/>
          <w:lang w:val="ro-MD"/>
        </w:rPr>
        <w:t>p</w:t>
      </w:r>
      <w:r w:rsidRPr="00B920DC">
        <w:rPr>
          <w:rFonts w:asciiTheme="majorHAnsi" w:hAnsiTheme="majorHAnsi" w:cstheme="majorHAnsi"/>
          <w:b/>
          <w:sz w:val="24"/>
          <w:szCs w:val="24"/>
          <w:lang w:val="ro-MD"/>
        </w:rPr>
        <w:t xml:space="preserve">ublice din domeniul infrastructurii calității </w:t>
      </w:r>
      <w:r w:rsidR="00CA446B">
        <w:rPr>
          <w:rFonts w:asciiTheme="majorHAnsi" w:hAnsiTheme="majorHAnsi" w:cstheme="majorHAnsi"/>
          <w:b/>
          <w:sz w:val="24"/>
          <w:szCs w:val="24"/>
          <w:lang w:val="ro-MD"/>
        </w:rPr>
        <w:t>în</w:t>
      </w:r>
      <w:r w:rsidRPr="00B920DC">
        <w:rPr>
          <w:rFonts w:asciiTheme="majorHAnsi" w:hAnsiTheme="majorHAnsi" w:cstheme="majorHAnsi"/>
          <w:b/>
          <w:sz w:val="24"/>
          <w:szCs w:val="24"/>
          <w:lang w:val="ro-MD"/>
        </w:rPr>
        <w:t xml:space="preserve"> anii 2020-2021</w:t>
      </w:r>
    </w:p>
    <w:p w14:paraId="08B5EB27" w14:textId="1BB0A5D0" w:rsidR="00C82EF0" w:rsidRPr="00255E9C" w:rsidRDefault="00C82EF0" w:rsidP="00C82EF0">
      <w:pPr>
        <w:tabs>
          <w:tab w:val="left" w:pos="0"/>
          <w:tab w:val="left" w:pos="270"/>
          <w:tab w:val="left" w:pos="990"/>
          <w:tab w:val="left" w:pos="1080"/>
        </w:tabs>
        <w:spacing w:after="0" w:line="276" w:lineRule="auto"/>
        <w:contextualSpacing/>
        <w:jc w:val="right"/>
        <w:rPr>
          <w:rFonts w:asciiTheme="majorHAnsi" w:hAnsiTheme="majorHAnsi" w:cstheme="majorHAnsi"/>
          <w:sz w:val="24"/>
          <w:szCs w:val="24"/>
          <w:lang w:val="ro-MD"/>
        </w:rPr>
      </w:pPr>
      <w:r w:rsidRPr="00255E9C">
        <w:rPr>
          <w:rFonts w:asciiTheme="majorHAnsi" w:hAnsiTheme="majorHAnsi" w:cstheme="majorHAnsi"/>
          <w:sz w:val="24"/>
          <w:szCs w:val="24"/>
          <w:lang w:val="ro-MD"/>
        </w:rPr>
        <w:t>(mii lei)</w:t>
      </w:r>
    </w:p>
    <w:tbl>
      <w:tblPr>
        <w:tblStyle w:val="PlainTable2"/>
        <w:tblW w:w="4993" w:type="pct"/>
        <w:tblLook w:val="04A0" w:firstRow="1" w:lastRow="0" w:firstColumn="1" w:lastColumn="0" w:noHBand="0" w:noVBand="1"/>
      </w:tblPr>
      <w:tblGrid>
        <w:gridCol w:w="3147"/>
        <w:gridCol w:w="1127"/>
        <w:gridCol w:w="1280"/>
        <w:gridCol w:w="826"/>
        <w:gridCol w:w="986"/>
        <w:gridCol w:w="1151"/>
        <w:gridCol w:w="824"/>
      </w:tblGrid>
      <w:tr w:rsidR="008656E4" w:rsidRPr="008656E4" w14:paraId="2893A604" w14:textId="77777777" w:rsidTr="00CB750B">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85" w:type="pct"/>
            <w:vMerge w:val="restart"/>
            <w:tcBorders>
              <w:bottom w:val="none" w:sz="0" w:space="0" w:color="auto"/>
            </w:tcBorders>
            <w:hideMark/>
          </w:tcPr>
          <w:p w14:paraId="570E47F2" w14:textId="77777777" w:rsidR="00B76673" w:rsidRPr="00255E9C" w:rsidRDefault="00B76673" w:rsidP="00914DD7">
            <w:pPr>
              <w:jc w:val="center"/>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Categoria</w:t>
            </w:r>
          </w:p>
        </w:tc>
        <w:tc>
          <w:tcPr>
            <w:tcW w:w="1288" w:type="pct"/>
            <w:gridSpan w:val="2"/>
            <w:tcBorders>
              <w:bottom w:val="none" w:sz="0" w:space="0" w:color="auto"/>
            </w:tcBorders>
            <w:hideMark/>
          </w:tcPr>
          <w:p w14:paraId="59EAEA53" w14:textId="77777777"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Anul 2020</w:t>
            </w:r>
          </w:p>
        </w:tc>
        <w:tc>
          <w:tcPr>
            <w:tcW w:w="442" w:type="pct"/>
            <w:vMerge w:val="restart"/>
            <w:tcBorders>
              <w:bottom w:val="none" w:sz="0" w:space="0" w:color="auto"/>
            </w:tcBorders>
            <w:hideMark/>
          </w:tcPr>
          <w:p w14:paraId="44F985EF" w14:textId="77777777"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Devieri</w:t>
            </w:r>
          </w:p>
          <w:p w14:paraId="242C6312" w14:textId="16D67332"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relative</w:t>
            </w:r>
            <w:r w:rsidRPr="00255E9C">
              <w:rPr>
                <w:rFonts w:asciiTheme="majorHAnsi" w:hAnsiTheme="majorHAnsi" w:cstheme="majorHAnsi"/>
                <w:iCs/>
                <w:sz w:val="20"/>
                <w:szCs w:val="20"/>
                <w:lang w:val="ro-MD"/>
              </w:rPr>
              <w:br/>
              <w:t>%</w:t>
            </w:r>
          </w:p>
        </w:tc>
        <w:tc>
          <w:tcPr>
            <w:tcW w:w="1144" w:type="pct"/>
            <w:gridSpan w:val="2"/>
            <w:tcBorders>
              <w:bottom w:val="none" w:sz="0" w:space="0" w:color="auto"/>
            </w:tcBorders>
            <w:hideMark/>
          </w:tcPr>
          <w:p w14:paraId="55E1791D" w14:textId="77777777"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Anul 2021</w:t>
            </w:r>
          </w:p>
        </w:tc>
        <w:tc>
          <w:tcPr>
            <w:tcW w:w="441" w:type="pct"/>
            <w:vMerge w:val="restart"/>
            <w:tcBorders>
              <w:bottom w:val="none" w:sz="0" w:space="0" w:color="auto"/>
            </w:tcBorders>
            <w:hideMark/>
          </w:tcPr>
          <w:p w14:paraId="71C1A0D6" w14:textId="77777777"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Devieri</w:t>
            </w:r>
          </w:p>
          <w:p w14:paraId="45F023A1" w14:textId="3E0ED406" w:rsidR="00B76673" w:rsidRPr="00255E9C" w:rsidRDefault="00B76673" w:rsidP="00914D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relative</w:t>
            </w:r>
            <w:r w:rsidRPr="00255E9C">
              <w:rPr>
                <w:rFonts w:asciiTheme="majorHAnsi" w:hAnsiTheme="majorHAnsi" w:cstheme="majorHAnsi"/>
                <w:iCs/>
                <w:sz w:val="20"/>
                <w:szCs w:val="20"/>
                <w:lang w:val="ro-MD"/>
              </w:rPr>
              <w:br/>
              <w:t>%</w:t>
            </w:r>
          </w:p>
        </w:tc>
      </w:tr>
      <w:tr w:rsidR="008656E4" w:rsidRPr="008656E4" w14:paraId="723B08AB" w14:textId="77777777" w:rsidTr="00CB750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85" w:type="pct"/>
            <w:vMerge/>
            <w:tcBorders>
              <w:top w:val="none" w:sz="0" w:space="0" w:color="auto"/>
              <w:bottom w:val="none" w:sz="0" w:space="0" w:color="auto"/>
            </w:tcBorders>
            <w:hideMark/>
          </w:tcPr>
          <w:p w14:paraId="4354A8B7" w14:textId="77777777" w:rsidR="00B76673" w:rsidRPr="008656E4" w:rsidRDefault="00B76673" w:rsidP="00914DD7">
            <w:pPr>
              <w:jc w:val="center"/>
              <w:rPr>
                <w:rFonts w:asciiTheme="majorHAnsi" w:hAnsiTheme="majorHAnsi" w:cstheme="majorHAnsi"/>
                <w:b w:val="0"/>
                <w:bCs w:val="0"/>
                <w:i/>
                <w:iCs/>
                <w:sz w:val="20"/>
                <w:szCs w:val="20"/>
                <w:lang w:val="ro-MD"/>
              </w:rPr>
            </w:pPr>
          </w:p>
        </w:tc>
        <w:tc>
          <w:tcPr>
            <w:tcW w:w="603" w:type="pct"/>
            <w:tcBorders>
              <w:top w:val="none" w:sz="0" w:space="0" w:color="auto"/>
              <w:bottom w:val="none" w:sz="0" w:space="0" w:color="auto"/>
            </w:tcBorders>
            <w:hideMark/>
          </w:tcPr>
          <w:p w14:paraId="21D95657" w14:textId="77777777" w:rsidR="00B76673" w:rsidRPr="008656E4" w:rsidRDefault="00B7667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r w:rsidRPr="008656E4">
              <w:rPr>
                <w:rFonts w:asciiTheme="majorHAnsi" w:hAnsiTheme="majorHAnsi" w:cstheme="majorHAnsi"/>
                <w:b/>
                <w:bCs/>
                <w:i/>
                <w:iCs/>
                <w:sz w:val="20"/>
                <w:szCs w:val="20"/>
                <w:lang w:val="ro-MD"/>
              </w:rPr>
              <w:t>Planificat</w:t>
            </w:r>
          </w:p>
        </w:tc>
        <w:tc>
          <w:tcPr>
            <w:tcW w:w="685" w:type="pct"/>
            <w:tcBorders>
              <w:top w:val="none" w:sz="0" w:space="0" w:color="auto"/>
              <w:bottom w:val="none" w:sz="0" w:space="0" w:color="auto"/>
            </w:tcBorders>
            <w:hideMark/>
          </w:tcPr>
          <w:p w14:paraId="29D203A0" w14:textId="77777777" w:rsidR="00B76673" w:rsidRPr="008656E4" w:rsidRDefault="00B7667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r w:rsidRPr="008656E4">
              <w:rPr>
                <w:rFonts w:asciiTheme="majorHAnsi" w:hAnsiTheme="majorHAnsi" w:cstheme="majorHAnsi"/>
                <w:b/>
                <w:bCs/>
                <w:i/>
                <w:iCs/>
                <w:sz w:val="20"/>
                <w:szCs w:val="20"/>
                <w:lang w:val="ro-MD"/>
              </w:rPr>
              <w:t>Executat</w:t>
            </w:r>
          </w:p>
        </w:tc>
        <w:tc>
          <w:tcPr>
            <w:tcW w:w="442" w:type="pct"/>
            <w:vMerge/>
            <w:tcBorders>
              <w:top w:val="none" w:sz="0" w:space="0" w:color="auto"/>
              <w:bottom w:val="none" w:sz="0" w:space="0" w:color="auto"/>
            </w:tcBorders>
            <w:hideMark/>
          </w:tcPr>
          <w:p w14:paraId="78E1D78E" w14:textId="77777777" w:rsidR="00B76673" w:rsidRPr="008656E4" w:rsidRDefault="00B7667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p>
        </w:tc>
        <w:tc>
          <w:tcPr>
            <w:tcW w:w="528" w:type="pct"/>
            <w:tcBorders>
              <w:top w:val="none" w:sz="0" w:space="0" w:color="auto"/>
              <w:bottom w:val="none" w:sz="0" w:space="0" w:color="auto"/>
            </w:tcBorders>
            <w:hideMark/>
          </w:tcPr>
          <w:p w14:paraId="0B1758E7" w14:textId="7ACA6DD5" w:rsidR="00B76673" w:rsidRPr="008656E4" w:rsidRDefault="00B7667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r w:rsidRPr="008656E4">
              <w:rPr>
                <w:rFonts w:asciiTheme="majorHAnsi" w:hAnsiTheme="majorHAnsi" w:cstheme="majorHAnsi"/>
                <w:b/>
                <w:bCs/>
                <w:i/>
                <w:iCs/>
                <w:sz w:val="20"/>
                <w:szCs w:val="20"/>
                <w:lang w:val="ro-MD"/>
              </w:rPr>
              <w:t>Pla-nificat</w:t>
            </w:r>
          </w:p>
        </w:tc>
        <w:tc>
          <w:tcPr>
            <w:tcW w:w="616" w:type="pct"/>
            <w:tcBorders>
              <w:top w:val="none" w:sz="0" w:space="0" w:color="auto"/>
              <w:bottom w:val="none" w:sz="0" w:space="0" w:color="auto"/>
            </w:tcBorders>
            <w:hideMark/>
          </w:tcPr>
          <w:p w14:paraId="19BA4234" w14:textId="77777777" w:rsidR="00B76673" w:rsidRPr="008656E4" w:rsidRDefault="00B7667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r w:rsidRPr="008656E4">
              <w:rPr>
                <w:rFonts w:asciiTheme="majorHAnsi" w:hAnsiTheme="majorHAnsi" w:cstheme="majorHAnsi"/>
                <w:b/>
                <w:bCs/>
                <w:i/>
                <w:iCs/>
                <w:sz w:val="20"/>
                <w:szCs w:val="20"/>
                <w:lang w:val="ro-MD"/>
              </w:rPr>
              <w:t>Executat</w:t>
            </w:r>
          </w:p>
        </w:tc>
        <w:tc>
          <w:tcPr>
            <w:tcW w:w="441" w:type="pct"/>
            <w:vMerge/>
            <w:tcBorders>
              <w:top w:val="none" w:sz="0" w:space="0" w:color="auto"/>
              <w:bottom w:val="none" w:sz="0" w:space="0" w:color="auto"/>
            </w:tcBorders>
            <w:hideMark/>
          </w:tcPr>
          <w:p w14:paraId="198A85C8" w14:textId="77777777" w:rsidR="00B76673" w:rsidRPr="008656E4" w:rsidRDefault="00B76673" w:rsidP="00914D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 w:val="20"/>
                <w:szCs w:val="20"/>
                <w:lang w:val="ro-MD"/>
              </w:rPr>
            </w:pPr>
          </w:p>
        </w:tc>
      </w:tr>
      <w:tr w:rsidR="008656E4" w:rsidRPr="008656E4" w14:paraId="0EBD61E6" w14:textId="77777777" w:rsidTr="00CB750B">
        <w:trPr>
          <w:trHeight w:val="321"/>
        </w:trPr>
        <w:tc>
          <w:tcPr>
            <w:cnfStyle w:val="001000000000" w:firstRow="0" w:lastRow="0" w:firstColumn="1" w:lastColumn="0" w:oddVBand="0" w:evenVBand="0" w:oddHBand="0" w:evenHBand="0" w:firstRowFirstColumn="0" w:firstRowLastColumn="0" w:lastRowFirstColumn="0" w:lastRowLastColumn="0"/>
            <w:tcW w:w="1685" w:type="pct"/>
            <w:hideMark/>
          </w:tcPr>
          <w:p w14:paraId="1F031050" w14:textId="77777777" w:rsidR="00483B03" w:rsidRPr="008656E4" w:rsidRDefault="00483B03" w:rsidP="00914DD7">
            <w:pPr>
              <w:jc w:val="both"/>
              <w:rPr>
                <w:rFonts w:asciiTheme="majorHAnsi" w:hAnsiTheme="majorHAnsi" w:cstheme="majorHAnsi"/>
                <w:sz w:val="20"/>
                <w:szCs w:val="20"/>
                <w:lang w:val="ro-MD"/>
              </w:rPr>
            </w:pPr>
            <w:r w:rsidRPr="008656E4">
              <w:rPr>
                <w:rFonts w:asciiTheme="majorHAnsi" w:hAnsiTheme="majorHAnsi" w:cstheme="majorHAnsi"/>
                <w:sz w:val="20"/>
                <w:szCs w:val="20"/>
                <w:lang w:val="ro-MD"/>
              </w:rPr>
              <w:t>Venituri din prestarea serviciilor și executarea lucrărilor</w:t>
            </w:r>
          </w:p>
        </w:tc>
        <w:tc>
          <w:tcPr>
            <w:tcW w:w="603" w:type="pct"/>
            <w:hideMark/>
          </w:tcPr>
          <w:p w14:paraId="539595F8"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9 190,0</w:t>
            </w:r>
          </w:p>
        </w:tc>
        <w:tc>
          <w:tcPr>
            <w:tcW w:w="685" w:type="pct"/>
            <w:noWrap/>
            <w:hideMark/>
          </w:tcPr>
          <w:p w14:paraId="2CA71AD2"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9 119,8</w:t>
            </w:r>
          </w:p>
        </w:tc>
        <w:tc>
          <w:tcPr>
            <w:tcW w:w="442" w:type="pct"/>
            <w:hideMark/>
          </w:tcPr>
          <w:p w14:paraId="21BCA7F5"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-0,76</w:t>
            </w:r>
          </w:p>
        </w:tc>
        <w:tc>
          <w:tcPr>
            <w:tcW w:w="528" w:type="pct"/>
            <w:hideMark/>
          </w:tcPr>
          <w:p w14:paraId="5D842849"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 xml:space="preserve">8 248,0 </w:t>
            </w:r>
          </w:p>
        </w:tc>
        <w:tc>
          <w:tcPr>
            <w:tcW w:w="616" w:type="pct"/>
            <w:noWrap/>
            <w:hideMark/>
          </w:tcPr>
          <w:p w14:paraId="320A60E5"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9 415,8</w:t>
            </w:r>
          </w:p>
        </w:tc>
        <w:tc>
          <w:tcPr>
            <w:tcW w:w="441" w:type="pct"/>
            <w:hideMark/>
          </w:tcPr>
          <w:p w14:paraId="53340C01"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14,16</w:t>
            </w:r>
          </w:p>
        </w:tc>
      </w:tr>
      <w:tr w:rsidR="008656E4" w:rsidRPr="008656E4" w14:paraId="11E7E9B6" w14:textId="77777777" w:rsidTr="00CB75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hideMark/>
          </w:tcPr>
          <w:p w14:paraId="12617EBD" w14:textId="77777777" w:rsidR="00483B03" w:rsidRPr="008656E4" w:rsidRDefault="00483B03" w:rsidP="00914DD7">
            <w:pPr>
              <w:jc w:val="both"/>
              <w:rPr>
                <w:rFonts w:asciiTheme="majorHAnsi" w:hAnsiTheme="majorHAnsi" w:cstheme="majorHAnsi"/>
                <w:sz w:val="20"/>
                <w:szCs w:val="20"/>
                <w:lang w:val="ro-MD"/>
              </w:rPr>
            </w:pPr>
            <w:r w:rsidRPr="008656E4">
              <w:rPr>
                <w:rFonts w:asciiTheme="majorHAnsi" w:hAnsiTheme="majorHAnsi" w:cstheme="majorHAnsi"/>
                <w:sz w:val="20"/>
                <w:szCs w:val="20"/>
                <w:lang w:val="ro-MD"/>
              </w:rPr>
              <w:t>Venituri din contracte de leasing (locațiune)</w:t>
            </w:r>
          </w:p>
        </w:tc>
        <w:tc>
          <w:tcPr>
            <w:tcW w:w="603" w:type="pct"/>
            <w:tcBorders>
              <w:top w:val="none" w:sz="0" w:space="0" w:color="auto"/>
              <w:bottom w:val="none" w:sz="0" w:space="0" w:color="auto"/>
            </w:tcBorders>
            <w:hideMark/>
          </w:tcPr>
          <w:p w14:paraId="4147C565" w14:textId="3722596C" w:rsidR="00483B03" w:rsidRPr="008656E4" w:rsidRDefault="00483B03"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 xml:space="preserve"> 2</w:t>
            </w:r>
            <w:r w:rsidR="00C82EF0" w:rsidRPr="008656E4">
              <w:rPr>
                <w:rFonts w:asciiTheme="majorHAnsi" w:hAnsiTheme="majorHAnsi" w:cstheme="majorHAnsi"/>
                <w:sz w:val="20"/>
                <w:szCs w:val="20"/>
                <w:lang w:val="ro-MD"/>
              </w:rPr>
              <w:t>5</w:t>
            </w:r>
            <w:r w:rsidRPr="008656E4">
              <w:rPr>
                <w:rFonts w:asciiTheme="majorHAnsi" w:hAnsiTheme="majorHAnsi" w:cstheme="majorHAnsi"/>
                <w:sz w:val="20"/>
                <w:szCs w:val="20"/>
                <w:lang w:val="ro-MD"/>
              </w:rPr>
              <w:t>0,0</w:t>
            </w:r>
          </w:p>
        </w:tc>
        <w:tc>
          <w:tcPr>
            <w:tcW w:w="685" w:type="pct"/>
            <w:tcBorders>
              <w:top w:val="none" w:sz="0" w:space="0" w:color="auto"/>
              <w:bottom w:val="none" w:sz="0" w:space="0" w:color="auto"/>
            </w:tcBorders>
            <w:noWrap/>
            <w:hideMark/>
          </w:tcPr>
          <w:p w14:paraId="796C7806"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246,5</w:t>
            </w:r>
          </w:p>
        </w:tc>
        <w:tc>
          <w:tcPr>
            <w:tcW w:w="442" w:type="pct"/>
            <w:tcBorders>
              <w:top w:val="none" w:sz="0" w:space="0" w:color="auto"/>
              <w:bottom w:val="none" w:sz="0" w:space="0" w:color="auto"/>
            </w:tcBorders>
            <w:hideMark/>
          </w:tcPr>
          <w:p w14:paraId="51457132" w14:textId="71437FCE" w:rsidR="00483B03" w:rsidRPr="008656E4" w:rsidRDefault="00483B03"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w:t>
            </w:r>
            <w:r w:rsidR="00C82EF0" w:rsidRPr="008656E4">
              <w:rPr>
                <w:rFonts w:asciiTheme="majorHAnsi" w:hAnsiTheme="majorHAnsi" w:cstheme="majorHAnsi"/>
                <w:sz w:val="20"/>
                <w:szCs w:val="20"/>
                <w:lang w:val="ro-MD"/>
              </w:rPr>
              <w:t>1,</w:t>
            </w:r>
            <w:r w:rsidRPr="008656E4">
              <w:rPr>
                <w:rFonts w:asciiTheme="majorHAnsi" w:hAnsiTheme="majorHAnsi" w:cstheme="majorHAnsi"/>
                <w:sz w:val="20"/>
                <w:szCs w:val="20"/>
                <w:lang w:val="ro-MD"/>
              </w:rPr>
              <w:t>4</w:t>
            </w:r>
          </w:p>
        </w:tc>
        <w:tc>
          <w:tcPr>
            <w:tcW w:w="528" w:type="pct"/>
            <w:tcBorders>
              <w:top w:val="none" w:sz="0" w:space="0" w:color="auto"/>
              <w:bottom w:val="none" w:sz="0" w:space="0" w:color="auto"/>
            </w:tcBorders>
            <w:hideMark/>
          </w:tcPr>
          <w:p w14:paraId="70145E1B" w14:textId="7757416B" w:rsidR="00483B03" w:rsidRPr="008656E4" w:rsidRDefault="00483B03"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260</w:t>
            </w:r>
            <w:r w:rsidR="00C82EF0" w:rsidRPr="008656E4">
              <w:rPr>
                <w:rFonts w:asciiTheme="majorHAnsi" w:hAnsiTheme="majorHAnsi" w:cstheme="majorHAnsi"/>
                <w:sz w:val="20"/>
                <w:szCs w:val="20"/>
                <w:lang w:val="ro-MD"/>
              </w:rPr>
              <w:t>.0</w:t>
            </w:r>
          </w:p>
        </w:tc>
        <w:tc>
          <w:tcPr>
            <w:tcW w:w="616" w:type="pct"/>
            <w:tcBorders>
              <w:top w:val="none" w:sz="0" w:space="0" w:color="auto"/>
              <w:bottom w:val="none" w:sz="0" w:space="0" w:color="auto"/>
            </w:tcBorders>
            <w:noWrap/>
            <w:hideMark/>
          </w:tcPr>
          <w:p w14:paraId="586B34EF"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253,4</w:t>
            </w:r>
          </w:p>
        </w:tc>
        <w:tc>
          <w:tcPr>
            <w:tcW w:w="441" w:type="pct"/>
            <w:tcBorders>
              <w:top w:val="none" w:sz="0" w:space="0" w:color="auto"/>
              <w:bottom w:val="none" w:sz="0" w:space="0" w:color="auto"/>
            </w:tcBorders>
            <w:hideMark/>
          </w:tcPr>
          <w:p w14:paraId="23DA89DF" w14:textId="0C046C79" w:rsidR="00483B03" w:rsidRPr="008656E4" w:rsidRDefault="00483B03"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w:t>
            </w:r>
            <w:r w:rsidR="00C82EF0" w:rsidRPr="008656E4">
              <w:rPr>
                <w:rFonts w:asciiTheme="majorHAnsi" w:hAnsiTheme="majorHAnsi" w:cstheme="majorHAnsi"/>
                <w:sz w:val="20"/>
                <w:szCs w:val="20"/>
                <w:lang w:val="ro-MD"/>
              </w:rPr>
              <w:t>2,54</w:t>
            </w:r>
          </w:p>
        </w:tc>
      </w:tr>
      <w:tr w:rsidR="008656E4" w:rsidRPr="008656E4" w14:paraId="7865CF41" w14:textId="77777777" w:rsidTr="00CB750B">
        <w:trPr>
          <w:trHeight w:val="167"/>
        </w:trPr>
        <w:tc>
          <w:tcPr>
            <w:cnfStyle w:val="001000000000" w:firstRow="0" w:lastRow="0" w:firstColumn="1" w:lastColumn="0" w:oddVBand="0" w:evenVBand="0" w:oddHBand="0" w:evenHBand="0" w:firstRowFirstColumn="0" w:firstRowLastColumn="0" w:lastRowFirstColumn="0" w:lastRowLastColumn="0"/>
            <w:tcW w:w="1685" w:type="pct"/>
            <w:hideMark/>
          </w:tcPr>
          <w:p w14:paraId="08FD995A" w14:textId="5439F533" w:rsidR="00483B03" w:rsidRPr="008656E4" w:rsidRDefault="00483B03" w:rsidP="00914DD7">
            <w:pPr>
              <w:jc w:val="both"/>
              <w:rPr>
                <w:rFonts w:asciiTheme="majorHAnsi" w:hAnsiTheme="majorHAnsi" w:cstheme="majorHAnsi"/>
                <w:b w:val="0"/>
                <w:bCs w:val="0"/>
                <w:sz w:val="20"/>
                <w:szCs w:val="20"/>
                <w:lang w:val="ro-MD"/>
              </w:rPr>
            </w:pPr>
            <w:r w:rsidRPr="008656E4">
              <w:rPr>
                <w:rFonts w:asciiTheme="majorHAnsi" w:hAnsiTheme="majorHAnsi" w:cstheme="majorHAnsi"/>
                <w:b w:val="0"/>
                <w:bCs w:val="0"/>
                <w:sz w:val="20"/>
                <w:szCs w:val="20"/>
                <w:lang w:val="ro-MD"/>
              </w:rPr>
              <w:t>Total</w:t>
            </w:r>
            <w:r w:rsidR="003125BF">
              <w:rPr>
                <w:rFonts w:asciiTheme="majorHAnsi" w:hAnsiTheme="majorHAnsi" w:cstheme="majorHAnsi"/>
                <w:b w:val="0"/>
                <w:bCs w:val="0"/>
                <w:sz w:val="20"/>
                <w:szCs w:val="20"/>
                <w:lang w:val="ro-MD"/>
              </w:rPr>
              <w:t>,</w:t>
            </w:r>
            <w:r w:rsidRPr="008656E4">
              <w:rPr>
                <w:rFonts w:asciiTheme="majorHAnsi" w:hAnsiTheme="majorHAnsi" w:cstheme="majorHAnsi"/>
                <w:b w:val="0"/>
                <w:bCs w:val="0"/>
                <w:sz w:val="20"/>
                <w:szCs w:val="20"/>
                <w:lang w:val="ro-MD"/>
              </w:rPr>
              <w:t xml:space="preserve"> venituri din vânzări </w:t>
            </w:r>
          </w:p>
        </w:tc>
        <w:tc>
          <w:tcPr>
            <w:tcW w:w="603" w:type="pct"/>
            <w:noWrap/>
            <w:hideMark/>
          </w:tcPr>
          <w:p w14:paraId="03F0C7F3" w14:textId="6179B984" w:rsidR="00483B03" w:rsidRPr="008656E4" w:rsidRDefault="00A30B4A"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9440</w:t>
            </w:r>
            <w:r w:rsidR="00483B03" w:rsidRPr="008656E4">
              <w:rPr>
                <w:rFonts w:asciiTheme="majorHAnsi" w:hAnsiTheme="majorHAnsi" w:cstheme="majorHAnsi"/>
                <w:b/>
                <w:bCs/>
                <w:sz w:val="20"/>
                <w:szCs w:val="20"/>
                <w:lang w:val="ro-MD"/>
              </w:rPr>
              <w:t>,0</w:t>
            </w:r>
          </w:p>
        </w:tc>
        <w:tc>
          <w:tcPr>
            <w:tcW w:w="685" w:type="pct"/>
            <w:noWrap/>
            <w:hideMark/>
          </w:tcPr>
          <w:p w14:paraId="473355DF"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9 366,3</w:t>
            </w:r>
          </w:p>
        </w:tc>
        <w:tc>
          <w:tcPr>
            <w:tcW w:w="442" w:type="pct"/>
            <w:hideMark/>
          </w:tcPr>
          <w:p w14:paraId="17722661" w14:textId="2971B205" w:rsidR="00483B03" w:rsidRPr="008656E4" w:rsidRDefault="00A30B4A" w:rsidP="00A30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-0,78</w:t>
            </w:r>
          </w:p>
        </w:tc>
        <w:tc>
          <w:tcPr>
            <w:tcW w:w="528" w:type="pct"/>
            <w:hideMark/>
          </w:tcPr>
          <w:p w14:paraId="11370CF7" w14:textId="22D71109" w:rsidR="00483B03" w:rsidRPr="008656E4" w:rsidRDefault="00A30B4A"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8508,0</w:t>
            </w:r>
          </w:p>
        </w:tc>
        <w:tc>
          <w:tcPr>
            <w:tcW w:w="616" w:type="pct"/>
            <w:noWrap/>
            <w:hideMark/>
          </w:tcPr>
          <w:p w14:paraId="07F91C47"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9 669,2</w:t>
            </w:r>
          </w:p>
        </w:tc>
        <w:tc>
          <w:tcPr>
            <w:tcW w:w="441" w:type="pct"/>
            <w:hideMark/>
          </w:tcPr>
          <w:p w14:paraId="7ABE7A46" w14:textId="1AC2B4D6" w:rsidR="00483B03" w:rsidRPr="008656E4" w:rsidRDefault="00483B03" w:rsidP="00A30B4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w:t>
            </w:r>
            <w:r w:rsidR="00A30B4A" w:rsidRPr="008656E4">
              <w:rPr>
                <w:rFonts w:asciiTheme="majorHAnsi" w:hAnsiTheme="majorHAnsi" w:cstheme="majorHAnsi"/>
                <w:b/>
                <w:bCs/>
                <w:sz w:val="20"/>
                <w:szCs w:val="20"/>
                <w:lang w:val="ro-MD"/>
              </w:rPr>
              <w:t>3,65</w:t>
            </w:r>
          </w:p>
        </w:tc>
      </w:tr>
      <w:tr w:rsidR="008656E4" w:rsidRPr="008656E4" w14:paraId="4102A077" w14:textId="77777777" w:rsidTr="00CB75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hideMark/>
          </w:tcPr>
          <w:p w14:paraId="74CCEC51" w14:textId="77777777" w:rsidR="00483B03" w:rsidRPr="008656E4" w:rsidRDefault="00483B03" w:rsidP="00914DD7">
            <w:pPr>
              <w:jc w:val="both"/>
              <w:rPr>
                <w:rFonts w:asciiTheme="majorHAnsi" w:hAnsiTheme="majorHAnsi" w:cstheme="majorHAnsi"/>
                <w:b w:val="0"/>
                <w:bCs w:val="0"/>
                <w:sz w:val="20"/>
                <w:szCs w:val="20"/>
                <w:lang w:val="ro-MD"/>
              </w:rPr>
            </w:pPr>
            <w:r w:rsidRPr="008656E4">
              <w:rPr>
                <w:rFonts w:asciiTheme="majorHAnsi" w:hAnsiTheme="majorHAnsi" w:cstheme="majorHAnsi"/>
                <w:b w:val="0"/>
                <w:bCs w:val="0"/>
                <w:sz w:val="20"/>
                <w:szCs w:val="20"/>
                <w:lang w:val="ro-MD"/>
              </w:rPr>
              <w:t>Alte venituri din activitatea operațională</w:t>
            </w:r>
          </w:p>
        </w:tc>
        <w:tc>
          <w:tcPr>
            <w:tcW w:w="603" w:type="pct"/>
            <w:tcBorders>
              <w:top w:val="none" w:sz="0" w:space="0" w:color="auto"/>
              <w:bottom w:val="none" w:sz="0" w:space="0" w:color="auto"/>
            </w:tcBorders>
            <w:hideMark/>
          </w:tcPr>
          <w:p w14:paraId="7492DB6E" w14:textId="2685430D" w:rsidR="00483B03" w:rsidRPr="008656E4" w:rsidRDefault="00483B03"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w:t>
            </w:r>
            <w:r w:rsidR="00C82EF0" w:rsidRPr="008656E4">
              <w:rPr>
                <w:rFonts w:asciiTheme="majorHAnsi" w:hAnsiTheme="majorHAnsi" w:cstheme="majorHAnsi"/>
                <w:b/>
                <w:bCs/>
                <w:sz w:val="20"/>
                <w:szCs w:val="20"/>
                <w:lang w:val="ro-MD"/>
              </w:rPr>
              <w:t>2</w:t>
            </w:r>
            <w:r w:rsidRPr="008656E4">
              <w:rPr>
                <w:rFonts w:asciiTheme="majorHAnsi" w:hAnsiTheme="majorHAnsi" w:cstheme="majorHAnsi"/>
                <w:b/>
                <w:bCs/>
                <w:sz w:val="20"/>
                <w:szCs w:val="20"/>
                <w:lang w:val="ro-MD"/>
              </w:rPr>
              <w:t xml:space="preserve"> 2</w:t>
            </w:r>
            <w:r w:rsidR="00C82EF0" w:rsidRPr="008656E4">
              <w:rPr>
                <w:rFonts w:asciiTheme="majorHAnsi" w:hAnsiTheme="majorHAnsi" w:cstheme="majorHAnsi"/>
                <w:b/>
                <w:bCs/>
                <w:sz w:val="20"/>
                <w:szCs w:val="20"/>
                <w:lang w:val="ro-MD"/>
              </w:rPr>
              <w:t>6</w:t>
            </w:r>
            <w:r w:rsidRPr="008656E4">
              <w:rPr>
                <w:rFonts w:asciiTheme="majorHAnsi" w:hAnsiTheme="majorHAnsi" w:cstheme="majorHAnsi"/>
                <w:b/>
                <w:bCs/>
                <w:sz w:val="20"/>
                <w:szCs w:val="20"/>
                <w:lang w:val="ro-MD"/>
              </w:rPr>
              <w:t>0,5</w:t>
            </w:r>
          </w:p>
        </w:tc>
        <w:tc>
          <w:tcPr>
            <w:tcW w:w="685" w:type="pct"/>
            <w:tcBorders>
              <w:top w:val="none" w:sz="0" w:space="0" w:color="auto"/>
              <w:bottom w:val="none" w:sz="0" w:space="0" w:color="auto"/>
            </w:tcBorders>
            <w:noWrap/>
            <w:hideMark/>
          </w:tcPr>
          <w:p w14:paraId="40F8FC7A"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14 116,8</w:t>
            </w:r>
          </w:p>
        </w:tc>
        <w:tc>
          <w:tcPr>
            <w:tcW w:w="442" w:type="pct"/>
            <w:tcBorders>
              <w:top w:val="none" w:sz="0" w:space="0" w:color="auto"/>
              <w:bottom w:val="none" w:sz="0" w:space="0" w:color="auto"/>
            </w:tcBorders>
            <w:hideMark/>
          </w:tcPr>
          <w:p w14:paraId="2AFAB55B" w14:textId="2538A00B" w:rsidR="00483B03" w:rsidRPr="008656E4" w:rsidRDefault="00C82EF0"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15,14</w:t>
            </w:r>
          </w:p>
        </w:tc>
        <w:tc>
          <w:tcPr>
            <w:tcW w:w="528" w:type="pct"/>
            <w:tcBorders>
              <w:top w:val="none" w:sz="0" w:space="0" w:color="auto"/>
              <w:bottom w:val="none" w:sz="0" w:space="0" w:color="auto"/>
            </w:tcBorders>
            <w:hideMark/>
          </w:tcPr>
          <w:p w14:paraId="6F0C2026" w14:textId="60510FEB" w:rsidR="00483B03" w:rsidRPr="008656E4" w:rsidRDefault="00C82EF0"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14172</w:t>
            </w:r>
            <w:r w:rsidR="00483B03" w:rsidRPr="008656E4">
              <w:rPr>
                <w:rFonts w:asciiTheme="majorHAnsi" w:hAnsiTheme="majorHAnsi" w:cstheme="majorHAnsi"/>
                <w:b/>
                <w:bCs/>
                <w:sz w:val="20"/>
                <w:szCs w:val="20"/>
                <w:lang w:val="ro-MD"/>
              </w:rPr>
              <w:t>,5</w:t>
            </w:r>
          </w:p>
        </w:tc>
        <w:tc>
          <w:tcPr>
            <w:tcW w:w="616" w:type="pct"/>
            <w:tcBorders>
              <w:top w:val="none" w:sz="0" w:space="0" w:color="auto"/>
              <w:bottom w:val="none" w:sz="0" w:space="0" w:color="auto"/>
            </w:tcBorders>
            <w:noWrap/>
            <w:hideMark/>
          </w:tcPr>
          <w:p w14:paraId="3F3A4592"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15 115,3</w:t>
            </w:r>
          </w:p>
        </w:tc>
        <w:tc>
          <w:tcPr>
            <w:tcW w:w="441" w:type="pct"/>
            <w:tcBorders>
              <w:top w:val="none" w:sz="0" w:space="0" w:color="auto"/>
              <w:bottom w:val="none" w:sz="0" w:space="0" w:color="auto"/>
            </w:tcBorders>
            <w:hideMark/>
          </w:tcPr>
          <w:p w14:paraId="398BBDF1" w14:textId="393C5FBF" w:rsidR="00483B03" w:rsidRPr="008656E4" w:rsidRDefault="00C82EF0"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6,65</w:t>
            </w:r>
          </w:p>
        </w:tc>
      </w:tr>
      <w:tr w:rsidR="008656E4" w:rsidRPr="008656E4" w14:paraId="7F26E91C" w14:textId="77777777" w:rsidTr="00CB750B">
        <w:trPr>
          <w:trHeight w:val="268"/>
        </w:trPr>
        <w:tc>
          <w:tcPr>
            <w:cnfStyle w:val="001000000000" w:firstRow="0" w:lastRow="0" w:firstColumn="1" w:lastColumn="0" w:oddVBand="0" w:evenVBand="0" w:oddHBand="0" w:evenHBand="0" w:firstRowFirstColumn="0" w:firstRowLastColumn="0" w:lastRowFirstColumn="0" w:lastRowLastColumn="0"/>
            <w:tcW w:w="1685" w:type="pct"/>
            <w:hideMark/>
          </w:tcPr>
          <w:p w14:paraId="1CD2CDE0" w14:textId="77777777" w:rsidR="00483B03" w:rsidRPr="008656E4" w:rsidRDefault="00483B03" w:rsidP="00914DD7">
            <w:pPr>
              <w:jc w:val="both"/>
              <w:rPr>
                <w:rFonts w:asciiTheme="majorHAnsi" w:hAnsiTheme="majorHAnsi" w:cstheme="majorHAnsi"/>
                <w:sz w:val="20"/>
                <w:szCs w:val="20"/>
                <w:lang w:val="ro-MD"/>
              </w:rPr>
            </w:pPr>
            <w:r w:rsidRPr="008656E4">
              <w:rPr>
                <w:rFonts w:asciiTheme="majorHAnsi" w:hAnsiTheme="majorHAnsi" w:cstheme="majorHAnsi"/>
                <w:sz w:val="20"/>
                <w:szCs w:val="20"/>
                <w:lang w:val="ro-MD"/>
              </w:rPr>
              <w:t>Venituri aferente ajustărilor de valoare privind investițiile financiare pe termen lung și curente</w:t>
            </w:r>
          </w:p>
        </w:tc>
        <w:tc>
          <w:tcPr>
            <w:tcW w:w="603" w:type="pct"/>
            <w:hideMark/>
          </w:tcPr>
          <w:p w14:paraId="5E30B947"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5 200,0</w:t>
            </w:r>
          </w:p>
        </w:tc>
        <w:tc>
          <w:tcPr>
            <w:tcW w:w="685" w:type="pct"/>
            <w:noWrap/>
            <w:hideMark/>
          </w:tcPr>
          <w:p w14:paraId="0E40CDC2"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5 050,0</w:t>
            </w:r>
          </w:p>
        </w:tc>
        <w:tc>
          <w:tcPr>
            <w:tcW w:w="442" w:type="pct"/>
            <w:hideMark/>
          </w:tcPr>
          <w:p w14:paraId="672253B5" w14:textId="2121F0A2" w:rsidR="00483B03" w:rsidRPr="008656E4" w:rsidRDefault="00C82EF0"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-2,88</w:t>
            </w:r>
          </w:p>
        </w:tc>
        <w:tc>
          <w:tcPr>
            <w:tcW w:w="528" w:type="pct"/>
            <w:hideMark/>
          </w:tcPr>
          <w:p w14:paraId="2AF2247E"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5 200,0</w:t>
            </w:r>
          </w:p>
        </w:tc>
        <w:tc>
          <w:tcPr>
            <w:tcW w:w="616" w:type="pct"/>
            <w:noWrap/>
            <w:hideMark/>
          </w:tcPr>
          <w:p w14:paraId="266EB22B"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5 200,0</w:t>
            </w:r>
          </w:p>
        </w:tc>
        <w:tc>
          <w:tcPr>
            <w:tcW w:w="441" w:type="pct"/>
            <w:hideMark/>
          </w:tcPr>
          <w:p w14:paraId="7FB5DE87"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0,00</w:t>
            </w:r>
          </w:p>
        </w:tc>
      </w:tr>
      <w:tr w:rsidR="008656E4" w:rsidRPr="008656E4" w14:paraId="1CA475D8" w14:textId="77777777" w:rsidTr="00CB75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hideMark/>
          </w:tcPr>
          <w:p w14:paraId="12C9D1FC" w14:textId="77777777" w:rsidR="00483B03" w:rsidRPr="008656E4" w:rsidRDefault="00483B03" w:rsidP="00914DD7">
            <w:pPr>
              <w:jc w:val="both"/>
              <w:rPr>
                <w:rFonts w:asciiTheme="majorHAnsi" w:hAnsiTheme="majorHAnsi" w:cstheme="majorHAnsi"/>
                <w:sz w:val="20"/>
                <w:szCs w:val="20"/>
                <w:lang w:val="ro-MD"/>
              </w:rPr>
            </w:pPr>
            <w:r w:rsidRPr="008656E4">
              <w:rPr>
                <w:rFonts w:asciiTheme="majorHAnsi" w:hAnsiTheme="majorHAnsi" w:cstheme="majorHAnsi"/>
                <w:sz w:val="20"/>
                <w:szCs w:val="20"/>
                <w:lang w:val="ro-MD"/>
              </w:rPr>
              <w:t>Venituri aferente diferențelor de curs valutar și de sumă</w:t>
            </w:r>
          </w:p>
        </w:tc>
        <w:tc>
          <w:tcPr>
            <w:tcW w:w="603" w:type="pct"/>
            <w:tcBorders>
              <w:top w:val="none" w:sz="0" w:space="0" w:color="auto"/>
              <w:bottom w:val="none" w:sz="0" w:space="0" w:color="auto"/>
            </w:tcBorders>
            <w:hideMark/>
          </w:tcPr>
          <w:p w14:paraId="638958EE"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x</w:t>
            </w:r>
          </w:p>
        </w:tc>
        <w:tc>
          <w:tcPr>
            <w:tcW w:w="685" w:type="pct"/>
            <w:tcBorders>
              <w:top w:val="none" w:sz="0" w:space="0" w:color="auto"/>
              <w:bottom w:val="none" w:sz="0" w:space="0" w:color="auto"/>
            </w:tcBorders>
            <w:noWrap/>
            <w:hideMark/>
          </w:tcPr>
          <w:p w14:paraId="27259EFE"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163,3</w:t>
            </w:r>
          </w:p>
        </w:tc>
        <w:tc>
          <w:tcPr>
            <w:tcW w:w="442" w:type="pct"/>
            <w:tcBorders>
              <w:top w:val="none" w:sz="0" w:space="0" w:color="auto"/>
              <w:bottom w:val="none" w:sz="0" w:space="0" w:color="auto"/>
            </w:tcBorders>
            <w:hideMark/>
          </w:tcPr>
          <w:p w14:paraId="69514BC4" w14:textId="3EBA3E7C" w:rsidR="00483B03" w:rsidRPr="008656E4" w:rsidRDefault="008656E4" w:rsidP="00C82E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100</w:t>
            </w:r>
          </w:p>
        </w:tc>
        <w:tc>
          <w:tcPr>
            <w:tcW w:w="528" w:type="pct"/>
            <w:tcBorders>
              <w:top w:val="none" w:sz="0" w:space="0" w:color="auto"/>
              <w:bottom w:val="none" w:sz="0" w:space="0" w:color="auto"/>
            </w:tcBorders>
            <w:hideMark/>
          </w:tcPr>
          <w:p w14:paraId="6ED481B5"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x</w:t>
            </w:r>
          </w:p>
        </w:tc>
        <w:tc>
          <w:tcPr>
            <w:tcW w:w="616" w:type="pct"/>
            <w:tcBorders>
              <w:top w:val="none" w:sz="0" w:space="0" w:color="auto"/>
              <w:bottom w:val="none" w:sz="0" w:space="0" w:color="auto"/>
            </w:tcBorders>
            <w:noWrap/>
            <w:hideMark/>
          </w:tcPr>
          <w:p w14:paraId="6980DEFC"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438,6</w:t>
            </w:r>
          </w:p>
        </w:tc>
        <w:tc>
          <w:tcPr>
            <w:tcW w:w="441" w:type="pct"/>
            <w:tcBorders>
              <w:top w:val="none" w:sz="0" w:space="0" w:color="auto"/>
              <w:bottom w:val="none" w:sz="0" w:space="0" w:color="auto"/>
            </w:tcBorders>
            <w:hideMark/>
          </w:tcPr>
          <w:p w14:paraId="0FF7487C" w14:textId="666DA063" w:rsidR="00483B03" w:rsidRPr="008656E4" w:rsidRDefault="008656E4"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100</w:t>
            </w:r>
          </w:p>
        </w:tc>
      </w:tr>
      <w:tr w:rsidR="008656E4" w:rsidRPr="008656E4" w14:paraId="4AC0546B" w14:textId="77777777" w:rsidTr="00CB750B">
        <w:trPr>
          <w:trHeight w:val="167"/>
        </w:trPr>
        <w:tc>
          <w:tcPr>
            <w:cnfStyle w:val="001000000000" w:firstRow="0" w:lastRow="0" w:firstColumn="1" w:lastColumn="0" w:oddVBand="0" w:evenVBand="0" w:oddHBand="0" w:evenHBand="0" w:firstRowFirstColumn="0" w:firstRowLastColumn="0" w:lastRowFirstColumn="0" w:lastRowLastColumn="0"/>
            <w:tcW w:w="1685" w:type="pct"/>
            <w:hideMark/>
          </w:tcPr>
          <w:p w14:paraId="6C49AD2B" w14:textId="77777777" w:rsidR="00483B03" w:rsidRPr="008656E4" w:rsidRDefault="00483B03" w:rsidP="00914DD7">
            <w:pPr>
              <w:jc w:val="both"/>
              <w:rPr>
                <w:rFonts w:asciiTheme="majorHAnsi" w:hAnsiTheme="majorHAnsi" w:cstheme="majorHAnsi"/>
                <w:sz w:val="20"/>
                <w:szCs w:val="20"/>
                <w:lang w:val="ro-MD"/>
              </w:rPr>
            </w:pPr>
            <w:r w:rsidRPr="008656E4">
              <w:rPr>
                <w:rFonts w:asciiTheme="majorHAnsi" w:hAnsiTheme="majorHAnsi" w:cstheme="majorHAnsi"/>
                <w:sz w:val="20"/>
                <w:szCs w:val="20"/>
                <w:lang w:val="ro-MD"/>
              </w:rPr>
              <w:t>Alte venituri financiare</w:t>
            </w:r>
          </w:p>
        </w:tc>
        <w:tc>
          <w:tcPr>
            <w:tcW w:w="603" w:type="pct"/>
            <w:hideMark/>
          </w:tcPr>
          <w:p w14:paraId="61853252"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x</w:t>
            </w:r>
          </w:p>
        </w:tc>
        <w:tc>
          <w:tcPr>
            <w:tcW w:w="685" w:type="pct"/>
            <w:noWrap/>
            <w:hideMark/>
          </w:tcPr>
          <w:p w14:paraId="4DE85C9D"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26,8</w:t>
            </w:r>
          </w:p>
        </w:tc>
        <w:tc>
          <w:tcPr>
            <w:tcW w:w="442" w:type="pct"/>
            <w:hideMark/>
          </w:tcPr>
          <w:p w14:paraId="6635D14B" w14:textId="2EB061C3" w:rsidR="00483B03" w:rsidRPr="008656E4" w:rsidRDefault="008656E4"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100</w:t>
            </w:r>
          </w:p>
        </w:tc>
        <w:tc>
          <w:tcPr>
            <w:tcW w:w="528" w:type="pct"/>
            <w:hideMark/>
          </w:tcPr>
          <w:p w14:paraId="39AB176B"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x</w:t>
            </w:r>
          </w:p>
        </w:tc>
        <w:tc>
          <w:tcPr>
            <w:tcW w:w="616" w:type="pct"/>
            <w:noWrap/>
            <w:hideMark/>
          </w:tcPr>
          <w:p w14:paraId="73AE304C" w14:textId="77777777" w:rsidR="00483B03" w:rsidRPr="008656E4" w:rsidRDefault="00483B03"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8656E4">
              <w:rPr>
                <w:rFonts w:asciiTheme="majorHAnsi" w:hAnsiTheme="majorHAnsi" w:cstheme="majorHAnsi"/>
                <w:sz w:val="20"/>
                <w:szCs w:val="20"/>
                <w:lang w:val="ro-MD"/>
              </w:rPr>
              <w:t>17,6</w:t>
            </w:r>
          </w:p>
        </w:tc>
        <w:tc>
          <w:tcPr>
            <w:tcW w:w="441" w:type="pct"/>
            <w:hideMark/>
          </w:tcPr>
          <w:p w14:paraId="7C7FB7EF" w14:textId="73A49A19" w:rsidR="00483B03" w:rsidRPr="008656E4" w:rsidRDefault="008656E4"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100</w:t>
            </w:r>
          </w:p>
        </w:tc>
      </w:tr>
      <w:tr w:rsidR="008656E4" w:rsidRPr="008656E4" w14:paraId="6C4972EC" w14:textId="77777777" w:rsidTr="00CB750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hideMark/>
          </w:tcPr>
          <w:p w14:paraId="4F736BCE" w14:textId="77777777" w:rsidR="00483B03" w:rsidRPr="008656E4" w:rsidRDefault="00483B03" w:rsidP="00914DD7">
            <w:pPr>
              <w:jc w:val="both"/>
              <w:rPr>
                <w:rFonts w:asciiTheme="majorHAnsi" w:hAnsiTheme="majorHAnsi" w:cstheme="majorHAnsi"/>
                <w:b w:val="0"/>
                <w:bCs w:val="0"/>
                <w:sz w:val="20"/>
                <w:szCs w:val="20"/>
                <w:lang w:val="ro-MD"/>
              </w:rPr>
            </w:pPr>
            <w:r w:rsidRPr="008656E4">
              <w:rPr>
                <w:rFonts w:asciiTheme="majorHAnsi" w:hAnsiTheme="majorHAnsi" w:cstheme="majorHAnsi"/>
                <w:b w:val="0"/>
                <w:bCs w:val="0"/>
                <w:sz w:val="20"/>
                <w:szCs w:val="20"/>
                <w:lang w:val="ro-MD"/>
              </w:rPr>
              <w:t xml:space="preserve">Total venituri financiare </w:t>
            </w:r>
          </w:p>
        </w:tc>
        <w:tc>
          <w:tcPr>
            <w:tcW w:w="603" w:type="pct"/>
            <w:tcBorders>
              <w:top w:val="none" w:sz="0" w:space="0" w:color="auto"/>
              <w:bottom w:val="none" w:sz="0" w:space="0" w:color="auto"/>
            </w:tcBorders>
            <w:noWrap/>
            <w:hideMark/>
          </w:tcPr>
          <w:p w14:paraId="19FB9CFF"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5 200,0</w:t>
            </w:r>
          </w:p>
        </w:tc>
        <w:tc>
          <w:tcPr>
            <w:tcW w:w="685" w:type="pct"/>
            <w:tcBorders>
              <w:top w:val="none" w:sz="0" w:space="0" w:color="auto"/>
              <w:bottom w:val="none" w:sz="0" w:space="0" w:color="auto"/>
            </w:tcBorders>
            <w:noWrap/>
            <w:hideMark/>
          </w:tcPr>
          <w:p w14:paraId="64C2B056"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5 240,2</w:t>
            </w:r>
          </w:p>
        </w:tc>
        <w:tc>
          <w:tcPr>
            <w:tcW w:w="442" w:type="pct"/>
            <w:tcBorders>
              <w:top w:val="none" w:sz="0" w:space="0" w:color="auto"/>
              <w:bottom w:val="none" w:sz="0" w:space="0" w:color="auto"/>
            </w:tcBorders>
            <w:hideMark/>
          </w:tcPr>
          <w:p w14:paraId="1BF3BAF2" w14:textId="78C61333" w:rsidR="00483B03" w:rsidRPr="008656E4" w:rsidRDefault="008656E4"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Pr>
                <w:rFonts w:asciiTheme="majorHAnsi" w:hAnsiTheme="majorHAnsi" w:cstheme="majorHAnsi"/>
                <w:b/>
                <w:bCs/>
                <w:sz w:val="20"/>
                <w:szCs w:val="20"/>
                <w:lang w:val="ro-MD"/>
              </w:rPr>
              <w:t>100</w:t>
            </w:r>
          </w:p>
        </w:tc>
        <w:tc>
          <w:tcPr>
            <w:tcW w:w="528" w:type="pct"/>
            <w:tcBorders>
              <w:top w:val="none" w:sz="0" w:space="0" w:color="auto"/>
              <w:bottom w:val="none" w:sz="0" w:space="0" w:color="auto"/>
            </w:tcBorders>
            <w:hideMark/>
          </w:tcPr>
          <w:p w14:paraId="7057985F"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5 200,0</w:t>
            </w:r>
          </w:p>
        </w:tc>
        <w:tc>
          <w:tcPr>
            <w:tcW w:w="616" w:type="pct"/>
            <w:tcBorders>
              <w:top w:val="none" w:sz="0" w:space="0" w:color="auto"/>
              <w:bottom w:val="none" w:sz="0" w:space="0" w:color="auto"/>
            </w:tcBorders>
            <w:noWrap/>
            <w:hideMark/>
          </w:tcPr>
          <w:p w14:paraId="6B7D7922"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5 656,2</w:t>
            </w:r>
          </w:p>
        </w:tc>
        <w:tc>
          <w:tcPr>
            <w:tcW w:w="441" w:type="pct"/>
            <w:tcBorders>
              <w:top w:val="none" w:sz="0" w:space="0" w:color="auto"/>
              <w:bottom w:val="none" w:sz="0" w:space="0" w:color="auto"/>
            </w:tcBorders>
            <w:hideMark/>
          </w:tcPr>
          <w:p w14:paraId="479CFAAC" w14:textId="77777777" w:rsidR="00483B03" w:rsidRPr="008656E4" w:rsidRDefault="00483B03"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8,77</w:t>
            </w:r>
          </w:p>
        </w:tc>
      </w:tr>
      <w:tr w:rsidR="008656E4" w:rsidRPr="008656E4" w14:paraId="12DF100E" w14:textId="77777777" w:rsidTr="00CB750B">
        <w:trPr>
          <w:trHeight w:val="167"/>
        </w:trPr>
        <w:tc>
          <w:tcPr>
            <w:cnfStyle w:val="001000000000" w:firstRow="0" w:lastRow="0" w:firstColumn="1" w:lastColumn="0" w:oddVBand="0" w:evenVBand="0" w:oddHBand="0" w:evenHBand="0" w:firstRowFirstColumn="0" w:firstRowLastColumn="0" w:lastRowFirstColumn="0" w:lastRowLastColumn="0"/>
            <w:tcW w:w="1685" w:type="pct"/>
            <w:hideMark/>
          </w:tcPr>
          <w:p w14:paraId="58CAAACA" w14:textId="77777777" w:rsidR="00483B03" w:rsidRPr="008656E4" w:rsidRDefault="00483B03" w:rsidP="00914DD7">
            <w:pPr>
              <w:jc w:val="both"/>
              <w:rPr>
                <w:rFonts w:asciiTheme="majorHAnsi" w:hAnsiTheme="majorHAnsi" w:cstheme="majorHAnsi"/>
                <w:b w:val="0"/>
                <w:bCs w:val="0"/>
                <w:sz w:val="20"/>
                <w:szCs w:val="20"/>
                <w:lang w:val="ro-MD"/>
              </w:rPr>
            </w:pPr>
            <w:r w:rsidRPr="008656E4">
              <w:rPr>
                <w:rFonts w:asciiTheme="majorHAnsi" w:hAnsiTheme="majorHAnsi" w:cstheme="majorHAnsi"/>
                <w:b w:val="0"/>
                <w:bCs w:val="0"/>
                <w:sz w:val="20"/>
                <w:szCs w:val="20"/>
                <w:lang w:val="ro-MD"/>
              </w:rPr>
              <w:t>Alte încasări (plăți) subsidii</w:t>
            </w:r>
          </w:p>
        </w:tc>
        <w:tc>
          <w:tcPr>
            <w:tcW w:w="603" w:type="pct"/>
            <w:noWrap/>
            <w:hideMark/>
          </w:tcPr>
          <w:p w14:paraId="7206E650" w14:textId="660258AF"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17442,5</w:t>
            </w:r>
          </w:p>
        </w:tc>
        <w:tc>
          <w:tcPr>
            <w:tcW w:w="685" w:type="pct"/>
            <w:noWrap/>
            <w:hideMark/>
          </w:tcPr>
          <w:p w14:paraId="0DBE9097" w14:textId="56BB4002"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13987,9</w:t>
            </w:r>
          </w:p>
        </w:tc>
        <w:tc>
          <w:tcPr>
            <w:tcW w:w="442" w:type="pct"/>
            <w:hideMark/>
          </w:tcPr>
          <w:p w14:paraId="62BD9857" w14:textId="4EE3A7D3"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-19,81</w:t>
            </w:r>
          </w:p>
        </w:tc>
        <w:tc>
          <w:tcPr>
            <w:tcW w:w="528" w:type="pct"/>
            <w:hideMark/>
          </w:tcPr>
          <w:p w14:paraId="1E8A373F" w14:textId="573BA456"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18530,2</w:t>
            </w:r>
          </w:p>
        </w:tc>
        <w:tc>
          <w:tcPr>
            <w:tcW w:w="616" w:type="pct"/>
            <w:noWrap/>
            <w:hideMark/>
          </w:tcPr>
          <w:p w14:paraId="3776261B" w14:textId="321358E3"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13853,9</w:t>
            </w:r>
          </w:p>
        </w:tc>
        <w:tc>
          <w:tcPr>
            <w:tcW w:w="441" w:type="pct"/>
            <w:hideMark/>
          </w:tcPr>
          <w:p w14:paraId="4AA0B8D1" w14:textId="1C216CFD" w:rsidR="00483B03" w:rsidRPr="008656E4" w:rsidRDefault="00F04239" w:rsidP="00914D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ro-MD"/>
              </w:rPr>
            </w:pPr>
            <w:r w:rsidRPr="008656E4">
              <w:rPr>
                <w:rFonts w:asciiTheme="majorHAnsi" w:hAnsiTheme="majorHAnsi" w:cstheme="majorHAnsi"/>
                <w:b/>
                <w:bCs/>
                <w:sz w:val="20"/>
                <w:szCs w:val="20"/>
                <w:lang w:val="ro-MD"/>
              </w:rPr>
              <w:t>-25,24</w:t>
            </w:r>
          </w:p>
        </w:tc>
      </w:tr>
      <w:tr w:rsidR="008656E4" w:rsidRPr="008656E4" w14:paraId="1E20B989" w14:textId="77777777" w:rsidTr="00CB750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hideMark/>
          </w:tcPr>
          <w:p w14:paraId="1277B2AB" w14:textId="38DB241B" w:rsidR="00483B03" w:rsidRPr="00255E9C" w:rsidRDefault="00483B03" w:rsidP="00914DD7">
            <w:pPr>
              <w:jc w:val="both"/>
              <w:rPr>
                <w:rFonts w:asciiTheme="majorHAnsi" w:hAnsiTheme="majorHAnsi" w:cstheme="majorHAnsi"/>
                <w:bCs w:val="0"/>
                <w:iCs/>
                <w:sz w:val="20"/>
                <w:szCs w:val="20"/>
                <w:lang w:val="ro-MD"/>
              </w:rPr>
            </w:pPr>
            <w:r w:rsidRPr="00255E9C">
              <w:rPr>
                <w:rFonts w:asciiTheme="majorHAnsi" w:hAnsiTheme="majorHAnsi" w:cstheme="majorHAnsi"/>
                <w:iCs/>
                <w:sz w:val="20"/>
                <w:szCs w:val="20"/>
                <w:lang w:val="ro-MD"/>
              </w:rPr>
              <w:t>Total</w:t>
            </w:r>
            <w:r w:rsidR="003125BF" w:rsidRPr="00255E9C">
              <w:rPr>
                <w:rFonts w:asciiTheme="majorHAnsi" w:hAnsiTheme="majorHAnsi" w:cstheme="majorHAnsi"/>
                <w:iCs/>
                <w:sz w:val="20"/>
                <w:szCs w:val="20"/>
                <w:lang w:val="ro-MD"/>
              </w:rPr>
              <w:t>,</w:t>
            </w:r>
            <w:r w:rsidRPr="00255E9C">
              <w:rPr>
                <w:rFonts w:asciiTheme="majorHAnsi" w:hAnsiTheme="majorHAnsi" w:cstheme="majorHAnsi"/>
                <w:iCs/>
                <w:sz w:val="20"/>
                <w:szCs w:val="20"/>
                <w:lang w:val="ro-MD"/>
              </w:rPr>
              <w:t xml:space="preserve"> VENITURI</w:t>
            </w:r>
          </w:p>
        </w:tc>
        <w:tc>
          <w:tcPr>
            <w:tcW w:w="603" w:type="pct"/>
            <w:tcBorders>
              <w:top w:val="none" w:sz="0" w:space="0" w:color="auto"/>
              <w:bottom w:val="none" w:sz="0" w:space="0" w:color="auto"/>
            </w:tcBorders>
            <w:noWrap/>
            <w:hideMark/>
          </w:tcPr>
          <w:p w14:paraId="150E0BD6" w14:textId="7B37142E" w:rsidR="00483B03" w:rsidRPr="008656E4" w:rsidRDefault="00F04239"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44343,0</w:t>
            </w:r>
          </w:p>
        </w:tc>
        <w:tc>
          <w:tcPr>
            <w:tcW w:w="685" w:type="pct"/>
            <w:tcBorders>
              <w:top w:val="none" w:sz="0" w:space="0" w:color="auto"/>
              <w:bottom w:val="none" w:sz="0" w:space="0" w:color="auto"/>
            </w:tcBorders>
            <w:noWrap/>
            <w:hideMark/>
          </w:tcPr>
          <w:p w14:paraId="56E8CFAE" w14:textId="1746B0CC" w:rsidR="00483B03" w:rsidRPr="008656E4" w:rsidRDefault="00F04239"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42711,1</w:t>
            </w:r>
          </w:p>
        </w:tc>
        <w:tc>
          <w:tcPr>
            <w:tcW w:w="442" w:type="pct"/>
            <w:tcBorders>
              <w:top w:val="none" w:sz="0" w:space="0" w:color="auto"/>
              <w:bottom w:val="none" w:sz="0" w:space="0" w:color="auto"/>
            </w:tcBorders>
            <w:hideMark/>
          </w:tcPr>
          <w:p w14:paraId="3C74363B" w14:textId="2CF719AD" w:rsidR="00483B03" w:rsidRPr="008656E4" w:rsidRDefault="00F04239"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-3,68</w:t>
            </w:r>
          </w:p>
        </w:tc>
        <w:tc>
          <w:tcPr>
            <w:tcW w:w="528" w:type="pct"/>
            <w:tcBorders>
              <w:top w:val="none" w:sz="0" w:space="0" w:color="auto"/>
              <w:bottom w:val="none" w:sz="0" w:space="0" w:color="auto"/>
            </w:tcBorders>
            <w:hideMark/>
          </w:tcPr>
          <w:p w14:paraId="51513E1D" w14:textId="6FBC4F4A" w:rsidR="00483B03" w:rsidRPr="008656E4" w:rsidRDefault="00F04239" w:rsidP="00A30B4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46410,7</w:t>
            </w:r>
            <w:r w:rsidR="00A30B4A" w:rsidRPr="008656E4">
              <w:rPr>
                <w:rFonts w:asciiTheme="majorHAnsi" w:hAnsiTheme="majorHAnsi" w:cstheme="majorHAnsi"/>
                <w:b/>
                <w:bCs/>
                <w:i/>
                <w:sz w:val="20"/>
                <w:szCs w:val="20"/>
                <w:lang w:val="ro-MD"/>
              </w:rPr>
              <w:t>0</w:t>
            </w:r>
          </w:p>
        </w:tc>
        <w:tc>
          <w:tcPr>
            <w:tcW w:w="616" w:type="pct"/>
            <w:tcBorders>
              <w:top w:val="none" w:sz="0" w:space="0" w:color="auto"/>
              <w:bottom w:val="none" w:sz="0" w:space="0" w:color="auto"/>
            </w:tcBorders>
            <w:noWrap/>
            <w:hideMark/>
          </w:tcPr>
          <w:p w14:paraId="34C8BFB8" w14:textId="5BEF0FED" w:rsidR="00483B03" w:rsidRPr="008656E4" w:rsidRDefault="00F04239"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44294,7</w:t>
            </w:r>
          </w:p>
        </w:tc>
        <w:tc>
          <w:tcPr>
            <w:tcW w:w="441" w:type="pct"/>
            <w:tcBorders>
              <w:top w:val="none" w:sz="0" w:space="0" w:color="auto"/>
              <w:bottom w:val="none" w:sz="0" w:space="0" w:color="auto"/>
            </w:tcBorders>
            <w:hideMark/>
          </w:tcPr>
          <w:p w14:paraId="146FBFE0" w14:textId="02E38E57" w:rsidR="00483B03" w:rsidRPr="008656E4" w:rsidRDefault="00F04239" w:rsidP="00914D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sz w:val="20"/>
                <w:szCs w:val="20"/>
                <w:lang w:val="ro-MD"/>
              </w:rPr>
            </w:pPr>
            <w:r w:rsidRPr="008656E4">
              <w:rPr>
                <w:rFonts w:asciiTheme="majorHAnsi" w:hAnsiTheme="majorHAnsi" w:cstheme="majorHAnsi"/>
                <w:b/>
                <w:bCs/>
                <w:i/>
                <w:sz w:val="20"/>
                <w:szCs w:val="20"/>
                <w:lang w:val="ro-MD"/>
              </w:rPr>
              <w:t>-4,56</w:t>
            </w:r>
          </w:p>
        </w:tc>
      </w:tr>
    </w:tbl>
    <w:p w14:paraId="687A8958" w14:textId="4AEF246E" w:rsidR="00483B03" w:rsidRPr="00785501" w:rsidRDefault="00483B03" w:rsidP="00483B03">
      <w:pPr>
        <w:spacing w:after="0"/>
        <w:jc w:val="both"/>
        <w:rPr>
          <w:rFonts w:asciiTheme="majorHAnsi" w:hAnsiTheme="majorHAnsi" w:cstheme="majorHAnsi"/>
          <w:i/>
          <w:iCs/>
          <w:sz w:val="20"/>
          <w:szCs w:val="20"/>
          <w:lang w:val="ro-MD"/>
        </w:rPr>
      </w:pPr>
      <w:r w:rsidRPr="00483B03">
        <w:rPr>
          <w:rFonts w:asciiTheme="majorHAnsi" w:hAnsiTheme="majorHAnsi" w:cstheme="majorHAnsi"/>
          <w:b/>
          <w:i/>
          <w:iCs/>
          <w:sz w:val="20"/>
          <w:szCs w:val="20"/>
          <w:lang w:val="ro-MD"/>
        </w:rPr>
        <w:t>Surs</w:t>
      </w:r>
      <w:r w:rsidR="00B305F5">
        <w:rPr>
          <w:rFonts w:asciiTheme="majorHAnsi" w:hAnsiTheme="majorHAnsi" w:cstheme="majorHAnsi"/>
          <w:b/>
          <w:i/>
          <w:iCs/>
          <w:sz w:val="20"/>
          <w:szCs w:val="20"/>
          <w:lang w:val="ro-MD"/>
        </w:rPr>
        <w:t>ă</w:t>
      </w:r>
      <w:r w:rsidRPr="00483B03">
        <w:rPr>
          <w:rFonts w:asciiTheme="majorHAnsi" w:hAnsiTheme="majorHAnsi" w:cstheme="majorHAnsi"/>
          <w:b/>
          <w:i/>
          <w:iCs/>
          <w:sz w:val="20"/>
          <w:szCs w:val="20"/>
          <w:lang w:val="ro-MD"/>
        </w:rPr>
        <w:t>:</w:t>
      </w:r>
      <w:r w:rsidRPr="00785501">
        <w:rPr>
          <w:rFonts w:asciiTheme="majorHAnsi" w:hAnsiTheme="majorHAnsi" w:cstheme="majorHAnsi"/>
          <w:i/>
          <w:iCs/>
          <w:sz w:val="20"/>
          <w:szCs w:val="20"/>
          <w:lang w:val="ro-MD"/>
        </w:rPr>
        <w:t xml:space="preserve"> Situațiile financiare</w:t>
      </w:r>
      <w:r w:rsidR="00E950E9">
        <w:rPr>
          <w:rFonts w:asciiTheme="majorHAnsi" w:hAnsiTheme="majorHAnsi" w:cstheme="majorHAnsi"/>
          <w:i/>
          <w:iCs/>
          <w:sz w:val="20"/>
          <w:szCs w:val="20"/>
          <w:lang w:val="ro-MD"/>
        </w:rPr>
        <w:t xml:space="preserve"> din</w:t>
      </w:r>
      <w:r w:rsidRPr="00785501">
        <w:rPr>
          <w:rFonts w:asciiTheme="majorHAnsi" w:hAnsiTheme="majorHAnsi" w:cstheme="majorHAnsi"/>
          <w:i/>
          <w:iCs/>
          <w:sz w:val="20"/>
          <w:szCs w:val="20"/>
          <w:lang w:val="ro-MD"/>
        </w:rPr>
        <w:t xml:space="preserve"> perioada</w:t>
      </w:r>
      <w:r w:rsidR="00B305F5">
        <w:rPr>
          <w:rFonts w:asciiTheme="majorHAnsi" w:hAnsiTheme="majorHAnsi" w:cstheme="majorHAnsi"/>
          <w:i/>
          <w:iCs/>
          <w:sz w:val="20"/>
          <w:szCs w:val="20"/>
          <w:lang w:val="ro-MD"/>
        </w:rPr>
        <w:t xml:space="preserve"> anilor</w:t>
      </w:r>
      <w:r w:rsidRPr="00785501">
        <w:rPr>
          <w:rFonts w:asciiTheme="majorHAnsi" w:hAnsiTheme="majorHAnsi" w:cstheme="majorHAnsi"/>
          <w:i/>
          <w:iCs/>
          <w:sz w:val="20"/>
          <w:szCs w:val="20"/>
          <w:lang w:val="ro-MD"/>
        </w:rPr>
        <w:t xml:space="preserve"> 2020-2021</w:t>
      </w:r>
      <w:r w:rsidR="00B305F5">
        <w:rPr>
          <w:rFonts w:asciiTheme="majorHAnsi" w:hAnsiTheme="majorHAnsi" w:cstheme="majorHAnsi"/>
          <w:i/>
          <w:iCs/>
          <w:sz w:val="20"/>
          <w:szCs w:val="20"/>
          <w:lang w:val="ro-MD"/>
        </w:rPr>
        <w:t>.</w:t>
      </w:r>
    </w:p>
    <w:p w14:paraId="520A2484" w14:textId="0A853B76" w:rsidR="00A03767" w:rsidRPr="0020183C" w:rsidRDefault="001445A2" w:rsidP="00A03767">
      <w:pPr>
        <w:tabs>
          <w:tab w:val="left" w:pos="0"/>
          <w:tab w:val="left" w:pos="270"/>
          <w:tab w:val="left" w:pos="990"/>
          <w:tab w:val="left" w:pos="1080"/>
        </w:tabs>
        <w:spacing w:after="0" w:line="276" w:lineRule="auto"/>
        <w:ind w:firstLine="720"/>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I</w:t>
      </w:r>
      <w:r w:rsidR="00A03767" w:rsidRPr="007917DD">
        <w:rPr>
          <w:rFonts w:asciiTheme="majorHAnsi" w:hAnsiTheme="majorHAnsi" w:cstheme="majorHAnsi"/>
          <w:sz w:val="24"/>
          <w:szCs w:val="24"/>
          <w:lang w:val="ro-MD"/>
        </w:rPr>
        <w:t xml:space="preserve">nformația detaliată privind structura veniturilor, în funcție de natură acestora, se prezintă în </w:t>
      </w:r>
      <w:r w:rsidR="00265C1C" w:rsidRPr="00265C1C">
        <w:rPr>
          <w:rFonts w:asciiTheme="majorHAnsi" w:hAnsiTheme="majorHAnsi" w:cstheme="majorHAnsi"/>
          <w:sz w:val="24"/>
          <w:szCs w:val="24"/>
          <w:lang w:val="ro-MD"/>
        </w:rPr>
        <w:t xml:space="preserve">Anexa nr.5 </w:t>
      </w:r>
      <w:r w:rsidR="00A03767" w:rsidRPr="00265C1C">
        <w:rPr>
          <w:rFonts w:asciiTheme="majorHAnsi" w:hAnsiTheme="majorHAnsi" w:cstheme="majorHAnsi"/>
          <w:sz w:val="24"/>
          <w:szCs w:val="24"/>
          <w:lang w:val="ro-MD"/>
        </w:rPr>
        <w:t xml:space="preserve">la prezentul </w:t>
      </w:r>
      <w:r w:rsidR="00265C1C" w:rsidRPr="00265C1C">
        <w:rPr>
          <w:rFonts w:asciiTheme="majorHAnsi" w:hAnsiTheme="majorHAnsi" w:cstheme="majorHAnsi"/>
          <w:sz w:val="24"/>
          <w:szCs w:val="24"/>
          <w:lang w:val="ro-MD"/>
        </w:rPr>
        <w:t>Raport de audit</w:t>
      </w:r>
      <w:r w:rsidR="00A03767" w:rsidRPr="00265C1C">
        <w:rPr>
          <w:rFonts w:asciiTheme="majorHAnsi" w:hAnsiTheme="majorHAnsi" w:cstheme="majorHAnsi"/>
          <w:sz w:val="24"/>
          <w:szCs w:val="24"/>
          <w:lang w:val="ro-MD"/>
        </w:rPr>
        <w:t>.</w:t>
      </w:r>
    </w:p>
    <w:p w14:paraId="3096E774" w14:textId="322052CB" w:rsidR="00A03767" w:rsidRDefault="00DC6747" w:rsidP="00FB13FE">
      <w:pPr>
        <w:pStyle w:val="ListParagraph"/>
        <w:tabs>
          <w:tab w:val="left" w:pos="27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rPr>
        <w:t>Probele de audit ac</w:t>
      </w:r>
      <w:r w:rsidR="00CD5CA6" w:rsidRPr="00417A3F">
        <w:rPr>
          <w:rFonts w:asciiTheme="majorHAnsi" w:hAnsiTheme="majorHAnsi" w:cstheme="majorHAnsi"/>
          <w:sz w:val="24"/>
          <w:szCs w:val="24"/>
        </w:rPr>
        <w:t xml:space="preserve">umulate denotă că </w:t>
      </w:r>
      <w:r w:rsidR="00530801" w:rsidRPr="00417A3F">
        <w:rPr>
          <w:rFonts w:asciiTheme="majorHAnsi" w:hAnsiTheme="majorHAnsi" w:cstheme="majorHAnsi"/>
          <w:sz w:val="24"/>
          <w:szCs w:val="24"/>
        </w:rPr>
        <w:t>managementul procesului de gestiune a subsidiilor este eficient, corespunde unui sistem exhaustiv de planificare a subsidiilor</w:t>
      </w:r>
      <w:r w:rsidR="003125BF">
        <w:rPr>
          <w:rFonts w:asciiTheme="majorHAnsi" w:hAnsiTheme="majorHAnsi" w:cstheme="majorHAnsi"/>
          <w:sz w:val="24"/>
          <w:szCs w:val="24"/>
        </w:rPr>
        <w:t>,</w:t>
      </w:r>
      <w:r w:rsidR="00530801" w:rsidRPr="00417A3F">
        <w:rPr>
          <w:rFonts w:asciiTheme="majorHAnsi" w:hAnsiTheme="majorHAnsi" w:cstheme="majorHAnsi"/>
          <w:sz w:val="24"/>
          <w:szCs w:val="24"/>
        </w:rPr>
        <w:t xml:space="preserve"> axat pe obiective</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priorități</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subprograme</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xml:space="preserve"> și calcule</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xml:space="preserve"> de rigoare, cu verificări</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xml:space="preserve"> și aprobări</w:t>
      </w:r>
      <w:r w:rsidR="003125BF">
        <w:rPr>
          <w:rFonts w:asciiTheme="majorHAnsi" w:hAnsiTheme="majorHAnsi" w:cstheme="majorHAnsi"/>
          <w:sz w:val="24"/>
          <w:szCs w:val="24"/>
        </w:rPr>
        <w:t>le</w:t>
      </w:r>
      <w:r w:rsidR="00530801" w:rsidRPr="00417A3F">
        <w:rPr>
          <w:rFonts w:asciiTheme="majorHAnsi" w:hAnsiTheme="majorHAnsi" w:cstheme="majorHAnsi"/>
          <w:sz w:val="24"/>
          <w:szCs w:val="24"/>
        </w:rPr>
        <w:t xml:space="preserve"> corespunzătoare de către fonda</w:t>
      </w:r>
      <w:r w:rsidR="005015CB">
        <w:rPr>
          <w:rFonts w:asciiTheme="majorHAnsi" w:hAnsiTheme="majorHAnsi" w:cstheme="majorHAnsi"/>
          <w:sz w:val="24"/>
          <w:szCs w:val="24"/>
        </w:rPr>
        <w:t>tor și înaintate Ministerului</w:t>
      </w:r>
      <w:r w:rsidR="00530801" w:rsidRPr="00417A3F">
        <w:rPr>
          <w:rFonts w:asciiTheme="majorHAnsi" w:hAnsiTheme="majorHAnsi" w:cstheme="majorHAnsi"/>
          <w:sz w:val="24"/>
          <w:szCs w:val="24"/>
        </w:rPr>
        <w:t xml:space="preserve"> Finanțe</w:t>
      </w:r>
      <w:r w:rsidR="005015CB">
        <w:rPr>
          <w:rFonts w:asciiTheme="majorHAnsi" w:hAnsiTheme="majorHAnsi" w:cstheme="majorHAnsi"/>
          <w:sz w:val="24"/>
          <w:szCs w:val="24"/>
        </w:rPr>
        <w:t>lor</w:t>
      </w:r>
      <w:r w:rsidR="003125BF">
        <w:rPr>
          <w:rFonts w:asciiTheme="majorHAnsi" w:hAnsiTheme="majorHAnsi" w:cstheme="majorHAnsi"/>
          <w:sz w:val="24"/>
          <w:szCs w:val="24"/>
        </w:rPr>
        <w:t>,</w:t>
      </w:r>
      <w:r w:rsidR="008A3AC7">
        <w:rPr>
          <w:rFonts w:asciiTheme="majorHAnsi" w:hAnsiTheme="majorHAnsi" w:cstheme="majorHAnsi"/>
          <w:sz w:val="24"/>
          <w:szCs w:val="24"/>
        </w:rPr>
        <w:t xml:space="preserve"> iar</w:t>
      </w:r>
      <w:r w:rsidR="00530801" w:rsidRPr="00417A3F">
        <w:rPr>
          <w:rFonts w:asciiTheme="majorHAnsi" w:hAnsiTheme="majorHAnsi" w:cstheme="majorHAnsi"/>
          <w:sz w:val="24"/>
          <w:szCs w:val="24"/>
        </w:rPr>
        <w:t xml:space="preserve"> managementul veniturilor care provin din prestarea serviciilor urmează a fi dezvoltat și consolidat.</w:t>
      </w:r>
      <w:r w:rsidR="00530801" w:rsidRPr="00417A3F">
        <w:rPr>
          <w:rFonts w:asciiTheme="majorHAnsi" w:hAnsiTheme="majorHAnsi" w:cstheme="majorHAnsi"/>
          <w:sz w:val="36"/>
          <w:szCs w:val="36"/>
        </w:rPr>
        <w:t xml:space="preserve"> </w:t>
      </w:r>
      <w:r w:rsidR="00CD5CA6" w:rsidRPr="00417A3F">
        <w:rPr>
          <w:rFonts w:asciiTheme="majorHAnsi" w:hAnsiTheme="majorHAnsi" w:cstheme="majorHAnsi"/>
          <w:sz w:val="24"/>
          <w:szCs w:val="24"/>
          <w:shd w:val="clear" w:color="auto" w:fill="FFFFFF"/>
          <w:lang w:val="ro-MD"/>
        </w:rPr>
        <w:t>Totodată</w:t>
      </w:r>
      <w:r w:rsidR="003125BF">
        <w:rPr>
          <w:rFonts w:asciiTheme="majorHAnsi" w:hAnsiTheme="majorHAnsi" w:cstheme="majorHAnsi"/>
          <w:sz w:val="24"/>
          <w:szCs w:val="24"/>
          <w:shd w:val="clear" w:color="auto" w:fill="FFFFFF"/>
          <w:lang w:val="ro-MD"/>
        </w:rPr>
        <w:t>,</w:t>
      </w:r>
      <w:r w:rsidR="00CD5CA6" w:rsidRPr="00417A3F">
        <w:rPr>
          <w:rFonts w:asciiTheme="majorHAnsi" w:hAnsiTheme="majorHAnsi" w:cstheme="majorHAnsi"/>
          <w:sz w:val="24"/>
          <w:szCs w:val="24"/>
          <w:shd w:val="clear" w:color="auto" w:fill="FFFFFF"/>
          <w:lang w:val="ro-MD"/>
        </w:rPr>
        <w:t xml:space="preserve"> se</w:t>
      </w:r>
      <w:r w:rsidR="00225E2F" w:rsidRPr="00417A3F">
        <w:rPr>
          <w:rFonts w:asciiTheme="majorHAnsi" w:hAnsiTheme="majorHAnsi" w:cstheme="majorHAnsi"/>
          <w:sz w:val="24"/>
          <w:szCs w:val="24"/>
          <w:lang w:val="ro-MD"/>
        </w:rPr>
        <w:t xml:space="preserve"> atestă</w:t>
      </w:r>
      <w:r w:rsidR="00225E2F">
        <w:rPr>
          <w:rFonts w:asciiTheme="majorHAnsi" w:hAnsiTheme="majorHAnsi" w:cstheme="majorHAnsi"/>
          <w:sz w:val="24"/>
          <w:szCs w:val="24"/>
          <w:lang w:val="ro-MD"/>
        </w:rPr>
        <w:t xml:space="preserve"> </w:t>
      </w:r>
      <w:r w:rsidR="003125BF">
        <w:rPr>
          <w:rFonts w:asciiTheme="majorHAnsi" w:hAnsiTheme="majorHAnsi" w:cstheme="majorHAnsi"/>
          <w:sz w:val="24"/>
          <w:szCs w:val="24"/>
          <w:lang w:val="ro-MD"/>
        </w:rPr>
        <w:t xml:space="preserve">faptul </w:t>
      </w:r>
      <w:r w:rsidR="00225E2F">
        <w:rPr>
          <w:rFonts w:asciiTheme="majorHAnsi" w:hAnsiTheme="majorHAnsi" w:cstheme="majorHAnsi"/>
          <w:sz w:val="24"/>
          <w:szCs w:val="24"/>
          <w:lang w:val="ro-MD"/>
        </w:rPr>
        <w:t>că, deși, c</w:t>
      </w:r>
      <w:r w:rsidR="00E950E9">
        <w:rPr>
          <w:rFonts w:asciiTheme="majorHAnsi" w:hAnsiTheme="majorHAnsi" w:cstheme="majorHAnsi"/>
          <w:sz w:val="24"/>
          <w:szCs w:val="24"/>
          <w:lang w:val="ro-MD"/>
        </w:rPr>
        <w:t>onform statutului</w:t>
      </w:r>
      <w:r w:rsidR="003125BF">
        <w:rPr>
          <w:rFonts w:asciiTheme="majorHAnsi" w:hAnsiTheme="majorHAnsi" w:cstheme="majorHAnsi"/>
          <w:sz w:val="24"/>
          <w:szCs w:val="24"/>
          <w:lang w:val="ro-MD"/>
        </w:rPr>
        <w:t>,</w:t>
      </w:r>
      <w:r w:rsidR="00E950E9">
        <w:rPr>
          <w:rFonts w:asciiTheme="majorHAnsi" w:hAnsiTheme="majorHAnsi" w:cstheme="majorHAnsi"/>
          <w:sz w:val="24"/>
          <w:szCs w:val="24"/>
          <w:lang w:val="ro-MD"/>
        </w:rPr>
        <w:t xml:space="preserve"> </w:t>
      </w:r>
      <w:r w:rsidR="003125BF">
        <w:rPr>
          <w:rFonts w:asciiTheme="majorHAnsi" w:hAnsiTheme="majorHAnsi" w:cstheme="majorHAnsi"/>
          <w:sz w:val="24"/>
          <w:szCs w:val="24"/>
          <w:lang w:val="ro-MD"/>
        </w:rPr>
        <w:t>i</w:t>
      </w:r>
      <w:r w:rsidR="00E950E9">
        <w:rPr>
          <w:rFonts w:asciiTheme="majorHAnsi" w:hAnsiTheme="majorHAnsi" w:cstheme="majorHAnsi"/>
          <w:sz w:val="24"/>
          <w:szCs w:val="24"/>
          <w:lang w:val="ro-MD"/>
        </w:rPr>
        <w:t xml:space="preserve">nstituţiile </w:t>
      </w:r>
      <w:r w:rsidR="003125BF">
        <w:rPr>
          <w:rFonts w:asciiTheme="majorHAnsi" w:hAnsiTheme="majorHAnsi" w:cstheme="majorHAnsi"/>
          <w:sz w:val="24"/>
          <w:szCs w:val="24"/>
          <w:lang w:val="ro-MD"/>
        </w:rPr>
        <w:t>p</w:t>
      </w:r>
      <w:r w:rsidR="0020183C" w:rsidRPr="007917DD">
        <w:rPr>
          <w:rFonts w:asciiTheme="majorHAnsi" w:hAnsiTheme="majorHAnsi" w:cstheme="majorHAnsi"/>
          <w:sz w:val="24"/>
          <w:szCs w:val="24"/>
          <w:lang w:val="ro-MD"/>
        </w:rPr>
        <w:t>ublice</w:t>
      </w:r>
      <w:r w:rsidR="00225E2F">
        <w:rPr>
          <w:rFonts w:asciiTheme="majorHAnsi" w:hAnsiTheme="majorHAnsi" w:cstheme="majorHAnsi"/>
          <w:sz w:val="24"/>
          <w:szCs w:val="24"/>
          <w:lang w:val="ro-MD"/>
        </w:rPr>
        <w:t xml:space="preserve"> </w:t>
      </w:r>
      <w:r w:rsidR="003125BF">
        <w:rPr>
          <w:rFonts w:asciiTheme="majorHAnsi" w:hAnsiTheme="majorHAnsi" w:cstheme="majorHAnsi"/>
          <w:sz w:val="24"/>
          <w:szCs w:val="24"/>
          <w:lang w:val="ro-MD"/>
        </w:rPr>
        <w:t xml:space="preserve">- </w:t>
      </w:r>
      <w:r w:rsidR="00225E2F">
        <w:rPr>
          <w:rFonts w:asciiTheme="majorHAnsi" w:hAnsiTheme="majorHAnsi" w:cstheme="majorHAnsi"/>
          <w:sz w:val="24"/>
          <w:szCs w:val="24"/>
          <w:lang w:val="ro-MD"/>
        </w:rPr>
        <w:t>INM, ISM și MOLDAC</w:t>
      </w:r>
      <w:r w:rsidR="0020183C" w:rsidRPr="007917DD">
        <w:rPr>
          <w:rFonts w:asciiTheme="majorHAnsi" w:hAnsiTheme="majorHAnsi" w:cstheme="majorHAnsi"/>
          <w:sz w:val="24"/>
          <w:szCs w:val="24"/>
          <w:lang w:val="ro-MD"/>
        </w:rPr>
        <w:t xml:space="preserve"> sunt instituţii</w:t>
      </w:r>
      <w:r w:rsidR="002C64B9">
        <w:rPr>
          <w:rFonts w:asciiTheme="majorHAnsi" w:hAnsiTheme="majorHAnsi" w:cstheme="majorHAnsi"/>
          <w:sz w:val="24"/>
          <w:szCs w:val="24"/>
          <w:lang w:val="ro-MD"/>
        </w:rPr>
        <w:t xml:space="preserve"> nonprofit și </w:t>
      </w:r>
      <w:r w:rsidR="0020183C" w:rsidRPr="007917DD">
        <w:rPr>
          <w:rFonts w:asciiTheme="majorHAnsi" w:hAnsiTheme="majorHAnsi" w:cstheme="majorHAnsi"/>
          <w:sz w:val="24"/>
          <w:szCs w:val="24"/>
          <w:lang w:val="ro-MD"/>
        </w:rPr>
        <w:t>veniturile obținute din serviciile prestate s</w:t>
      </w:r>
      <w:r w:rsidR="00CA446B">
        <w:rPr>
          <w:rFonts w:asciiTheme="majorHAnsi" w:hAnsiTheme="majorHAnsi" w:cstheme="majorHAnsi"/>
          <w:sz w:val="24"/>
          <w:szCs w:val="24"/>
          <w:lang w:val="ro-MD"/>
        </w:rPr>
        <w:t>e</w:t>
      </w:r>
      <w:r w:rsidR="0020183C" w:rsidRPr="007917DD">
        <w:rPr>
          <w:rFonts w:asciiTheme="majorHAnsi" w:hAnsiTheme="majorHAnsi" w:cstheme="majorHAnsi"/>
          <w:sz w:val="24"/>
          <w:szCs w:val="24"/>
          <w:lang w:val="ro-MD"/>
        </w:rPr>
        <w:t xml:space="preserve"> utiliz</w:t>
      </w:r>
      <w:r w:rsidR="00CA446B">
        <w:rPr>
          <w:rFonts w:asciiTheme="majorHAnsi" w:hAnsiTheme="majorHAnsi" w:cstheme="majorHAnsi"/>
          <w:sz w:val="24"/>
          <w:szCs w:val="24"/>
          <w:lang w:val="ro-MD"/>
        </w:rPr>
        <w:t>ează</w:t>
      </w:r>
      <w:r w:rsidR="0020183C" w:rsidRPr="007917DD">
        <w:rPr>
          <w:rFonts w:asciiTheme="majorHAnsi" w:hAnsiTheme="majorHAnsi" w:cstheme="majorHAnsi"/>
          <w:sz w:val="24"/>
          <w:szCs w:val="24"/>
          <w:lang w:val="ro-MD"/>
        </w:rPr>
        <w:t xml:space="preserve"> conform necesităților</w:t>
      </w:r>
      <w:r w:rsidR="00225E2F">
        <w:rPr>
          <w:rFonts w:asciiTheme="majorHAnsi" w:hAnsiTheme="majorHAnsi" w:cstheme="majorHAnsi"/>
          <w:sz w:val="24"/>
          <w:szCs w:val="24"/>
          <w:lang w:val="ro-MD"/>
        </w:rPr>
        <w:t xml:space="preserve">, </w:t>
      </w:r>
      <w:r w:rsidR="002C64B9" w:rsidRPr="002C64B9">
        <w:rPr>
          <w:rFonts w:asciiTheme="majorHAnsi" w:hAnsiTheme="majorHAnsi" w:cstheme="majorHAnsi"/>
          <w:sz w:val="24"/>
          <w:szCs w:val="24"/>
          <w:lang w:val="ro-MD"/>
        </w:rPr>
        <w:t>s</w:t>
      </w:r>
      <w:r w:rsidR="002C64B9" w:rsidRPr="002C64B9">
        <w:rPr>
          <w:rFonts w:asciiTheme="majorHAnsi" w:eastAsia="Times New Roman" w:hAnsiTheme="majorHAnsi" w:cstheme="majorHAnsi"/>
          <w:iCs/>
          <w:sz w:val="24"/>
          <w:szCs w:val="24"/>
          <w:lang w:val="ro-MD" w:eastAsia="ro-MD"/>
        </w:rPr>
        <w:t>istemul de tarifare aferent serviciilor prestate urmează a fi orientat pe costuri</w:t>
      </w:r>
      <w:r w:rsidR="002C64B9">
        <w:rPr>
          <w:rFonts w:asciiTheme="majorHAnsi" w:eastAsia="Times New Roman" w:hAnsiTheme="majorHAnsi" w:cstheme="majorHAnsi"/>
          <w:iCs/>
          <w:sz w:val="24"/>
          <w:szCs w:val="24"/>
          <w:lang w:val="ro-MD" w:eastAsia="ro-MD"/>
        </w:rPr>
        <w:t>, iar</w:t>
      </w:r>
      <w:r w:rsidR="002C64B9">
        <w:rPr>
          <w:rFonts w:asciiTheme="majorHAnsi" w:hAnsiTheme="majorHAnsi" w:cstheme="majorHAnsi"/>
          <w:sz w:val="24"/>
          <w:szCs w:val="24"/>
          <w:lang w:val="ro-MD"/>
        </w:rPr>
        <w:t xml:space="preserve"> </w:t>
      </w:r>
      <w:r w:rsidR="00225E2F">
        <w:rPr>
          <w:rFonts w:asciiTheme="majorHAnsi" w:hAnsiTheme="majorHAnsi" w:cstheme="majorHAnsi"/>
          <w:sz w:val="24"/>
          <w:szCs w:val="24"/>
          <w:lang w:val="ro-MD"/>
        </w:rPr>
        <w:t>cadrul regulator intern  aferent</w:t>
      </w:r>
      <w:r w:rsidR="0020183C" w:rsidRPr="007917DD">
        <w:rPr>
          <w:rFonts w:asciiTheme="majorHAnsi" w:hAnsiTheme="majorHAnsi" w:cstheme="majorHAnsi"/>
          <w:sz w:val="24"/>
          <w:szCs w:val="24"/>
          <w:lang w:val="ro-MD"/>
        </w:rPr>
        <w:t xml:space="preserve"> </w:t>
      </w:r>
      <w:r w:rsidR="00225E2F">
        <w:rPr>
          <w:rFonts w:asciiTheme="majorHAnsi" w:hAnsiTheme="majorHAnsi" w:cstheme="majorHAnsi"/>
          <w:sz w:val="24"/>
          <w:szCs w:val="24"/>
          <w:lang w:val="ro-MD"/>
        </w:rPr>
        <w:t xml:space="preserve">constituirii, acumulării  și utilizării veniturilor urmează a fi </w:t>
      </w:r>
      <w:r w:rsidR="00A03767">
        <w:rPr>
          <w:rFonts w:asciiTheme="majorHAnsi" w:hAnsiTheme="majorHAnsi" w:cstheme="majorHAnsi"/>
          <w:sz w:val="24"/>
          <w:szCs w:val="24"/>
          <w:lang w:val="ro-MD"/>
        </w:rPr>
        <w:t>elaborat, dezvoltat ș</w:t>
      </w:r>
      <w:r w:rsidR="001B7240">
        <w:rPr>
          <w:rFonts w:asciiTheme="majorHAnsi" w:hAnsiTheme="majorHAnsi" w:cstheme="majorHAnsi"/>
          <w:sz w:val="24"/>
          <w:szCs w:val="24"/>
          <w:lang w:val="ro-MD"/>
        </w:rPr>
        <w:t xml:space="preserve">i aplicat </w:t>
      </w:r>
      <w:r w:rsidR="00CA446B">
        <w:rPr>
          <w:rFonts w:asciiTheme="majorHAnsi" w:hAnsiTheme="majorHAnsi" w:cstheme="majorHAnsi"/>
          <w:sz w:val="24"/>
          <w:szCs w:val="24"/>
          <w:lang w:val="ro-MD"/>
        </w:rPr>
        <w:t>potrivit</w:t>
      </w:r>
      <w:r w:rsidR="001B7240">
        <w:rPr>
          <w:rFonts w:asciiTheme="majorHAnsi" w:hAnsiTheme="majorHAnsi" w:cstheme="majorHAnsi"/>
          <w:sz w:val="24"/>
          <w:szCs w:val="24"/>
          <w:lang w:val="ro-MD"/>
        </w:rPr>
        <w:t xml:space="preserve"> cadrului </w:t>
      </w:r>
      <w:r w:rsidR="00A03767">
        <w:rPr>
          <w:rFonts w:asciiTheme="majorHAnsi" w:hAnsiTheme="majorHAnsi" w:cstheme="majorHAnsi"/>
          <w:sz w:val="24"/>
          <w:szCs w:val="24"/>
          <w:lang w:val="ro-MD"/>
        </w:rPr>
        <w:t xml:space="preserve"> normativ </w:t>
      </w:r>
      <w:r w:rsidR="00E950E9">
        <w:rPr>
          <w:rFonts w:asciiTheme="majorHAnsi" w:hAnsiTheme="majorHAnsi" w:cstheme="majorHAnsi"/>
          <w:sz w:val="24"/>
          <w:szCs w:val="24"/>
          <w:lang w:val="ro-MD"/>
        </w:rPr>
        <w:t xml:space="preserve"> aplicabil</w:t>
      </w:r>
      <w:r w:rsidR="00A03767">
        <w:rPr>
          <w:rFonts w:asciiTheme="majorHAnsi" w:hAnsiTheme="majorHAnsi" w:cstheme="majorHAnsi"/>
          <w:sz w:val="24"/>
          <w:szCs w:val="24"/>
          <w:lang w:val="ro-MD"/>
        </w:rPr>
        <w:t>. În acest sens</w:t>
      </w:r>
      <w:r w:rsidR="003125BF">
        <w:rPr>
          <w:rFonts w:asciiTheme="majorHAnsi" w:hAnsiTheme="majorHAnsi" w:cstheme="majorHAnsi"/>
          <w:sz w:val="24"/>
          <w:szCs w:val="24"/>
          <w:lang w:val="ro-MD"/>
        </w:rPr>
        <w:t>,</w:t>
      </w:r>
      <w:r w:rsidR="00A03767">
        <w:rPr>
          <w:rFonts w:asciiTheme="majorHAnsi" w:hAnsiTheme="majorHAnsi" w:cstheme="majorHAnsi"/>
          <w:sz w:val="24"/>
          <w:szCs w:val="24"/>
          <w:lang w:val="ro-MD"/>
        </w:rPr>
        <w:t xml:space="preserve"> se denotă următoarele:</w:t>
      </w:r>
    </w:p>
    <w:p w14:paraId="09F6D18A" w14:textId="4B8DE477" w:rsidR="008656E4" w:rsidRPr="00DE0540" w:rsidRDefault="00C56D3A" w:rsidP="00DE0540">
      <w:pPr>
        <w:pStyle w:val="ListParagraph"/>
        <w:numPr>
          <w:ilvl w:val="0"/>
          <w:numId w:val="36"/>
        </w:numPr>
        <w:tabs>
          <w:tab w:val="left" w:pos="0"/>
          <w:tab w:val="left" w:pos="270"/>
          <w:tab w:val="left" w:pos="990"/>
          <w:tab w:val="left" w:pos="1080"/>
        </w:tabs>
        <w:spacing w:after="0" w:line="276" w:lineRule="auto"/>
        <w:ind w:left="0" w:firstLine="567"/>
        <w:jc w:val="both"/>
        <w:rPr>
          <w:rFonts w:asciiTheme="majorHAnsi" w:eastAsia="Times New Roman" w:hAnsiTheme="majorHAnsi" w:cstheme="majorHAnsi"/>
          <w:iCs/>
          <w:sz w:val="24"/>
          <w:szCs w:val="24"/>
          <w:lang w:val="ro-MD" w:eastAsia="ro-MD"/>
        </w:rPr>
      </w:pPr>
      <w:r w:rsidRPr="00C56D3A">
        <w:rPr>
          <w:rFonts w:asciiTheme="majorHAnsi" w:eastAsia="Times New Roman" w:hAnsiTheme="majorHAnsi" w:cstheme="majorHAnsi"/>
          <w:iCs/>
          <w:sz w:val="24"/>
          <w:szCs w:val="24"/>
          <w:lang w:val="ro-MD" w:eastAsia="ro-MD"/>
        </w:rPr>
        <w:t>Nomenclatorul serviciilor prestate</w:t>
      </w:r>
      <w:r>
        <w:rPr>
          <w:rFonts w:asciiTheme="majorHAnsi" w:eastAsia="Times New Roman" w:hAnsiTheme="majorHAnsi" w:cstheme="majorHAnsi"/>
          <w:iCs/>
          <w:sz w:val="24"/>
          <w:szCs w:val="24"/>
          <w:lang w:val="ro-MD" w:eastAsia="ro-MD"/>
        </w:rPr>
        <w:t xml:space="preserve"> de către ISM</w:t>
      </w:r>
      <w:r w:rsidR="003125BF">
        <w:rPr>
          <w:rFonts w:asciiTheme="majorHAnsi" w:eastAsia="Times New Roman" w:hAnsiTheme="majorHAnsi" w:cstheme="majorHAnsi"/>
          <w:iCs/>
          <w:sz w:val="24"/>
          <w:szCs w:val="24"/>
          <w:lang w:val="ro-MD" w:eastAsia="ro-MD"/>
        </w:rPr>
        <w:t>,</w:t>
      </w:r>
      <w:r>
        <w:rPr>
          <w:rFonts w:asciiTheme="majorHAnsi" w:eastAsia="Times New Roman" w:hAnsiTheme="majorHAnsi" w:cstheme="majorHAnsi"/>
          <w:iCs/>
          <w:sz w:val="24"/>
          <w:szCs w:val="24"/>
          <w:lang w:val="ro-MD" w:eastAsia="ro-MD"/>
        </w:rPr>
        <w:t xml:space="preserve"> INM și MOLDAC</w:t>
      </w:r>
      <w:r w:rsidRPr="00C56D3A">
        <w:rPr>
          <w:rFonts w:asciiTheme="majorHAnsi" w:eastAsia="Times New Roman" w:hAnsiTheme="majorHAnsi" w:cstheme="majorHAnsi"/>
          <w:iCs/>
          <w:sz w:val="24"/>
          <w:szCs w:val="24"/>
          <w:lang w:val="ro-MD" w:eastAsia="ro-MD"/>
        </w:rPr>
        <w:t>, precum și Metodologia de determinare a tarifelor aferente acestora sunt aprobate prin următoarele acte:</w:t>
      </w:r>
    </w:p>
    <w:p w14:paraId="61F7C87D" w14:textId="29F63329" w:rsidR="00C56D3A" w:rsidRPr="00255E9C" w:rsidRDefault="00C56D3A" w:rsidP="00C56D3A">
      <w:pPr>
        <w:pStyle w:val="ListParagraph"/>
        <w:tabs>
          <w:tab w:val="left" w:pos="0"/>
          <w:tab w:val="left" w:pos="270"/>
          <w:tab w:val="left" w:pos="990"/>
          <w:tab w:val="left" w:pos="1080"/>
        </w:tabs>
        <w:spacing w:after="0" w:line="276" w:lineRule="auto"/>
        <w:ind w:left="567"/>
        <w:jc w:val="right"/>
        <w:rPr>
          <w:rFonts w:asciiTheme="majorHAnsi" w:eastAsia="Times New Roman" w:hAnsiTheme="majorHAnsi" w:cstheme="majorHAnsi"/>
          <w:b/>
          <w:i/>
          <w:iCs/>
          <w:sz w:val="24"/>
          <w:szCs w:val="24"/>
          <w:lang w:val="ro-MD" w:eastAsia="ro-MD"/>
        </w:rPr>
      </w:pPr>
      <w:r w:rsidRPr="00255E9C">
        <w:rPr>
          <w:rFonts w:asciiTheme="majorHAnsi" w:eastAsia="Times New Roman" w:hAnsiTheme="majorHAnsi" w:cstheme="majorHAnsi"/>
          <w:b/>
          <w:i/>
          <w:iCs/>
          <w:sz w:val="24"/>
          <w:szCs w:val="24"/>
          <w:lang w:val="ro-MD" w:eastAsia="ro-MD"/>
        </w:rPr>
        <w:t xml:space="preserve">Figura </w:t>
      </w:r>
      <w:r w:rsidR="00CA446B">
        <w:rPr>
          <w:rFonts w:asciiTheme="majorHAnsi" w:eastAsia="Times New Roman" w:hAnsiTheme="majorHAnsi" w:cstheme="majorHAnsi"/>
          <w:b/>
          <w:i/>
          <w:iCs/>
          <w:sz w:val="24"/>
          <w:szCs w:val="24"/>
          <w:lang w:val="ro-MD" w:eastAsia="ro-MD"/>
        </w:rPr>
        <w:t xml:space="preserve">nr. </w:t>
      </w:r>
      <w:r w:rsidRPr="00255E9C">
        <w:rPr>
          <w:rFonts w:asciiTheme="majorHAnsi" w:eastAsia="Times New Roman" w:hAnsiTheme="majorHAnsi" w:cstheme="majorHAnsi"/>
          <w:b/>
          <w:i/>
          <w:iCs/>
          <w:sz w:val="24"/>
          <w:szCs w:val="24"/>
          <w:lang w:val="ro-MD" w:eastAsia="ro-MD"/>
        </w:rPr>
        <w:t>4.2.1</w:t>
      </w:r>
      <w:r w:rsidR="00184FC1">
        <w:rPr>
          <w:rFonts w:asciiTheme="majorHAnsi" w:eastAsia="Times New Roman" w:hAnsiTheme="majorHAnsi" w:cstheme="majorHAnsi"/>
          <w:b/>
          <w:i/>
          <w:iCs/>
          <w:sz w:val="24"/>
          <w:szCs w:val="24"/>
          <w:lang w:val="ro-MD" w:eastAsia="ro-MD"/>
        </w:rPr>
        <w:t>.</w:t>
      </w:r>
    </w:p>
    <w:p w14:paraId="5578FDC0" w14:textId="0A56A96A" w:rsidR="00C56D3A" w:rsidRDefault="00C56D3A" w:rsidP="00C56D3A">
      <w:pPr>
        <w:tabs>
          <w:tab w:val="left" w:pos="0"/>
          <w:tab w:val="left" w:pos="270"/>
          <w:tab w:val="left" w:pos="990"/>
          <w:tab w:val="left" w:pos="1080"/>
        </w:tabs>
        <w:spacing w:after="0" w:line="276" w:lineRule="auto"/>
        <w:jc w:val="both"/>
        <w:rPr>
          <w:rFonts w:asciiTheme="majorHAnsi" w:eastAsia="Times New Roman" w:hAnsiTheme="majorHAnsi" w:cstheme="majorHAnsi"/>
          <w:iCs/>
          <w:sz w:val="24"/>
          <w:szCs w:val="24"/>
          <w:lang w:val="ro-MD" w:eastAsia="ro-MD"/>
        </w:rPr>
      </w:pPr>
      <w:r w:rsidRPr="007917DD">
        <w:rPr>
          <w:rFonts w:asciiTheme="majorHAnsi" w:hAnsiTheme="majorHAnsi" w:cstheme="majorHAnsi"/>
          <w:noProof/>
          <w:sz w:val="24"/>
          <w:szCs w:val="24"/>
        </w:rPr>
        <w:drawing>
          <wp:inline distT="0" distB="0" distL="0" distR="0" wp14:anchorId="37B40C03" wp14:editId="05BA4EB2">
            <wp:extent cx="5913755" cy="1739788"/>
            <wp:effectExtent l="38100" t="0" r="29845" b="0"/>
            <wp:docPr id="4"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CA623FD" w14:textId="51960587" w:rsidR="00FB5078" w:rsidRPr="003A7F7F" w:rsidRDefault="00B12061" w:rsidP="00FB13FE">
      <w:pPr>
        <w:pStyle w:val="ListParagraph"/>
        <w:tabs>
          <w:tab w:val="left" w:pos="270"/>
        </w:tabs>
        <w:spacing w:after="0" w:line="276" w:lineRule="auto"/>
        <w:ind w:left="0" w:firstLine="720"/>
        <w:jc w:val="both"/>
        <w:rPr>
          <w:rFonts w:asciiTheme="majorHAnsi" w:eastAsia="Times New Roman" w:hAnsiTheme="majorHAnsi" w:cstheme="majorHAnsi"/>
          <w:iCs/>
          <w:sz w:val="24"/>
          <w:szCs w:val="24"/>
          <w:lang w:val="ro-MD" w:eastAsia="ro-MD"/>
        </w:rPr>
      </w:pPr>
      <w:r w:rsidRPr="00FB13FE">
        <w:rPr>
          <w:rFonts w:asciiTheme="majorHAnsi" w:hAnsiTheme="majorHAnsi" w:cstheme="majorHAnsi"/>
          <w:sz w:val="24"/>
          <w:szCs w:val="24"/>
          <w:shd w:val="clear" w:color="auto" w:fill="FFFFFF"/>
          <w:lang w:val="ro-MD"/>
        </w:rPr>
        <w:t>Până</w:t>
      </w:r>
      <w:r>
        <w:rPr>
          <w:rFonts w:asciiTheme="majorHAnsi" w:eastAsia="Times New Roman" w:hAnsiTheme="majorHAnsi" w:cstheme="majorHAnsi"/>
          <w:iCs/>
          <w:sz w:val="24"/>
          <w:szCs w:val="24"/>
          <w:lang w:val="ro-MD" w:eastAsia="ro-MD"/>
        </w:rPr>
        <w:t xml:space="preserve"> în prezent sunt aplicate tarifele la serviciile prestate de </w:t>
      </w:r>
      <w:r w:rsidRPr="00C66909">
        <w:rPr>
          <w:rFonts w:asciiTheme="majorHAnsi" w:eastAsia="Times New Roman" w:hAnsiTheme="majorHAnsi" w:cstheme="majorHAnsi"/>
          <w:iCs/>
          <w:sz w:val="24"/>
          <w:szCs w:val="24"/>
          <w:lang w:val="ro-MD" w:eastAsia="ro-MD"/>
        </w:rPr>
        <w:t xml:space="preserve">către instituțiile </w:t>
      </w:r>
      <w:r w:rsidR="00C66909" w:rsidRPr="00255E9C">
        <w:rPr>
          <w:rFonts w:asciiTheme="majorHAnsi" w:eastAsia="Times New Roman" w:hAnsiTheme="majorHAnsi" w:cstheme="majorHAnsi"/>
          <w:iCs/>
          <w:sz w:val="24"/>
          <w:szCs w:val="24"/>
          <w:lang w:val="ro-MD" w:eastAsia="ro-MD"/>
        </w:rPr>
        <w:t xml:space="preserve">publice </w:t>
      </w:r>
      <w:r w:rsidRPr="00C66909">
        <w:rPr>
          <w:rFonts w:asciiTheme="majorHAnsi" w:eastAsia="Times New Roman" w:hAnsiTheme="majorHAnsi" w:cstheme="majorHAnsi"/>
          <w:iCs/>
          <w:sz w:val="24"/>
          <w:szCs w:val="24"/>
          <w:lang w:val="ro-MD" w:eastAsia="ro-MD"/>
        </w:rPr>
        <w:t>din domeniul infrastructurii</w:t>
      </w:r>
      <w:r w:rsidR="00C66909" w:rsidRPr="00C66909">
        <w:rPr>
          <w:rFonts w:asciiTheme="majorHAnsi" w:eastAsia="Times New Roman" w:hAnsiTheme="majorHAnsi" w:cstheme="majorHAnsi"/>
          <w:iCs/>
          <w:sz w:val="24"/>
          <w:szCs w:val="24"/>
          <w:lang w:val="ro-MD" w:eastAsia="ro-MD"/>
        </w:rPr>
        <w:t xml:space="preserve"> calității</w:t>
      </w:r>
      <w:r w:rsidRPr="00C66909">
        <w:rPr>
          <w:rFonts w:asciiTheme="majorHAnsi" w:eastAsia="Times New Roman" w:hAnsiTheme="majorHAnsi" w:cstheme="majorHAnsi"/>
          <w:iCs/>
          <w:sz w:val="24"/>
          <w:szCs w:val="24"/>
          <w:lang w:val="ro-MD" w:eastAsia="ro-MD"/>
        </w:rPr>
        <w:t xml:space="preserve">, </w:t>
      </w:r>
      <w:r w:rsidR="00706E6C" w:rsidRPr="00C66909">
        <w:rPr>
          <w:rFonts w:asciiTheme="majorHAnsi" w:eastAsia="Times New Roman" w:hAnsiTheme="majorHAnsi" w:cstheme="majorHAnsi"/>
          <w:iCs/>
          <w:sz w:val="24"/>
          <w:szCs w:val="24"/>
          <w:lang w:val="ro-MD" w:eastAsia="ro-MD"/>
        </w:rPr>
        <w:t xml:space="preserve">stabilite </w:t>
      </w:r>
      <w:r w:rsidRPr="00C66909">
        <w:rPr>
          <w:rFonts w:asciiTheme="majorHAnsi" w:eastAsia="Times New Roman" w:hAnsiTheme="majorHAnsi" w:cstheme="majorHAnsi"/>
          <w:iCs/>
          <w:sz w:val="24"/>
          <w:szCs w:val="24"/>
          <w:lang w:val="ro-MD" w:eastAsia="ro-MD"/>
        </w:rPr>
        <w:t xml:space="preserve"> în baza metodo</w:t>
      </w:r>
      <w:r w:rsidR="00E776D1" w:rsidRPr="00C66909">
        <w:rPr>
          <w:rFonts w:asciiTheme="majorHAnsi" w:eastAsia="Times New Roman" w:hAnsiTheme="majorHAnsi" w:cstheme="majorHAnsi"/>
          <w:iCs/>
          <w:sz w:val="24"/>
          <w:szCs w:val="24"/>
          <w:lang w:val="ro-MD" w:eastAsia="ro-MD"/>
        </w:rPr>
        <w:t>lo</w:t>
      </w:r>
      <w:r w:rsidRPr="00C66909">
        <w:rPr>
          <w:rFonts w:asciiTheme="majorHAnsi" w:eastAsia="Times New Roman" w:hAnsiTheme="majorHAnsi" w:cstheme="majorHAnsi"/>
          <w:iCs/>
          <w:sz w:val="24"/>
          <w:szCs w:val="24"/>
          <w:lang w:val="ro-MD" w:eastAsia="ro-MD"/>
        </w:rPr>
        <w:t>giilor de calcul,</w:t>
      </w:r>
      <w:r>
        <w:rPr>
          <w:rFonts w:asciiTheme="majorHAnsi" w:eastAsia="Times New Roman" w:hAnsiTheme="majorHAnsi" w:cstheme="majorHAnsi"/>
          <w:iCs/>
          <w:sz w:val="24"/>
          <w:szCs w:val="24"/>
          <w:lang w:val="ro-MD" w:eastAsia="ro-MD"/>
        </w:rPr>
        <w:t xml:space="preserve"> </w:t>
      </w:r>
      <w:r w:rsidR="002B18F1">
        <w:rPr>
          <w:rFonts w:asciiTheme="majorHAnsi" w:eastAsia="Times New Roman" w:hAnsiTheme="majorHAnsi" w:cstheme="majorHAnsi"/>
          <w:iCs/>
          <w:sz w:val="24"/>
          <w:szCs w:val="24"/>
          <w:lang w:val="ro-MD" w:eastAsia="ro-MD"/>
        </w:rPr>
        <w:t>nominalizate</w:t>
      </w:r>
      <w:r>
        <w:rPr>
          <w:rFonts w:asciiTheme="majorHAnsi" w:eastAsia="Times New Roman" w:hAnsiTheme="majorHAnsi" w:cstheme="majorHAnsi"/>
          <w:iCs/>
          <w:sz w:val="24"/>
          <w:szCs w:val="24"/>
          <w:lang w:val="ro-MD" w:eastAsia="ro-MD"/>
        </w:rPr>
        <w:t xml:space="preserve"> în </w:t>
      </w:r>
      <w:r w:rsidR="00620DA8">
        <w:rPr>
          <w:rFonts w:asciiTheme="majorHAnsi" w:eastAsia="Times New Roman" w:hAnsiTheme="majorHAnsi" w:cstheme="majorHAnsi"/>
          <w:iCs/>
          <w:sz w:val="24"/>
          <w:szCs w:val="24"/>
          <w:lang w:val="ro-MD" w:eastAsia="ro-MD"/>
        </w:rPr>
        <w:t>F</w:t>
      </w:r>
      <w:r>
        <w:rPr>
          <w:rFonts w:asciiTheme="majorHAnsi" w:eastAsia="Times New Roman" w:hAnsiTheme="majorHAnsi" w:cstheme="majorHAnsi"/>
          <w:iCs/>
          <w:sz w:val="24"/>
          <w:szCs w:val="24"/>
          <w:lang w:val="ro-MD" w:eastAsia="ro-MD"/>
        </w:rPr>
        <w:t xml:space="preserve">igura </w:t>
      </w:r>
      <w:r w:rsidR="00620DA8">
        <w:rPr>
          <w:rFonts w:asciiTheme="majorHAnsi" w:eastAsia="Times New Roman" w:hAnsiTheme="majorHAnsi" w:cstheme="majorHAnsi"/>
          <w:iCs/>
          <w:sz w:val="24"/>
          <w:szCs w:val="24"/>
          <w:lang w:val="ro-MD" w:eastAsia="ro-MD"/>
        </w:rPr>
        <w:t xml:space="preserve">nr. </w:t>
      </w:r>
      <w:r>
        <w:rPr>
          <w:rFonts w:asciiTheme="majorHAnsi" w:eastAsia="Times New Roman" w:hAnsiTheme="majorHAnsi" w:cstheme="majorHAnsi"/>
          <w:iCs/>
          <w:sz w:val="24"/>
          <w:szCs w:val="24"/>
          <w:lang w:val="ro-MD" w:eastAsia="ro-MD"/>
        </w:rPr>
        <w:t>4.2.1</w:t>
      </w:r>
      <w:r w:rsidR="009553B3">
        <w:rPr>
          <w:rFonts w:asciiTheme="majorHAnsi" w:eastAsia="Times New Roman" w:hAnsiTheme="majorHAnsi" w:cstheme="majorHAnsi"/>
          <w:iCs/>
          <w:sz w:val="24"/>
          <w:szCs w:val="24"/>
          <w:lang w:val="ro-MD" w:eastAsia="ro-MD"/>
        </w:rPr>
        <w:t>.</w:t>
      </w:r>
      <w:r>
        <w:rPr>
          <w:rFonts w:asciiTheme="majorHAnsi" w:eastAsia="Times New Roman" w:hAnsiTheme="majorHAnsi" w:cstheme="majorHAnsi"/>
          <w:iCs/>
          <w:sz w:val="24"/>
          <w:szCs w:val="24"/>
          <w:lang w:val="ro-MD" w:eastAsia="ro-MD"/>
        </w:rPr>
        <w:t xml:space="preserve">, aprobate și </w:t>
      </w:r>
      <w:r w:rsidR="00886A7F">
        <w:rPr>
          <w:rFonts w:asciiTheme="majorHAnsi" w:eastAsia="Times New Roman" w:hAnsiTheme="majorHAnsi" w:cstheme="majorHAnsi"/>
          <w:iCs/>
          <w:sz w:val="24"/>
          <w:szCs w:val="24"/>
          <w:lang w:val="ro-MD" w:eastAsia="ro-MD"/>
        </w:rPr>
        <w:t>neactualizate</w:t>
      </w:r>
      <w:r>
        <w:rPr>
          <w:rFonts w:asciiTheme="majorHAnsi" w:eastAsia="Times New Roman" w:hAnsiTheme="majorHAnsi" w:cstheme="majorHAnsi"/>
          <w:iCs/>
          <w:sz w:val="24"/>
          <w:szCs w:val="24"/>
          <w:lang w:val="ro-MD" w:eastAsia="ro-MD"/>
        </w:rPr>
        <w:t xml:space="preserve"> din anul 2016.</w:t>
      </w:r>
      <w:r w:rsidR="002B18F1">
        <w:rPr>
          <w:rFonts w:asciiTheme="majorHAnsi" w:eastAsia="Times New Roman" w:hAnsiTheme="majorHAnsi" w:cstheme="majorHAnsi"/>
          <w:iCs/>
          <w:sz w:val="24"/>
          <w:szCs w:val="24"/>
          <w:lang w:val="ro-MD" w:eastAsia="ro-MD"/>
        </w:rPr>
        <w:t xml:space="preserve"> De menționat că t</w:t>
      </w:r>
      <w:r w:rsidR="002B18F1" w:rsidRPr="007917DD">
        <w:rPr>
          <w:rFonts w:asciiTheme="majorHAnsi" w:eastAsia="Times New Roman" w:hAnsiTheme="majorHAnsi" w:cstheme="majorHAnsi"/>
          <w:iCs/>
          <w:sz w:val="24"/>
          <w:szCs w:val="24"/>
          <w:lang w:val="ro-MD" w:eastAsia="ro-MD"/>
        </w:rPr>
        <w:t>arifele la servicii</w:t>
      </w:r>
      <w:r w:rsidR="00886A7F">
        <w:rPr>
          <w:rFonts w:asciiTheme="majorHAnsi" w:eastAsia="Times New Roman" w:hAnsiTheme="majorHAnsi" w:cstheme="majorHAnsi"/>
          <w:iCs/>
          <w:sz w:val="24"/>
          <w:szCs w:val="24"/>
          <w:lang w:val="ro-MD" w:eastAsia="ro-MD"/>
        </w:rPr>
        <w:t>le</w:t>
      </w:r>
      <w:r w:rsidR="002B18F1" w:rsidRPr="007917DD">
        <w:rPr>
          <w:rFonts w:asciiTheme="majorHAnsi" w:eastAsia="Times New Roman" w:hAnsiTheme="majorHAnsi" w:cstheme="majorHAnsi"/>
          <w:iCs/>
          <w:sz w:val="24"/>
          <w:szCs w:val="24"/>
          <w:lang w:val="ro-MD" w:eastAsia="ro-MD"/>
        </w:rPr>
        <w:t xml:space="preserve"> în domeniul standardizării se calculează în conformitate cu Metodologi</w:t>
      </w:r>
      <w:r w:rsidR="009553B3">
        <w:rPr>
          <w:rFonts w:asciiTheme="majorHAnsi" w:eastAsia="Times New Roman" w:hAnsiTheme="majorHAnsi" w:cstheme="majorHAnsi"/>
          <w:iCs/>
          <w:sz w:val="24"/>
          <w:szCs w:val="24"/>
          <w:lang w:val="ro-MD" w:eastAsia="ro-MD"/>
        </w:rPr>
        <w:t>a</w:t>
      </w:r>
      <w:r w:rsidR="002B18F1" w:rsidRPr="007917DD">
        <w:rPr>
          <w:rFonts w:asciiTheme="majorHAnsi" w:eastAsia="Times New Roman" w:hAnsiTheme="majorHAnsi" w:cstheme="majorHAnsi"/>
          <w:iCs/>
          <w:sz w:val="24"/>
          <w:szCs w:val="24"/>
          <w:lang w:val="ro-MD" w:eastAsia="ro-MD"/>
        </w:rPr>
        <w:t xml:space="preserve"> aprobată, se coordonează cu Ministerul Economiei şi se aprobă de către </w:t>
      </w:r>
      <w:r w:rsidR="002B18F1">
        <w:rPr>
          <w:rFonts w:asciiTheme="majorHAnsi" w:eastAsia="Times New Roman" w:hAnsiTheme="majorHAnsi" w:cstheme="majorHAnsi"/>
          <w:iCs/>
          <w:sz w:val="24"/>
          <w:szCs w:val="24"/>
          <w:lang w:val="ro-MD" w:eastAsia="ro-MD"/>
        </w:rPr>
        <w:t>ISM</w:t>
      </w:r>
      <w:r w:rsidR="002B18F1" w:rsidRPr="007917DD">
        <w:rPr>
          <w:rFonts w:asciiTheme="majorHAnsi" w:eastAsia="Times New Roman" w:hAnsiTheme="majorHAnsi" w:cstheme="majorHAnsi"/>
          <w:iCs/>
          <w:sz w:val="24"/>
          <w:szCs w:val="24"/>
          <w:lang w:val="ro-MD" w:eastAsia="ro-MD"/>
        </w:rPr>
        <w:t xml:space="preserve">, cu excepția tarifelor la comercializarea standardelor, care se </w:t>
      </w:r>
      <w:r w:rsidR="002B18F1">
        <w:rPr>
          <w:rFonts w:asciiTheme="majorHAnsi" w:eastAsia="Times New Roman" w:hAnsiTheme="majorHAnsi" w:cstheme="majorHAnsi"/>
          <w:iCs/>
          <w:sz w:val="24"/>
          <w:szCs w:val="24"/>
          <w:lang w:val="ro-MD" w:eastAsia="ro-MD"/>
        </w:rPr>
        <w:t>aprobă de către Guvern. T</w:t>
      </w:r>
      <w:r w:rsidR="002B18F1" w:rsidRPr="007917DD">
        <w:rPr>
          <w:rFonts w:asciiTheme="majorHAnsi" w:eastAsia="Times New Roman" w:hAnsiTheme="majorHAnsi" w:cstheme="majorHAnsi"/>
          <w:iCs/>
          <w:sz w:val="24"/>
          <w:szCs w:val="24"/>
          <w:lang w:val="ro-MD" w:eastAsia="ro-MD"/>
        </w:rPr>
        <w:t>arifele la servicii</w:t>
      </w:r>
      <w:r w:rsidR="002B18F1">
        <w:rPr>
          <w:rFonts w:asciiTheme="majorHAnsi" w:eastAsia="Times New Roman" w:hAnsiTheme="majorHAnsi" w:cstheme="majorHAnsi"/>
          <w:iCs/>
          <w:sz w:val="24"/>
          <w:szCs w:val="24"/>
          <w:lang w:val="ro-MD" w:eastAsia="ro-MD"/>
        </w:rPr>
        <w:t>le din domeniul standardizării</w:t>
      </w:r>
      <w:r w:rsidR="002B18F1" w:rsidRPr="007917DD">
        <w:rPr>
          <w:rFonts w:asciiTheme="majorHAnsi" w:eastAsia="Times New Roman" w:hAnsiTheme="majorHAnsi" w:cstheme="majorHAnsi"/>
          <w:iCs/>
          <w:sz w:val="24"/>
          <w:szCs w:val="24"/>
          <w:lang w:val="ro-MD" w:eastAsia="ro-MD"/>
        </w:rPr>
        <w:t xml:space="preserve"> se actualizează, </w:t>
      </w:r>
      <w:r w:rsidR="00886A7F">
        <w:rPr>
          <w:rFonts w:asciiTheme="majorHAnsi" w:eastAsia="Times New Roman" w:hAnsiTheme="majorHAnsi" w:cstheme="majorHAnsi"/>
          <w:iCs/>
          <w:sz w:val="24"/>
          <w:szCs w:val="24"/>
          <w:lang w:val="ro-MD" w:eastAsia="ro-MD"/>
        </w:rPr>
        <w:t xml:space="preserve">la </w:t>
      </w:r>
      <w:r w:rsidR="002B18F1" w:rsidRPr="007917DD">
        <w:rPr>
          <w:rFonts w:asciiTheme="majorHAnsi" w:eastAsia="Times New Roman" w:hAnsiTheme="majorHAnsi" w:cstheme="majorHAnsi"/>
          <w:iCs/>
          <w:sz w:val="24"/>
          <w:szCs w:val="24"/>
          <w:lang w:val="ro-MD" w:eastAsia="ro-MD"/>
        </w:rPr>
        <w:t>necesitate, în cazul scumpirii cu mai mult de 10% a componentelor consumurilor şi cheltuielilor incluse în tarif, în conformitate cu indicele prețurilor de consum (mediu) din Republica Moldova, stabilit de Biroul Na</w:t>
      </w:r>
      <w:r w:rsidR="00620DA8">
        <w:rPr>
          <w:rFonts w:asciiTheme="majorHAnsi" w:eastAsia="Times New Roman" w:hAnsiTheme="majorHAnsi" w:cstheme="majorHAnsi"/>
          <w:iCs/>
          <w:sz w:val="24"/>
          <w:szCs w:val="24"/>
          <w:lang w:val="ro-MD" w:eastAsia="ro-MD"/>
        </w:rPr>
        <w:t>ț</w:t>
      </w:r>
      <w:r w:rsidR="002B18F1" w:rsidRPr="007917DD">
        <w:rPr>
          <w:rFonts w:asciiTheme="majorHAnsi" w:eastAsia="Times New Roman" w:hAnsiTheme="majorHAnsi" w:cstheme="majorHAnsi"/>
          <w:iCs/>
          <w:sz w:val="24"/>
          <w:szCs w:val="24"/>
          <w:lang w:val="ro-MD" w:eastAsia="ro-MD"/>
        </w:rPr>
        <w:t xml:space="preserve">ional de Statistică, se coordonează şi se aprobă </w:t>
      </w:r>
      <w:r w:rsidR="00990C55">
        <w:rPr>
          <w:rFonts w:asciiTheme="majorHAnsi" w:eastAsia="Times New Roman" w:hAnsiTheme="majorHAnsi" w:cstheme="majorHAnsi"/>
          <w:iCs/>
          <w:sz w:val="24"/>
          <w:szCs w:val="24"/>
          <w:lang w:val="ro-MD" w:eastAsia="ro-MD"/>
        </w:rPr>
        <w:t>în modul stabilit de Metodologia</w:t>
      </w:r>
      <w:r w:rsidR="002B18F1" w:rsidRPr="007917DD">
        <w:rPr>
          <w:rFonts w:asciiTheme="majorHAnsi" w:eastAsia="Times New Roman" w:hAnsiTheme="majorHAnsi" w:cstheme="majorHAnsi"/>
          <w:iCs/>
          <w:sz w:val="24"/>
          <w:szCs w:val="24"/>
          <w:lang w:val="ro-MD" w:eastAsia="ro-MD"/>
        </w:rPr>
        <w:t xml:space="preserve"> de determinare a tarifelor</w:t>
      </w:r>
      <w:r w:rsidR="002B18F1">
        <w:rPr>
          <w:rStyle w:val="FootnoteReference"/>
          <w:rFonts w:asciiTheme="majorHAnsi" w:eastAsia="Times New Roman" w:hAnsiTheme="majorHAnsi" w:cstheme="majorHAnsi"/>
          <w:iCs/>
          <w:szCs w:val="24"/>
          <w:lang w:val="ro-MD" w:eastAsia="ro-MD"/>
        </w:rPr>
        <w:footnoteReference w:id="31"/>
      </w:r>
      <w:r w:rsidR="002B18F1" w:rsidRPr="007917DD">
        <w:rPr>
          <w:rFonts w:asciiTheme="majorHAnsi" w:eastAsia="Times New Roman" w:hAnsiTheme="majorHAnsi" w:cstheme="majorHAnsi"/>
          <w:iCs/>
          <w:sz w:val="24"/>
          <w:szCs w:val="24"/>
          <w:lang w:val="ro-MD" w:eastAsia="ro-MD"/>
        </w:rPr>
        <w:t>.</w:t>
      </w:r>
      <w:r w:rsidR="00742955">
        <w:rPr>
          <w:rFonts w:asciiTheme="majorHAnsi" w:eastAsia="Times New Roman" w:hAnsiTheme="majorHAnsi" w:cstheme="majorHAnsi"/>
          <w:iCs/>
          <w:sz w:val="24"/>
          <w:szCs w:val="24"/>
          <w:lang w:val="ro-MD" w:eastAsia="ro-MD"/>
        </w:rPr>
        <w:t xml:space="preserve"> Deși ISM</w:t>
      </w:r>
      <w:r w:rsidR="00742955" w:rsidRPr="003A7F7F">
        <w:rPr>
          <w:rFonts w:asciiTheme="majorHAnsi" w:hAnsiTheme="majorHAnsi" w:cstheme="majorHAnsi"/>
          <w:sz w:val="24"/>
          <w:szCs w:val="24"/>
          <w:lang w:val="ro-MD"/>
        </w:rPr>
        <w:t>, pe parcursul anilor 2016-2021, a</w:t>
      </w:r>
      <w:r w:rsidR="00620DA8">
        <w:rPr>
          <w:rFonts w:asciiTheme="majorHAnsi" w:hAnsiTheme="majorHAnsi" w:cstheme="majorHAnsi"/>
          <w:sz w:val="24"/>
          <w:szCs w:val="24"/>
          <w:lang w:val="ro-MD"/>
        </w:rPr>
        <w:t xml:space="preserve"> </w:t>
      </w:r>
      <w:r w:rsidR="00742955" w:rsidRPr="003A7F7F">
        <w:rPr>
          <w:rFonts w:asciiTheme="majorHAnsi" w:hAnsiTheme="majorHAnsi" w:cstheme="majorHAnsi"/>
          <w:sz w:val="24"/>
          <w:szCs w:val="24"/>
          <w:lang w:val="ro-MD"/>
        </w:rPr>
        <w:t xml:space="preserve"> prezentat </w:t>
      </w:r>
      <w:r w:rsidR="00742955">
        <w:rPr>
          <w:rFonts w:asciiTheme="majorHAnsi" w:hAnsiTheme="majorHAnsi" w:cstheme="majorHAnsi"/>
          <w:sz w:val="24"/>
          <w:szCs w:val="24"/>
          <w:lang w:val="ro-MD"/>
        </w:rPr>
        <w:t xml:space="preserve">ministerului de resort </w:t>
      </w:r>
      <w:r w:rsidR="00742955" w:rsidRPr="003A7F7F">
        <w:rPr>
          <w:rFonts w:asciiTheme="majorHAnsi" w:hAnsiTheme="majorHAnsi" w:cstheme="majorHAnsi"/>
          <w:sz w:val="24"/>
          <w:szCs w:val="24"/>
          <w:lang w:val="ro-MD"/>
        </w:rPr>
        <w:t xml:space="preserve">mai multe </w:t>
      </w:r>
      <w:r w:rsidR="00742955">
        <w:rPr>
          <w:rFonts w:asciiTheme="majorHAnsi" w:hAnsiTheme="majorHAnsi" w:cstheme="majorHAnsi"/>
          <w:sz w:val="24"/>
          <w:szCs w:val="24"/>
          <w:lang w:val="ro-MD"/>
        </w:rPr>
        <w:t>solicitări</w:t>
      </w:r>
      <w:r w:rsidR="00FB5078">
        <w:rPr>
          <w:rStyle w:val="FootnoteReference"/>
          <w:rFonts w:asciiTheme="majorHAnsi" w:hAnsiTheme="majorHAnsi" w:cstheme="majorHAnsi"/>
          <w:szCs w:val="24"/>
          <w:lang w:val="ro-MD"/>
        </w:rPr>
        <w:footnoteReference w:id="32"/>
      </w:r>
      <w:r w:rsidR="00742955">
        <w:rPr>
          <w:rFonts w:asciiTheme="majorHAnsi" w:hAnsiTheme="majorHAnsi" w:cstheme="majorHAnsi"/>
          <w:sz w:val="24"/>
          <w:szCs w:val="24"/>
          <w:lang w:val="ro-MD"/>
        </w:rPr>
        <w:t xml:space="preserve"> privind ajustarea tarifelor  </w:t>
      </w:r>
      <w:r w:rsidR="00742955" w:rsidRPr="003A7F7F">
        <w:rPr>
          <w:rFonts w:asciiTheme="majorHAnsi" w:hAnsiTheme="majorHAnsi" w:cstheme="majorHAnsi"/>
          <w:sz w:val="24"/>
          <w:szCs w:val="24"/>
          <w:lang w:val="ro-MD"/>
        </w:rPr>
        <w:t xml:space="preserve">aferente serviciilor din sfera standardizării, </w:t>
      </w:r>
      <w:r w:rsidR="00742955">
        <w:rPr>
          <w:rFonts w:asciiTheme="majorHAnsi" w:hAnsiTheme="majorHAnsi" w:cstheme="majorHAnsi"/>
          <w:sz w:val="24"/>
          <w:szCs w:val="24"/>
          <w:lang w:val="ro-MD"/>
        </w:rPr>
        <w:t>acestea</w:t>
      </w:r>
      <w:r w:rsidR="00742955" w:rsidRPr="003A7F7F">
        <w:rPr>
          <w:rFonts w:asciiTheme="majorHAnsi" w:hAnsiTheme="majorHAnsi" w:cstheme="majorHAnsi"/>
          <w:sz w:val="24"/>
          <w:szCs w:val="24"/>
          <w:lang w:val="ro-MD"/>
        </w:rPr>
        <w:t xml:space="preserve"> nu au fost acceptate de fondator</w:t>
      </w:r>
      <w:r w:rsidR="00FB5078">
        <w:rPr>
          <w:rStyle w:val="FootnoteReference"/>
          <w:rFonts w:asciiTheme="majorHAnsi" w:hAnsiTheme="majorHAnsi" w:cstheme="majorHAnsi"/>
          <w:szCs w:val="24"/>
          <w:lang w:val="ro-MD"/>
        </w:rPr>
        <w:footnoteReference w:id="33"/>
      </w:r>
      <w:r w:rsidR="00742955">
        <w:rPr>
          <w:rFonts w:asciiTheme="majorHAnsi" w:hAnsiTheme="majorHAnsi" w:cstheme="majorHAnsi"/>
          <w:sz w:val="24"/>
          <w:szCs w:val="24"/>
          <w:lang w:val="ro-MD"/>
        </w:rPr>
        <w:t xml:space="preserve">, dat fiind că nu </w:t>
      </w:r>
      <w:r w:rsidR="00FB5078">
        <w:rPr>
          <w:rFonts w:asciiTheme="majorHAnsi" w:hAnsiTheme="majorHAnsi" w:cstheme="majorHAnsi"/>
          <w:sz w:val="24"/>
          <w:szCs w:val="24"/>
          <w:lang w:val="ro-MD"/>
        </w:rPr>
        <w:t xml:space="preserve">conțineau informațiile </w:t>
      </w:r>
      <w:r w:rsidR="00742955">
        <w:rPr>
          <w:rFonts w:asciiTheme="majorHAnsi" w:hAnsiTheme="majorHAnsi" w:cstheme="majorHAnsi"/>
          <w:sz w:val="24"/>
          <w:szCs w:val="24"/>
          <w:lang w:val="ro-MD"/>
        </w:rPr>
        <w:t>de argumentare pe segmentul economico-financiar</w:t>
      </w:r>
      <w:r w:rsidR="00FB5078">
        <w:rPr>
          <w:rFonts w:asciiTheme="majorHAnsi" w:hAnsiTheme="majorHAnsi" w:cstheme="majorHAnsi"/>
          <w:sz w:val="24"/>
          <w:szCs w:val="24"/>
          <w:lang w:val="ro-MD"/>
        </w:rPr>
        <w:t xml:space="preserve"> conform cerințelor legale. </w:t>
      </w:r>
      <w:r w:rsidR="00620DA8">
        <w:rPr>
          <w:rFonts w:asciiTheme="majorHAnsi" w:hAnsiTheme="majorHAnsi" w:cstheme="majorHAnsi"/>
          <w:sz w:val="24"/>
          <w:szCs w:val="24"/>
          <w:lang w:val="ro-MD"/>
        </w:rPr>
        <w:t>O s</w:t>
      </w:r>
      <w:r w:rsidR="00FB5078">
        <w:rPr>
          <w:rFonts w:asciiTheme="majorHAnsi" w:hAnsiTheme="majorHAnsi" w:cstheme="majorHAnsi"/>
          <w:sz w:val="24"/>
          <w:szCs w:val="24"/>
          <w:lang w:val="ro-MD"/>
        </w:rPr>
        <w:t>ituație similară se atestă și în activitatea INM.</w:t>
      </w:r>
    </w:p>
    <w:p w14:paraId="39AE0A92" w14:textId="4D02974F" w:rsidR="00B12061" w:rsidRDefault="00FB5078" w:rsidP="00FB13FE">
      <w:pPr>
        <w:pStyle w:val="ListParagraph"/>
        <w:tabs>
          <w:tab w:val="left" w:pos="270"/>
        </w:tabs>
        <w:spacing w:after="0" w:line="276" w:lineRule="auto"/>
        <w:ind w:left="0" w:firstLine="720"/>
        <w:jc w:val="both"/>
        <w:rPr>
          <w:rFonts w:asciiTheme="majorHAnsi" w:eastAsia="Times New Roman" w:hAnsiTheme="majorHAnsi" w:cstheme="majorHAnsi"/>
          <w:iCs/>
          <w:sz w:val="24"/>
          <w:szCs w:val="24"/>
          <w:lang w:val="ro-MD" w:eastAsia="ro-MD"/>
        </w:rPr>
      </w:pPr>
      <w:r w:rsidRPr="00FB13FE">
        <w:rPr>
          <w:rFonts w:asciiTheme="majorHAnsi" w:hAnsiTheme="majorHAnsi" w:cstheme="majorHAnsi"/>
          <w:sz w:val="24"/>
          <w:szCs w:val="24"/>
          <w:shd w:val="clear" w:color="auto" w:fill="FFFFFF"/>
          <w:lang w:val="ro-MD"/>
        </w:rPr>
        <w:t>Reieșind</w:t>
      </w:r>
      <w:r w:rsidRPr="007917DD">
        <w:rPr>
          <w:rFonts w:asciiTheme="majorHAnsi" w:eastAsia="Times New Roman" w:hAnsiTheme="majorHAnsi" w:cstheme="majorHAnsi"/>
          <w:iCs/>
          <w:sz w:val="24"/>
          <w:szCs w:val="24"/>
          <w:lang w:val="ro-MD" w:eastAsia="ro-MD"/>
        </w:rPr>
        <w:t xml:space="preserve"> din cele enunțate</w:t>
      </w:r>
      <w:r>
        <w:rPr>
          <w:rFonts w:asciiTheme="majorHAnsi" w:eastAsia="Times New Roman" w:hAnsiTheme="majorHAnsi" w:cstheme="majorHAnsi"/>
          <w:iCs/>
          <w:sz w:val="24"/>
          <w:szCs w:val="24"/>
          <w:lang w:val="ro-MD" w:eastAsia="ro-MD"/>
        </w:rPr>
        <w:t>,</w:t>
      </w:r>
      <w:r w:rsidRPr="007917DD">
        <w:rPr>
          <w:rFonts w:asciiTheme="majorHAnsi" w:eastAsia="Times New Roman" w:hAnsiTheme="majorHAnsi" w:cstheme="majorHAnsi"/>
          <w:iCs/>
          <w:sz w:val="24"/>
          <w:szCs w:val="24"/>
          <w:lang w:val="ro-MD" w:eastAsia="ro-MD"/>
        </w:rPr>
        <w:t xml:space="preserve">  în corelare cu principiile de bază stabilite aferent</w:t>
      </w:r>
      <w:r>
        <w:rPr>
          <w:rFonts w:asciiTheme="majorHAnsi" w:eastAsia="Times New Roman" w:hAnsiTheme="majorHAnsi" w:cstheme="majorHAnsi"/>
          <w:iCs/>
          <w:sz w:val="24"/>
          <w:szCs w:val="24"/>
          <w:lang w:val="ro-MD" w:eastAsia="ro-MD"/>
        </w:rPr>
        <w:t>e</w:t>
      </w:r>
      <w:r w:rsidRPr="007917DD">
        <w:rPr>
          <w:rFonts w:asciiTheme="majorHAnsi" w:eastAsia="Times New Roman" w:hAnsiTheme="majorHAnsi" w:cstheme="majorHAnsi"/>
          <w:iCs/>
          <w:sz w:val="24"/>
          <w:szCs w:val="24"/>
          <w:lang w:val="ro-MD" w:eastAsia="ro-MD"/>
        </w:rPr>
        <w:t xml:space="preserve"> asigurării stabilității financiare a instituțiilor publice</w:t>
      </w:r>
      <w:r>
        <w:rPr>
          <w:rFonts w:asciiTheme="majorHAnsi" w:eastAsia="Times New Roman" w:hAnsiTheme="majorHAnsi" w:cstheme="majorHAnsi"/>
          <w:iCs/>
          <w:sz w:val="24"/>
          <w:szCs w:val="24"/>
          <w:lang w:val="ro-MD" w:eastAsia="ro-MD"/>
        </w:rPr>
        <w:t>,</w:t>
      </w:r>
      <w:r w:rsidRPr="007917DD">
        <w:rPr>
          <w:rFonts w:asciiTheme="majorHAnsi" w:eastAsia="Times New Roman" w:hAnsiTheme="majorHAnsi" w:cstheme="majorHAnsi"/>
          <w:iCs/>
          <w:sz w:val="24"/>
          <w:szCs w:val="24"/>
          <w:lang w:val="ro-MD" w:eastAsia="ro-MD"/>
        </w:rPr>
        <w:t xml:space="preserve"> eficienței și dezvoltării continue</w:t>
      </w:r>
      <w:r>
        <w:rPr>
          <w:rFonts w:asciiTheme="majorHAnsi" w:eastAsia="Times New Roman" w:hAnsiTheme="majorHAnsi" w:cstheme="majorHAnsi"/>
          <w:iCs/>
          <w:sz w:val="24"/>
          <w:szCs w:val="24"/>
          <w:lang w:val="ro-MD" w:eastAsia="ro-MD"/>
        </w:rPr>
        <w:t>,</w:t>
      </w:r>
      <w:r w:rsidRPr="007917DD">
        <w:rPr>
          <w:rFonts w:asciiTheme="majorHAnsi" w:eastAsia="Times New Roman" w:hAnsiTheme="majorHAnsi" w:cstheme="majorHAnsi"/>
          <w:iCs/>
          <w:sz w:val="24"/>
          <w:szCs w:val="24"/>
          <w:lang w:val="ro-MD" w:eastAsia="ro-MD"/>
        </w:rPr>
        <w:t xml:space="preserve"> recuper</w:t>
      </w:r>
      <w:r w:rsidR="00620DA8">
        <w:rPr>
          <w:rFonts w:asciiTheme="majorHAnsi" w:eastAsia="Times New Roman" w:hAnsiTheme="majorHAnsi" w:cstheme="majorHAnsi"/>
          <w:iCs/>
          <w:sz w:val="24"/>
          <w:szCs w:val="24"/>
          <w:lang w:val="ro-MD" w:eastAsia="ro-MD"/>
        </w:rPr>
        <w:t>ării</w:t>
      </w:r>
      <w:r w:rsidRPr="007917DD">
        <w:rPr>
          <w:rFonts w:asciiTheme="majorHAnsi" w:eastAsia="Times New Roman" w:hAnsiTheme="majorHAnsi" w:cstheme="majorHAnsi"/>
          <w:iCs/>
          <w:sz w:val="24"/>
          <w:szCs w:val="24"/>
          <w:lang w:val="ro-MD" w:eastAsia="ro-MD"/>
        </w:rPr>
        <w:t xml:space="preserve"> costurilor suportate pentru prestarea serviciilor</w:t>
      </w:r>
      <w:r>
        <w:rPr>
          <w:rStyle w:val="FootnoteReference"/>
          <w:rFonts w:asciiTheme="majorHAnsi" w:eastAsia="Times New Roman" w:hAnsiTheme="majorHAnsi" w:cstheme="majorHAnsi"/>
          <w:iCs/>
          <w:szCs w:val="24"/>
          <w:lang w:val="ro-MD" w:eastAsia="ro-MD"/>
        </w:rPr>
        <w:footnoteReference w:id="34"/>
      </w:r>
      <w:r>
        <w:rPr>
          <w:rFonts w:asciiTheme="majorHAnsi" w:eastAsia="Times New Roman" w:hAnsiTheme="majorHAnsi" w:cstheme="majorHAnsi"/>
          <w:iCs/>
          <w:sz w:val="24"/>
          <w:szCs w:val="24"/>
          <w:lang w:val="ro-MD" w:eastAsia="ro-MD"/>
        </w:rPr>
        <w:t>,</w:t>
      </w:r>
      <w:r w:rsidRPr="007917DD">
        <w:rPr>
          <w:rFonts w:asciiTheme="majorHAnsi" w:eastAsia="Times New Roman" w:hAnsiTheme="majorHAnsi" w:cstheme="majorHAnsi"/>
          <w:iCs/>
          <w:sz w:val="24"/>
          <w:szCs w:val="24"/>
          <w:lang w:val="ro-MD" w:eastAsia="ro-MD"/>
        </w:rPr>
        <w:t xml:space="preserve"> se denotă necesitatea actualizării și orient</w:t>
      </w:r>
      <w:r w:rsidR="00620DA8">
        <w:rPr>
          <w:rFonts w:asciiTheme="majorHAnsi" w:eastAsia="Times New Roman" w:hAnsiTheme="majorHAnsi" w:cstheme="majorHAnsi"/>
          <w:iCs/>
          <w:sz w:val="24"/>
          <w:szCs w:val="24"/>
          <w:lang w:val="ro-MD" w:eastAsia="ro-MD"/>
        </w:rPr>
        <w:t>ării</w:t>
      </w:r>
      <w:r w:rsidRPr="007917DD">
        <w:rPr>
          <w:rFonts w:asciiTheme="majorHAnsi" w:eastAsia="Times New Roman" w:hAnsiTheme="majorHAnsi" w:cstheme="majorHAnsi"/>
          <w:iCs/>
          <w:sz w:val="24"/>
          <w:szCs w:val="24"/>
          <w:lang w:val="ro-MD" w:eastAsia="ro-MD"/>
        </w:rPr>
        <w:t xml:space="preserve"> pe costuri reale a  tarifelor aferente serviciilor prestate în sfera standardizării și </w:t>
      </w:r>
      <w:r w:rsidR="00620DA8">
        <w:rPr>
          <w:rFonts w:asciiTheme="majorHAnsi" w:eastAsia="Times New Roman" w:hAnsiTheme="majorHAnsi" w:cstheme="majorHAnsi"/>
          <w:iCs/>
          <w:sz w:val="24"/>
          <w:szCs w:val="24"/>
          <w:lang w:val="ro-MD" w:eastAsia="ro-MD"/>
        </w:rPr>
        <w:t xml:space="preserve">a </w:t>
      </w:r>
      <w:r w:rsidRPr="007917DD">
        <w:rPr>
          <w:rFonts w:asciiTheme="majorHAnsi" w:eastAsia="Times New Roman" w:hAnsiTheme="majorHAnsi" w:cstheme="majorHAnsi"/>
          <w:iCs/>
          <w:sz w:val="24"/>
          <w:szCs w:val="24"/>
          <w:lang w:val="ro-MD" w:eastAsia="ro-MD"/>
        </w:rPr>
        <w:t>metrologiei.</w:t>
      </w:r>
    </w:p>
    <w:p w14:paraId="146CA70B" w14:textId="5942ECF7" w:rsidR="0099042F" w:rsidRPr="0099042F" w:rsidRDefault="00DA0C43" w:rsidP="007E002D">
      <w:pPr>
        <w:pStyle w:val="ListParagraph"/>
        <w:numPr>
          <w:ilvl w:val="0"/>
          <w:numId w:val="36"/>
        </w:numPr>
        <w:tabs>
          <w:tab w:val="left" w:pos="0"/>
          <w:tab w:val="left" w:pos="270"/>
          <w:tab w:val="left" w:pos="990"/>
          <w:tab w:val="left" w:pos="1080"/>
        </w:tabs>
        <w:spacing w:after="0" w:line="276" w:lineRule="auto"/>
        <w:ind w:left="0" w:firstLine="567"/>
        <w:jc w:val="both"/>
        <w:rPr>
          <w:rFonts w:asciiTheme="majorHAnsi" w:eastAsia="Times New Roman" w:hAnsiTheme="majorHAnsi" w:cstheme="majorHAnsi"/>
          <w:iCs/>
          <w:sz w:val="24"/>
          <w:szCs w:val="24"/>
          <w:lang w:val="ro-MD" w:eastAsia="ro-MD"/>
        </w:rPr>
      </w:pPr>
      <w:r>
        <w:rPr>
          <w:rFonts w:asciiTheme="majorHAnsi" w:eastAsia="Times New Roman" w:hAnsiTheme="majorHAnsi" w:cstheme="majorHAnsi"/>
          <w:iCs/>
          <w:sz w:val="24"/>
          <w:szCs w:val="24"/>
          <w:lang w:val="ro-MD" w:eastAsia="ro-MD"/>
        </w:rPr>
        <w:t>Conform prevederii legale</w:t>
      </w:r>
      <w:r w:rsidR="00DE073B">
        <w:rPr>
          <w:rStyle w:val="FootnoteReference"/>
          <w:rFonts w:asciiTheme="majorHAnsi" w:eastAsia="Times New Roman" w:hAnsiTheme="majorHAnsi" w:cstheme="majorHAnsi"/>
          <w:iCs/>
          <w:szCs w:val="24"/>
          <w:lang w:val="ro-MD" w:eastAsia="ro-MD"/>
        </w:rPr>
        <w:footnoteReference w:id="35"/>
      </w:r>
      <w:r w:rsidR="00DE073B" w:rsidRPr="00DE073B">
        <w:rPr>
          <w:rFonts w:asciiTheme="majorHAnsi" w:eastAsia="Times New Roman" w:hAnsiTheme="majorHAnsi" w:cstheme="majorHAnsi"/>
          <w:iCs/>
          <w:sz w:val="24"/>
          <w:szCs w:val="24"/>
          <w:lang w:val="ro-MD" w:eastAsia="ro-MD"/>
        </w:rPr>
        <w:t>,  „</w:t>
      </w:r>
      <w:r>
        <w:rPr>
          <w:rFonts w:asciiTheme="majorHAnsi" w:eastAsia="Times New Roman" w:hAnsiTheme="majorHAnsi" w:cstheme="majorHAnsi"/>
          <w:iCs/>
          <w:sz w:val="24"/>
          <w:szCs w:val="24"/>
          <w:lang w:val="ro-MD" w:eastAsia="ro-MD"/>
        </w:rPr>
        <w:t>(3)V</w:t>
      </w:r>
      <w:r w:rsidR="00DE073B" w:rsidRPr="00DE073B">
        <w:rPr>
          <w:rFonts w:asciiTheme="majorHAnsi" w:eastAsia="Times New Roman" w:hAnsiTheme="majorHAnsi" w:cstheme="majorHAnsi"/>
          <w:iCs/>
          <w:sz w:val="24"/>
          <w:szCs w:val="24"/>
          <w:lang w:val="ro-MD" w:eastAsia="ro-MD"/>
        </w:rPr>
        <w:t xml:space="preserve">eniturile provenite din acordarea serviciilor prevăzute la </w:t>
      </w:r>
      <w:r w:rsidR="009553B3">
        <w:rPr>
          <w:rFonts w:asciiTheme="majorHAnsi" w:eastAsia="Times New Roman" w:hAnsiTheme="majorHAnsi" w:cstheme="majorHAnsi"/>
          <w:iCs/>
          <w:sz w:val="24"/>
          <w:szCs w:val="24"/>
          <w:lang w:val="ro-MD" w:eastAsia="ro-MD"/>
        </w:rPr>
        <w:t>a</w:t>
      </w:r>
      <w:r w:rsidR="00DE073B" w:rsidRPr="00DE073B">
        <w:rPr>
          <w:rFonts w:asciiTheme="majorHAnsi" w:eastAsia="Times New Roman" w:hAnsiTheme="majorHAnsi" w:cstheme="majorHAnsi"/>
          <w:iCs/>
          <w:sz w:val="24"/>
          <w:szCs w:val="24"/>
          <w:lang w:val="ro-MD" w:eastAsia="ro-MD"/>
        </w:rPr>
        <w:t xml:space="preserve">rt.5 alin.(4) pct.2) lit.a) şi </w:t>
      </w:r>
      <w:r w:rsidR="00620DA8">
        <w:rPr>
          <w:rFonts w:asciiTheme="majorHAnsi" w:eastAsia="Times New Roman" w:hAnsiTheme="majorHAnsi" w:cstheme="majorHAnsi"/>
          <w:iCs/>
          <w:sz w:val="24"/>
          <w:szCs w:val="24"/>
          <w:lang w:val="ro-MD" w:eastAsia="ro-MD"/>
        </w:rPr>
        <w:t>lit.</w:t>
      </w:r>
      <w:r w:rsidR="00DE073B" w:rsidRPr="00DE073B">
        <w:rPr>
          <w:rFonts w:asciiTheme="majorHAnsi" w:eastAsia="Times New Roman" w:hAnsiTheme="majorHAnsi" w:cstheme="majorHAnsi"/>
          <w:iCs/>
          <w:sz w:val="24"/>
          <w:szCs w:val="24"/>
          <w:lang w:val="ro-MD" w:eastAsia="ro-MD"/>
        </w:rPr>
        <w:t xml:space="preserve">i) de către </w:t>
      </w:r>
      <w:r>
        <w:rPr>
          <w:rFonts w:asciiTheme="majorHAnsi" w:eastAsia="Times New Roman" w:hAnsiTheme="majorHAnsi" w:cstheme="majorHAnsi"/>
          <w:iCs/>
          <w:sz w:val="24"/>
          <w:szCs w:val="24"/>
          <w:lang w:val="ro-MD" w:eastAsia="ro-MD"/>
        </w:rPr>
        <w:t>Institutul Național de Metrologie</w:t>
      </w:r>
      <w:r w:rsidR="00DE073B" w:rsidRPr="00DE073B">
        <w:rPr>
          <w:rFonts w:asciiTheme="majorHAnsi" w:eastAsia="Times New Roman" w:hAnsiTheme="majorHAnsi" w:cstheme="majorHAnsi"/>
          <w:iCs/>
          <w:sz w:val="24"/>
          <w:szCs w:val="24"/>
          <w:lang w:val="ro-MD" w:eastAsia="ro-MD"/>
        </w:rPr>
        <w:t xml:space="preserve"> se constituie şi se utilizează în conformitate cu Regulamentul de constituire şi utilizare a veniturilor colectate</w:t>
      </w:r>
      <w:r>
        <w:rPr>
          <w:rFonts w:asciiTheme="majorHAnsi" w:eastAsia="Times New Roman" w:hAnsiTheme="majorHAnsi" w:cstheme="majorHAnsi"/>
          <w:iCs/>
          <w:sz w:val="24"/>
          <w:szCs w:val="24"/>
          <w:lang w:val="ro-MD" w:eastAsia="ro-MD"/>
        </w:rPr>
        <w:t>’’</w:t>
      </w:r>
      <w:r w:rsidR="00DE073B" w:rsidRPr="00DE073B">
        <w:rPr>
          <w:rFonts w:asciiTheme="majorHAnsi" w:eastAsia="Times New Roman" w:hAnsiTheme="majorHAnsi" w:cstheme="majorHAnsi"/>
          <w:iCs/>
          <w:sz w:val="24"/>
          <w:szCs w:val="24"/>
          <w:lang w:val="ro-MD" w:eastAsia="ro-MD"/>
        </w:rPr>
        <w:t xml:space="preserve">. </w:t>
      </w:r>
      <w:r w:rsidR="00620DA8">
        <w:rPr>
          <w:rFonts w:asciiTheme="majorHAnsi" w:eastAsia="Times New Roman" w:hAnsiTheme="majorHAnsi" w:cstheme="majorHAnsi"/>
          <w:iCs/>
          <w:sz w:val="24"/>
          <w:szCs w:val="24"/>
          <w:lang w:val="ro-MD" w:eastAsia="ro-MD"/>
        </w:rPr>
        <w:t>Un a</w:t>
      </w:r>
      <w:r w:rsidR="00DE073B">
        <w:rPr>
          <w:rFonts w:asciiTheme="majorHAnsi" w:eastAsia="Times New Roman" w:hAnsiTheme="majorHAnsi" w:cstheme="majorHAnsi"/>
          <w:iCs/>
          <w:sz w:val="24"/>
          <w:szCs w:val="24"/>
          <w:lang w:val="ro-MD" w:eastAsia="ro-MD"/>
        </w:rPr>
        <w:t xml:space="preserve">semenea Regulament </w:t>
      </w:r>
      <w:r w:rsidR="00DE073B" w:rsidRPr="00DE073B">
        <w:rPr>
          <w:rFonts w:asciiTheme="majorHAnsi" w:eastAsia="Times New Roman" w:hAnsiTheme="majorHAnsi" w:cstheme="majorHAnsi"/>
          <w:iCs/>
          <w:sz w:val="24"/>
          <w:szCs w:val="24"/>
          <w:lang w:val="ro-MD" w:eastAsia="ro-MD"/>
        </w:rPr>
        <w:t xml:space="preserve">nu a fost elaborat și </w:t>
      </w:r>
      <w:r w:rsidR="00620DA8">
        <w:rPr>
          <w:rFonts w:asciiTheme="majorHAnsi" w:eastAsia="Times New Roman" w:hAnsiTheme="majorHAnsi" w:cstheme="majorHAnsi"/>
          <w:iCs/>
          <w:sz w:val="24"/>
          <w:szCs w:val="24"/>
          <w:lang w:val="ro-MD" w:eastAsia="ro-MD"/>
        </w:rPr>
        <w:t xml:space="preserve">nici </w:t>
      </w:r>
      <w:r w:rsidR="00DE073B" w:rsidRPr="00DE073B">
        <w:rPr>
          <w:rFonts w:asciiTheme="majorHAnsi" w:eastAsia="Times New Roman" w:hAnsiTheme="majorHAnsi" w:cstheme="majorHAnsi"/>
          <w:iCs/>
          <w:sz w:val="24"/>
          <w:szCs w:val="24"/>
          <w:lang w:val="ro-MD" w:eastAsia="ro-MD"/>
        </w:rPr>
        <w:t>aprobat</w:t>
      </w:r>
      <w:r w:rsidR="00DE073B">
        <w:rPr>
          <w:rFonts w:asciiTheme="majorHAnsi" w:eastAsia="Times New Roman" w:hAnsiTheme="majorHAnsi" w:cstheme="majorHAnsi"/>
          <w:iCs/>
          <w:sz w:val="24"/>
          <w:szCs w:val="24"/>
          <w:lang w:val="ro-MD" w:eastAsia="ro-MD"/>
        </w:rPr>
        <w:t xml:space="preserve">, iar Politicile contabile ale instituției nu stabilesc </w:t>
      </w:r>
      <w:r w:rsidR="00DE073B" w:rsidRPr="00DE073B">
        <w:rPr>
          <w:rFonts w:asciiTheme="majorHAnsi" w:eastAsia="Times New Roman" w:hAnsiTheme="majorHAnsi" w:cstheme="majorHAnsi"/>
          <w:iCs/>
          <w:sz w:val="24"/>
          <w:szCs w:val="24"/>
          <w:lang w:eastAsia="ro-MD"/>
        </w:rPr>
        <w:t>procedurile/procesele de constituire și utilizare a acestora.</w:t>
      </w:r>
      <w:r w:rsidR="002466BC">
        <w:rPr>
          <w:rFonts w:asciiTheme="majorHAnsi" w:eastAsia="Times New Roman" w:hAnsiTheme="majorHAnsi" w:cstheme="majorHAnsi"/>
          <w:iCs/>
          <w:sz w:val="24"/>
          <w:szCs w:val="24"/>
          <w:lang w:eastAsia="ro-MD"/>
        </w:rPr>
        <w:t xml:space="preserve"> </w:t>
      </w:r>
      <w:r w:rsidR="00620DA8">
        <w:rPr>
          <w:rFonts w:asciiTheme="majorHAnsi" w:eastAsia="Times New Roman" w:hAnsiTheme="majorHAnsi" w:cstheme="majorHAnsi"/>
          <w:iCs/>
          <w:sz w:val="24"/>
          <w:szCs w:val="24"/>
          <w:lang w:eastAsia="ro-MD"/>
        </w:rPr>
        <w:t>Totodată</w:t>
      </w:r>
      <w:r w:rsidR="002466BC">
        <w:rPr>
          <w:rFonts w:asciiTheme="majorHAnsi" w:eastAsia="Times New Roman" w:hAnsiTheme="majorHAnsi" w:cstheme="majorHAnsi"/>
          <w:iCs/>
          <w:sz w:val="24"/>
          <w:szCs w:val="24"/>
          <w:lang w:eastAsia="ro-MD"/>
        </w:rPr>
        <w:t xml:space="preserve">, INM nu a asigurat acumularea integrală a unor venituri provenite din prestarea serviciilor, care, </w:t>
      </w:r>
      <w:r w:rsidR="00EE4604">
        <w:rPr>
          <w:rFonts w:asciiTheme="majorHAnsi" w:eastAsia="Times New Roman" w:hAnsiTheme="majorHAnsi" w:cstheme="majorHAnsi"/>
          <w:iCs/>
          <w:sz w:val="24"/>
          <w:szCs w:val="24"/>
          <w:lang w:eastAsia="ro-MD"/>
        </w:rPr>
        <w:t xml:space="preserve">potrivit </w:t>
      </w:r>
      <w:r>
        <w:rPr>
          <w:rFonts w:asciiTheme="majorHAnsi" w:eastAsia="Times New Roman" w:hAnsiTheme="majorHAnsi" w:cstheme="majorHAnsi"/>
          <w:iCs/>
          <w:sz w:val="24"/>
          <w:szCs w:val="24"/>
          <w:lang w:eastAsia="ro-MD"/>
        </w:rPr>
        <w:t xml:space="preserve"> Nomenclatorului serviciilor prestate în domeniul metrologiei</w:t>
      </w:r>
      <w:r w:rsidR="002466BC" w:rsidRPr="0099042F">
        <w:rPr>
          <w:rStyle w:val="FootnoteReference"/>
          <w:rFonts w:asciiTheme="majorHAnsi" w:eastAsia="Times New Roman" w:hAnsiTheme="majorHAnsi" w:cstheme="majorHAnsi"/>
          <w:iCs/>
          <w:szCs w:val="24"/>
          <w:lang w:val="ro-MD" w:eastAsia="ro-MD"/>
        </w:rPr>
        <w:footnoteReference w:id="36"/>
      </w:r>
      <w:r w:rsidR="002466BC" w:rsidRPr="0099042F">
        <w:rPr>
          <w:rFonts w:asciiTheme="majorHAnsi" w:eastAsia="Times New Roman" w:hAnsiTheme="majorHAnsi" w:cstheme="majorHAnsi"/>
          <w:iCs/>
          <w:sz w:val="24"/>
          <w:szCs w:val="24"/>
          <w:lang w:val="ro-MD" w:eastAsia="ro-MD"/>
        </w:rPr>
        <w:t xml:space="preserve">, urmau a fi efectuate după achitarea plății pentru aceste servicii. </w:t>
      </w:r>
      <w:r w:rsidR="009553B3">
        <w:rPr>
          <w:rFonts w:asciiTheme="majorHAnsi" w:eastAsia="Times New Roman" w:hAnsiTheme="majorHAnsi" w:cstheme="majorHAnsi"/>
          <w:iCs/>
          <w:sz w:val="24"/>
          <w:szCs w:val="24"/>
          <w:lang w:val="ro-MD" w:eastAsia="ro-MD"/>
        </w:rPr>
        <w:t>Prin urmare</w:t>
      </w:r>
      <w:r w:rsidR="004C6B5F">
        <w:rPr>
          <w:rFonts w:asciiTheme="majorHAnsi" w:eastAsia="Times New Roman" w:hAnsiTheme="majorHAnsi" w:cstheme="majorHAnsi"/>
          <w:iCs/>
          <w:sz w:val="24"/>
          <w:szCs w:val="24"/>
          <w:lang w:val="ro-MD" w:eastAsia="ro-MD"/>
        </w:rPr>
        <w:t>,</w:t>
      </w:r>
      <w:r w:rsidR="009553B3">
        <w:rPr>
          <w:rFonts w:asciiTheme="majorHAnsi" w:eastAsia="Times New Roman" w:hAnsiTheme="majorHAnsi" w:cstheme="majorHAnsi"/>
          <w:iCs/>
          <w:sz w:val="24"/>
          <w:szCs w:val="24"/>
          <w:lang w:val="ro-MD" w:eastAsia="ro-MD"/>
        </w:rPr>
        <w:t xml:space="preserve"> </w:t>
      </w:r>
      <w:r w:rsidR="0099042F" w:rsidRPr="0099042F">
        <w:rPr>
          <w:rFonts w:asciiTheme="majorHAnsi" w:eastAsia="Times New Roman" w:hAnsiTheme="majorHAnsi" w:cstheme="majorHAnsi"/>
          <w:iCs/>
          <w:sz w:val="24"/>
          <w:szCs w:val="24"/>
          <w:lang w:val="ro-MD" w:eastAsia="ro-MD"/>
        </w:rPr>
        <w:t>unele servicii realizate nu au fost achitate ș</w:t>
      </w:r>
      <w:r w:rsidR="009553B3">
        <w:rPr>
          <w:rFonts w:asciiTheme="majorHAnsi" w:eastAsia="Times New Roman" w:hAnsiTheme="majorHAnsi" w:cstheme="majorHAnsi"/>
          <w:iCs/>
          <w:sz w:val="24"/>
          <w:szCs w:val="24"/>
          <w:lang w:val="ro-MD" w:eastAsia="ro-MD"/>
        </w:rPr>
        <w:t>i recepționate de solicitanți</w:t>
      </w:r>
      <w:r w:rsidR="00EE4604">
        <w:rPr>
          <w:rFonts w:asciiTheme="majorHAnsi" w:eastAsia="Times New Roman" w:hAnsiTheme="majorHAnsi" w:cstheme="majorHAnsi"/>
          <w:iCs/>
          <w:sz w:val="24"/>
          <w:szCs w:val="24"/>
          <w:lang w:val="ro-MD" w:eastAsia="ro-MD"/>
        </w:rPr>
        <w:t>,</w:t>
      </w:r>
      <w:r w:rsidR="0099042F" w:rsidRPr="0099042F">
        <w:rPr>
          <w:rFonts w:asciiTheme="majorHAnsi" w:eastAsia="Times New Roman" w:hAnsiTheme="majorHAnsi" w:cstheme="majorHAnsi"/>
          <w:iCs/>
          <w:sz w:val="24"/>
          <w:szCs w:val="24"/>
          <w:lang w:val="ro-MD" w:eastAsia="ro-MD"/>
        </w:rPr>
        <w:t xml:space="preserve"> ceea ce a  condiționat suportarea unor cheltuieli nejustificate pentru remunerarea persoanelor implicate în procesul </w:t>
      </w:r>
      <w:r w:rsidR="00EE4604">
        <w:rPr>
          <w:rFonts w:asciiTheme="majorHAnsi" w:eastAsia="Times New Roman" w:hAnsiTheme="majorHAnsi" w:cstheme="majorHAnsi"/>
          <w:iCs/>
          <w:sz w:val="24"/>
          <w:szCs w:val="24"/>
          <w:lang w:val="ro-MD" w:eastAsia="ro-MD"/>
        </w:rPr>
        <w:t xml:space="preserve">de </w:t>
      </w:r>
      <w:r w:rsidR="0099042F" w:rsidRPr="0099042F">
        <w:rPr>
          <w:rFonts w:asciiTheme="majorHAnsi" w:eastAsia="Times New Roman" w:hAnsiTheme="majorHAnsi" w:cstheme="majorHAnsi"/>
          <w:iCs/>
          <w:sz w:val="24"/>
          <w:szCs w:val="24"/>
          <w:lang w:val="ro-MD" w:eastAsia="ro-MD"/>
        </w:rPr>
        <w:t>prest</w:t>
      </w:r>
      <w:r w:rsidR="00EE4604">
        <w:rPr>
          <w:rFonts w:asciiTheme="majorHAnsi" w:eastAsia="Times New Roman" w:hAnsiTheme="majorHAnsi" w:cstheme="majorHAnsi"/>
          <w:iCs/>
          <w:sz w:val="24"/>
          <w:szCs w:val="24"/>
          <w:lang w:val="ro-MD" w:eastAsia="ro-MD"/>
        </w:rPr>
        <w:t>are a</w:t>
      </w:r>
      <w:r w:rsidR="0099042F" w:rsidRPr="0099042F">
        <w:rPr>
          <w:rFonts w:asciiTheme="majorHAnsi" w:eastAsia="Times New Roman" w:hAnsiTheme="majorHAnsi" w:cstheme="majorHAnsi"/>
          <w:iCs/>
          <w:sz w:val="24"/>
          <w:szCs w:val="24"/>
          <w:lang w:val="ro-MD" w:eastAsia="ro-MD"/>
        </w:rPr>
        <w:t xml:space="preserve"> serviciilor</w:t>
      </w:r>
      <w:r>
        <w:rPr>
          <w:rFonts w:asciiTheme="majorHAnsi" w:eastAsia="Times New Roman" w:hAnsiTheme="majorHAnsi" w:cstheme="majorHAnsi"/>
          <w:iCs/>
          <w:sz w:val="24"/>
          <w:szCs w:val="24"/>
          <w:lang w:val="ro-MD" w:eastAsia="ro-MD"/>
        </w:rPr>
        <w:t xml:space="preserve"> menționate</w:t>
      </w:r>
      <w:r w:rsidR="0099042F" w:rsidRPr="0099042F">
        <w:rPr>
          <w:rFonts w:asciiTheme="majorHAnsi" w:eastAsia="Times New Roman" w:hAnsiTheme="majorHAnsi" w:cstheme="majorHAnsi"/>
          <w:iCs/>
          <w:sz w:val="24"/>
          <w:szCs w:val="24"/>
          <w:lang w:val="ro-MD" w:eastAsia="ro-MD"/>
        </w:rPr>
        <w:t>.</w:t>
      </w:r>
    </w:p>
    <w:p w14:paraId="19BE3816" w14:textId="42FBAF18" w:rsidR="00967EEE" w:rsidRDefault="00EE4604" w:rsidP="007E002D">
      <w:pPr>
        <w:pStyle w:val="ListParagraph"/>
        <w:numPr>
          <w:ilvl w:val="0"/>
          <w:numId w:val="36"/>
        </w:numPr>
        <w:autoSpaceDE w:val="0"/>
        <w:autoSpaceDN w:val="0"/>
        <w:adjustRightInd w:val="0"/>
        <w:spacing w:after="0" w:line="276" w:lineRule="auto"/>
        <w:ind w:left="0" w:firstLine="567"/>
        <w:jc w:val="both"/>
        <w:rPr>
          <w:rFonts w:asciiTheme="majorHAnsi" w:hAnsiTheme="majorHAnsi" w:cstheme="majorHAnsi"/>
          <w:sz w:val="24"/>
          <w:szCs w:val="24"/>
          <w:lang w:val="ro-MD"/>
        </w:rPr>
      </w:pPr>
      <w:r>
        <w:rPr>
          <w:rFonts w:ascii="Calibri Light" w:eastAsia="Calibri" w:hAnsi="Calibri Light" w:cs="Calibri Light"/>
          <w:sz w:val="24"/>
          <w:szCs w:val="24"/>
          <w:lang w:val="ro-MD"/>
        </w:rPr>
        <w:t>Potrivit</w:t>
      </w:r>
      <w:r w:rsidR="00DA0C43">
        <w:rPr>
          <w:rFonts w:ascii="Calibri Light" w:eastAsia="Calibri" w:hAnsi="Calibri Light" w:cs="Calibri Light"/>
          <w:sz w:val="24"/>
          <w:szCs w:val="24"/>
          <w:lang w:val="ro-MD"/>
        </w:rPr>
        <w:t xml:space="preserve"> normei legale</w:t>
      </w:r>
      <w:r w:rsidR="0099042F">
        <w:rPr>
          <w:rStyle w:val="FootnoteReference"/>
          <w:rFonts w:ascii="Calibri Light" w:eastAsia="Calibri" w:hAnsi="Calibri Light" w:cs="Calibri Light"/>
          <w:szCs w:val="24"/>
          <w:lang w:val="ro-MD"/>
        </w:rPr>
        <w:footnoteReference w:id="37"/>
      </w:r>
      <w:r w:rsidR="0099042F" w:rsidRPr="0099042F">
        <w:rPr>
          <w:rFonts w:ascii="Calibri Light" w:eastAsia="Calibri" w:hAnsi="Calibri Light" w:cs="Calibri Light"/>
          <w:sz w:val="24"/>
          <w:szCs w:val="24"/>
          <w:lang w:val="ro-MD"/>
        </w:rPr>
        <w:t xml:space="preserve">, toate operațiunile economice, inclusiv cele de decontare a datoriilor cu termenul de </w:t>
      </w:r>
      <w:r w:rsidR="0099042F" w:rsidRPr="006243C6">
        <w:rPr>
          <w:rFonts w:ascii="Calibri Light" w:eastAsia="Calibri" w:hAnsi="Calibri Light" w:cs="Calibri Light"/>
          <w:sz w:val="24"/>
          <w:szCs w:val="24"/>
          <w:lang w:val="ro-MD"/>
        </w:rPr>
        <w:t xml:space="preserve">prescripție expirat, trebuie să fie perfectate prin documente primare şi generalizate în registre contabile. </w:t>
      </w:r>
      <w:r w:rsidR="00DE073B" w:rsidRPr="006243C6">
        <w:rPr>
          <w:rFonts w:ascii="Calibri Light" w:eastAsia="Calibri" w:hAnsi="Calibri Light" w:cs="Calibri Light"/>
          <w:sz w:val="24"/>
          <w:szCs w:val="24"/>
          <w:lang w:val="ro-MD"/>
        </w:rPr>
        <w:t>Lacunele controlului intern existent în cadrul MOLDAC</w:t>
      </w:r>
      <w:r w:rsidR="004F2A4C" w:rsidRPr="006243C6">
        <w:rPr>
          <w:rFonts w:ascii="Calibri Light" w:eastAsia="Calibri" w:hAnsi="Calibri Light" w:cs="Calibri Light"/>
          <w:sz w:val="24"/>
          <w:szCs w:val="24"/>
          <w:lang w:val="ro-MD"/>
        </w:rPr>
        <w:t xml:space="preserve"> și </w:t>
      </w:r>
      <w:r w:rsidR="00DE073B" w:rsidRPr="006243C6">
        <w:rPr>
          <w:rFonts w:ascii="Calibri Light" w:eastAsia="Calibri" w:hAnsi="Calibri Light" w:cs="Calibri Light"/>
          <w:sz w:val="24"/>
          <w:szCs w:val="24"/>
          <w:lang w:val="ro-MD"/>
        </w:rPr>
        <w:t xml:space="preserve"> lipsa documentelor primare </w:t>
      </w:r>
      <w:r w:rsidR="00DE073B" w:rsidRPr="006243C6">
        <w:rPr>
          <w:rFonts w:ascii="Calibri Light" w:eastAsia="Calibri" w:hAnsi="Calibri Light" w:cs="Calibri Light"/>
          <w:i/>
          <w:sz w:val="24"/>
          <w:szCs w:val="24"/>
          <w:lang w:val="ro-MD"/>
        </w:rPr>
        <w:t xml:space="preserve">(procesul-verbal </w:t>
      </w:r>
      <w:r w:rsidRPr="006243C6">
        <w:rPr>
          <w:rFonts w:ascii="Calibri Light" w:eastAsia="Calibri" w:hAnsi="Calibri Light" w:cs="Calibri Light"/>
          <w:i/>
          <w:sz w:val="24"/>
          <w:szCs w:val="24"/>
          <w:lang w:val="ro-MD"/>
        </w:rPr>
        <w:t>al C</w:t>
      </w:r>
      <w:r w:rsidR="00DE073B" w:rsidRPr="006243C6">
        <w:rPr>
          <w:rFonts w:ascii="Calibri Light" w:eastAsia="Calibri" w:hAnsi="Calibri Light" w:cs="Calibri Light"/>
          <w:i/>
          <w:sz w:val="24"/>
          <w:szCs w:val="24"/>
          <w:lang w:val="ro-MD"/>
        </w:rPr>
        <w:t>omisiei de inventariere și/sau ordinul conducătorului)</w:t>
      </w:r>
      <w:r w:rsidR="00B52EC6" w:rsidRPr="006243C6">
        <w:rPr>
          <w:rFonts w:ascii="Calibri Light" w:eastAsia="Calibri" w:hAnsi="Calibri Light" w:cs="Calibri Light"/>
          <w:i/>
          <w:sz w:val="24"/>
          <w:szCs w:val="24"/>
          <w:lang w:val="ro-MD"/>
        </w:rPr>
        <w:t>,</w:t>
      </w:r>
      <w:r w:rsidRPr="006243C6">
        <w:rPr>
          <w:rFonts w:ascii="Calibri Light" w:eastAsia="Calibri" w:hAnsi="Calibri Light" w:cs="Calibri Light"/>
          <w:sz w:val="24"/>
          <w:szCs w:val="24"/>
          <w:lang w:val="ro-MD"/>
        </w:rPr>
        <w:t xml:space="preserve"> </w:t>
      </w:r>
      <w:r w:rsidR="00DE073B" w:rsidRPr="006243C6">
        <w:rPr>
          <w:rFonts w:ascii="Calibri Light" w:eastAsia="Calibri" w:hAnsi="Calibri Light" w:cs="Calibri Light"/>
          <w:sz w:val="24"/>
          <w:szCs w:val="24"/>
          <w:lang w:val="ro-MD"/>
        </w:rPr>
        <w:t xml:space="preserve"> a</w:t>
      </w:r>
      <w:r w:rsidRPr="006243C6">
        <w:rPr>
          <w:rFonts w:ascii="Calibri Light" w:eastAsia="Calibri" w:hAnsi="Calibri Light" w:cs="Calibri Light"/>
          <w:sz w:val="24"/>
          <w:szCs w:val="24"/>
          <w:lang w:val="ro-MD"/>
        </w:rPr>
        <w:t>u</w:t>
      </w:r>
      <w:r w:rsidR="00DE073B" w:rsidRPr="006243C6">
        <w:rPr>
          <w:rFonts w:ascii="Calibri Light" w:eastAsia="Calibri" w:hAnsi="Calibri Light" w:cs="Calibri Light"/>
          <w:sz w:val="24"/>
          <w:szCs w:val="24"/>
          <w:lang w:val="ro-MD"/>
        </w:rPr>
        <w:t xml:space="preserve"> </w:t>
      </w:r>
      <w:r w:rsidR="00036E89" w:rsidRPr="006243C6">
        <w:rPr>
          <w:rFonts w:ascii="Calibri Light" w:eastAsia="Calibri" w:hAnsi="Calibri Light" w:cs="Calibri Light"/>
          <w:sz w:val="24"/>
          <w:szCs w:val="24"/>
          <w:lang w:val="ro-MD"/>
        </w:rPr>
        <w:t xml:space="preserve">condiționat </w:t>
      </w:r>
      <w:r w:rsidR="00DE073B" w:rsidRPr="006243C6">
        <w:rPr>
          <w:rFonts w:ascii="Calibri Light" w:eastAsia="Calibri" w:hAnsi="Calibri Light" w:cs="Calibri Light"/>
          <w:sz w:val="24"/>
          <w:szCs w:val="24"/>
          <w:lang w:val="ro-MD"/>
        </w:rPr>
        <w:t xml:space="preserve"> </w:t>
      </w:r>
      <w:r w:rsidR="00036E89" w:rsidRPr="006243C6">
        <w:rPr>
          <w:rFonts w:ascii="Calibri Light" w:eastAsia="Calibri" w:hAnsi="Calibri Light" w:cs="Calibri Light"/>
          <w:sz w:val="24"/>
          <w:szCs w:val="24"/>
          <w:lang w:val="ro-MD"/>
        </w:rPr>
        <w:t>înregistrarea</w:t>
      </w:r>
      <w:r w:rsidR="00DE073B" w:rsidRPr="006243C6">
        <w:rPr>
          <w:rFonts w:ascii="Calibri Light" w:eastAsia="Calibri" w:hAnsi="Calibri Light" w:cs="Calibri Light"/>
          <w:sz w:val="24"/>
          <w:szCs w:val="24"/>
          <w:lang w:val="ro-MD"/>
        </w:rPr>
        <w:t xml:space="preserve"> neîntemeiat</w:t>
      </w:r>
      <w:r w:rsidR="00036E89" w:rsidRPr="006243C6">
        <w:rPr>
          <w:rFonts w:ascii="Calibri Light" w:eastAsia="Calibri" w:hAnsi="Calibri Light" w:cs="Calibri Light"/>
          <w:sz w:val="24"/>
          <w:szCs w:val="24"/>
          <w:lang w:val="ro-MD"/>
        </w:rPr>
        <w:t>ă</w:t>
      </w:r>
      <w:r w:rsidR="00036E89">
        <w:rPr>
          <w:rFonts w:ascii="Calibri Light" w:eastAsia="Calibri" w:hAnsi="Calibri Light" w:cs="Calibri Light"/>
          <w:sz w:val="24"/>
          <w:szCs w:val="24"/>
          <w:lang w:val="ro-MD"/>
        </w:rPr>
        <w:t xml:space="preserve"> în evidența contabilă</w:t>
      </w:r>
      <w:r w:rsidR="00DE073B" w:rsidRPr="0099042F">
        <w:rPr>
          <w:rFonts w:ascii="Calibri Light" w:eastAsia="Calibri" w:hAnsi="Calibri Light" w:cs="Calibri Light"/>
          <w:sz w:val="24"/>
          <w:szCs w:val="24"/>
          <w:lang w:val="ro-MD"/>
        </w:rPr>
        <w:t xml:space="preserve"> la venituri </w:t>
      </w:r>
      <w:r w:rsidR="00036E89">
        <w:rPr>
          <w:rFonts w:ascii="Calibri Light" w:eastAsia="Calibri" w:hAnsi="Calibri Light" w:cs="Calibri Light"/>
          <w:sz w:val="24"/>
          <w:szCs w:val="24"/>
          <w:lang w:val="ro-MD"/>
        </w:rPr>
        <w:t xml:space="preserve">a </w:t>
      </w:r>
      <w:r w:rsidR="00DE073B" w:rsidRPr="0099042F">
        <w:rPr>
          <w:rFonts w:ascii="Calibri Light" w:eastAsia="Calibri" w:hAnsi="Calibri Light" w:cs="Calibri Light"/>
          <w:sz w:val="24"/>
          <w:szCs w:val="24"/>
          <w:lang w:val="ro-MD"/>
        </w:rPr>
        <w:t>datorii</w:t>
      </w:r>
      <w:r w:rsidR="00036E89">
        <w:rPr>
          <w:rFonts w:ascii="Calibri Light" w:eastAsia="Calibri" w:hAnsi="Calibri Light" w:cs="Calibri Light"/>
          <w:sz w:val="24"/>
          <w:szCs w:val="24"/>
          <w:lang w:val="ro-MD"/>
        </w:rPr>
        <w:t>lor</w:t>
      </w:r>
      <w:r w:rsidR="00DE073B" w:rsidRPr="0099042F">
        <w:rPr>
          <w:rFonts w:ascii="Calibri Light" w:eastAsia="Calibri" w:hAnsi="Calibri Light" w:cs="Calibri Light"/>
          <w:sz w:val="24"/>
          <w:szCs w:val="24"/>
          <w:lang w:val="ro-MD"/>
        </w:rPr>
        <w:t xml:space="preserve"> cu termen</w:t>
      </w:r>
      <w:r>
        <w:rPr>
          <w:rFonts w:ascii="Calibri Light" w:eastAsia="Calibri" w:hAnsi="Calibri Light" w:cs="Calibri Light"/>
          <w:sz w:val="24"/>
          <w:szCs w:val="24"/>
          <w:lang w:val="ro-MD"/>
        </w:rPr>
        <w:t xml:space="preserve">ul </w:t>
      </w:r>
      <w:r w:rsidR="00DE073B" w:rsidRPr="0099042F">
        <w:rPr>
          <w:rFonts w:ascii="Calibri Light" w:eastAsia="Calibri" w:hAnsi="Calibri Light" w:cs="Calibri Light"/>
          <w:sz w:val="24"/>
          <w:szCs w:val="24"/>
          <w:lang w:val="ro-MD"/>
        </w:rPr>
        <w:t xml:space="preserve"> de prescripție expirat în sumă totală de 29,4 mii lei.</w:t>
      </w:r>
    </w:p>
    <w:p w14:paraId="018C2356" w14:textId="77777777" w:rsidR="00967EEE" w:rsidRPr="00967EEE" w:rsidRDefault="00967EEE" w:rsidP="00967EEE">
      <w:pPr>
        <w:pStyle w:val="ListParagraph"/>
        <w:autoSpaceDE w:val="0"/>
        <w:autoSpaceDN w:val="0"/>
        <w:adjustRightInd w:val="0"/>
        <w:spacing w:after="0" w:line="276" w:lineRule="auto"/>
        <w:ind w:left="567"/>
        <w:jc w:val="both"/>
        <w:rPr>
          <w:rFonts w:asciiTheme="majorHAnsi" w:hAnsiTheme="majorHAnsi" w:cstheme="majorHAnsi"/>
          <w:sz w:val="24"/>
          <w:szCs w:val="24"/>
          <w:lang w:val="ro-MD"/>
        </w:rPr>
      </w:pPr>
    </w:p>
    <w:p w14:paraId="574368BC" w14:textId="19B1C502" w:rsidR="006B3050" w:rsidRPr="00967EEE" w:rsidRDefault="006B3050" w:rsidP="007E002D">
      <w:pPr>
        <w:pStyle w:val="ListParagraph"/>
        <w:numPr>
          <w:ilvl w:val="1"/>
          <w:numId w:val="38"/>
        </w:numPr>
        <w:tabs>
          <w:tab w:val="left" w:pos="720"/>
        </w:tabs>
        <w:spacing w:after="0" w:line="276" w:lineRule="auto"/>
        <w:ind w:left="0" w:firstLine="0"/>
        <w:contextualSpacing w:val="0"/>
        <w:jc w:val="both"/>
        <w:outlineLvl w:val="0"/>
        <w:rPr>
          <w:rFonts w:asciiTheme="majorHAnsi" w:hAnsiTheme="majorHAnsi" w:cstheme="majorHAnsi"/>
          <w:b/>
          <w:color w:val="00B0F0"/>
          <w:sz w:val="24"/>
          <w:szCs w:val="24"/>
          <w:lang w:val="ro-MD"/>
        </w:rPr>
      </w:pPr>
      <w:bookmarkStart w:id="129" w:name="_Toc123116712"/>
      <w:r w:rsidRPr="00967EEE">
        <w:rPr>
          <w:rFonts w:asciiTheme="majorHAnsi" w:hAnsiTheme="majorHAnsi" w:cstheme="majorHAnsi"/>
          <w:b/>
          <w:color w:val="00B0F0"/>
          <w:sz w:val="24"/>
          <w:szCs w:val="24"/>
          <w:lang w:val="ro-MD"/>
        </w:rPr>
        <w:t>Resursele bugetare alocate (subsidiile) au fost utilizate conform necesităților reale ale entităților, cu respectarea legalității cheltuielilor?</w:t>
      </w:r>
      <w:bookmarkEnd w:id="129"/>
    </w:p>
    <w:p w14:paraId="255F2C2A" w14:textId="59CB9123" w:rsidR="0087737B" w:rsidRDefault="002763C1" w:rsidP="005A64B5">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Auditul atestă că, î</w:t>
      </w:r>
      <w:r w:rsidR="006B3050" w:rsidRPr="007917DD">
        <w:rPr>
          <w:rFonts w:asciiTheme="majorHAnsi" w:hAnsiTheme="majorHAnsi" w:cstheme="majorHAnsi"/>
          <w:sz w:val="24"/>
          <w:szCs w:val="24"/>
          <w:shd w:val="clear" w:color="auto" w:fill="FFFFFF"/>
          <w:lang w:val="ro-MD"/>
        </w:rPr>
        <w:t xml:space="preserve">n perioada supusă auditului, </w:t>
      </w:r>
      <w:r>
        <w:rPr>
          <w:rFonts w:asciiTheme="majorHAnsi" w:hAnsiTheme="majorHAnsi" w:cstheme="majorHAnsi"/>
          <w:sz w:val="24"/>
          <w:szCs w:val="24"/>
          <w:shd w:val="clear" w:color="auto" w:fill="FFFFFF"/>
          <w:lang w:val="ro-MD"/>
        </w:rPr>
        <w:t xml:space="preserve">per ansamblu, </w:t>
      </w:r>
      <w:r w:rsidRPr="0099213A">
        <w:rPr>
          <w:rFonts w:asciiTheme="majorHAnsi" w:hAnsiTheme="majorHAnsi" w:cstheme="majorHAnsi"/>
          <w:sz w:val="24"/>
          <w:szCs w:val="24"/>
          <w:shd w:val="clear" w:color="auto" w:fill="FFFFFF"/>
          <w:lang w:val="ro-MD"/>
        </w:rPr>
        <w:t xml:space="preserve">cu unele rezerve de îmbunătățire, </w:t>
      </w:r>
      <w:r w:rsidR="006B3050" w:rsidRPr="0099213A">
        <w:rPr>
          <w:rFonts w:asciiTheme="majorHAnsi" w:hAnsiTheme="majorHAnsi" w:cstheme="majorHAnsi"/>
          <w:sz w:val="24"/>
          <w:szCs w:val="24"/>
          <w:shd w:val="clear" w:color="auto" w:fill="FFFFFF"/>
          <w:lang w:val="ro-MD"/>
        </w:rPr>
        <w:t xml:space="preserve">utilizarea resurselor financiare în cadrul </w:t>
      </w:r>
      <w:r w:rsidR="00357D1D">
        <w:rPr>
          <w:rFonts w:asciiTheme="majorHAnsi" w:hAnsiTheme="majorHAnsi" w:cstheme="majorHAnsi"/>
          <w:sz w:val="24"/>
          <w:szCs w:val="24"/>
          <w:shd w:val="clear" w:color="auto" w:fill="FFFFFF"/>
          <w:lang w:val="ro-MD"/>
        </w:rPr>
        <w:t>i</w:t>
      </w:r>
      <w:r w:rsidR="006B3050" w:rsidRPr="0099213A">
        <w:rPr>
          <w:rFonts w:asciiTheme="majorHAnsi" w:hAnsiTheme="majorHAnsi" w:cstheme="majorHAnsi"/>
          <w:sz w:val="24"/>
          <w:szCs w:val="24"/>
          <w:shd w:val="clear" w:color="auto" w:fill="FFFFFF"/>
          <w:lang w:val="ro-MD"/>
        </w:rPr>
        <w:t xml:space="preserve">nstituțiilor </w:t>
      </w:r>
      <w:r w:rsidR="00357D1D">
        <w:rPr>
          <w:rFonts w:asciiTheme="majorHAnsi" w:hAnsiTheme="majorHAnsi" w:cstheme="majorHAnsi"/>
          <w:sz w:val="24"/>
          <w:szCs w:val="24"/>
          <w:shd w:val="clear" w:color="auto" w:fill="FFFFFF"/>
          <w:lang w:val="ro-MD"/>
        </w:rPr>
        <w:t>p</w:t>
      </w:r>
      <w:r w:rsidR="006B3050" w:rsidRPr="0099213A">
        <w:rPr>
          <w:rFonts w:asciiTheme="majorHAnsi" w:hAnsiTheme="majorHAnsi" w:cstheme="majorHAnsi"/>
          <w:sz w:val="24"/>
          <w:szCs w:val="24"/>
          <w:shd w:val="clear" w:color="auto" w:fill="FFFFFF"/>
          <w:lang w:val="ro-MD"/>
        </w:rPr>
        <w:t>u</w:t>
      </w:r>
      <w:r w:rsidR="006B3050" w:rsidRPr="007917DD">
        <w:rPr>
          <w:rFonts w:asciiTheme="majorHAnsi" w:hAnsiTheme="majorHAnsi" w:cstheme="majorHAnsi"/>
          <w:sz w:val="24"/>
          <w:szCs w:val="24"/>
          <w:shd w:val="clear" w:color="auto" w:fill="FFFFFF"/>
          <w:lang w:val="ro-MD"/>
        </w:rPr>
        <w:t>blice din domeniul infrastructurii calității s-a realizat în modul corespunzător, fiind</w:t>
      </w:r>
      <w:r w:rsidR="007A6F7B">
        <w:rPr>
          <w:rFonts w:asciiTheme="majorHAnsi" w:hAnsiTheme="majorHAnsi" w:cstheme="majorHAnsi"/>
          <w:sz w:val="24"/>
          <w:szCs w:val="24"/>
          <w:shd w:val="clear" w:color="auto" w:fill="FFFFFF"/>
          <w:lang w:val="ro-MD"/>
        </w:rPr>
        <w:t xml:space="preserve"> </w:t>
      </w:r>
      <w:r w:rsidR="006B3050" w:rsidRPr="007917DD">
        <w:rPr>
          <w:rFonts w:asciiTheme="majorHAnsi" w:hAnsiTheme="majorHAnsi" w:cstheme="majorHAnsi"/>
          <w:sz w:val="24"/>
          <w:szCs w:val="24"/>
          <w:shd w:val="clear" w:color="auto" w:fill="FFFFFF"/>
          <w:lang w:val="ro-MD"/>
        </w:rPr>
        <w:t xml:space="preserve"> respectată legalitatea cheltuielilor în funcție de activitățile desfășurate de către entități</w:t>
      </w:r>
      <w:r w:rsidR="007A6F7B">
        <w:rPr>
          <w:rFonts w:asciiTheme="majorHAnsi" w:hAnsiTheme="majorHAnsi" w:cstheme="majorHAnsi"/>
          <w:sz w:val="24"/>
          <w:szCs w:val="24"/>
          <w:shd w:val="clear" w:color="auto" w:fill="FFFFFF"/>
          <w:lang w:val="ro-MD"/>
        </w:rPr>
        <w:t xml:space="preserve"> </w:t>
      </w:r>
      <w:r w:rsidR="006B3050" w:rsidRPr="007917DD">
        <w:rPr>
          <w:rFonts w:asciiTheme="majorHAnsi" w:hAnsiTheme="majorHAnsi" w:cstheme="majorHAnsi"/>
          <w:sz w:val="24"/>
          <w:szCs w:val="24"/>
          <w:shd w:val="clear" w:color="auto" w:fill="FFFFFF"/>
          <w:lang w:val="ro-MD"/>
        </w:rPr>
        <w:t xml:space="preserve">. </w:t>
      </w:r>
    </w:p>
    <w:p w14:paraId="577A2F4C" w14:textId="718BD596" w:rsidR="002A1AA5" w:rsidRDefault="00156BD1" w:rsidP="005A64B5">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Pentru anii 2020-2021</w:t>
      </w:r>
      <w:r w:rsidR="00357D1D">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 xml:space="preserve"> din b</w:t>
      </w:r>
      <w:r w:rsidR="002A1AA5">
        <w:rPr>
          <w:rFonts w:asciiTheme="majorHAnsi" w:hAnsiTheme="majorHAnsi" w:cstheme="majorHAnsi"/>
          <w:sz w:val="24"/>
          <w:szCs w:val="24"/>
          <w:shd w:val="clear" w:color="auto" w:fill="FFFFFF"/>
          <w:lang w:val="ro-MD"/>
        </w:rPr>
        <w:t>ugetul de stat au fost aloca</w:t>
      </w:r>
      <w:r w:rsidR="00357D1D">
        <w:rPr>
          <w:rFonts w:asciiTheme="majorHAnsi" w:hAnsiTheme="majorHAnsi" w:cstheme="majorHAnsi"/>
          <w:sz w:val="24"/>
          <w:szCs w:val="24"/>
          <w:shd w:val="clear" w:color="auto" w:fill="FFFFFF"/>
          <w:lang w:val="ro-MD"/>
        </w:rPr>
        <w:t>t</w:t>
      </w:r>
      <w:r w:rsidR="002A1AA5">
        <w:rPr>
          <w:rFonts w:asciiTheme="majorHAnsi" w:hAnsiTheme="majorHAnsi" w:cstheme="majorHAnsi"/>
          <w:sz w:val="24"/>
          <w:szCs w:val="24"/>
          <w:shd w:val="clear" w:color="auto" w:fill="FFFFFF"/>
          <w:lang w:val="ro-MD"/>
        </w:rPr>
        <w:t xml:space="preserve">e mijloace financiare sub formă de subsidii instituțiilor </w:t>
      </w:r>
      <w:r w:rsidR="00357D1D">
        <w:rPr>
          <w:rFonts w:asciiTheme="majorHAnsi" w:hAnsiTheme="majorHAnsi" w:cstheme="majorHAnsi"/>
          <w:sz w:val="24"/>
          <w:szCs w:val="24"/>
          <w:shd w:val="clear" w:color="auto" w:fill="FFFFFF"/>
          <w:lang w:val="ro-MD"/>
        </w:rPr>
        <w:t xml:space="preserve">publice </w:t>
      </w:r>
      <w:r w:rsidR="002A1AA5">
        <w:rPr>
          <w:rFonts w:asciiTheme="majorHAnsi" w:hAnsiTheme="majorHAnsi" w:cstheme="majorHAnsi"/>
          <w:sz w:val="24"/>
          <w:szCs w:val="24"/>
          <w:shd w:val="clear" w:color="auto" w:fill="FFFFFF"/>
          <w:lang w:val="ro-MD"/>
        </w:rPr>
        <w:t>din domeniul infrastructurii calității, prin intermediul Ministerului Economiei, în următorul raport:</w:t>
      </w:r>
    </w:p>
    <w:p w14:paraId="697ECEEF" w14:textId="1267CAF0" w:rsidR="002A1AA5" w:rsidRPr="00F74DC3" w:rsidRDefault="002A1AA5" w:rsidP="00F74DC3">
      <w:pPr>
        <w:pStyle w:val="ListParagraph"/>
        <w:tabs>
          <w:tab w:val="left" w:pos="270"/>
        </w:tabs>
        <w:spacing w:after="0" w:line="276" w:lineRule="auto"/>
        <w:ind w:left="0" w:firstLine="720"/>
        <w:jc w:val="right"/>
        <w:rPr>
          <w:rFonts w:asciiTheme="majorHAnsi" w:hAnsiTheme="majorHAnsi" w:cstheme="majorHAnsi"/>
          <w:b/>
          <w:i/>
          <w:sz w:val="24"/>
          <w:szCs w:val="24"/>
          <w:shd w:val="clear" w:color="auto" w:fill="FFFFFF"/>
          <w:lang w:val="ro-MD"/>
        </w:rPr>
      </w:pPr>
      <w:r w:rsidRPr="00F74DC3">
        <w:rPr>
          <w:rFonts w:asciiTheme="majorHAnsi" w:hAnsiTheme="majorHAnsi" w:cstheme="majorHAnsi"/>
          <w:b/>
          <w:i/>
          <w:sz w:val="24"/>
          <w:szCs w:val="24"/>
          <w:shd w:val="clear" w:color="auto" w:fill="FFFFFF"/>
          <w:lang w:val="ro-MD"/>
        </w:rPr>
        <w:t xml:space="preserve">Tabelul </w:t>
      </w:r>
      <w:r w:rsidR="00357D1D">
        <w:rPr>
          <w:rFonts w:asciiTheme="majorHAnsi" w:hAnsiTheme="majorHAnsi" w:cstheme="majorHAnsi"/>
          <w:b/>
          <w:i/>
          <w:sz w:val="24"/>
          <w:szCs w:val="24"/>
          <w:shd w:val="clear" w:color="auto" w:fill="FFFFFF"/>
          <w:lang w:val="ro-MD"/>
        </w:rPr>
        <w:t xml:space="preserve">nr. </w:t>
      </w:r>
      <w:r w:rsidRPr="00F74DC3">
        <w:rPr>
          <w:rFonts w:asciiTheme="majorHAnsi" w:hAnsiTheme="majorHAnsi" w:cstheme="majorHAnsi"/>
          <w:b/>
          <w:i/>
          <w:sz w:val="24"/>
          <w:szCs w:val="24"/>
          <w:shd w:val="clear" w:color="auto" w:fill="FFFFFF"/>
          <w:lang w:val="ro-MD"/>
        </w:rPr>
        <w:t>4.3.1</w:t>
      </w:r>
      <w:r w:rsidR="00F74DC3">
        <w:rPr>
          <w:rFonts w:asciiTheme="majorHAnsi" w:hAnsiTheme="majorHAnsi" w:cstheme="majorHAnsi"/>
          <w:b/>
          <w:i/>
          <w:sz w:val="24"/>
          <w:szCs w:val="24"/>
          <w:shd w:val="clear" w:color="auto" w:fill="FFFFFF"/>
          <w:lang w:val="ro-MD"/>
        </w:rPr>
        <w:t>.</w:t>
      </w:r>
    </w:p>
    <w:p w14:paraId="17A90848" w14:textId="073B03F9" w:rsidR="002A1AA5" w:rsidRPr="00357D1D" w:rsidRDefault="002A1AA5" w:rsidP="00A62DD4">
      <w:pPr>
        <w:spacing w:after="0"/>
        <w:jc w:val="center"/>
        <w:rPr>
          <w:rFonts w:asciiTheme="majorHAnsi" w:hAnsiTheme="majorHAnsi" w:cstheme="majorHAnsi"/>
          <w:sz w:val="24"/>
          <w:szCs w:val="24"/>
          <w:shd w:val="clear" w:color="auto" w:fill="FFFFFF"/>
          <w:lang w:val="ro-MD"/>
        </w:rPr>
      </w:pPr>
      <w:r w:rsidRPr="00255E9C">
        <w:rPr>
          <w:rFonts w:asciiTheme="majorHAnsi" w:hAnsiTheme="majorHAnsi" w:cstheme="majorHAnsi"/>
          <w:b/>
          <w:sz w:val="24"/>
          <w:szCs w:val="24"/>
          <w:lang w:val="ro-MD"/>
        </w:rPr>
        <w:t xml:space="preserve">Informații cu privire la planificarea și executarea subsidiilor acordate </w:t>
      </w:r>
      <w:r w:rsidR="00357D1D" w:rsidRPr="00255E9C">
        <w:rPr>
          <w:rFonts w:asciiTheme="majorHAnsi" w:hAnsiTheme="majorHAnsi" w:cstheme="majorHAnsi"/>
          <w:b/>
          <w:sz w:val="24"/>
          <w:szCs w:val="24"/>
          <w:lang w:val="ro-MD"/>
        </w:rPr>
        <w:t>i</w:t>
      </w:r>
      <w:r w:rsidRPr="00255E9C">
        <w:rPr>
          <w:rFonts w:asciiTheme="majorHAnsi" w:hAnsiTheme="majorHAnsi" w:cstheme="majorHAnsi"/>
          <w:b/>
          <w:sz w:val="24"/>
          <w:szCs w:val="24"/>
          <w:lang w:val="ro-MD"/>
        </w:rPr>
        <w:t xml:space="preserve">nstituțiilor </w:t>
      </w:r>
      <w:r w:rsidR="00357D1D" w:rsidRPr="00255E9C">
        <w:rPr>
          <w:rFonts w:asciiTheme="majorHAnsi" w:hAnsiTheme="majorHAnsi" w:cstheme="majorHAnsi"/>
          <w:b/>
          <w:sz w:val="24"/>
          <w:szCs w:val="24"/>
          <w:lang w:val="ro-MD"/>
        </w:rPr>
        <w:t>p</w:t>
      </w:r>
      <w:r w:rsidRPr="00255E9C">
        <w:rPr>
          <w:rFonts w:asciiTheme="majorHAnsi" w:hAnsiTheme="majorHAnsi" w:cstheme="majorHAnsi"/>
          <w:b/>
          <w:sz w:val="24"/>
          <w:szCs w:val="24"/>
          <w:lang w:val="ro-MD"/>
        </w:rPr>
        <w:t>ublice din domeniul infrastructurii calității în perioada anilor 2020-2021</w:t>
      </w:r>
      <w:r w:rsidR="007B507C" w:rsidRPr="00357D1D">
        <w:rPr>
          <w:rFonts w:asciiTheme="majorHAnsi" w:hAnsiTheme="majorHAnsi" w:cstheme="majorHAnsi"/>
          <w:sz w:val="24"/>
          <w:szCs w:val="24"/>
          <w:shd w:val="clear" w:color="auto" w:fill="FFFFFF"/>
          <w:lang w:val="ro-MD"/>
        </w:rPr>
        <w:t xml:space="preserve"> </w:t>
      </w:r>
    </w:p>
    <w:p w14:paraId="3E6D8D2E" w14:textId="77777777" w:rsidR="00A62DD4" w:rsidRPr="00255E9C" w:rsidRDefault="00A62DD4" w:rsidP="00A62DD4">
      <w:pPr>
        <w:tabs>
          <w:tab w:val="left" w:pos="0"/>
          <w:tab w:val="left" w:pos="270"/>
          <w:tab w:val="left" w:pos="990"/>
          <w:tab w:val="left" w:pos="1080"/>
        </w:tabs>
        <w:spacing w:after="0" w:line="276" w:lineRule="auto"/>
        <w:contextualSpacing/>
        <w:jc w:val="right"/>
        <w:rPr>
          <w:rFonts w:asciiTheme="majorHAnsi" w:hAnsiTheme="majorHAnsi" w:cstheme="majorHAnsi"/>
          <w:sz w:val="24"/>
          <w:szCs w:val="24"/>
          <w:lang w:val="ro-MD"/>
        </w:rPr>
      </w:pPr>
      <w:r w:rsidRPr="00255E9C">
        <w:rPr>
          <w:rFonts w:asciiTheme="majorHAnsi" w:hAnsiTheme="majorHAnsi" w:cstheme="majorHAnsi"/>
          <w:sz w:val="24"/>
          <w:szCs w:val="24"/>
          <w:lang w:val="ro-MD"/>
        </w:rPr>
        <w:t>(mii lei)</w:t>
      </w:r>
    </w:p>
    <w:tbl>
      <w:tblPr>
        <w:tblStyle w:val="PlainTable2"/>
        <w:tblW w:w="9504" w:type="dxa"/>
        <w:tblLook w:val="04A0" w:firstRow="1" w:lastRow="0" w:firstColumn="1" w:lastColumn="0" w:noHBand="0" w:noVBand="1"/>
      </w:tblPr>
      <w:tblGrid>
        <w:gridCol w:w="942"/>
        <w:gridCol w:w="1110"/>
        <w:gridCol w:w="1004"/>
        <w:gridCol w:w="1057"/>
        <w:gridCol w:w="1110"/>
        <w:gridCol w:w="12"/>
        <w:gridCol w:w="1098"/>
        <w:gridCol w:w="1004"/>
        <w:gridCol w:w="1057"/>
        <w:gridCol w:w="1110"/>
      </w:tblGrid>
      <w:tr w:rsidR="009879CD" w:rsidRPr="0095325C" w14:paraId="0277FA78" w14:textId="77777777" w:rsidTr="00CB7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vMerge w:val="restart"/>
            <w:tcBorders>
              <w:bottom w:val="none" w:sz="0" w:space="0" w:color="auto"/>
            </w:tcBorders>
          </w:tcPr>
          <w:p w14:paraId="48FB3C1A" w14:textId="77777777" w:rsidR="009879CD" w:rsidRPr="0095325C" w:rsidRDefault="009879CD" w:rsidP="00543106">
            <w:pPr>
              <w:rPr>
                <w:rFonts w:ascii="Calibri Light" w:eastAsia="Times New Roman" w:hAnsi="Calibri Light" w:cs="Calibri Light"/>
                <w:b w:val="0"/>
                <w:bCs w:val="0"/>
                <w:color w:val="000000"/>
                <w:sz w:val="20"/>
                <w:szCs w:val="20"/>
                <w:lang w:val="ro-MD"/>
              </w:rPr>
            </w:pPr>
          </w:p>
          <w:p w14:paraId="693D7F25" w14:textId="77777777" w:rsidR="009879CD" w:rsidRPr="0095325C" w:rsidRDefault="009879CD" w:rsidP="00543106">
            <w:pPr>
              <w:rPr>
                <w:rFonts w:ascii="Calibri Light" w:eastAsia="Times New Roman" w:hAnsi="Calibri Light" w:cs="Calibri Light"/>
                <w:b w:val="0"/>
                <w:bCs w:val="0"/>
                <w:color w:val="000000"/>
                <w:sz w:val="20"/>
                <w:szCs w:val="20"/>
                <w:lang w:val="ro-MD"/>
              </w:rPr>
            </w:pPr>
          </w:p>
          <w:p w14:paraId="77439624" w14:textId="7E1412C3" w:rsidR="009879CD" w:rsidRPr="00357D1D" w:rsidRDefault="009879CD" w:rsidP="00543106">
            <w:pPr>
              <w:jc w:val="center"/>
              <w:rPr>
                <w:sz w:val="20"/>
                <w:szCs w:val="20"/>
              </w:rPr>
            </w:pPr>
            <w:r w:rsidRPr="00357D1D">
              <w:rPr>
                <w:rFonts w:ascii="Calibri Light" w:eastAsia="Times New Roman" w:hAnsi="Calibri Light" w:cs="Calibri Light"/>
                <w:color w:val="000000"/>
                <w:sz w:val="20"/>
                <w:szCs w:val="20"/>
                <w:lang w:val="ro-MD"/>
              </w:rPr>
              <w:t xml:space="preserve">Instituția </w:t>
            </w:r>
            <w:r w:rsidR="00357D1D">
              <w:rPr>
                <w:rFonts w:ascii="Calibri Light" w:eastAsia="Times New Roman" w:hAnsi="Calibri Light" w:cs="Calibri Light"/>
                <w:bCs w:val="0"/>
                <w:color w:val="000000"/>
                <w:sz w:val="20"/>
                <w:szCs w:val="20"/>
                <w:lang w:val="ro-MD"/>
              </w:rPr>
              <w:t>p</w:t>
            </w:r>
            <w:r w:rsidRPr="00357D1D">
              <w:rPr>
                <w:rFonts w:ascii="Calibri Light" w:eastAsia="Times New Roman" w:hAnsi="Calibri Light" w:cs="Calibri Light"/>
                <w:color w:val="000000"/>
                <w:sz w:val="20"/>
                <w:szCs w:val="20"/>
                <w:lang w:val="ro-MD"/>
              </w:rPr>
              <w:t>ublică</w:t>
            </w:r>
          </w:p>
        </w:tc>
        <w:tc>
          <w:tcPr>
            <w:tcW w:w="4293" w:type="dxa"/>
            <w:gridSpan w:val="5"/>
            <w:tcBorders>
              <w:bottom w:val="none" w:sz="0" w:space="0" w:color="auto"/>
            </w:tcBorders>
          </w:tcPr>
          <w:p w14:paraId="76E3CBE6" w14:textId="77777777" w:rsidR="009879CD" w:rsidRPr="00357D1D" w:rsidRDefault="009879CD" w:rsidP="00543106">
            <w:pPr>
              <w:jc w:val="center"/>
              <w:cnfStyle w:val="100000000000" w:firstRow="1" w:lastRow="0" w:firstColumn="0" w:lastColumn="0" w:oddVBand="0" w:evenVBand="0" w:oddHBand="0" w:evenHBand="0" w:firstRowFirstColumn="0" w:firstRowLastColumn="0" w:lastRowFirstColumn="0" w:lastRowLastColumn="0"/>
              <w:rPr>
                <w:sz w:val="20"/>
                <w:szCs w:val="20"/>
              </w:rPr>
            </w:pPr>
            <w:r w:rsidRPr="00357D1D">
              <w:rPr>
                <w:rFonts w:ascii="Calibri Light" w:eastAsia="Times New Roman" w:hAnsi="Calibri Light" w:cs="Calibri Light"/>
                <w:color w:val="000000"/>
                <w:sz w:val="20"/>
                <w:szCs w:val="20"/>
                <w:lang w:val="ro-MD"/>
              </w:rPr>
              <w:t>Anul 2020</w:t>
            </w:r>
          </w:p>
        </w:tc>
        <w:tc>
          <w:tcPr>
            <w:tcW w:w="4269" w:type="dxa"/>
            <w:gridSpan w:val="4"/>
            <w:tcBorders>
              <w:bottom w:val="none" w:sz="0" w:space="0" w:color="auto"/>
            </w:tcBorders>
          </w:tcPr>
          <w:p w14:paraId="1C123B41" w14:textId="77777777" w:rsidR="009879CD" w:rsidRPr="00255E9C" w:rsidRDefault="009879CD" w:rsidP="00543106">
            <w:pPr>
              <w:jc w:val="center"/>
              <w:cnfStyle w:val="100000000000" w:firstRow="1" w:lastRow="0" w:firstColumn="0" w:lastColumn="0" w:oddVBand="0" w:evenVBand="0" w:oddHBand="0" w:evenHBand="0" w:firstRowFirstColumn="0" w:firstRowLastColumn="0" w:lastRowFirstColumn="0" w:lastRowLastColumn="0"/>
              <w:rPr>
                <w:sz w:val="20"/>
                <w:szCs w:val="20"/>
              </w:rPr>
            </w:pPr>
            <w:r w:rsidRPr="00357D1D">
              <w:rPr>
                <w:rFonts w:ascii="Calibri Light" w:eastAsia="Times New Roman" w:hAnsi="Calibri Light" w:cs="Calibri Light"/>
                <w:color w:val="000000"/>
                <w:sz w:val="20"/>
                <w:szCs w:val="20"/>
                <w:lang w:val="ro-MD"/>
              </w:rPr>
              <w:t>Anul 2021</w:t>
            </w:r>
          </w:p>
        </w:tc>
      </w:tr>
      <w:tr w:rsidR="009879CD" w:rsidRPr="0095325C" w14:paraId="0440478D" w14:textId="77777777" w:rsidTr="00CB7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vMerge/>
            <w:tcBorders>
              <w:top w:val="none" w:sz="0" w:space="0" w:color="auto"/>
              <w:bottom w:val="none" w:sz="0" w:space="0" w:color="auto"/>
            </w:tcBorders>
          </w:tcPr>
          <w:p w14:paraId="4FD07681" w14:textId="77777777" w:rsidR="009879CD" w:rsidRPr="0095325C" w:rsidRDefault="009879CD" w:rsidP="00543106">
            <w:pPr>
              <w:rPr>
                <w:sz w:val="20"/>
                <w:szCs w:val="20"/>
              </w:rPr>
            </w:pPr>
          </w:p>
        </w:tc>
        <w:tc>
          <w:tcPr>
            <w:tcW w:w="1110" w:type="dxa"/>
            <w:tcBorders>
              <w:top w:val="none" w:sz="0" w:space="0" w:color="auto"/>
              <w:bottom w:val="none" w:sz="0" w:space="0" w:color="auto"/>
            </w:tcBorders>
          </w:tcPr>
          <w:p w14:paraId="0B5F1374"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325C">
              <w:rPr>
                <w:rFonts w:ascii="Calibri Light" w:eastAsia="Times New Roman" w:hAnsi="Calibri Light" w:cs="Calibri Light"/>
                <w:b/>
                <w:color w:val="000000"/>
                <w:sz w:val="20"/>
                <w:szCs w:val="20"/>
                <w:lang w:val="ro-MD"/>
              </w:rPr>
              <w:t>Soldul mijloacelor bănești la începutul a.2020</w:t>
            </w:r>
          </w:p>
        </w:tc>
        <w:tc>
          <w:tcPr>
            <w:tcW w:w="1004" w:type="dxa"/>
            <w:tcBorders>
              <w:top w:val="none" w:sz="0" w:space="0" w:color="auto"/>
              <w:bottom w:val="none" w:sz="0" w:space="0" w:color="auto"/>
            </w:tcBorders>
          </w:tcPr>
          <w:p w14:paraId="5979F26D"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o-MD"/>
              </w:rPr>
            </w:pPr>
          </w:p>
          <w:p w14:paraId="36561CA9" w14:textId="0FC9A9E9" w:rsidR="009879CD" w:rsidRPr="0095325C" w:rsidRDefault="00A62DD4" w:rsidP="00543106">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Calibri Light" w:eastAsia="Times New Roman" w:hAnsi="Calibri Light" w:cs="Calibri Light"/>
                <w:b/>
                <w:i/>
                <w:iCs/>
                <w:color w:val="000000"/>
                <w:sz w:val="20"/>
                <w:szCs w:val="20"/>
                <w:lang w:val="ro-MD"/>
              </w:rPr>
              <w:t>Suma precizată</w:t>
            </w:r>
          </w:p>
        </w:tc>
        <w:tc>
          <w:tcPr>
            <w:tcW w:w="1057" w:type="dxa"/>
            <w:tcBorders>
              <w:top w:val="none" w:sz="0" w:space="0" w:color="auto"/>
              <w:bottom w:val="none" w:sz="0" w:space="0" w:color="auto"/>
            </w:tcBorders>
          </w:tcPr>
          <w:p w14:paraId="79E9D7F0" w14:textId="77777777" w:rsidR="00CB750B" w:rsidRDefault="00CB750B"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o-MD"/>
              </w:rPr>
            </w:pPr>
          </w:p>
          <w:p w14:paraId="209649CD" w14:textId="3341AF2B" w:rsidR="009879CD" w:rsidRPr="0095325C" w:rsidRDefault="00A62DD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rPr>
            </w:pPr>
            <w:r>
              <w:rPr>
                <w:rFonts w:ascii="Calibri Light" w:eastAsia="Times New Roman" w:hAnsi="Calibri Light" w:cs="Calibri Light"/>
                <w:b/>
                <w:i/>
                <w:iCs/>
                <w:color w:val="000000"/>
                <w:sz w:val="20"/>
                <w:szCs w:val="20"/>
                <w:lang w:val="ro-MD"/>
              </w:rPr>
              <w:t>Suma executată</w:t>
            </w:r>
          </w:p>
        </w:tc>
        <w:tc>
          <w:tcPr>
            <w:tcW w:w="1110" w:type="dxa"/>
            <w:tcBorders>
              <w:top w:val="none" w:sz="0" w:space="0" w:color="auto"/>
              <w:bottom w:val="none" w:sz="0" w:space="0" w:color="auto"/>
            </w:tcBorders>
          </w:tcPr>
          <w:p w14:paraId="4099FF1C"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325C">
              <w:rPr>
                <w:rFonts w:ascii="Calibri Light" w:eastAsia="Times New Roman" w:hAnsi="Calibri Light" w:cs="Calibri Light"/>
                <w:b/>
                <w:bCs/>
                <w:color w:val="000000"/>
                <w:sz w:val="20"/>
                <w:szCs w:val="20"/>
                <w:lang w:val="ro-MD"/>
              </w:rPr>
              <w:t>Soldul mijloacelor bănești la sfârșitul a. 2020</w:t>
            </w:r>
          </w:p>
        </w:tc>
        <w:tc>
          <w:tcPr>
            <w:tcW w:w="1110" w:type="dxa"/>
            <w:gridSpan w:val="2"/>
            <w:tcBorders>
              <w:top w:val="none" w:sz="0" w:space="0" w:color="auto"/>
              <w:bottom w:val="none" w:sz="0" w:space="0" w:color="auto"/>
            </w:tcBorders>
          </w:tcPr>
          <w:p w14:paraId="6EDCB381"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color w:val="000000"/>
                <w:sz w:val="20"/>
                <w:szCs w:val="20"/>
              </w:rPr>
            </w:pPr>
            <w:r w:rsidRPr="0095325C">
              <w:rPr>
                <w:rFonts w:ascii="Calibri Light" w:eastAsia="Times New Roman" w:hAnsi="Calibri Light" w:cs="Calibri Light"/>
                <w:b/>
                <w:color w:val="000000"/>
                <w:sz w:val="20"/>
                <w:szCs w:val="20"/>
                <w:lang w:val="ro-MD"/>
              </w:rPr>
              <w:t>Soldul mijloacelor bănești la începutul a.2021</w:t>
            </w:r>
          </w:p>
        </w:tc>
        <w:tc>
          <w:tcPr>
            <w:tcW w:w="1004" w:type="dxa"/>
            <w:tcBorders>
              <w:top w:val="none" w:sz="0" w:space="0" w:color="auto"/>
              <w:bottom w:val="none" w:sz="0" w:space="0" w:color="auto"/>
            </w:tcBorders>
          </w:tcPr>
          <w:p w14:paraId="23DF5001"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o-MD"/>
              </w:rPr>
            </w:pPr>
          </w:p>
          <w:p w14:paraId="490CFED2" w14:textId="6BC0FD49" w:rsidR="009879CD" w:rsidRPr="0095325C" w:rsidRDefault="00A62DD4" w:rsidP="00543106">
            <w:pPr>
              <w:jc w:val="center"/>
              <w:cnfStyle w:val="000000100000" w:firstRow="0" w:lastRow="0" w:firstColumn="0" w:lastColumn="0" w:oddVBand="0" w:evenVBand="0" w:oddHBand="1" w:evenHBand="0" w:firstRowFirstColumn="0" w:firstRowLastColumn="0" w:lastRowFirstColumn="0" w:lastRowLastColumn="0"/>
              <w:rPr>
                <w:b/>
                <w:sz w:val="20"/>
                <w:szCs w:val="20"/>
              </w:rPr>
            </w:pPr>
            <w:r>
              <w:rPr>
                <w:rFonts w:ascii="Calibri Light" w:eastAsia="Times New Roman" w:hAnsi="Calibri Light" w:cs="Calibri Light"/>
                <w:b/>
                <w:i/>
                <w:iCs/>
                <w:color w:val="000000"/>
                <w:sz w:val="20"/>
                <w:szCs w:val="20"/>
                <w:lang w:val="ro-MD"/>
              </w:rPr>
              <w:t>Suma precizată</w:t>
            </w:r>
          </w:p>
        </w:tc>
        <w:tc>
          <w:tcPr>
            <w:tcW w:w="1057" w:type="dxa"/>
            <w:tcBorders>
              <w:top w:val="none" w:sz="0" w:space="0" w:color="auto"/>
              <w:bottom w:val="none" w:sz="0" w:space="0" w:color="auto"/>
            </w:tcBorders>
          </w:tcPr>
          <w:p w14:paraId="12988A92"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iCs/>
                <w:color w:val="000000"/>
                <w:sz w:val="20"/>
                <w:szCs w:val="20"/>
                <w:lang w:val="ro-MD"/>
              </w:rPr>
            </w:pPr>
          </w:p>
          <w:p w14:paraId="0108B313" w14:textId="2078E3E8"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5325C">
              <w:rPr>
                <w:rFonts w:ascii="Calibri Light" w:eastAsia="Times New Roman" w:hAnsi="Calibri Light" w:cs="Calibri Light"/>
                <w:b/>
                <w:i/>
                <w:iCs/>
                <w:color w:val="000000"/>
                <w:sz w:val="20"/>
                <w:szCs w:val="20"/>
                <w:lang w:val="ro-MD"/>
              </w:rPr>
              <w:t>Suma executată</w:t>
            </w:r>
          </w:p>
        </w:tc>
        <w:tc>
          <w:tcPr>
            <w:tcW w:w="1110" w:type="dxa"/>
            <w:tcBorders>
              <w:top w:val="none" w:sz="0" w:space="0" w:color="auto"/>
              <w:bottom w:val="none" w:sz="0" w:space="0" w:color="auto"/>
            </w:tcBorders>
          </w:tcPr>
          <w:p w14:paraId="45CA7D93"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5325C">
              <w:rPr>
                <w:rFonts w:ascii="Calibri Light" w:eastAsia="Times New Roman" w:hAnsi="Calibri Light" w:cs="Calibri Light"/>
                <w:b/>
                <w:bCs/>
                <w:color w:val="000000"/>
                <w:sz w:val="20"/>
                <w:szCs w:val="20"/>
                <w:lang w:val="ro-MD"/>
              </w:rPr>
              <w:t>Soldul mijloacelor bănești la sfârșitul a.2021</w:t>
            </w:r>
          </w:p>
        </w:tc>
      </w:tr>
      <w:tr w:rsidR="009879CD" w:rsidRPr="0095325C" w14:paraId="7A07E92F" w14:textId="77777777" w:rsidTr="00CB750B">
        <w:tc>
          <w:tcPr>
            <w:cnfStyle w:val="001000000000" w:firstRow="0" w:lastRow="0" w:firstColumn="1" w:lastColumn="0" w:oddVBand="0" w:evenVBand="0" w:oddHBand="0" w:evenHBand="0" w:firstRowFirstColumn="0" w:firstRowLastColumn="0" w:lastRowFirstColumn="0" w:lastRowLastColumn="0"/>
            <w:tcW w:w="942" w:type="dxa"/>
          </w:tcPr>
          <w:p w14:paraId="31058E51" w14:textId="77777777" w:rsidR="009879CD" w:rsidRPr="0095325C" w:rsidRDefault="009879CD" w:rsidP="00543106">
            <w:pPr>
              <w:jc w:val="center"/>
              <w:rPr>
                <w:rFonts w:ascii="Calibri Light" w:eastAsia="Times New Roman" w:hAnsi="Calibri Light" w:cs="Calibri Light"/>
                <w:b w:val="0"/>
                <w:bCs w:val="0"/>
                <w:color w:val="000000"/>
                <w:sz w:val="20"/>
                <w:szCs w:val="20"/>
              </w:rPr>
            </w:pPr>
            <w:r w:rsidRPr="0095325C">
              <w:rPr>
                <w:rFonts w:ascii="Calibri Light" w:eastAsia="Times New Roman" w:hAnsi="Calibri Light" w:cs="Calibri Light"/>
                <w:b w:val="0"/>
                <w:bCs w:val="0"/>
                <w:color w:val="000000"/>
                <w:sz w:val="20"/>
                <w:szCs w:val="20"/>
                <w:lang w:val="ro-MD"/>
              </w:rPr>
              <w:t>INM</w:t>
            </w:r>
          </w:p>
        </w:tc>
        <w:tc>
          <w:tcPr>
            <w:tcW w:w="1110" w:type="dxa"/>
          </w:tcPr>
          <w:p w14:paraId="3D3185B4"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1 060,5</w:t>
            </w:r>
          </w:p>
        </w:tc>
        <w:tc>
          <w:tcPr>
            <w:tcW w:w="1004" w:type="dxa"/>
          </w:tcPr>
          <w:p w14:paraId="2FE320C9"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12 520,3</w:t>
            </w:r>
          </w:p>
        </w:tc>
        <w:tc>
          <w:tcPr>
            <w:tcW w:w="1057" w:type="dxa"/>
          </w:tcPr>
          <w:p w14:paraId="376D830E"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9 801,3</w:t>
            </w:r>
          </w:p>
        </w:tc>
        <w:tc>
          <w:tcPr>
            <w:tcW w:w="1110" w:type="dxa"/>
          </w:tcPr>
          <w:p w14:paraId="7F498739"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3 779,5</w:t>
            </w:r>
          </w:p>
        </w:tc>
        <w:tc>
          <w:tcPr>
            <w:tcW w:w="1110" w:type="dxa"/>
            <w:gridSpan w:val="2"/>
          </w:tcPr>
          <w:p w14:paraId="42D59F6D"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3 779,5</w:t>
            </w:r>
          </w:p>
        </w:tc>
        <w:tc>
          <w:tcPr>
            <w:tcW w:w="1004" w:type="dxa"/>
          </w:tcPr>
          <w:p w14:paraId="1851ED0B"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12 900,5</w:t>
            </w:r>
          </w:p>
        </w:tc>
        <w:tc>
          <w:tcPr>
            <w:tcW w:w="1057" w:type="dxa"/>
          </w:tcPr>
          <w:p w14:paraId="19FF8DAC"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15 178,0</w:t>
            </w:r>
          </w:p>
        </w:tc>
        <w:tc>
          <w:tcPr>
            <w:tcW w:w="1110" w:type="dxa"/>
          </w:tcPr>
          <w:p w14:paraId="7BEACEAE"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1 502,0</w:t>
            </w:r>
          </w:p>
        </w:tc>
      </w:tr>
      <w:tr w:rsidR="009879CD" w:rsidRPr="0095325C" w14:paraId="6C248017" w14:textId="77777777" w:rsidTr="00CB7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Borders>
              <w:top w:val="none" w:sz="0" w:space="0" w:color="auto"/>
              <w:bottom w:val="none" w:sz="0" w:space="0" w:color="auto"/>
            </w:tcBorders>
          </w:tcPr>
          <w:p w14:paraId="1C89B992" w14:textId="77777777" w:rsidR="009879CD" w:rsidRPr="0095325C" w:rsidRDefault="009879CD" w:rsidP="00543106">
            <w:pPr>
              <w:jc w:val="center"/>
              <w:rPr>
                <w:rFonts w:ascii="Calibri Light" w:eastAsia="Times New Roman" w:hAnsi="Calibri Light" w:cs="Calibri Light"/>
                <w:b w:val="0"/>
                <w:bCs w:val="0"/>
                <w:color w:val="000000"/>
                <w:sz w:val="20"/>
                <w:szCs w:val="20"/>
              </w:rPr>
            </w:pPr>
            <w:r w:rsidRPr="0095325C">
              <w:rPr>
                <w:rFonts w:ascii="Calibri Light" w:eastAsia="Times New Roman" w:hAnsi="Calibri Light" w:cs="Calibri Light"/>
                <w:b w:val="0"/>
                <w:bCs w:val="0"/>
                <w:color w:val="000000"/>
                <w:sz w:val="20"/>
                <w:szCs w:val="20"/>
                <w:lang w:val="ro-MD"/>
              </w:rPr>
              <w:t>ISM</w:t>
            </w:r>
          </w:p>
        </w:tc>
        <w:tc>
          <w:tcPr>
            <w:tcW w:w="1110" w:type="dxa"/>
            <w:tcBorders>
              <w:top w:val="none" w:sz="0" w:space="0" w:color="auto"/>
              <w:bottom w:val="none" w:sz="0" w:space="0" w:color="auto"/>
            </w:tcBorders>
          </w:tcPr>
          <w:p w14:paraId="6AA0D580"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1 146,7</w:t>
            </w:r>
          </w:p>
        </w:tc>
        <w:tc>
          <w:tcPr>
            <w:tcW w:w="1004" w:type="dxa"/>
            <w:tcBorders>
              <w:top w:val="none" w:sz="0" w:space="0" w:color="auto"/>
              <w:bottom w:val="none" w:sz="0" w:space="0" w:color="auto"/>
            </w:tcBorders>
          </w:tcPr>
          <w:p w14:paraId="372B89EF"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5 050,0</w:t>
            </w:r>
          </w:p>
        </w:tc>
        <w:tc>
          <w:tcPr>
            <w:tcW w:w="1057" w:type="dxa"/>
            <w:tcBorders>
              <w:top w:val="none" w:sz="0" w:space="0" w:color="auto"/>
              <w:bottom w:val="none" w:sz="0" w:space="0" w:color="auto"/>
            </w:tcBorders>
          </w:tcPr>
          <w:p w14:paraId="1C576806"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4 686,6</w:t>
            </w:r>
          </w:p>
        </w:tc>
        <w:tc>
          <w:tcPr>
            <w:tcW w:w="1110" w:type="dxa"/>
            <w:tcBorders>
              <w:top w:val="none" w:sz="0" w:space="0" w:color="auto"/>
              <w:bottom w:val="none" w:sz="0" w:space="0" w:color="auto"/>
            </w:tcBorders>
          </w:tcPr>
          <w:p w14:paraId="603E6B9F"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1 510,1</w:t>
            </w:r>
          </w:p>
        </w:tc>
        <w:tc>
          <w:tcPr>
            <w:tcW w:w="1110" w:type="dxa"/>
            <w:gridSpan w:val="2"/>
            <w:tcBorders>
              <w:top w:val="none" w:sz="0" w:space="0" w:color="auto"/>
              <w:bottom w:val="none" w:sz="0" w:space="0" w:color="auto"/>
            </w:tcBorders>
          </w:tcPr>
          <w:p w14:paraId="55B38A80"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1 510,1</w:t>
            </w:r>
          </w:p>
        </w:tc>
        <w:tc>
          <w:tcPr>
            <w:tcW w:w="1004" w:type="dxa"/>
            <w:tcBorders>
              <w:top w:val="none" w:sz="0" w:space="0" w:color="auto"/>
              <w:bottom w:val="none" w:sz="0" w:space="0" w:color="auto"/>
            </w:tcBorders>
          </w:tcPr>
          <w:p w14:paraId="63D5453D"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5 200,0</w:t>
            </w:r>
          </w:p>
        </w:tc>
        <w:tc>
          <w:tcPr>
            <w:tcW w:w="1057" w:type="dxa"/>
            <w:tcBorders>
              <w:top w:val="none" w:sz="0" w:space="0" w:color="auto"/>
              <w:bottom w:val="none" w:sz="0" w:space="0" w:color="auto"/>
            </w:tcBorders>
          </w:tcPr>
          <w:p w14:paraId="07CE0EDA"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5 564,0</w:t>
            </w:r>
          </w:p>
        </w:tc>
        <w:tc>
          <w:tcPr>
            <w:tcW w:w="1110" w:type="dxa"/>
            <w:tcBorders>
              <w:top w:val="none" w:sz="0" w:space="0" w:color="auto"/>
              <w:bottom w:val="none" w:sz="0" w:space="0" w:color="auto"/>
            </w:tcBorders>
          </w:tcPr>
          <w:p w14:paraId="071C84EF"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1 146,1</w:t>
            </w:r>
          </w:p>
        </w:tc>
      </w:tr>
      <w:tr w:rsidR="009879CD" w:rsidRPr="0095325C" w14:paraId="6C17ADA7" w14:textId="77777777" w:rsidTr="00CB750B">
        <w:tc>
          <w:tcPr>
            <w:cnfStyle w:val="001000000000" w:firstRow="0" w:lastRow="0" w:firstColumn="1" w:lastColumn="0" w:oddVBand="0" w:evenVBand="0" w:oddHBand="0" w:evenHBand="0" w:firstRowFirstColumn="0" w:firstRowLastColumn="0" w:lastRowFirstColumn="0" w:lastRowLastColumn="0"/>
            <w:tcW w:w="942" w:type="dxa"/>
          </w:tcPr>
          <w:p w14:paraId="4F52E632" w14:textId="77777777" w:rsidR="009879CD" w:rsidRPr="0095325C" w:rsidRDefault="009879CD" w:rsidP="00543106">
            <w:pPr>
              <w:jc w:val="center"/>
              <w:rPr>
                <w:rFonts w:ascii="Calibri Light" w:eastAsia="Times New Roman" w:hAnsi="Calibri Light" w:cs="Calibri Light"/>
                <w:b w:val="0"/>
                <w:bCs w:val="0"/>
                <w:color w:val="000000"/>
                <w:sz w:val="20"/>
                <w:szCs w:val="20"/>
              </w:rPr>
            </w:pPr>
            <w:r w:rsidRPr="0095325C">
              <w:rPr>
                <w:rFonts w:ascii="Calibri Light" w:eastAsia="Times New Roman" w:hAnsi="Calibri Light" w:cs="Calibri Light"/>
                <w:b w:val="0"/>
                <w:bCs w:val="0"/>
                <w:color w:val="000000"/>
                <w:sz w:val="20"/>
                <w:szCs w:val="20"/>
                <w:lang w:val="ro-MD"/>
              </w:rPr>
              <w:t>MOLDAC</w:t>
            </w:r>
          </w:p>
        </w:tc>
        <w:tc>
          <w:tcPr>
            <w:tcW w:w="1110" w:type="dxa"/>
          </w:tcPr>
          <w:p w14:paraId="3A55DF1C"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0</w:t>
            </w:r>
          </w:p>
        </w:tc>
        <w:tc>
          <w:tcPr>
            <w:tcW w:w="1004" w:type="dxa"/>
          </w:tcPr>
          <w:p w14:paraId="0B5D11F0"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3 200,0</w:t>
            </w:r>
          </w:p>
        </w:tc>
        <w:tc>
          <w:tcPr>
            <w:tcW w:w="1057" w:type="dxa"/>
          </w:tcPr>
          <w:p w14:paraId="0C85D2B9"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3 199,7</w:t>
            </w:r>
          </w:p>
        </w:tc>
        <w:tc>
          <w:tcPr>
            <w:tcW w:w="1110" w:type="dxa"/>
          </w:tcPr>
          <w:p w14:paraId="04F1AEF8"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0,3</w:t>
            </w:r>
          </w:p>
        </w:tc>
        <w:tc>
          <w:tcPr>
            <w:tcW w:w="1110" w:type="dxa"/>
            <w:gridSpan w:val="2"/>
          </w:tcPr>
          <w:p w14:paraId="46D21691"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0,3</w:t>
            </w:r>
          </w:p>
        </w:tc>
        <w:tc>
          <w:tcPr>
            <w:tcW w:w="1004" w:type="dxa"/>
          </w:tcPr>
          <w:p w14:paraId="04B8948B"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2 800,0</w:t>
            </w:r>
          </w:p>
        </w:tc>
        <w:tc>
          <w:tcPr>
            <w:tcW w:w="1057" w:type="dxa"/>
          </w:tcPr>
          <w:p w14:paraId="38274022"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2 800,0</w:t>
            </w:r>
          </w:p>
        </w:tc>
        <w:tc>
          <w:tcPr>
            <w:tcW w:w="1110" w:type="dxa"/>
          </w:tcPr>
          <w:p w14:paraId="54D43590"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0</w:t>
            </w:r>
          </w:p>
        </w:tc>
      </w:tr>
      <w:tr w:rsidR="009879CD" w:rsidRPr="0095325C" w14:paraId="0B07D217" w14:textId="77777777" w:rsidTr="00CB7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Borders>
              <w:top w:val="none" w:sz="0" w:space="0" w:color="auto"/>
              <w:bottom w:val="none" w:sz="0" w:space="0" w:color="auto"/>
            </w:tcBorders>
          </w:tcPr>
          <w:p w14:paraId="636DBF6D" w14:textId="77777777" w:rsidR="009879CD" w:rsidRPr="0095325C" w:rsidRDefault="009879CD" w:rsidP="00543106">
            <w:pPr>
              <w:jc w:val="center"/>
              <w:rPr>
                <w:rFonts w:ascii="Calibri Light" w:eastAsia="Times New Roman" w:hAnsi="Calibri Light" w:cs="Calibri Light"/>
                <w:b w:val="0"/>
                <w:bCs w:val="0"/>
                <w:color w:val="000000"/>
                <w:sz w:val="20"/>
                <w:szCs w:val="20"/>
              </w:rPr>
            </w:pPr>
            <w:r w:rsidRPr="0095325C">
              <w:rPr>
                <w:rFonts w:ascii="Calibri Light" w:eastAsia="Times New Roman" w:hAnsi="Calibri Light" w:cs="Calibri Light"/>
                <w:b w:val="0"/>
                <w:bCs w:val="0"/>
                <w:color w:val="000000"/>
                <w:sz w:val="20"/>
                <w:szCs w:val="20"/>
                <w:lang w:val="ro-MD"/>
              </w:rPr>
              <w:t>APCSP</w:t>
            </w:r>
          </w:p>
        </w:tc>
        <w:tc>
          <w:tcPr>
            <w:tcW w:w="1110" w:type="dxa"/>
            <w:tcBorders>
              <w:top w:val="none" w:sz="0" w:space="0" w:color="auto"/>
              <w:bottom w:val="none" w:sz="0" w:space="0" w:color="auto"/>
            </w:tcBorders>
          </w:tcPr>
          <w:p w14:paraId="045597D6"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0</w:t>
            </w:r>
          </w:p>
        </w:tc>
        <w:tc>
          <w:tcPr>
            <w:tcW w:w="1004" w:type="dxa"/>
            <w:tcBorders>
              <w:top w:val="none" w:sz="0" w:space="0" w:color="auto"/>
              <w:bottom w:val="none" w:sz="0" w:space="0" w:color="auto"/>
            </w:tcBorders>
          </w:tcPr>
          <w:p w14:paraId="62AE9B0C"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13 076,5</w:t>
            </w:r>
          </w:p>
        </w:tc>
        <w:tc>
          <w:tcPr>
            <w:tcW w:w="1057" w:type="dxa"/>
            <w:tcBorders>
              <w:top w:val="none" w:sz="0" w:space="0" w:color="auto"/>
              <w:bottom w:val="none" w:sz="0" w:space="0" w:color="auto"/>
            </w:tcBorders>
          </w:tcPr>
          <w:p w14:paraId="5F7EFEF0"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10 787,9</w:t>
            </w:r>
          </w:p>
        </w:tc>
        <w:tc>
          <w:tcPr>
            <w:tcW w:w="1110" w:type="dxa"/>
            <w:tcBorders>
              <w:top w:val="none" w:sz="0" w:space="0" w:color="auto"/>
              <w:bottom w:val="none" w:sz="0" w:space="0" w:color="auto"/>
            </w:tcBorders>
          </w:tcPr>
          <w:p w14:paraId="26072664"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0</w:t>
            </w:r>
          </w:p>
        </w:tc>
        <w:tc>
          <w:tcPr>
            <w:tcW w:w="1110" w:type="dxa"/>
            <w:gridSpan w:val="2"/>
            <w:tcBorders>
              <w:top w:val="none" w:sz="0" w:space="0" w:color="auto"/>
              <w:bottom w:val="none" w:sz="0" w:space="0" w:color="auto"/>
            </w:tcBorders>
          </w:tcPr>
          <w:p w14:paraId="7B587EB3"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0</w:t>
            </w:r>
          </w:p>
        </w:tc>
        <w:tc>
          <w:tcPr>
            <w:tcW w:w="1004" w:type="dxa"/>
            <w:tcBorders>
              <w:top w:val="none" w:sz="0" w:space="0" w:color="auto"/>
              <w:bottom w:val="none" w:sz="0" w:space="0" w:color="auto"/>
            </w:tcBorders>
          </w:tcPr>
          <w:p w14:paraId="0D0197F6"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14 123,4</w:t>
            </w:r>
          </w:p>
        </w:tc>
        <w:tc>
          <w:tcPr>
            <w:tcW w:w="1057" w:type="dxa"/>
            <w:tcBorders>
              <w:top w:val="none" w:sz="0" w:space="0" w:color="auto"/>
              <w:bottom w:val="none" w:sz="0" w:space="0" w:color="auto"/>
            </w:tcBorders>
          </w:tcPr>
          <w:p w14:paraId="112F6075"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11 053,9</w:t>
            </w:r>
          </w:p>
        </w:tc>
        <w:tc>
          <w:tcPr>
            <w:tcW w:w="1110" w:type="dxa"/>
            <w:tcBorders>
              <w:top w:val="none" w:sz="0" w:space="0" w:color="auto"/>
              <w:bottom w:val="none" w:sz="0" w:space="0" w:color="auto"/>
            </w:tcBorders>
          </w:tcPr>
          <w:p w14:paraId="619422CC" w14:textId="77777777" w:rsidR="009879CD" w:rsidRPr="0095325C" w:rsidRDefault="009879CD"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0</w:t>
            </w:r>
          </w:p>
        </w:tc>
      </w:tr>
      <w:tr w:rsidR="009879CD" w:rsidRPr="0095325C" w14:paraId="52EAA68C" w14:textId="77777777" w:rsidTr="00CB750B">
        <w:tc>
          <w:tcPr>
            <w:cnfStyle w:val="001000000000" w:firstRow="0" w:lastRow="0" w:firstColumn="1" w:lastColumn="0" w:oddVBand="0" w:evenVBand="0" w:oddHBand="0" w:evenHBand="0" w:firstRowFirstColumn="0" w:firstRowLastColumn="0" w:lastRowFirstColumn="0" w:lastRowLastColumn="0"/>
            <w:tcW w:w="942" w:type="dxa"/>
          </w:tcPr>
          <w:p w14:paraId="46137800" w14:textId="77777777" w:rsidR="009879CD" w:rsidRPr="0095325C" w:rsidRDefault="009879CD" w:rsidP="00543106">
            <w:pPr>
              <w:jc w:val="center"/>
              <w:rPr>
                <w:rFonts w:ascii="Calibri Light" w:eastAsia="Times New Roman" w:hAnsi="Calibri Light" w:cs="Calibri Light"/>
                <w:b w:val="0"/>
                <w:bCs w:val="0"/>
                <w:color w:val="000000"/>
                <w:sz w:val="20"/>
                <w:szCs w:val="20"/>
              </w:rPr>
            </w:pPr>
            <w:r w:rsidRPr="0095325C">
              <w:rPr>
                <w:rFonts w:ascii="Calibri Light" w:eastAsia="Times New Roman" w:hAnsi="Calibri Light" w:cs="Calibri Light"/>
                <w:b w:val="0"/>
                <w:bCs w:val="0"/>
                <w:color w:val="000000"/>
                <w:sz w:val="20"/>
                <w:szCs w:val="20"/>
                <w:lang w:val="ro-MD"/>
              </w:rPr>
              <w:t>Total</w:t>
            </w:r>
          </w:p>
        </w:tc>
        <w:tc>
          <w:tcPr>
            <w:tcW w:w="1110" w:type="dxa"/>
          </w:tcPr>
          <w:p w14:paraId="73EF61F4"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2 207,2</w:t>
            </w:r>
          </w:p>
        </w:tc>
        <w:tc>
          <w:tcPr>
            <w:tcW w:w="1004" w:type="dxa"/>
          </w:tcPr>
          <w:p w14:paraId="418DB232"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33 846,8</w:t>
            </w:r>
          </w:p>
        </w:tc>
        <w:tc>
          <w:tcPr>
            <w:tcW w:w="1057" w:type="dxa"/>
          </w:tcPr>
          <w:p w14:paraId="73F9F902"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28 475,5</w:t>
            </w:r>
          </w:p>
        </w:tc>
        <w:tc>
          <w:tcPr>
            <w:tcW w:w="1110" w:type="dxa"/>
          </w:tcPr>
          <w:p w14:paraId="57D2C18E"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5 289,9</w:t>
            </w:r>
          </w:p>
        </w:tc>
        <w:tc>
          <w:tcPr>
            <w:tcW w:w="1110" w:type="dxa"/>
            <w:gridSpan w:val="2"/>
          </w:tcPr>
          <w:p w14:paraId="4B5839EE"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5 289,9</w:t>
            </w:r>
          </w:p>
        </w:tc>
        <w:tc>
          <w:tcPr>
            <w:tcW w:w="1004" w:type="dxa"/>
          </w:tcPr>
          <w:p w14:paraId="12B33508"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35 023,9</w:t>
            </w:r>
          </w:p>
        </w:tc>
        <w:tc>
          <w:tcPr>
            <w:tcW w:w="1057" w:type="dxa"/>
          </w:tcPr>
          <w:p w14:paraId="00063805"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95325C">
              <w:rPr>
                <w:rFonts w:ascii="Calibri Light" w:eastAsia="Times New Roman" w:hAnsi="Calibri Light" w:cs="Calibri Light"/>
                <w:color w:val="000000"/>
                <w:sz w:val="20"/>
                <w:szCs w:val="20"/>
                <w:lang w:val="ro-MD"/>
              </w:rPr>
              <w:t>34 595,9</w:t>
            </w:r>
          </w:p>
        </w:tc>
        <w:tc>
          <w:tcPr>
            <w:tcW w:w="1110" w:type="dxa"/>
          </w:tcPr>
          <w:p w14:paraId="099FCF91" w14:textId="77777777" w:rsidR="009879CD" w:rsidRPr="0095325C" w:rsidRDefault="009879CD"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95325C">
              <w:rPr>
                <w:rFonts w:ascii="Calibri Light" w:eastAsia="Times New Roman" w:hAnsi="Calibri Light" w:cs="Calibri Light"/>
                <w:b/>
                <w:bCs/>
                <w:color w:val="000000"/>
                <w:sz w:val="20"/>
                <w:szCs w:val="20"/>
                <w:lang w:val="ro-MD"/>
              </w:rPr>
              <w:t>2 648,1</w:t>
            </w:r>
          </w:p>
        </w:tc>
      </w:tr>
    </w:tbl>
    <w:p w14:paraId="0CCB8034" w14:textId="6320C297" w:rsidR="002A1AA5" w:rsidRDefault="002A1AA5" w:rsidP="00255E9C">
      <w:pPr>
        <w:pStyle w:val="ListParagraph"/>
        <w:tabs>
          <w:tab w:val="left" w:pos="270"/>
        </w:tabs>
        <w:spacing w:after="0" w:line="276" w:lineRule="auto"/>
        <w:ind w:left="0"/>
        <w:jc w:val="both"/>
        <w:rPr>
          <w:rFonts w:asciiTheme="majorHAnsi" w:hAnsiTheme="majorHAnsi" w:cstheme="majorHAnsi"/>
          <w:sz w:val="20"/>
          <w:szCs w:val="24"/>
          <w:shd w:val="clear" w:color="auto" w:fill="FFFFFF"/>
          <w:lang w:val="ro-MD"/>
        </w:rPr>
      </w:pPr>
      <w:r w:rsidRPr="00F74DC3">
        <w:rPr>
          <w:rFonts w:asciiTheme="majorHAnsi" w:hAnsiTheme="majorHAnsi" w:cstheme="majorHAnsi"/>
          <w:b/>
          <w:i/>
          <w:sz w:val="20"/>
          <w:szCs w:val="24"/>
          <w:shd w:val="clear" w:color="auto" w:fill="FFFFFF"/>
          <w:lang w:val="ro-MD"/>
        </w:rPr>
        <w:t>Surs</w:t>
      </w:r>
      <w:r w:rsidR="00357D1D">
        <w:rPr>
          <w:rFonts w:asciiTheme="majorHAnsi" w:hAnsiTheme="majorHAnsi" w:cstheme="majorHAnsi"/>
          <w:b/>
          <w:i/>
          <w:sz w:val="20"/>
          <w:szCs w:val="24"/>
          <w:shd w:val="clear" w:color="auto" w:fill="FFFFFF"/>
          <w:lang w:val="ro-MD"/>
        </w:rPr>
        <w:t>ă</w:t>
      </w:r>
      <w:r w:rsidRPr="00F74DC3">
        <w:rPr>
          <w:rFonts w:asciiTheme="majorHAnsi" w:hAnsiTheme="majorHAnsi" w:cstheme="majorHAnsi"/>
          <w:b/>
          <w:i/>
          <w:sz w:val="20"/>
          <w:szCs w:val="24"/>
          <w:shd w:val="clear" w:color="auto" w:fill="FFFFFF"/>
          <w:lang w:val="ro-MD"/>
        </w:rPr>
        <w:t>:</w:t>
      </w:r>
      <w:r w:rsidRPr="00F74DC3">
        <w:rPr>
          <w:rFonts w:asciiTheme="majorHAnsi" w:hAnsiTheme="majorHAnsi" w:cstheme="majorHAnsi"/>
          <w:sz w:val="20"/>
          <w:szCs w:val="24"/>
          <w:shd w:val="clear" w:color="auto" w:fill="FFFFFF"/>
          <w:lang w:val="ro-MD"/>
        </w:rPr>
        <w:t xml:space="preserve"> </w:t>
      </w:r>
      <w:r w:rsidRPr="00255E9C">
        <w:rPr>
          <w:rFonts w:asciiTheme="majorHAnsi" w:hAnsiTheme="majorHAnsi" w:cstheme="majorHAnsi"/>
          <w:i/>
          <w:sz w:val="20"/>
          <w:szCs w:val="24"/>
          <w:shd w:val="clear" w:color="auto" w:fill="FFFFFF"/>
          <w:lang w:val="ro-MD"/>
        </w:rPr>
        <w:t>Elaborat în baza informaţiilor prezentate de către</w:t>
      </w:r>
      <w:r w:rsidR="00124B44" w:rsidRPr="00255E9C">
        <w:rPr>
          <w:rFonts w:asciiTheme="majorHAnsi" w:hAnsiTheme="majorHAnsi" w:cstheme="majorHAnsi"/>
          <w:i/>
          <w:sz w:val="20"/>
          <w:szCs w:val="24"/>
          <w:shd w:val="clear" w:color="auto" w:fill="FFFFFF"/>
          <w:lang w:val="ro-MD"/>
        </w:rPr>
        <w:t xml:space="preserve"> Instituțiile Publice din domeniul infrastructurii calității.</w:t>
      </w:r>
      <w:r w:rsidRPr="00F74DC3">
        <w:rPr>
          <w:rFonts w:asciiTheme="majorHAnsi" w:hAnsiTheme="majorHAnsi" w:cstheme="majorHAnsi"/>
          <w:sz w:val="20"/>
          <w:szCs w:val="24"/>
          <w:shd w:val="clear" w:color="auto" w:fill="FFFFFF"/>
          <w:lang w:val="ro-MD"/>
        </w:rPr>
        <w:t xml:space="preserve"> </w:t>
      </w:r>
    </w:p>
    <w:p w14:paraId="774381E0" w14:textId="77777777" w:rsidR="00357D1D" w:rsidRPr="00124B44" w:rsidRDefault="00357D1D" w:rsidP="00255E9C">
      <w:pPr>
        <w:pStyle w:val="ListParagraph"/>
        <w:tabs>
          <w:tab w:val="left" w:pos="270"/>
        </w:tabs>
        <w:spacing w:after="0" w:line="276" w:lineRule="auto"/>
        <w:ind w:left="0"/>
        <w:jc w:val="both"/>
        <w:rPr>
          <w:rFonts w:asciiTheme="majorHAnsi" w:hAnsiTheme="majorHAnsi" w:cstheme="majorHAnsi"/>
          <w:strike/>
          <w:sz w:val="20"/>
          <w:szCs w:val="24"/>
          <w:shd w:val="clear" w:color="auto" w:fill="FFFFFF"/>
          <w:lang w:val="ro-MD"/>
        </w:rPr>
      </w:pPr>
    </w:p>
    <w:p w14:paraId="63EC04BB" w14:textId="011E340B" w:rsidR="002A1AA5" w:rsidRDefault="00C744B9" w:rsidP="005A64B5">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 xml:space="preserve">Informațiile aferente cheltuielilor efectuate de către </w:t>
      </w:r>
      <w:r w:rsidR="00357D1D">
        <w:rPr>
          <w:rFonts w:asciiTheme="majorHAnsi" w:hAnsiTheme="majorHAnsi" w:cstheme="majorHAnsi"/>
          <w:sz w:val="24"/>
          <w:szCs w:val="24"/>
          <w:shd w:val="clear" w:color="auto" w:fill="FFFFFF"/>
          <w:lang w:val="ro-MD"/>
        </w:rPr>
        <w:t>instituțiile publice</w:t>
      </w:r>
      <w:r>
        <w:rPr>
          <w:rFonts w:asciiTheme="majorHAnsi" w:hAnsiTheme="majorHAnsi" w:cstheme="majorHAnsi"/>
          <w:sz w:val="24"/>
          <w:szCs w:val="24"/>
          <w:shd w:val="clear" w:color="auto" w:fill="FFFFFF"/>
          <w:lang w:val="ro-MD"/>
        </w:rPr>
        <w:t xml:space="preserve"> din dom</w:t>
      </w:r>
      <w:r w:rsidR="0095325C">
        <w:rPr>
          <w:rFonts w:asciiTheme="majorHAnsi" w:hAnsiTheme="majorHAnsi" w:cstheme="majorHAnsi"/>
          <w:sz w:val="24"/>
          <w:szCs w:val="24"/>
          <w:shd w:val="clear" w:color="auto" w:fill="FFFFFF"/>
          <w:lang w:val="ro-MD"/>
        </w:rPr>
        <w:t>eniul infrastructurii calității,</w:t>
      </w:r>
      <w:r w:rsidR="00357D1D">
        <w:rPr>
          <w:rFonts w:asciiTheme="majorHAnsi" w:hAnsiTheme="majorHAnsi" w:cstheme="majorHAnsi"/>
          <w:sz w:val="24"/>
          <w:szCs w:val="24"/>
          <w:shd w:val="clear" w:color="auto" w:fill="FFFFFF"/>
          <w:lang w:val="ro-MD"/>
        </w:rPr>
        <w:t xml:space="preserve"> </w:t>
      </w:r>
      <w:r>
        <w:rPr>
          <w:rFonts w:asciiTheme="majorHAnsi" w:hAnsiTheme="majorHAnsi" w:cstheme="majorHAnsi"/>
          <w:sz w:val="24"/>
          <w:szCs w:val="24"/>
          <w:shd w:val="clear" w:color="auto" w:fill="FFFFFF"/>
          <w:lang w:val="ro-MD"/>
        </w:rPr>
        <w:t xml:space="preserve">în perioada </w:t>
      </w:r>
      <w:r w:rsidR="00357D1D">
        <w:rPr>
          <w:rFonts w:asciiTheme="majorHAnsi" w:hAnsiTheme="majorHAnsi" w:cstheme="majorHAnsi"/>
          <w:sz w:val="24"/>
          <w:szCs w:val="24"/>
          <w:shd w:val="clear" w:color="auto" w:fill="FFFFFF"/>
          <w:lang w:val="ro-MD"/>
        </w:rPr>
        <w:t xml:space="preserve">anilor </w:t>
      </w:r>
      <w:r>
        <w:rPr>
          <w:rFonts w:asciiTheme="majorHAnsi" w:hAnsiTheme="majorHAnsi" w:cstheme="majorHAnsi"/>
          <w:sz w:val="24"/>
          <w:szCs w:val="24"/>
          <w:shd w:val="clear" w:color="auto" w:fill="FFFFFF"/>
          <w:lang w:val="ro-MD"/>
        </w:rPr>
        <w:t>2020-2021</w:t>
      </w:r>
      <w:r w:rsidR="0095325C">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 xml:space="preserve">  sunt prezentate </w:t>
      </w:r>
      <w:r w:rsidR="00641654" w:rsidRPr="00641654">
        <w:rPr>
          <w:rFonts w:asciiTheme="majorHAnsi" w:hAnsiTheme="majorHAnsi" w:cstheme="majorHAnsi"/>
          <w:sz w:val="24"/>
          <w:szCs w:val="24"/>
          <w:shd w:val="clear" w:color="auto" w:fill="FFFFFF"/>
          <w:lang w:val="ro-MD"/>
        </w:rPr>
        <w:t xml:space="preserve">în </w:t>
      </w:r>
      <w:r w:rsidR="00357D1D">
        <w:rPr>
          <w:rFonts w:asciiTheme="majorHAnsi" w:hAnsiTheme="majorHAnsi" w:cstheme="majorHAnsi"/>
          <w:sz w:val="24"/>
          <w:szCs w:val="24"/>
          <w:shd w:val="clear" w:color="auto" w:fill="FFFFFF"/>
          <w:lang w:val="ro-MD"/>
        </w:rPr>
        <w:t>A</w:t>
      </w:r>
      <w:r w:rsidR="00641654" w:rsidRPr="00641654">
        <w:rPr>
          <w:rFonts w:asciiTheme="majorHAnsi" w:hAnsiTheme="majorHAnsi" w:cstheme="majorHAnsi"/>
          <w:sz w:val="24"/>
          <w:szCs w:val="24"/>
          <w:shd w:val="clear" w:color="auto" w:fill="FFFFFF"/>
          <w:lang w:val="ro-MD"/>
        </w:rPr>
        <w:t xml:space="preserve">nexa nr.6 </w:t>
      </w:r>
      <w:r w:rsidRPr="00641654">
        <w:rPr>
          <w:rFonts w:asciiTheme="majorHAnsi" w:hAnsiTheme="majorHAnsi" w:cstheme="majorHAnsi"/>
          <w:sz w:val="24"/>
          <w:szCs w:val="24"/>
          <w:shd w:val="clear" w:color="auto" w:fill="FFFFFF"/>
          <w:lang w:val="ro-MD"/>
        </w:rPr>
        <w:t>la prezentul Raport de audit.</w:t>
      </w:r>
    </w:p>
    <w:p w14:paraId="184A9F34" w14:textId="78DA7261" w:rsidR="00D36B7E" w:rsidRDefault="00C744B9" w:rsidP="00D36B7E">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r>
        <w:rPr>
          <w:rFonts w:asciiTheme="majorHAnsi" w:hAnsiTheme="majorHAnsi" w:cstheme="majorHAnsi"/>
          <w:sz w:val="24"/>
          <w:szCs w:val="24"/>
          <w:shd w:val="clear" w:color="auto" w:fill="FFFFFF"/>
          <w:lang w:val="ro-MD"/>
        </w:rPr>
        <w:t xml:space="preserve">Probele de audit acumulate </w:t>
      </w:r>
      <w:r w:rsidR="00386A22">
        <w:rPr>
          <w:rFonts w:asciiTheme="majorHAnsi" w:hAnsiTheme="majorHAnsi" w:cstheme="majorHAnsi"/>
          <w:sz w:val="24"/>
          <w:szCs w:val="24"/>
          <w:shd w:val="clear" w:color="auto" w:fill="FFFFFF"/>
          <w:lang w:val="ro-MD"/>
        </w:rPr>
        <w:t xml:space="preserve">denotă admiterea de către </w:t>
      </w:r>
      <w:r w:rsidR="0031397F">
        <w:rPr>
          <w:rFonts w:asciiTheme="majorHAnsi" w:hAnsiTheme="majorHAnsi" w:cstheme="majorHAnsi"/>
          <w:sz w:val="24"/>
          <w:szCs w:val="24"/>
          <w:shd w:val="clear" w:color="auto" w:fill="FFFFFF"/>
          <w:lang w:val="ro-MD"/>
        </w:rPr>
        <w:t>i</w:t>
      </w:r>
      <w:r w:rsidR="0095325C">
        <w:rPr>
          <w:rFonts w:asciiTheme="majorHAnsi" w:hAnsiTheme="majorHAnsi" w:cstheme="majorHAnsi"/>
          <w:sz w:val="24"/>
          <w:szCs w:val="24"/>
          <w:shd w:val="clear" w:color="auto" w:fill="FFFFFF"/>
          <w:lang w:val="ro-MD"/>
        </w:rPr>
        <w:t xml:space="preserve">nstituțiile </w:t>
      </w:r>
      <w:r w:rsidR="0031397F">
        <w:rPr>
          <w:rFonts w:asciiTheme="majorHAnsi" w:hAnsiTheme="majorHAnsi" w:cstheme="majorHAnsi"/>
          <w:sz w:val="24"/>
          <w:szCs w:val="24"/>
          <w:shd w:val="clear" w:color="auto" w:fill="FFFFFF"/>
          <w:lang w:val="ro-MD"/>
        </w:rPr>
        <w:t>p</w:t>
      </w:r>
      <w:r w:rsidR="00386A22">
        <w:rPr>
          <w:rFonts w:asciiTheme="majorHAnsi" w:hAnsiTheme="majorHAnsi" w:cstheme="majorHAnsi"/>
          <w:sz w:val="24"/>
          <w:szCs w:val="24"/>
          <w:shd w:val="clear" w:color="auto" w:fill="FFFFFF"/>
          <w:lang w:val="ro-MD"/>
        </w:rPr>
        <w:t xml:space="preserve">ublice din domeniul infrastructurii calității a unor neconformități aferente utilizării mijloacelor financiare în perioada </w:t>
      </w:r>
      <w:r w:rsidR="0031397F">
        <w:rPr>
          <w:rFonts w:asciiTheme="majorHAnsi" w:hAnsiTheme="majorHAnsi" w:cstheme="majorHAnsi"/>
          <w:sz w:val="24"/>
          <w:szCs w:val="24"/>
          <w:shd w:val="clear" w:color="auto" w:fill="FFFFFF"/>
          <w:lang w:val="ro-MD"/>
        </w:rPr>
        <w:t xml:space="preserve">anilor </w:t>
      </w:r>
      <w:r w:rsidR="00386A22">
        <w:rPr>
          <w:rFonts w:asciiTheme="majorHAnsi" w:hAnsiTheme="majorHAnsi" w:cstheme="majorHAnsi"/>
          <w:sz w:val="24"/>
          <w:szCs w:val="24"/>
          <w:shd w:val="clear" w:color="auto" w:fill="FFFFFF"/>
          <w:lang w:val="ro-MD"/>
        </w:rPr>
        <w:t xml:space="preserve">2020-2021, </w:t>
      </w:r>
      <w:r w:rsidR="0031397F">
        <w:rPr>
          <w:rFonts w:asciiTheme="majorHAnsi" w:hAnsiTheme="majorHAnsi" w:cstheme="majorHAnsi"/>
          <w:sz w:val="24"/>
          <w:szCs w:val="24"/>
          <w:shd w:val="clear" w:color="auto" w:fill="FFFFFF"/>
          <w:lang w:val="ro-MD"/>
        </w:rPr>
        <w:t>expuse</w:t>
      </w:r>
      <w:r w:rsidR="00386A22">
        <w:rPr>
          <w:rFonts w:asciiTheme="majorHAnsi" w:hAnsiTheme="majorHAnsi" w:cstheme="majorHAnsi"/>
          <w:sz w:val="24"/>
          <w:szCs w:val="24"/>
          <w:shd w:val="clear" w:color="auto" w:fill="FFFFFF"/>
          <w:lang w:val="ro-MD"/>
        </w:rPr>
        <w:t xml:space="preserve"> în continuare. </w:t>
      </w:r>
    </w:p>
    <w:p w14:paraId="1CA9E5ED" w14:textId="77777777" w:rsidR="00D36B7E" w:rsidRPr="007917DD" w:rsidRDefault="00D36B7E" w:rsidP="00D36B7E">
      <w:pPr>
        <w:pStyle w:val="ListParagraph"/>
        <w:tabs>
          <w:tab w:val="left" w:pos="270"/>
        </w:tabs>
        <w:spacing w:after="0" w:line="276" w:lineRule="auto"/>
        <w:ind w:left="0" w:firstLine="720"/>
        <w:jc w:val="both"/>
        <w:rPr>
          <w:rFonts w:asciiTheme="majorHAnsi" w:hAnsiTheme="majorHAnsi" w:cstheme="majorHAnsi"/>
          <w:sz w:val="24"/>
          <w:szCs w:val="24"/>
          <w:shd w:val="clear" w:color="auto" w:fill="FFFFFF"/>
          <w:lang w:val="ro-MD"/>
        </w:rPr>
      </w:pPr>
    </w:p>
    <w:p w14:paraId="30062EC1" w14:textId="6F62F815" w:rsidR="006B3050" w:rsidRPr="00D36B7E" w:rsidRDefault="00386A22" w:rsidP="007E002D">
      <w:pPr>
        <w:pStyle w:val="ListParagraph"/>
        <w:numPr>
          <w:ilvl w:val="2"/>
          <w:numId w:val="38"/>
        </w:numPr>
        <w:tabs>
          <w:tab w:val="left" w:pos="0"/>
        </w:tabs>
        <w:spacing w:after="0" w:line="276" w:lineRule="auto"/>
        <w:ind w:left="0" w:firstLine="0"/>
        <w:contextualSpacing w:val="0"/>
        <w:jc w:val="both"/>
        <w:outlineLvl w:val="0"/>
        <w:rPr>
          <w:rFonts w:asciiTheme="majorHAnsi" w:hAnsiTheme="majorHAnsi" w:cstheme="majorHAnsi"/>
          <w:b/>
          <w:i/>
          <w:color w:val="00B0F0"/>
          <w:sz w:val="24"/>
          <w:szCs w:val="24"/>
          <w:lang w:val="ro-MD"/>
        </w:rPr>
      </w:pPr>
      <w:bookmarkStart w:id="130" w:name="_Toc123116713"/>
      <w:r w:rsidRPr="00D36B7E">
        <w:rPr>
          <w:rFonts w:asciiTheme="majorHAnsi" w:hAnsiTheme="majorHAnsi" w:cstheme="majorHAnsi"/>
          <w:b/>
          <w:i/>
          <w:color w:val="00B0F0"/>
          <w:sz w:val="24"/>
          <w:szCs w:val="24"/>
          <w:lang w:val="ro-MD"/>
        </w:rPr>
        <w:t>M</w:t>
      </w:r>
      <w:r w:rsidR="00F711C6" w:rsidRPr="00D36B7E">
        <w:rPr>
          <w:rFonts w:asciiTheme="majorHAnsi" w:hAnsiTheme="majorHAnsi" w:cstheme="majorHAnsi"/>
          <w:b/>
          <w:i/>
          <w:color w:val="00B0F0"/>
          <w:sz w:val="24"/>
          <w:szCs w:val="24"/>
          <w:lang w:val="ro-MD"/>
        </w:rPr>
        <w:t>anagementul instituțiilor publice din dom</w:t>
      </w:r>
      <w:r w:rsidRPr="00D36B7E">
        <w:rPr>
          <w:rFonts w:asciiTheme="majorHAnsi" w:hAnsiTheme="majorHAnsi" w:cstheme="majorHAnsi"/>
          <w:b/>
          <w:i/>
          <w:color w:val="00B0F0"/>
          <w:sz w:val="24"/>
          <w:szCs w:val="24"/>
          <w:lang w:val="ro-MD"/>
        </w:rPr>
        <w:t xml:space="preserve">eniul infrastructurii calității necesită a fi orientat în continuare pe realizarea obiectivelor strategice sectoriale </w:t>
      </w:r>
      <w:r w:rsidR="00693238" w:rsidRPr="00D36B7E">
        <w:rPr>
          <w:rFonts w:asciiTheme="majorHAnsi" w:hAnsiTheme="majorHAnsi" w:cstheme="majorHAnsi"/>
          <w:b/>
          <w:i/>
          <w:color w:val="00B0F0"/>
          <w:sz w:val="24"/>
          <w:szCs w:val="24"/>
          <w:lang w:val="ro-MD"/>
        </w:rPr>
        <w:t>în str</w:t>
      </w:r>
      <w:r w:rsidR="0031397F">
        <w:rPr>
          <w:rFonts w:asciiTheme="majorHAnsi" w:hAnsiTheme="majorHAnsi" w:cstheme="majorHAnsi"/>
          <w:b/>
          <w:i/>
          <w:color w:val="00B0F0"/>
          <w:sz w:val="24"/>
          <w:szCs w:val="24"/>
          <w:lang w:val="ro-MD"/>
        </w:rPr>
        <w:t>â</w:t>
      </w:r>
      <w:r w:rsidR="00693238" w:rsidRPr="00D36B7E">
        <w:rPr>
          <w:rFonts w:asciiTheme="majorHAnsi" w:hAnsiTheme="majorHAnsi" w:cstheme="majorHAnsi"/>
          <w:b/>
          <w:i/>
          <w:color w:val="00B0F0"/>
          <w:sz w:val="24"/>
          <w:szCs w:val="24"/>
          <w:lang w:val="ro-MD"/>
        </w:rPr>
        <w:t xml:space="preserve">nsă corelare cu </w:t>
      </w:r>
      <w:r w:rsidR="00F711C6" w:rsidRPr="00D36B7E">
        <w:rPr>
          <w:rFonts w:asciiTheme="majorHAnsi" w:hAnsiTheme="majorHAnsi" w:cstheme="majorHAnsi"/>
          <w:b/>
          <w:i/>
          <w:color w:val="00B0F0"/>
          <w:sz w:val="24"/>
          <w:szCs w:val="24"/>
          <w:lang w:val="ro-MD"/>
        </w:rPr>
        <w:t>Programul de activitate al Guvernului și CBTM.</w:t>
      </w:r>
      <w:bookmarkEnd w:id="130"/>
    </w:p>
    <w:p w14:paraId="37D30BF4" w14:textId="6A5A66DD" w:rsidR="00F92663" w:rsidRPr="007917DD" w:rsidRDefault="00F92663" w:rsidP="00D36B7E">
      <w:pPr>
        <w:pStyle w:val="ListParagraph"/>
        <w:tabs>
          <w:tab w:val="left" w:pos="270"/>
        </w:tabs>
        <w:spacing w:after="0" w:line="276" w:lineRule="auto"/>
        <w:ind w:left="0" w:firstLine="720"/>
        <w:jc w:val="both"/>
        <w:rPr>
          <w:rFonts w:asciiTheme="majorHAnsi" w:hAnsiTheme="majorHAnsi" w:cstheme="majorHAnsi"/>
          <w:sz w:val="24"/>
          <w:szCs w:val="24"/>
          <w:lang w:val="ro-RO"/>
        </w:rPr>
      </w:pPr>
      <w:r w:rsidRPr="007917DD">
        <w:rPr>
          <w:rFonts w:asciiTheme="majorHAnsi" w:hAnsiTheme="majorHAnsi" w:cstheme="majorHAnsi"/>
          <w:sz w:val="24"/>
          <w:szCs w:val="24"/>
          <w:lang w:val="ro-RO"/>
        </w:rPr>
        <w:t>Se relevă că dezvoltarea domeniului infrastructurii calității în Republica Moldova este orientată pe termen lung, cu implicarea  obiectivelor strategice, precum și cu dezvoltarea politicilor și planurilor destinate realizării acestora. Astfel, pentru realizarea politicilor statului în domeniul infrastructurii calității</w:t>
      </w:r>
      <w:r w:rsidR="0095325C">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a fost elaborată Strategia sectorială de cheltuieli pe </w:t>
      </w:r>
      <w:r w:rsidR="00935A76">
        <w:rPr>
          <w:rFonts w:asciiTheme="majorHAnsi" w:hAnsiTheme="majorHAnsi" w:cstheme="majorHAnsi"/>
          <w:sz w:val="24"/>
          <w:szCs w:val="24"/>
          <w:lang w:val="ro-RO"/>
        </w:rPr>
        <w:t>domeniul</w:t>
      </w:r>
      <w:r w:rsidRPr="007917DD">
        <w:rPr>
          <w:rFonts w:asciiTheme="majorHAnsi" w:hAnsiTheme="majorHAnsi" w:cstheme="majorHAnsi"/>
          <w:sz w:val="24"/>
          <w:szCs w:val="24"/>
          <w:lang w:val="ro-RO"/>
        </w:rPr>
        <w:t xml:space="preserve"> infrastructurii calităţii şi protecției consumatorilor</w:t>
      </w:r>
      <w:r w:rsidR="00090899">
        <w:rPr>
          <w:rStyle w:val="FootnoteReference"/>
          <w:rFonts w:asciiTheme="majorHAnsi" w:hAnsiTheme="majorHAnsi" w:cstheme="majorHAnsi"/>
          <w:szCs w:val="24"/>
          <w:lang w:val="ro-RO"/>
        </w:rPr>
        <w:footnoteReference w:id="38"/>
      </w:r>
      <w:r w:rsidRPr="007917DD">
        <w:rPr>
          <w:rFonts w:asciiTheme="majorHAnsi" w:hAnsiTheme="majorHAnsi" w:cstheme="majorHAnsi"/>
          <w:sz w:val="24"/>
          <w:szCs w:val="24"/>
          <w:lang w:val="ro-RO"/>
        </w:rPr>
        <w:t xml:space="preserve">. </w:t>
      </w:r>
    </w:p>
    <w:p w14:paraId="14C0C9E0" w14:textId="292918EF" w:rsidR="00090899" w:rsidRPr="00F975FB" w:rsidRDefault="00090899" w:rsidP="00C45A97">
      <w:pPr>
        <w:pStyle w:val="ListParagraph"/>
        <w:tabs>
          <w:tab w:val="left" w:pos="270"/>
        </w:tabs>
        <w:spacing w:after="0" w:line="276" w:lineRule="auto"/>
        <w:ind w:left="0" w:firstLine="720"/>
        <w:jc w:val="both"/>
        <w:rPr>
          <w:rFonts w:asciiTheme="majorHAnsi" w:hAnsiTheme="majorHAnsi" w:cstheme="majorHAnsi"/>
          <w:sz w:val="24"/>
          <w:szCs w:val="24"/>
          <w:lang w:val="ro-RO"/>
        </w:rPr>
      </w:pPr>
      <w:r w:rsidRPr="00C45A97">
        <w:rPr>
          <w:rFonts w:asciiTheme="majorHAnsi" w:hAnsiTheme="majorHAnsi" w:cstheme="majorHAnsi"/>
          <w:sz w:val="24"/>
          <w:szCs w:val="24"/>
          <w:shd w:val="clear" w:color="auto" w:fill="FFFFFF"/>
          <w:lang w:val="ro-MD"/>
        </w:rPr>
        <w:t>Mijloace</w:t>
      </w:r>
      <w:r w:rsidRPr="00F975FB">
        <w:rPr>
          <w:rFonts w:asciiTheme="majorHAnsi" w:hAnsiTheme="majorHAnsi" w:cstheme="majorHAnsi"/>
          <w:sz w:val="24"/>
          <w:szCs w:val="24"/>
          <w:lang w:val="ro-RO"/>
        </w:rPr>
        <w:t xml:space="preserve"> financiare din bugetul de stat </w:t>
      </w:r>
      <w:r w:rsidR="00123CFF" w:rsidRPr="00F975FB">
        <w:rPr>
          <w:rFonts w:asciiTheme="majorHAnsi" w:hAnsiTheme="majorHAnsi" w:cstheme="majorHAnsi"/>
          <w:sz w:val="24"/>
          <w:szCs w:val="24"/>
          <w:lang w:val="ro-RO"/>
        </w:rPr>
        <w:t>au fost</w:t>
      </w:r>
      <w:r w:rsidRPr="00F975FB">
        <w:rPr>
          <w:rFonts w:asciiTheme="majorHAnsi" w:hAnsiTheme="majorHAnsi" w:cstheme="majorHAnsi"/>
          <w:sz w:val="24"/>
          <w:szCs w:val="24"/>
          <w:lang w:val="ro-RO"/>
        </w:rPr>
        <w:t xml:space="preserve"> alocate pentru realizarea următoarelor activități:</w:t>
      </w:r>
    </w:p>
    <w:p w14:paraId="2788090D" w14:textId="28AE4AD6" w:rsidR="00F92663" w:rsidRPr="007917DD" w:rsidRDefault="00F92663" w:rsidP="007E002D">
      <w:pPr>
        <w:pStyle w:val="ListParagraph"/>
        <w:numPr>
          <w:ilvl w:val="0"/>
          <w:numId w:val="21"/>
        </w:numPr>
        <w:spacing w:line="276" w:lineRule="auto"/>
        <w:ind w:left="0" w:firstLine="360"/>
        <w:jc w:val="both"/>
        <w:rPr>
          <w:rFonts w:asciiTheme="majorHAnsi" w:hAnsiTheme="majorHAnsi" w:cstheme="majorHAnsi"/>
          <w:sz w:val="24"/>
          <w:szCs w:val="24"/>
          <w:lang w:val="ro-RO"/>
        </w:rPr>
      </w:pPr>
      <w:r w:rsidRPr="007917DD">
        <w:rPr>
          <w:rFonts w:asciiTheme="majorHAnsi" w:hAnsiTheme="majorHAnsi" w:cstheme="majorHAnsi"/>
          <w:sz w:val="24"/>
          <w:szCs w:val="24"/>
          <w:lang w:val="ro-RO"/>
        </w:rPr>
        <w:t>finanţarea activităţii Institutului Naţional de Standardizare, inclusiv în</w:t>
      </w:r>
      <w:r w:rsidR="0031397F">
        <w:rPr>
          <w:rFonts w:asciiTheme="majorHAnsi" w:hAnsiTheme="majorHAnsi" w:cstheme="majorHAnsi"/>
          <w:sz w:val="24"/>
          <w:szCs w:val="24"/>
          <w:lang w:val="ro-RO"/>
        </w:rPr>
        <w:t xml:space="preserve"> </w:t>
      </w:r>
      <w:r w:rsidRPr="007917DD">
        <w:rPr>
          <w:rFonts w:asciiTheme="majorHAnsi" w:hAnsiTheme="majorHAnsi" w:cstheme="majorHAnsi"/>
          <w:sz w:val="24"/>
          <w:szCs w:val="24"/>
          <w:lang w:val="ro-RO"/>
        </w:rPr>
        <w:t>ce priveşte adoptarea standardelor europene şi internaţionale în calitate de standarde naţionale;</w:t>
      </w:r>
    </w:p>
    <w:p w14:paraId="28D003A0" w14:textId="77777777" w:rsidR="00F92663" w:rsidRPr="007917DD" w:rsidRDefault="00F92663" w:rsidP="007E002D">
      <w:pPr>
        <w:pStyle w:val="ListParagraph"/>
        <w:numPr>
          <w:ilvl w:val="0"/>
          <w:numId w:val="21"/>
        </w:numPr>
        <w:spacing w:line="276" w:lineRule="auto"/>
        <w:ind w:left="0" w:firstLine="360"/>
        <w:jc w:val="both"/>
        <w:rPr>
          <w:rFonts w:asciiTheme="majorHAnsi" w:hAnsiTheme="majorHAnsi" w:cstheme="majorHAnsi"/>
          <w:sz w:val="24"/>
          <w:szCs w:val="24"/>
          <w:lang w:val="ro-RO"/>
        </w:rPr>
      </w:pPr>
      <w:r w:rsidRPr="007917DD">
        <w:rPr>
          <w:rFonts w:asciiTheme="majorHAnsi" w:hAnsiTheme="majorHAnsi" w:cstheme="majorHAnsi"/>
          <w:sz w:val="24"/>
          <w:szCs w:val="24"/>
          <w:lang w:val="ro-RO"/>
        </w:rPr>
        <w:t>finanţarea activităţilor de menţinere şi dezvoltare a Bazei Naţionale de Etaloane, precum şi asigurarea trasabilităţii măsurărilor de către Institutul Naţional de Metrologie;</w:t>
      </w:r>
    </w:p>
    <w:p w14:paraId="4F27EB0A" w14:textId="5ED9BA4B" w:rsidR="00F92663" w:rsidRPr="007917DD" w:rsidRDefault="00F92663" w:rsidP="007E002D">
      <w:pPr>
        <w:pStyle w:val="ListParagraph"/>
        <w:numPr>
          <w:ilvl w:val="0"/>
          <w:numId w:val="21"/>
        </w:numPr>
        <w:spacing w:line="276" w:lineRule="auto"/>
        <w:ind w:left="0" w:firstLine="360"/>
        <w:jc w:val="both"/>
        <w:rPr>
          <w:rFonts w:asciiTheme="majorHAnsi" w:hAnsiTheme="majorHAnsi" w:cstheme="majorHAnsi"/>
          <w:sz w:val="24"/>
          <w:szCs w:val="24"/>
          <w:lang w:val="ro-RO"/>
        </w:rPr>
      </w:pPr>
      <w:r w:rsidRPr="007917DD">
        <w:rPr>
          <w:rFonts w:asciiTheme="majorHAnsi" w:hAnsiTheme="majorHAnsi" w:cstheme="majorHAnsi"/>
          <w:sz w:val="24"/>
          <w:szCs w:val="24"/>
          <w:lang w:val="ro-RO"/>
        </w:rPr>
        <w:t xml:space="preserve">finanţarea </w:t>
      </w:r>
      <w:r w:rsidRPr="00603857">
        <w:rPr>
          <w:rFonts w:asciiTheme="majorHAnsi" w:hAnsiTheme="majorHAnsi" w:cstheme="majorHAnsi"/>
          <w:sz w:val="24"/>
          <w:szCs w:val="24"/>
          <w:lang w:val="ro-RO"/>
        </w:rPr>
        <w:t xml:space="preserve">Centrului Naţional de Acreditare </w:t>
      </w:r>
      <w:r w:rsidR="00603857" w:rsidRPr="00255E9C">
        <w:rPr>
          <w:rFonts w:asciiTheme="majorHAnsi" w:hAnsiTheme="majorHAnsi" w:cstheme="majorHAnsi"/>
          <w:sz w:val="24"/>
          <w:szCs w:val="24"/>
          <w:lang w:val="ro-RO"/>
        </w:rPr>
        <w:t>din Republica Moldova (</w:t>
      </w:r>
      <w:r w:rsidRPr="00603857">
        <w:rPr>
          <w:rFonts w:asciiTheme="majorHAnsi" w:hAnsiTheme="majorHAnsi" w:cstheme="majorHAnsi"/>
          <w:sz w:val="24"/>
          <w:szCs w:val="24"/>
          <w:lang w:val="ro-RO"/>
        </w:rPr>
        <w:t>MOLDAC</w:t>
      </w:r>
      <w:r w:rsidR="00603857" w:rsidRPr="00603857">
        <w:rPr>
          <w:rFonts w:asciiTheme="majorHAnsi" w:hAnsiTheme="majorHAnsi" w:cstheme="majorHAnsi"/>
          <w:sz w:val="24"/>
          <w:szCs w:val="24"/>
          <w:lang w:val="ro-RO"/>
        </w:rPr>
        <w:t>)</w:t>
      </w:r>
      <w:r w:rsidR="0031397F" w:rsidRPr="00603857">
        <w:rPr>
          <w:rFonts w:asciiTheme="majorHAnsi" w:hAnsiTheme="majorHAnsi" w:cstheme="majorHAnsi"/>
          <w:sz w:val="24"/>
          <w:szCs w:val="24"/>
          <w:lang w:val="ro-RO"/>
        </w:rPr>
        <w:t>,</w:t>
      </w:r>
      <w:r w:rsidRPr="00603857">
        <w:rPr>
          <w:rFonts w:asciiTheme="majorHAnsi" w:hAnsiTheme="majorHAnsi" w:cstheme="majorHAnsi"/>
          <w:sz w:val="24"/>
          <w:szCs w:val="24"/>
          <w:lang w:val="ro-RO"/>
        </w:rPr>
        <w:t xml:space="preserve"> </w:t>
      </w:r>
      <w:r w:rsidR="00E33923" w:rsidRPr="00603857">
        <w:rPr>
          <w:rFonts w:asciiTheme="majorHAnsi" w:hAnsiTheme="majorHAnsi" w:cstheme="majorHAnsi"/>
          <w:sz w:val="24"/>
          <w:szCs w:val="24"/>
          <w:lang w:val="ro-RO"/>
        </w:rPr>
        <w:t>pentru</w:t>
      </w:r>
      <w:r w:rsidRPr="007917DD">
        <w:rPr>
          <w:rFonts w:asciiTheme="majorHAnsi" w:hAnsiTheme="majorHAnsi" w:cstheme="majorHAnsi"/>
          <w:sz w:val="24"/>
          <w:szCs w:val="24"/>
          <w:lang w:val="ro-RO"/>
        </w:rPr>
        <w:t xml:space="preserve"> asigur</w:t>
      </w:r>
      <w:r w:rsidR="00E33923">
        <w:rPr>
          <w:rFonts w:asciiTheme="majorHAnsi" w:hAnsiTheme="majorHAnsi" w:cstheme="majorHAnsi"/>
          <w:sz w:val="24"/>
          <w:szCs w:val="24"/>
          <w:lang w:val="ro-RO"/>
        </w:rPr>
        <w:t xml:space="preserve">area </w:t>
      </w:r>
      <w:r w:rsidRPr="007917DD">
        <w:rPr>
          <w:rFonts w:asciiTheme="majorHAnsi" w:hAnsiTheme="majorHAnsi" w:cstheme="majorHAnsi"/>
          <w:sz w:val="24"/>
          <w:szCs w:val="24"/>
          <w:lang w:val="ro-RO"/>
        </w:rPr>
        <w:t xml:space="preserve">îndeplinirii obligaţiilor de membru asociat al Acordului de Recunoaştere Multilaterală cu Cooperarea Europeană pentru Acreditare, inclusiv asigurarea  participării la lucrările organizaţiilor europene şi internaţionale de acreditare, care decurg din obligaţiile de membru semnatar al acordurilor respective de recunoaştere, precum şi </w:t>
      </w:r>
      <w:r w:rsidR="00E33923">
        <w:rPr>
          <w:rFonts w:asciiTheme="majorHAnsi" w:hAnsiTheme="majorHAnsi" w:cstheme="majorHAnsi"/>
          <w:sz w:val="24"/>
          <w:szCs w:val="24"/>
          <w:lang w:val="ro-RO"/>
        </w:rPr>
        <w:t xml:space="preserve">pentru </w:t>
      </w:r>
      <w:r w:rsidRPr="007917DD">
        <w:rPr>
          <w:rFonts w:asciiTheme="majorHAnsi" w:hAnsiTheme="majorHAnsi" w:cstheme="majorHAnsi"/>
          <w:sz w:val="24"/>
          <w:szCs w:val="24"/>
          <w:lang w:val="ro-RO"/>
        </w:rPr>
        <w:t>asigurarea realizării activităţilor de cooperare legate de acreditarea europeană şi cea internaţională;</w:t>
      </w:r>
    </w:p>
    <w:p w14:paraId="4970B746" w14:textId="65E4243C" w:rsidR="00F92663" w:rsidRPr="007917DD" w:rsidRDefault="00F92663" w:rsidP="007E002D">
      <w:pPr>
        <w:pStyle w:val="ListParagraph"/>
        <w:numPr>
          <w:ilvl w:val="0"/>
          <w:numId w:val="21"/>
        </w:numPr>
        <w:spacing w:after="0" w:line="276" w:lineRule="auto"/>
        <w:ind w:left="0" w:firstLine="360"/>
        <w:jc w:val="both"/>
        <w:rPr>
          <w:rFonts w:asciiTheme="majorHAnsi" w:hAnsiTheme="majorHAnsi" w:cstheme="majorHAnsi"/>
          <w:sz w:val="24"/>
          <w:szCs w:val="24"/>
          <w:lang w:val="ro-RO"/>
        </w:rPr>
      </w:pPr>
      <w:r w:rsidRPr="007917DD">
        <w:rPr>
          <w:rFonts w:asciiTheme="majorHAnsi" w:hAnsiTheme="majorHAnsi" w:cstheme="majorHAnsi"/>
          <w:sz w:val="24"/>
          <w:szCs w:val="24"/>
          <w:lang w:val="ro-RO"/>
        </w:rPr>
        <w:t>finanţarea activităţii Agenţiei pentru Protecţia Consumatorilor</w:t>
      </w:r>
      <w:r w:rsidR="00582BF2">
        <w:rPr>
          <w:rFonts w:asciiTheme="majorHAnsi" w:hAnsiTheme="majorHAnsi" w:cstheme="majorHAnsi"/>
          <w:sz w:val="24"/>
          <w:szCs w:val="24"/>
          <w:lang w:val="ro-RO"/>
        </w:rPr>
        <w:t xml:space="preserve"> și Supravegherea Pieței</w:t>
      </w:r>
      <w:r w:rsidRPr="007917DD">
        <w:rPr>
          <w:rFonts w:asciiTheme="majorHAnsi" w:hAnsiTheme="majorHAnsi" w:cstheme="majorHAnsi"/>
          <w:sz w:val="24"/>
          <w:szCs w:val="24"/>
          <w:lang w:val="ro-RO"/>
        </w:rPr>
        <w:t>.</w:t>
      </w:r>
    </w:p>
    <w:p w14:paraId="5D03382D" w14:textId="732210EB" w:rsidR="00123CFF" w:rsidRPr="007917DD" w:rsidRDefault="00F92663" w:rsidP="00C45A97">
      <w:pPr>
        <w:pStyle w:val="ListParagraph"/>
        <w:tabs>
          <w:tab w:val="left" w:pos="270"/>
        </w:tabs>
        <w:spacing w:after="0" w:line="276" w:lineRule="auto"/>
        <w:ind w:left="0" w:firstLine="720"/>
        <w:jc w:val="both"/>
        <w:rPr>
          <w:rFonts w:asciiTheme="majorHAnsi" w:hAnsiTheme="majorHAnsi" w:cstheme="majorHAnsi"/>
          <w:sz w:val="24"/>
          <w:szCs w:val="24"/>
          <w:lang w:val="ro-RO"/>
        </w:rPr>
      </w:pPr>
      <w:r w:rsidRPr="00C45A97">
        <w:rPr>
          <w:rFonts w:asciiTheme="majorHAnsi" w:hAnsiTheme="majorHAnsi" w:cstheme="majorHAnsi"/>
          <w:sz w:val="24"/>
          <w:szCs w:val="24"/>
          <w:shd w:val="clear" w:color="auto" w:fill="FFFFFF"/>
          <w:lang w:val="ro-MD"/>
        </w:rPr>
        <w:t>Activitățile</w:t>
      </w:r>
      <w:r w:rsidRPr="007917DD">
        <w:rPr>
          <w:rFonts w:asciiTheme="majorHAnsi" w:hAnsiTheme="majorHAnsi" w:cstheme="majorHAnsi"/>
          <w:sz w:val="24"/>
          <w:szCs w:val="24"/>
          <w:lang w:val="ro-RO"/>
        </w:rPr>
        <w:t xml:space="preserve"> de audit desfășurate au relevat că</w:t>
      </w:r>
      <w:r w:rsidR="00E33923">
        <w:rPr>
          <w:rFonts w:asciiTheme="majorHAnsi" w:hAnsiTheme="majorHAnsi" w:cstheme="majorHAnsi"/>
          <w:sz w:val="24"/>
          <w:szCs w:val="24"/>
          <w:lang w:val="ro-RO"/>
        </w:rPr>
        <w:t xml:space="preserve"> </w:t>
      </w:r>
      <w:r w:rsidRPr="007917DD">
        <w:rPr>
          <w:rFonts w:asciiTheme="majorHAnsi" w:hAnsiTheme="majorHAnsi" w:cstheme="majorHAnsi"/>
          <w:sz w:val="24"/>
          <w:szCs w:val="24"/>
          <w:lang w:val="ro-RO"/>
        </w:rPr>
        <w:t xml:space="preserve">Planurile anuale de activitate ale instituțiilor auditate, care </w:t>
      </w:r>
      <w:r w:rsidRPr="00603857">
        <w:rPr>
          <w:rFonts w:asciiTheme="majorHAnsi" w:hAnsiTheme="majorHAnsi" w:cstheme="majorHAnsi"/>
          <w:sz w:val="24"/>
          <w:szCs w:val="24"/>
          <w:lang w:val="ro-RO"/>
        </w:rPr>
        <w:t>sunt susținute cu Planurile</w:t>
      </w:r>
      <w:r w:rsidRPr="007917DD">
        <w:rPr>
          <w:rFonts w:asciiTheme="majorHAnsi" w:hAnsiTheme="majorHAnsi" w:cstheme="majorHAnsi"/>
          <w:sz w:val="24"/>
          <w:szCs w:val="24"/>
          <w:lang w:val="ro-RO"/>
        </w:rPr>
        <w:t xml:space="preserve"> anuale ale subdiviziunilor structurale ale acestora, derivă din </w:t>
      </w:r>
      <w:r w:rsidR="00E33923">
        <w:rPr>
          <w:rFonts w:asciiTheme="majorHAnsi" w:hAnsiTheme="majorHAnsi" w:cstheme="majorHAnsi"/>
          <w:sz w:val="24"/>
          <w:szCs w:val="24"/>
          <w:lang w:val="ro-RO"/>
        </w:rPr>
        <w:t>S</w:t>
      </w:r>
      <w:r w:rsidRPr="007917DD">
        <w:rPr>
          <w:rFonts w:asciiTheme="majorHAnsi" w:hAnsiTheme="majorHAnsi" w:cstheme="majorHAnsi"/>
          <w:sz w:val="24"/>
          <w:szCs w:val="24"/>
          <w:lang w:val="ro-RO"/>
        </w:rPr>
        <w:t xml:space="preserve">trategia sectorială de cheltuieli pe </w:t>
      </w:r>
      <w:r w:rsidR="00123CFF">
        <w:rPr>
          <w:rFonts w:asciiTheme="majorHAnsi" w:hAnsiTheme="majorHAnsi" w:cstheme="majorHAnsi"/>
          <w:sz w:val="24"/>
          <w:szCs w:val="24"/>
          <w:lang w:val="ro-RO"/>
        </w:rPr>
        <w:t>domeniul</w:t>
      </w:r>
      <w:r w:rsidRPr="007917DD">
        <w:rPr>
          <w:rFonts w:asciiTheme="majorHAnsi" w:hAnsiTheme="majorHAnsi" w:cstheme="majorHAnsi"/>
          <w:sz w:val="24"/>
          <w:szCs w:val="24"/>
          <w:lang w:val="ro-RO"/>
        </w:rPr>
        <w:t xml:space="preserve"> infrastructurii calității. Raportarea/monitorizarea realizării planurilor în cauză se efectuează anual, iar rapoartele respective sunt aprobate de către managerii instituțiilor, ulterior transmise </w:t>
      </w:r>
      <w:r w:rsidR="00E33923">
        <w:rPr>
          <w:rFonts w:asciiTheme="majorHAnsi" w:hAnsiTheme="majorHAnsi" w:cstheme="majorHAnsi"/>
          <w:sz w:val="24"/>
          <w:szCs w:val="24"/>
          <w:lang w:val="ro-RO"/>
        </w:rPr>
        <w:t>D</w:t>
      </w:r>
      <w:r w:rsidRPr="007917DD">
        <w:rPr>
          <w:rFonts w:asciiTheme="majorHAnsi" w:hAnsiTheme="majorHAnsi" w:cstheme="majorHAnsi"/>
          <w:sz w:val="24"/>
          <w:szCs w:val="24"/>
          <w:lang w:val="ro-RO"/>
        </w:rPr>
        <w:t>irecției de ramură din cadrul Ministerului Economiei și plasate</w:t>
      </w:r>
      <w:r w:rsidR="00E3392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pentru publicul larg</w:t>
      </w:r>
      <w:r w:rsidR="00E3392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pe pagina oficială web a fiecărei entități în parte, precum și pe pagina web a ministerului. Totodată, se </w:t>
      </w:r>
      <w:r w:rsidR="00123CFF">
        <w:rPr>
          <w:rFonts w:asciiTheme="majorHAnsi" w:hAnsiTheme="majorHAnsi" w:cstheme="majorHAnsi"/>
          <w:sz w:val="24"/>
          <w:szCs w:val="24"/>
          <w:lang w:val="ro-RO"/>
        </w:rPr>
        <w:t xml:space="preserve">denotă </w:t>
      </w:r>
      <w:r w:rsidRPr="007917DD">
        <w:rPr>
          <w:rFonts w:asciiTheme="majorHAnsi" w:hAnsiTheme="majorHAnsi" w:cstheme="majorHAnsi"/>
          <w:sz w:val="24"/>
          <w:szCs w:val="24"/>
          <w:lang w:val="ro-RO"/>
        </w:rPr>
        <w:t>că bugetele instituțiilor auditate</w:t>
      </w:r>
      <w:r w:rsidR="00E3392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aprobate pentru an</w:t>
      </w:r>
      <w:r w:rsidR="0087737B">
        <w:rPr>
          <w:rFonts w:asciiTheme="majorHAnsi" w:hAnsiTheme="majorHAnsi" w:cstheme="majorHAnsi"/>
          <w:sz w:val="24"/>
          <w:szCs w:val="24"/>
          <w:lang w:val="ro-RO"/>
        </w:rPr>
        <w:t>ii</w:t>
      </w:r>
      <w:r w:rsidRPr="007917DD">
        <w:rPr>
          <w:rFonts w:asciiTheme="majorHAnsi" w:hAnsiTheme="majorHAnsi" w:cstheme="majorHAnsi"/>
          <w:sz w:val="24"/>
          <w:szCs w:val="24"/>
          <w:lang w:val="ro-RO"/>
        </w:rPr>
        <w:t xml:space="preserve"> 2020</w:t>
      </w:r>
      <w:r w:rsidR="0087737B">
        <w:rPr>
          <w:rFonts w:asciiTheme="majorHAnsi" w:hAnsiTheme="majorHAnsi" w:cstheme="majorHAnsi"/>
          <w:sz w:val="24"/>
          <w:szCs w:val="24"/>
          <w:lang w:val="ro-RO"/>
        </w:rPr>
        <w:t>-2021</w:t>
      </w:r>
      <w:r w:rsidR="00E3392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sunt  integrate și conjugate cu activitățile, obiectivele și performanțele propuse în </w:t>
      </w:r>
      <w:r w:rsidRPr="00113A5C">
        <w:rPr>
          <w:rFonts w:asciiTheme="majorHAnsi" w:hAnsiTheme="majorHAnsi" w:cstheme="majorHAnsi"/>
          <w:sz w:val="24"/>
          <w:szCs w:val="24"/>
          <w:shd w:val="clear" w:color="auto" w:fill="FFFFFF"/>
          <w:lang w:val="ro-MD"/>
        </w:rPr>
        <w:t>Planurile</w:t>
      </w:r>
      <w:r w:rsidRPr="007917DD">
        <w:rPr>
          <w:rFonts w:asciiTheme="majorHAnsi" w:hAnsiTheme="majorHAnsi" w:cstheme="majorHAnsi"/>
          <w:sz w:val="24"/>
          <w:szCs w:val="24"/>
          <w:lang w:val="ro-RO"/>
        </w:rPr>
        <w:t xml:space="preserve"> anuale de activitate aferente</w:t>
      </w:r>
      <w:r w:rsidR="00123CFF">
        <w:rPr>
          <w:rFonts w:asciiTheme="majorHAnsi" w:hAnsiTheme="majorHAnsi" w:cstheme="majorHAnsi"/>
          <w:sz w:val="24"/>
          <w:szCs w:val="24"/>
          <w:lang w:val="ro-RO"/>
        </w:rPr>
        <w:t>, fiind asigurat</w:t>
      </w:r>
      <w:r w:rsidR="00E33923">
        <w:rPr>
          <w:rFonts w:asciiTheme="majorHAnsi" w:hAnsiTheme="majorHAnsi" w:cstheme="majorHAnsi"/>
          <w:sz w:val="24"/>
          <w:szCs w:val="24"/>
          <w:lang w:val="ro-RO"/>
        </w:rPr>
        <w:t>e</w:t>
      </w:r>
      <w:r w:rsidR="00123CFF">
        <w:rPr>
          <w:rFonts w:asciiTheme="majorHAnsi" w:hAnsiTheme="majorHAnsi" w:cstheme="majorHAnsi"/>
          <w:sz w:val="24"/>
          <w:szCs w:val="24"/>
          <w:lang w:val="ro-RO"/>
        </w:rPr>
        <w:t xml:space="preserve"> </w:t>
      </w:r>
      <w:r w:rsidR="00123CFF" w:rsidRPr="007917DD">
        <w:rPr>
          <w:rFonts w:asciiTheme="majorHAnsi" w:hAnsiTheme="majorHAnsi" w:cstheme="majorHAnsi"/>
          <w:sz w:val="24"/>
          <w:szCs w:val="24"/>
          <w:lang w:val="ro-RO"/>
        </w:rPr>
        <w:t xml:space="preserve">interacțiunea și coraportul  între activitatea  instituțiilor </w:t>
      </w:r>
      <w:r w:rsidR="00152A5E">
        <w:rPr>
          <w:rFonts w:asciiTheme="majorHAnsi" w:hAnsiTheme="majorHAnsi" w:cstheme="majorHAnsi"/>
          <w:sz w:val="24"/>
          <w:szCs w:val="24"/>
          <w:lang w:val="ro-RO"/>
        </w:rPr>
        <w:t xml:space="preserve">publice </w:t>
      </w:r>
      <w:r w:rsidR="00123CFF" w:rsidRPr="007917DD">
        <w:rPr>
          <w:rFonts w:asciiTheme="majorHAnsi" w:hAnsiTheme="majorHAnsi" w:cstheme="majorHAnsi"/>
          <w:sz w:val="24"/>
          <w:szCs w:val="24"/>
          <w:lang w:val="ro-RO"/>
        </w:rPr>
        <w:t xml:space="preserve">din domeniul infrastructurii calității și documentele naționale strategice de bază: </w:t>
      </w:r>
      <w:r w:rsidR="00123CFF" w:rsidRPr="00123CFF">
        <w:rPr>
          <w:rFonts w:asciiTheme="majorHAnsi" w:hAnsiTheme="majorHAnsi" w:cstheme="majorHAnsi"/>
          <w:sz w:val="24"/>
          <w:szCs w:val="24"/>
          <w:lang w:val="ro-RO"/>
        </w:rPr>
        <w:t>Programul de activitate al Guvernului (în</w:t>
      </w:r>
      <w:r w:rsidR="00123CFF" w:rsidRPr="007917DD">
        <w:rPr>
          <w:rFonts w:asciiTheme="majorHAnsi" w:hAnsiTheme="majorHAnsi" w:cstheme="majorHAnsi"/>
          <w:sz w:val="24"/>
          <w:szCs w:val="24"/>
          <w:lang w:val="ro-RO"/>
        </w:rPr>
        <w:t xml:space="preserve"> ceea ce privește realizarea priorităților guvernamentale); CBTM (c</w:t>
      </w:r>
      <w:r w:rsidR="00E33923">
        <w:rPr>
          <w:rFonts w:asciiTheme="majorHAnsi" w:hAnsiTheme="majorHAnsi" w:cstheme="majorHAnsi"/>
          <w:sz w:val="24"/>
          <w:szCs w:val="24"/>
          <w:lang w:val="ro-RO"/>
        </w:rPr>
        <w:t>ar</w:t>
      </w:r>
      <w:r w:rsidR="00123CFF" w:rsidRPr="007917DD">
        <w:rPr>
          <w:rFonts w:asciiTheme="majorHAnsi" w:hAnsiTheme="majorHAnsi" w:cstheme="majorHAnsi"/>
          <w:sz w:val="24"/>
          <w:szCs w:val="24"/>
          <w:lang w:val="ro-RO"/>
        </w:rPr>
        <w:t>e ține de coordonarea planurilor strategice de cheltuieli).</w:t>
      </w:r>
      <w:r w:rsidR="002B2360">
        <w:rPr>
          <w:rFonts w:asciiTheme="majorHAnsi" w:hAnsiTheme="majorHAnsi" w:cstheme="majorHAnsi"/>
          <w:sz w:val="24"/>
          <w:szCs w:val="24"/>
          <w:lang w:val="ro-RO"/>
        </w:rPr>
        <w:t xml:space="preserve"> </w:t>
      </w:r>
    </w:p>
    <w:p w14:paraId="58AF8D22" w14:textId="34279408" w:rsidR="00CC3A26" w:rsidRDefault="00DA072E" w:rsidP="00113A5C">
      <w:pPr>
        <w:pStyle w:val="ListParagraph"/>
        <w:tabs>
          <w:tab w:val="left" w:pos="270"/>
        </w:tabs>
        <w:spacing w:after="0" w:line="276" w:lineRule="auto"/>
        <w:ind w:left="0" w:firstLine="720"/>
        <w:jc w:val="both"/>
        <w:rPr>
          <w:rFonts w:eastAsia="Arial"/>
          <w:lang w:val="ro-RO"/>
        </w:rPr>
      </w:pPr>
      <w:r>
        <w:rPr>
          <w:rFonts w:asciiTheme="majorHAnsi" w:hAnsiTheme="majorHAnsi" w:cstheme="majorHAnsi"/>
          <w:sz w:val="24"/>
          <w:szCs w:val="24"/>
          <w:lang w:val="ro-MD"/>
        </w:rPr>
        <w:t xml:space="preserve">De </w:t>
      </w:r>
      <w:r w:rsidRPr="00113A5C">
        <w:rPr>
          <w:rFonts w:asciiTheme="majorHAnsi" w:hAnsiTheme="majorHAnsi" w:cstheme="majorHAnsi"/>
          <w:sz w:val="24"/>
          <w:szCs w:val="24"/>
          <w:shd w:val="clear" w:color="auto" w:fill="FFFFFF"/>
          <w:lang w:val="ro-MD"/>
        </w:rPr>
        <w:t>menționat</w:t>
      </w:r>
      <w:r>
        <w:rPr>
          <w:rFonts w:asciiTheme="majorHAnsi" w:hAnsiTheme="majorHAnsi" w:cstheme="majorHAnsi"/>
          <w:sz w:val="24"/>
          <w:szCs w:val="24"/>
          <w:lang w:val="ro-MD"/>
        </w:rPr>
        <w:t xml:space="preserve"> că </w:t>
      </w:r>
      <w:r w:rsidR="007317F3" w:rsidRPr="005E462C">
        <w:rPr>
          <w:rFonts w:asciiTheme="majorHAnsi" w:hAnsiTheme="majorHAnsi" w:cstheme="majorHAnsi"/>
          <w:sz w:val="24"/>
          <w:szCs w:val="24"/>
          <w:lang w:val="ro-MD"/>
        </w:rPr>
        <w:t xml:space="preserve">Concepția infrastructurii calității în Republica Moldova, precum și </w:t>
      </w:r>
      <w:r w:rsidR="007317F3" w:rsidRPr="005E462C">
        <w:rPr>
          <w:rFonts w:asciiTheme="majorHAnsi" w:hAnsiTheme="majorHAnsi" w:cstheme="majorHAnsi"/>
          <w:sz w:val="24"/>
          <w:szCs w:val="24"/>
        </w:rPr>
        <w:t xml:space="preserve">Planul de acţiuni concrete pentru implementarea acesteia </w:t>
      </w:r>
      <w:r w:rsidR="007317F3">
        <w:rPr>
          <w:rFonts w:asciiTheme="majorHAnsi" w:hAnsiTheme="majorHAnsi" w:cstheme="majorHAnsi"/>
          <w:sz w:val="24"/>
          <w:szCs w:val="24"/>
        </w:rPr>
        <w:t xml:space="preserve">au fost stabilite și realizate pentru perioada </w:t>
      </w:r>
      <w:r w:rsidR="00152A5E">
        <w:rPr>
          <w:rFonts w:asciiTheme="majorHAnsi" w:hAnsiTheme="majorHAnsi" w:cstheme="majorHAnsi"/>
          <w:sz w:val="24"/>
          <w:szCs w:val="24"/>
        </w:rPr>
        <w:t xml:space="preserve">anilor </w:t>
      </w:r>
      <w:r w:rsidR="007317F3" w:rsidRPr="00CC3A26">
        <w:rPr>
          <w:rFonts w:asciiTheme="majorHAnsi" w:hAnsiTheme="majorHAnsi" w:cstheme="majorHAnsi"/>
          <w:sz w:val="24"/>
          <w:szCs w:val="24"/>
        </w:rPr>
        <w:t>2006-2020</w:t>
      </w:r>
      <w:r w:rsidRPr="00CC3A26">
        <w:rPr>
          <w:rFonts w:asciiTheme="majorHAnsi" w:hAnsiTheme="majorHAnsi" w:cstheme="majorHAnsi"/>
          <w:sz w:val="24"/>
          <w:szCs w:val="24"/>
        </w:rPr>
        <w:t>, iar o altă Strategie de de</w:t>
      </w:r>
      <w:r w:rsidR="00E97359">
        <w:rPr>
          <w:rFonts w:asciiTheme="majorHAnsi" w:hAnsiTheme="majorHAnsi" w:cstheme="majorHAnsi"/>
          <w:sz w:val="24"/>
          <w:szCs w:val="24"/>
        </w:rPr>
        <w:t>zvoltare sectorială</w:t>
      </w:r>
      <w:r w:rsidR="00152A5E">
        <w:rPr>
          <w:rFonts w:asciiTheme="majorHAnsi" w:hAnsiTheme="majorHAnsi" w:cstheme="majorHAnsi"/>
          <w:sz w:val="24"/>
          <w:szCs w:val="24"/>
        </w:rPr>
        <w:t>,</w:t>
      </w:r>
      <w:r w:rsidR="00E97359">
        <w:rPr>
          <w:rFonts w:asciiTheme="majorHAnsi" w:hAnsiTheme="majorHAnsi" w:cstheme="majorHAnsi"/>
          <w:sz w:val="24"/>
          <w:szCs w:val="24"/>
        </w:rPr>
        <w:t xml:space="preserve"> până în </w:t>
      </w:r>
      <w:r w:rsidR="00152A5E">
        <w:rPr>
          <w:rFonts w:asciiTheme="majorHAnsi" w:hAnsiTheme="majorHAnsi" w:cstheme="majorHAnsi"/>
          <w:sz w:val="24"/>
          <w:szCs w:val="24"/>
        </w:rPr>
        <w:t>prezent,</w:t>
      </w:r>
      <w:r w:rsidRPr="00CC3A26">
        <w:rPr>
          <w:rFonts w:asciiTheme="majorHAnsi" w:hAnsiTheme="majorHAnsi" w:cstheme="majorHAnsi"/>
          <w:sz w:val="24"/>
          <w:szCs w:val="24"/>
        </w:rPr>
        <w:t xml:space="preserve"> nu a fost elaborată. </w:t>
      </w:r>
      <w:r w:rsidR="00152A5E">
        <w:rPr>
          <w:rFonts w:asciiTheme="majorHAnsi" w:hAnsiTheme="majorHAnsi" w:cstheme="majorHAnsi"/>
          <w:sz w:val="24"/>
          <w:szCs w:val="24"/>
        </w:rPr>
        <w:t>Potrivit</w:t>
      </w:r>
      <w:r w:rsidRPr="00CC3A26">
        <w:rPr>
          <w:rFonts w:asciiTheme="majorHAnsi" w:hAnsiTheme="majorHAnsi" w:cstheme="majorHAnsi"/>
          <w:sz w:val="24"/>
          <w:szCs w:val="24"/>
        </w:rPr>
        <w:t xml:space="preserve"> explicațiilor oferite de </w:t>
      </w:r>
      <w:r w:rsidR="00152A5E">
        <w:rPr>
          <w:rFonts w:asciiTheme="majorHAnsi" w:hAnsiTheme="majorHAnsi" w:cstheme="majorHAnsi"/>
          <w:sz w:val="24"/>
          <w:szCs w:val="24"/>
        </w:rPr>
        <w:t xml:space="preserve">către </w:t>
      </w:r>
      <w:r w:rsidRPr="006478EE">
        <w:rPr>
          <w:rFonts w:asciiTheme="majorHAnsi" w:hAnsiTheme="majorHAnsi" w:cstheme="majorHAnsi"/>
          <w:sz w:val="24"/>
          <w:szCs w:val="24"/>
        </w:rPr>
        <w:t>responsabilii</w:t>
      </w:r>
      <w:r w:rsidRPr="00CC3A26">
        <w:rPr>
          <w:rFonts w:asciiTheme="majorHAnsi" w:hAnsiTheme="majorHAnsi" w:cstheme="majorHAnsi"/>
          <w:sz w:val="24"/>
          <w:szCs w:val="24"/>
        </w:rPr>
        <w:t xml:space="preserve"> din cadrul Ministerului Economiei, </w:t>
      </w:r>
      <w:r w:rsidR="006478EE">
        <w:rPr>
          <w:rFonts w:asciiTheme="majorHAnsi" w:hAnsiTheme="majorHAnsi" w:cstheme="majorHAnsi"/>
          <w:sz w:val="24"/>
          <w:szCs w:val="24"/>
        </w:rPr>
        <w:t xml:space="preserve">abilitat cu </w:t>
      </w:r>
      <w:r w:rsidRPr="00CC3A26">
        <w:rPr>
          <w:rFonts w:asciiTheme="majorHAnsi" w:hAnsiTheme="majorHAnsi" w:cstheme="majorHAnsi"/>
          <w:sz w:val="24"/>
          <w:szCs w:val="24"/>
        </w:rPr>
        <w:t xml:space="preserve">elaborarea politicilor în domeniul infrastructurii calității, obiectivele strategice aferente domeniului infrastructurii calității se vor regăsi în </w:t>
      </w:r>
      <w:r w:rsidR="00CC3A26" w:rsidRPr="00CC3A26">
        <w:rPr>
          <w:rFonts w:asciiTheme="majorHAnsi" w:hAnsiTheme="majorHAnsi" w:cstheme="majorHAnsi"/>
          <w:sz w:val="24"/>
          <w:szCs w:val="24"/>
        </w:rPr>
        <w:t xml:space="preserve">Planul Național de Dezvoltare pentru perioada </w:t>
      </w:r>
      <w:r w:rsidR="00152A5E">
        <w:rPr>
          <w:rFonts w:asciiTheme="majorHAnsi" w:hAnsiTheme="majorHAnsi" w:cstheme="majorHAnsi"/>
          <w:sz w:val="24"/>
          <w:szCs w:val="24"/>
        </w:rPr>
        <w:t xml:space="preserve">anilor </w:t>
      </w:r>
      <w:r w:rsidR="00CC3A26" w:rsidRPr="00CC3A26">
        <w:rPr>
          <w:rFonts w:asciiTheme="majorHAnsi" w:hAnsiTheme="majorHAnsi" w:cstheme="majorHAnsi"/>
          <w:sz w:val="24"/>
          <w:szCs w:val="24"/>
        </w:rPr>
        <w:t xml:space="preserve">2023-2025, care </w:t>
      </w:r>
      <w:r w:rsidR="00CC3A26" w:rsidRPr="00CC3A26">
        <w:rPr>
          <w:rFonts w:asciiTheme="majorHAnsi" w:eastAsia="Arial" w:hAnsiTheme="majorHAnsi" w:cstheme="majorHAnsi"/>
          <w:sz w:val="24"/>
          <w:szCs w:val="24"/>
          <w:lang w:val="ro-RO"/>
        </w:rPr>
        <w:t xml:space="preserve">va conține direcțiile prioritate și măsurile pentru implementarea obiectivelor din documentele ierarhic superioare: Strategia </w:t>
      </w:r>
      <w:r w:rsidR="00152A5E">
        <w:rPr>
          <w:rFonts w:asciiTheme="majorHAnsi" w:eastAsia="Arial" w:hAnsiTheme="majorHAnsi" w:cstheme="majorHAnsi"/>
          <w:sz w:val="24"/>
          <w:szCs w:val="24"/>
          <w:lang w:val="ro-RO"/>
        </w:rPr>
        <w:t>N</w:t>
      </w:r>
      <w:r w:rsidR="00CC3A26" w:rsidRPr="00CC3A26">
        <w:rPr>
          <w:rFonts w:asciiTheme="majorHAnsi" w:eastAsia="Arial" w:hAnsiTheme="majorHAnsi" w:cstheme="majorHAnsi"/>
          <w:sz w:val="24"/>
          <w:szCs w:val="24"/>
          <w:lang w:val="ro-RO"/>
        </w:rPr>
        <w:t xml:space="preserve">ațională de </w:t>
      </w:r>
      <w:r w:rsidR="00152A5E">
        <w:rPr>
          <w:rFonts w:asciiTheme="majorHAnsi" w:eastAsia="Arial" w:hAnsiTheme="majorHAnsi" w:cstheme="majorHAnsi"/>
          <w:sz w:val="24"/>
          <w:szCs w:val="24"/>
          <w:lang w:val="ro-RO"/>
        </w:rPr>
        <w:t>D</w:t>
      </w:r>
      <w:r w:rsidR="00CC3A26" w:rsidRPr="00CC3A26">
        <w:rPr>
          <w:rFonts w:asciiTheme="majorHAnsi" w:eastAsia="Arial" w:hAnsiTheme="majorHAnsi" w:cstheme="majorHAnsi"/>
          <w:sz w:val="24"/>
          <w:szCs w:val="24"/>
          <w:lang w:val="ro-RO"/>
        </w:rPr>
        <w:t xml:space="preserve">ezvoltare, </w:t>
      </w:r>
      <w:r w:rsidR="00152A5E">
        <w:rPr>
          <w:rFonts w:asciiTheme="majorHAnsi" w:eastAsia="Arial" w:hAnsiTheme="majorHAnsi" w:cstheme="majorHAnsi"/>
          <w:sz w:val="24"/>
          <w:szCs w:val="24"/>
          <w:lang w:val="ro-RO"/>
        </w:rPr>
        <w:t>P</w:t>
      </w:r>
      <w:r w:rsidR="00CC3A26" w:rsidRPr="00CC3A26">
        <w:rPr>
          <w:rFonts w:asciiTheme="majorHAnsi" w:eastAsia="Arial" w:hAnsiTheme="majorHAnsi" w:cstheme="majorHAnsi"/>
          <w:sz w:val="24"/>
          <w:szCs w:val="24"/>
          <w:lang w:val="ro-RO"/>
        </w:rPr>
        <w:t>rogramul de activitate al Guvernului și angajamentele internaționale.</w:t>
      </w:r>
      <w:r w:rsidR="00CC3A26" w:rsidRPr="002C1FCD">
        <w:rPr>
          <w:rFonts w:eastAsia="Arial"/>
          <w:lang w:val="ro-RO"/>
        </w:rPr>
        <w:t xml:space="preserve"> </w:t>
      </w:r>
    </w:p>
    <w:p w14:paraId="625816C9" w14:textId="6AB020B6" w:rsidR="00693238" w:rsidRDefault="00AF1DA4" w:rsidP="00113A5C">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AF1DA4">
        <w:rPr>
          <w:rFonts w:asciiTheme="majorHAnsi" w:hAnsiTheme="majorHAnsi" w:cstheme="majorHAnsi"/>
          <w:color w:val="000000"/>
          <w:sz w:val="24"/>
          <w:szCs w:val="24"/>
        </w:rPr>
        <w:t xml:space="preserve">În </w:t>
      </w:r>
      <w:r w:rsidRPr="00113A5C">
        <w:rPr>
          <w:rFonts w:asciiTheme="majorHAnsi" w:hAnsiTheme="majorHAnsi" w:cstheme="majorHAnsi"/>
          <w:sz w:val="24"/>
          <w:szCs w:val="24"/>
          <w:shd w:val="clear" w:color="auto" w:fill="FFFFFF"/>
          <w:lang w:val="ro-MD"/>
        </w:rPr>
        <w:t>contextul</w:t>
      </w:r>
      <w:r w:rsidRPr="00AF1DA4">
        <w:rPr>
          <w:rFonts w:asciiTheme="majorHAnsi" w:hAnsiTheme="majorHAnsi" w:cstheme="majorHAnsi"/>
          <w:color w:val="000000"/>
          <w:sz w:val="24"/>
          <w:szCs w:val="24"/>
        </w:rPr>
        <w:t xml:space="preserve"> alinierii la obiectivele Uniunii Europene în materie de reglementări tehnice, standarde, metrologie, acreditare, evaluarea conformității, sisteme corespunzătoare de supraveghere a pieței, precum și, d</w:t>
      </w:r>
      <w:r w:rsidR="00CC3A26" w:rsidRPr="00AF1DA4">
        <w:rPr>
          <w:rFonts w:asciiTheme="majorHAnsi" w:eastAsia="Arial" w:hAnsiTheme="majorHAnsi" w:cstheme="majorHAnsi"/>
          <w:sz w:val="24"/>
          <w:szCs w:val="24"/>
          <w:lang w:val="ro-RO"/>
        </w:rPr>
        <w:t>at</w:t>
      </w:r>
      <w:r w:rsidR="00152A5E">
        <w:rPr>
          <w:rFonts w:asciiTheme="majorHAnsi" w:eastAsia="Arial" w:hAnsiTheme="majorHAnsi" w:cstheme="majorHAnsi"/>
          <w:sz w:val="24"/>
          <w:szCs w:val="24"/>
          <w:lang w:val="ro-RO"/>
        </w:rPr>
        <w:t>ă</w:t>
      </w:r>
      <w:r w:rsidR="00CC3A26" w:rsidRPr="00AF1DA4">
        <w:rPr>
          <w:rFonts w:asciiTheme="majorHAnsi" w:eastAsia="Arial" w:hAnsiTheme="majorHAnsi" w:cstheme="majorHAnsi"/>
          <w:sz w:val="24"/>
          <w:szCs w:val="24"/>
          <w:lang w:val="ro-RO"/>
        </w:rPr>
        <w:t xml:space="preserve"> fiind susținerea dezvoltării domeniului infrastructurii calităț</w:t>
      </w:r>
      <w:r w:rsidR="00B45C21">
        <w:rPr>
          <w:rFonts w:asciiTheme="majorHAnsi" w:eastAsia="Arial" w:hAnsiTheme="majorHAnsi" w:cstheme="majorHAnsi"/>
          <w:sz w:val="24"/>
          <w:szCs w:val="24"/>
          <w:lang w:val="ro-RO"/>
        </w:rPr>
        <w:t>ii cu mijloace financiare din b</w:t>
      </w:r>
      <w:r w:rsidR="00CC3A26" w:rsidRPr="00AF1DA4">
        <w:rPr>
          <w:rFonts w:asciiTheme="majorHAnsi" w:eastAsia="Arial" w:hAnsiTheme="majorHAnsi" w:cstheme="majorHAnsi"/>
          <w:sz w:val="24"/>
          <w:szCs w:val="24"/>
          <w:lang w:val="ro-RO"/>
        </w:rPr>
        <w:t>ugetul de stat</w:t>
      </w:r>
      <w:r w:rsidR="00B45C21">
        <w:rPr>
          <w:rFonts w:asciiTheme="majorHAnsi" w:eastAsia="Arial" w:hAnsiTheme="majorHAnsi" w:cstheme="majorHAnsi"/>
          <w:sz w:val="24"/>
          <w:szCs w:val="24"/>
          <w:lang w:val="ro-RO"/>
        </w:rPr>
        <w:t xml:space="preserve">, </w:t>
      </w:r>
      <w:r w:rsidR="00152A5E">
        <w:rPr>
          <w:rFonts w:asciiTheme="majorHAnsi" w:eastAsia="Arial" w:hAnsiTheme="majorHAnsi" w:cstheme="majorHAnsi"/>
          <w:sz w:val="24"/>
          <w:szCs w:val="24"/>
          <w:lang w:val="ro-RO"/>
        </w:rPr>
        <w:t xml:space="preserve">devine imperial necesară </w:t>
      </w:r>
      <w:r w:rsidR="00B45C21">
        <w:rPr>
          <w:rFonts w:asciiTheme="majorHAnsi" w:eastAsia="Arial" w:hAnsiTheme="majorHAnsi" w:cstheme="majorHAnsi"/>
          <w:sz w:val="24"/>
          <w:szCs w:val="24"/>
          <w:lang w:val="ro-RO"/>
        </w:rPr>
        <w:t>elaborarea unei s</w:t>
      </w:r>
      <w:r w:rsidRPr="00AF1DA4">
        <w:rPr>
          <w:rFonts w:asciiTheme="majorHAnsi" w:eastAsia="Arial" w:hAnsiTheme="majorHAnsi" w:cstheme="majorHAnsi"/>
          <w:sz w:val="24"/>
          <w:szCs w:val="24"/>
          <w:lang w:val="ro-RO"/>
        </w:rPr>
        <w:t>trategii de dezvoltare sectorială pe terme</w:t>
      </w:r>
      <w:r w:rsidR="000373D2">
        <w:rPr>
          <w:rFonts w:asciiTheme="majorHAnsi" w:eastAsia="Arial" w:hAnsiTheme="majorHAnsi" w:cstheme="majorHAnsi"/>
          <w:sz w:val="24"/>
          <w:szCs w:val="24"/>
          <w:lang w:val="ro-RO"/>
        </w:rPr>
        <w:t>n lung, care să</w:t>
      </w:r>
      <w:r w:rsidR="00CC3A26" w:rsidRPr="00AF1DA4">
        <w:rPr>
          <w:rFonts w:asciiTheme="majorHAnsi" w:eastAsia="Arial" w:hAnsiTheme="majorHAnsi" w:cstheme="majorHAnsi"/>
          <w:sz w:val="24"/>
          <w:szCs w:val="24"/>
          <w:lang w:val="ro-RO"/>
        </w:rPr>
        <w:t xml:space="preserve"> </w:t>
      </w:r>
      <w:r w:rsidR="000373D2">
        <w:rPr>
          <w:rFonts w:asciiTheme="majorHAnsi" w:eastAsia="Arial" w:hAnsiTheme="majorHAnsi" w:cstheme="majorHAnsi"/>
          <w:sz w:val="24"/>
          <w:szCs w:val="24"/>
          <w:lang w:val="ro-RO"/>
        </w:rPr>
        <w:t>promoveze</w:t>
      </w:r>
      <w:r w:rsidR="00CC3A26" w:rsidRPr="00AF1DA4">
        <w:rPr>
          <w:rFonts w:asciiTheme="majorHAnsi" w:hAnsiTheme="majorHAnsi" w:cstheme="majorHAnsi"/>
          <w:sz w:val="24"/>
          <w:szCs w:val="24"/>
          <w:lang w:val="ro-MD"/>
        </w:rPr>
        <w:t xml:space="preserve"> interesul public </w:t>
      </w:r>
      <w:r w:rsidR="000373D2" w:rsidRPr="00AF1DA4">
        <w:rPr>
          <w:rFonts w:asciiTheme="majorHAnsi" w:hAnsiTheme="majorHAnsi" w:cstheme="majorHAnsi"/>
          <w:sz w:val="24"/>
          <w:szCs w:val="24"/>
          <w:lang w:val="ro-MD"/>
        </w:rPr>
        <w:t xml:space="preserve">în economia națională </w:t>
      </w:r>
      <w:r w:rsidR="000373D2">
        <w:rPr>
          <w:rFonts w:asciiTheme="majorHAnsi" w:hAnsiTheme="majorHAnsi" w:cstheme="majorHAnsi"/>
          <w:sz w:val="24"/>
          <w:szCs w:val="24"/>
          <w:lang w:val="ro-MD"/>
        </w:rPr>
        <w:t>prin intermediul instituțiilor publice de domeniu</w:t>
      </w:r>
      <w:r w:rsidR="00CC3A26" w:rsidRPr="00AF1DA4">
        <w:rPr>
          <w:rFonts w:asciiTheme="majorHAnsi" w:hAnsiTheme="majorHAnsi" w:cstheme="majorHAnsi"/>
          <w:sz w:val="24"/>
          <w:szCs w:val="24"/>
          <w:lang w:val="ro-MD"/>
        </w:rPr>
        <w:t xml:space="preserve"> și să fie fundamentat</w:t>
      </w:r>
      <w:r w:rsidR="000373D2">
        <w:rPr>
          <w:rFonts w:asciiTheme="majorHAnsi" w:hAnsiTheme="majorHAnsi" w:cstheme="majorHAnsi"/>
          <w:sz w:val="24"/>
          <w:szCs w:val="24"/>
          <w:lang w:val="ro-MD"/>
        </w:rPr>
        <w:t>ă</w:t>
      </w:r>
      <w:r w:rsidR="00CC3A26" w:rsidRPr="00AF1DA4">
        <w:rPr>
          <w:rFonts w:asciiTheme="majorHAnsi" w:hAnsiTheme="majorHAnsi" w:cstheme="majorHAnsi"/>
          <w:sz w:val="24"/>
          <w:szCs w:val="24"/>
          <w:lang w:val="ro-MD"/>
        </w:rPr>
        <w:t xml:space="preserve"> pe descrierea problemelor în domeniu, cauzelor acestora, obiectivelor și activităților planificate</w:t>
      </w:r>
      <w:r w:rsidR="00113A5C">
        <w:rPr>
          <w:rFonts w:asciiTheme="majorHAnsi" w:hAnsiTheme="majorHAnsi" w:cstheme="majorHAnsi"/>
          <w:sz w:val="24"/>
          <w:szCs w:val="24"/>
          <w:lang w:val="ro-MD"/>
        </w:rPr>
        <w:t xml:space="preserve">, </w:t>
      </w:r>
      <w:r w:rsidR="00780619" w:rsidRPr="006766DC">
        <w:rPr>
          <w:rFonts w:asciiTheme="majorHAnsi" w:hAnsiTheme="majorHAnsi" w:cstheme="majorHAnsi"/>
          <w:sz w:val="24"/>
          <w:szCs w:val="24"/>
          <w:lang w:val="ro-MD"/>
        </w:rPr>
        <w:t xml:space="preserve">surselor de finanțare, </w:t>
      </w:r>
      <w:r w:rsidR="00113A5C">
        <w:rPr>
          <w:rFonts w:asciiTheme="majorHAnsi" w:hAnsiTheme="majorHAnsi" w:cstheme="majorHAnsi"/>
          <w:sz w:val="24"/>
          <w:szCs w:val="24"/>
          <w:lang w:val="ro-MD"/>
        </w:rPr>
        <w:t xml:space="preserve">precum și </w:t>
      </w:r>
      <w:r w:rsidR="00152A5E">
        <w:rPr>
          <w:rFonts w:asciiTheme="majorHAnsi" w:hAnsiTheme="majorHAnsi" w:cstheme="majorHAnsi"/>
          <w:sz w:val="24"/>
          <w:szCs w:val="24"/>
          <w:lang w:val="ro-MD"/>
        </w:rPr>
        <w:t xml:space="preserve">a </w:t>
      </w:r>
      <w:r w:rsidR="00113A5C">
        <w:rPr>
          <w:rFonts w:asciiTheme="majorHAnsi" w:hAnsiTheme="majorHAnsi" w:cstheme="majorHAnsi"/>
          <w:sz w:val="24"/>
          <w:szCs w:val="24"/>
          <w:lang w:val="ro-MD"/>
        </w:rPr>
        <w:t>impactul</w:t>
      </w:r>
      <w:r w:rsidR="00152A5E">
        <w:rPr>
          <w:rFonts w:asciiTheme="majorHAnsi" w:hAnsiTheme="majorHAnsi" w:cstheme="majorHAnsi"/>
          <w:sz w:val="24"/>
          <w:szCs w:val="24"/>
          <w:lang w:val="ro-MD"/>
        </w:rPr>
        <w:t>ui</w:t>
      </w:r>
      <w:r w:rsidR="00113A5C">
        <w:rPr>
          <w:rFonts w:asciiTheme="majorHAnsi" w:hAnsiTheme="majorHAnsi" w:cstheme="majorHAnsi"/>
          <w:sz w:val="24"/>
          <w:szCs w:val="24"/>
          <w:lang w:val="ro-MD"/>
        </w:rPr>
        <w:t xml:space="preserve"> așteptat. </w:t>
      </w:r>
    </w:p>
    <w:p w14:paraId="170C70D9" w14:textId="77777777" w:rsidR="00113A5C" w:rsidRPr="00113A5C" w:rsidRDefault="00113A5C" w:rsidP="00113A5C">
      <w:pPr>
        <w:pStyle w:val="ListParagraph"/>
        <w:tabs>
          <w:tab w:val="left" w:pos="270"/>
        </w:tabs>
        <w:spacing w:after="0" w:line="276" w:lineRule="auto"/>
        <w:ind w:left="0" w:firstLine="720"/>
        <w:jc w:val="both"/>
        <w:rPr>
          <w:rFonts w:asciiTheme="majorHAnsi" w:hAnsiTheme="majorHAnsi" w:cstheme="majorHAnsi"/>
          <w:sz w:val="24"/>
          <w:szCs w:val="24"/>
          <w:lang w:val="ro-MD"/>
        </w:rPr>
      </w:pPr>
    </w:p>
    <w:p w14:paraId="181D9013" w14:textId="06A4726A" w:rsidR="00693238" w:rsidRPr="00113A5C" w:rsidRDefault="00693238" w:rsidP="007E002D">
      <w:pPr>
        <w:pStyle w:val="ListParagraph"/>
        <w:numPr>
          <w:ilvl w:val="2"/>
          <w:numId w:val="38"/>
        </w:numPr>
        <w:tabs>
          <w:tab w:val="left" w:pos="0"/>
        </w:tabs>
        <w:spacing w:after="0" w:line="276" w:lineRule="auto"/>
        <w:ind w:left="0" w:firstLine="0"/>
        <w:contextualSpacing w:val="0"/>
        <w:jc w:val="both"/>
        <w:outlineLvl w:val="0"/>
        <w:rPr>
          <w:rFonts w:asciiTheme="majorHAnsi" w:hAnsiTheme="majorHAnsi" w:cstheme="majorHAnsi"/>
          <w:b/>
          <w:i/>
          <w:color w:val="00B0F0"/>
          <w:sz w:val="24"/>
          <w:szCs w:val="24"/>
          <w:lang w:val="ro-MD"/>
        </w:rPr>
      </w:pPr>
      <w:bookmarkStart w:id="131" w:name="_Toc123116714"/>
      <w:r w:rsidRPr="00113A5C">
        <w:rPr>
          <w:rFonts w:asciiTheme="majorHAnsi" w:hAnsiTheme="majorHAnsi" w:cstheme="majorHAnsi"/>
          <w:b/>
          <w:i/>
          <w:color w:val="00B0F0"/>
          <w:sz w:val="24"/>
          <w:szCs w:val="24"/>
          <w:lang w:val="ro-MD"/>
        </w:rPr>
        <w:t>Managementul financiar-contabil aplicat nu a asigurat abordarea corespunzătoare a unor cheltuieli aferente salarizării personalului încadrat.</w:t>
      </w:r>
      <w:bookmarkEnd w:id="131"/>
    </w:p>
    <w:p w14:paraId="666FE7CA" w14:textId="1C3BE9AA" w:rsidR="00166471" w:rsidRPr="009D3EA1" w:rsidRDefault="00A30B4A" w:rsidP="00A30B4A">
      <w:pPr>
        <w:spacing w:after="0" w:line="276" w:lineRule="auto"/>
        <w:ind w:firstLine="567"/>
        <w:jc w:val="both"/>
        <w:rPr>
          <w:rFonts w:asciiTheme="majorHAnsi" w:hAnsiTheme="majorHAnsi" w:cstheme="majorHAnsi"/>
          <w:sz w:val="24"/>
          <w:szCs w:val="24"/>
          <w:lang w:val="ro-MD"/>
        </w:rPr>
      </w:pPr>
      <w:r w:rsidRPr="009D3EA1">
        <w:rPr>
          <w:rFonts w:asciiTheme="majorHAnsi" w:eastAsia="Times New Roman" w:hAnsiTheme="majorHAnsi"/>
          <w:iCs/>
          <w:sz w:val="24"/>
          <w:szCs w:val="24"/>
          <w:lang w:val="ro-MD" w:eastAsia="ro-MD"/>
        </w:rPr>
        <w:t>În procesul de retribuire a personalul</w:t>
      </w:r>
      <w:r w:rsidR="00EF03E3">
        <w:rPr>
          <w:rFonts w:asciiTheme="majorHAnsi" w:eastAsia="Times New Roman" w:hAnsiTheme="majorHAnsi"/>
          <w:iCs/>
          <w:sz w:val="24"/>
          <w:szCs w:val="24"/>
          <w:lang w:val="ro-MD" w:eastAsia="ro-MD"/>
        </w:rPr>
        <w:t xml:space="preserve">ui, </w:t>
      </w:r>
      <w:r w:rsidR="00355B2E">
        <w:rPr>
          <w:rFonts w:asciiTheme="majorHAnsi" w:eastAsia="Times New Roman" w:hAnsiTheme="majorHAnsi"/>
          <w:iCs/>
          <w:sz w:val="24"/>
          <w:szCs w:val="24"/>
          <w:lang w:val="ro-MD" w:eastAsia="ro-MD"/>
        </w:rPr>
        <w:t>i</w:t>
      </w:r>
      <w:r w:rsidR="00EF03E3">
        <w:rPr>
          <w:rFonts w:asciiTheme="majorHAnsi" w:eastAsia="Times New Roman" w:hAnsiTheme="majorHAnsi"/>
          <w:iCs/>
          <w:sz w:val="24"/>
          <w:szCs w:val="24"/>
          <w:lang w:val="ro-MD" w:eastAsia="ro-MD"/>
        </w:rPr>
        <w:t xml:space="preserve">nstituțiile publice </w:t>
      </w:r>
      <w:r w:rsidR="00355B2E">
        <w:rPr>
          <w:rFonts w:asciiTheme="majorHAnsi" w:eastAsia="Times New Roman" w:hAnsiTheme="majorHAnsi"/>
          <w:iCs/>
          <w:sz w:val="24"/>
          <w:szCs w:val="24"/>
          <w:lang w:val="ro-MD" w:eastAsia="ro-MD"/>
        </w:rPr>
        <w:t xml:space="preserve">- </w:t>
      </w:r>
      <w:r w:rsidR="00EF03E3">
        <w:rPr>
          <w:rFonts w:asciiTheme="majorHAnsi" w:eastAsia="Times New Roman" w:hAnsiTheme="majorHAnsi"/>
          <w:iCs/>
          <w:sz w:val="24"/>
          <w:szCs w:val="24"/>
          <w:lang w:val="ro-MD" w:eastAsia="ro-MD"/>
        </w:rPr>
        <w:t>INM, I</w:t>
      </w:r>
      <w:r w:rsidRPr="009D3EA1">
        <w:rPr>
          <w:rFonts w:asciiTheme="majorHAnsi" w:eastAsia="Times New Roman" w:hAnsiTheme="majorHAnsi"/>
          <w:iCs/>
          <w:sz w:val="24"/>
          <w:szCs w:val="24"/>
          <w:lang w:val="ro-MD" w:eastAsia="ro-MD"/>
        </w:rPr>
        <w:t>S</w:t>
      </w:r>
      <w:r w:rsidR="00EF03E3">
        <w:rPr>
          <w:rFonts w:asciiTheme="majorHAnsi" w:eastAsia="Times New Roman" w:hAnsiTheme="majorHAnsi"/>
          <w:iCs/>
          <w:sz w:val="24"/>
          <w:szCs w:val="24"/>
          <w:lang w:val="ro-MD" w:eastAsia="ro-MD"/>
        </w:rPr>
        <w:t>M</w:t>
      </w:r>
      <w:r w:rsidRPr="009D3EA1">
        <w:rPr>
          <w:rFonts w:asciiTheme="majorHAnsi" w:eastAsia="Times New Roman" w:hAnsiTheme="majorHAnsi"/>
          <w:iCs/>
          <w:sz w:val="24"/>
          <w:szCs w:val="24"/>
          <w:lang w:val="ro-MD" w:eastAsia="ro-MD"/>
        </w:rPr>
        <w:t xml:space="preserve"> și MOLDAC </w:t>
      </w:r>
      <w:r w:rsidRPr="009D3EA1">
        <w:rPr>
          <w:rFonts w:asciiTheme="majorHAnsi" w:hAnsiTheme="majorHAnsi" w:cstheme="majorHAnsi"/>
          <w:sz w:val="24"/>
          <w:szCs w:val="24"/>
          <w:lang w:val="ro-MD"/>
        </w:rPr>
        <w:t>se conduc de tot spectrul prevederilor cadrului normativ aferent salarizării angajaților din unitățile cu autonomie financiară</w:t>
      </w:r>
      <w:r w:rsidRPr="009D3EA1">
        <w:rPr>
          <w:rStyle w:val="FootnoteReference"/>
          <w:rFonts w:asciiTheme="majorHAnsi" w:hAnsiTheme="majorHAnsi" w:cstheme="majorHAnsi"/>
          <w:szCs w:val="24"/>
          <w:lang w:val="ro-MD"/>
        </w:rPr>
        <w:footnoteReference w:id="39"/>
      </w:r>
      <w:r w:rsidR="00B45C21">
        <w:rPr>
          <w:rFonts w:asciiTheme="majorHAnsi" w:hAnsiTheme="majorHAnsi" w:cstheme="majorHAnsi"/>
          <w:sz w:val="24"/>
          <w:szCs w:val="24"/>
          <w:lang w:val="ro-MD"/>
        </w:rPr>
        <w:t xml:space="preserve"> și </w:t>
      </w:r>
      <w:r w:rsidRPr="009D3EA1">
        <w:rPr>
          <w:rFonts w:asciiTheme="majorHAnsi" w:hAnsiTheme="majorHAnsi" w:cstheme="majorHAnsi"/>
          <w:sz w:val="24"/>
          <w:szCs w:val="24"/>
          <w:lang w:val="ro-MD"/>
        </w:rPr>
        <w:t xml:space="preserve"> reglementărilor interne aprobate, în timp ce APCSP aplică prevederile Legii nr.270 din 23.11.2018 cu privire la sistemul unitar de salarizare în sectorul bugetar. Se atestă că atât în anul 2020, cât și în anul 2021, cheltuielile de personal au constituit cea mai mare pondere </w:t>
      </w:r>
      <w:r w:rsidR="00355B2E">
        <w:rPr>
          <w:rFonts w:asciiTheme="majorHAnsi" w:hAnsiTheme="majorHAnsi" w:cstheme="majorHAnsi"/>
          <w:sz w:val="24"/>
          <w:szCs w:val="24"/>
          <w:lang w:val="ro-MD"/>
        </w:rPr>
        <w:t>î</w:t>
      </w:r>
      <w:r w:rsidRPr="009D3EA1">
        <w:rPr>
          <w:rFonts w:asciiTheme="majorHAnsi" w:hAnsiTheme="majorHAnsi" w:cstheme="majorHAnsi"/>
          <w:sz w:val="24"/>
          <w:szCs w:val="24"/>
          <w:lang w:val="ro-MD"/>
        </w:rPr>
        <w:t>n totalul cheltuielilor efectuate de către fiecare entitate auditată.</w:t>
      </w:r>
    </w:p>
    <w:p w14:paraId="4BC78E03" w14:textId="0C6284C2" w:rsidR="00166471" w:rsidRPr="00255E9C" w:rsidRDefault="00A30B4A" w:rsidP="00166471">
      <w:pPr>
        <w:spacing w:after="0" w:line="276" w:lineRule="auto"/>
        <w:ind w:firstLine="567"/>
        <w:jc w:val="right"/>
        <w:rPr>
          <w:rFonts w:asciiTheme="majorHAnsi" w:eastAsia="Times New Roman" w:hAnsiTheme="majorHAnsi"/>
          <w:b/>
          <w:i/>
          <w:iCs/>
          <w:sz w:val="24"/>
          <w:szCs w:val="24"/>
          <w:lang w:val="ro-MD" w:eastAsia="ro-MD"/>
        </w:rPr>
      </w:pPr>
      <w:r w:rsidRPr="00255E9C">
        <w:rPr>
          <w:rFonts w:asciiTheme="majorHAnsi" w:hAnsiTheme="majorHAnsi" w:cstheme="majorHAnsi"/>
          <w:b/>
          <w:i/>
          <w:sz w:val="24"/>
          <w:szCs w:val="24"/>
          <w:lang w:val="ro-MD"/>
        </w:rPr>
        <w:t>Tabelul nr.</w:t>
      </w:r>
      <w:r w:rsidR="00152A5E" w:rsidRPr="00255E9C">
        <w:rPr>
          <w:rFonts w:asciiTheme="majorHAnsi" w:hAnsiTheme="majorHAnsi" w:cstheme="majorHAnsi"/>
          <w:b/>
          <w:i/>
          <w:sz w:val="24"/>
          <w:szCs w:val="24"/>
          <w:lang w:val="ro-MD"/>
        </w:rPr>
        <w:t xml:space="preserve"> </w:t>
      </w:r>
      <w:r w:rsidRPr="00255E9C">
        <w:rPr>
          <w:rFonts w:asciiTheme="majorHAnsi" w:hAnsiTheme="majorHAnsi" w:cstheme="majorHAnsi"/>
          <w:b/>
          <w:i/>
          <w:sz w:val="24"/>
          <w:szCs w:val="24"/>
          <w:lang w:val="ro-MD"/>
        </w:rPr>
        <w:t>4.3.</w:t>
      </w:r>
      <w:r w:rsidR="009D3EA1" w:rsidRPr="00255E9C">
        <w:rPr>
          <w:rFonts w:asciiTheme="majorHAnsi" w:hAnsiTheme="majorHAnsi" w:cstheme="majorHAnsi"/>
          <w:b/>
          <w:i/>
          <w:sz w:val="24"/>
          <w:szCs w:val="24"/>
          <w:lang w:val="ro-MD"/>
        </w:rPr>
        <w:t>2.</w:t>
      </w:r>
      <w:r w:rsidR="00166471" w:rsidRPr="00255E9C">
        <w:rPr>
          <w:rFonts w:asciiTheme="majorHAnsi" w:hAnsiTheme="majorHAnsi" w:cstheme="majorHAnsi"/>
          <w:b/>
          <w:i/>
          <w:sz w:val="24"/>
          <w:szCs w:val="24"/>
          <w:lang w:val="ro-MD"/>
        </w:rPr>
        <w:t>1.</w:t>
      </w:r>
    </w:p>
    <w:p w14:paraId="1579F478" w14:textId="77777777" w:rsidR="00166471" w:rsidRDefault="00166471" w:rsidP="00693238">
      <w:pPr>
        <w:pStyle w:val="BodyText"/>
        <w:tabs>
          <w:tab w:val="left" w:pos="-1920"/>
          <w:tab w:val="num" w:pos="993"/>
        </w:tabs>
        <w:spacing w:after="0"/>
        <w:jc w:val="center"/>
        <w:rPr>
          <w:rFonts w:asciiTheme="majorHAnsi" w:hAnsiTheme="majorHAnsi" w:cstheme="majorHAnsi"/>
          <w:b/>
          <w:bCs/>
          <w:color w:val="000000"/>
          <w:sz w:val="24"/>
          <w:szCs w:val="24"/>
          <w:lang w:val="ro-MD"/>
        </w:rPr>
      </w:pPr>
    </w:p>
    <w:p w14:paraId="5E22608A" w14:textId="63ECDFB7" w:rsidR="00693238" w:rsidRDefault="00693238" w:rsidP="00693238">
      <w:pPr>
        <w:pStyle w:val="BodyText"/>
        <w:tabs>
          <w:tab w:val="left" w:pos="-1920"/>
          <w:tab w:val="num" w:pos="993"/>
        </w:tabs>
        <w:spacing w:after="0"/>
        <w:jc w:val="center"/>
        <w:rPr>
          <w:rFonts w:asciiTheme="majorHAnsi" w:hAnsiTheme="majorHAnsi" w:cstheme="majorHAnsi"/>
          <w:b/>
          <w:bCs/>
          <w:color w:val="000000"/>
          <w:sz w:val="24"/>
          <w:szCs w:val="24"/>
          <w:lang w:val="ro-MD"/>
        </w:rPr>
      </w:pPr>
      <w:r w:rsidRPr="005B6058">
        <w:rPr>
          <w:rFonts w:asciiTheme="majorHAnsi" w:hAnsiTheme="majorHAnsi" w:cstheme="majorHAnsi"/>
          <w:b/>
          <w:bCs/>
          <w:color w:val="000000"/>
          <w:sz w:val="24"/>
          <w:szCs w:val="24"/>
          <w:lang w:val="ro-MD"/>
        </w:rPr>
        <w:t xml:space="preserve">Informația privind efectuarea cheltuielilor </w:t>
      </w:r>
      <w:r w:rsidR="00152A5E">
        <w:rPr>
          <w:rFonts w:asciiTheme="majorHAnsi" w:hAnsiTheme="majorHAnsi" w:cstheme="majorHAnsi"/>
          <w:b/>
          <w:bCs/>
          <w:color w:val="000000"/>
          <w:sz w:val="24"/>
          <w:szCs w:val="24"/>
          <w:lang w:val="ro-MD"/>
        </w:rPr>
        <w:t xml:space="preserve">de </w:t>
      </w:r>
      <w:r w:rsidRPr="005B6058">
        <w:rPr>
          <w:rFonts w:asciiTheme="majorHAnsi" w:hAnsiTheme="majorHAnsi" w:cstheme="majorHAnsi"/>
          <w:b/>
          <w:bCs/>
          <w:color w:val="000000"/>
          <w:sz w:val="24"/>
          <w:szCs w:val="24"/>
          <w:lang w:val="ro-MD"/>
        </w:rPr>
        <w:t>personal</w:t>
      </w:r>
      <w:r w:rsidR="00152A5E">
        <w:rPr>
          <w:rFonts w:asciiTheme="majorHAnsi" w:hAnsiTheme="majorHAnsi" w:cstheme="majorHAnsi"/>
          <w:b/>
          <w:bCs/>
          <w:color w:val="000000"/>
          <w:sz w:val="24"/>
          <w:szCs w:val="24"/>
          <w:lang w:val="ro-MD"/>
        </w:rPr>
        <w:t xml:space="preserve"> </w:t>
      </w:r>
      <w:r w:rsidRPr="005B6058">
        <w:rPr>
          <w:rFonts w:asciiTheme="majorHAnsi" w:hAnsiTheme="majorHAnsi" w:cstheme="majorHAnsi"/>
          <w:b/>
          <w:bCs/>
          <w:color w:val="000000"/>
          <w:sz w:val="24"/>
          <w:szCs w:val="24"/>
          <w:lang w:val="ro-MD"/>
        </w:rPr>
        <w:t>în anii 2020, 2021</w:t>
      </w:r>
    </w:p>
    <w:p w14:paraId="3DDF8145" w14:textId="77777777" w:rsidR="00A62DD4" w:rsidRPr="00255E9C" w:rsidRDefault="00A62DD4" w:rsidP="00A62DD4">
      <w:pPr>
        <w:tabs>
          <w:tab w:val="left" w:pos="0"/>
          <w:tab w:val="left" w:pos="270"/>
          <w:tab w:val="left" w:pos="990"/>
          <w:tab w:val="left" w:pos="1080"/>
        </w:tabs>
        <w:spacing w:after="0" w:line="276" w:lineRule="auto"/>
        <w:contextualSpacing/>
        <w:jc w:val="right"/>
        <w:rPr>
          <w:rFonts w:asciiTheme="majorHAnsi" w:hAnsiTheme="majorHAnsi" w:cstheme="majorHAnsi"/>
          <w:sz w:val="24"/>
          <w:szCs w:val="24"/>
          <w:lang w:val="ro-MD"/>
        </w:rPr>
      </w:pPr>
      <w:r w:rsidRPr="00255E9C">
        <w:rPr>
          <w:rFonts w:asciiTheme="majorHAnsi" w:hAnsiTheme="majorHAnsi" w:cstheme="majorHAnsi"/>
          <w:sz w:val="24"/>
          <w:szCs w:val="24"/>
          <w:lang w:val="ro-MD"/>
        </w:rPr>
        <w:t>(mii lei)</w:t>
      </w:r>
    </w:p>
    <w:tbl>
      <w:tblPr>
        <w:tblStyle w:val="PlainTable2"/>
        <w:tblW w:w="9309" w:type="dxa"/>
        <w:tblLook w:val="04A0" w:firstRow="1" w:lastRow="0" w:firstColumn="1" w:lastColumn="0" w:noHBand="0" w:noVBand="1"/>
      </w:tblPr>
      <w:tblGrid>
        <w:gridCol w:w="559"/>
        <w:gridCol w:w="1142"/>
        <w:gridCol w:w="9"/>
        <w:gridCol w:w="1479"/>
        <w:gridCol w:w="1329"/>
        <w:gridCol w:w="1118"/>
        <w:gridCol w:w="1223"/>
        <w:gridCol w:w="1329"/>
        <w:gridCol w:w="1121"/>
      </w:tblGrid>
      <w:tr w:rsidR="00A62DD4" w:rsidRPr="00A62DD4" w14:paraId="7F6FBB37" w14:textId="77777777" w:rsidTr="009A09D1">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vMerge w:val="restart"/>
            <w:hideMark/>
          </w:tcPr>
          <w:p w14:paraId="79BBC8B5" w14:textId="77777777" w:rsidR="00A62DD4" w:rsidRPr="00255E9C" w:rsidRDefault="00A62DD4" w:rsidP="00A62DD4">
            <w:pPr>
              <w:jc w:val="center"/>
              <w:rPr>
                <w:rFonts w:ascii="Calibri Light" w:eastAsia="Times New Roman" w:hAnsi="Calibri Light" w:cs="Calibri Light"/>
                <w:bCs w:val="0"/>
                <w:color w:val="000000"/>
                <w:sz w:val="20"/>
                <w:szCs w:val="20"/>
              </w:rPr>
            </w:pPr>
            <w:r w:rsidRPr="00152A5E">
              <w:rPr>
                <w:rFonts w:ascii="Calibri Light" w:eastAsia="Times New Roman" w:hAnsi="Calibri Light" w:cs="Calibri Light"/>
                <w:color w:val="000000"/>
                <w:sz w:val="20"/>
                <w:szCs w:val="20"/>
              </w:rPr>
              <w:t>Nr. d/o</w:t>
            </w:r>
          </w:p>
        </w:tc>
        <w:tc>
          <w:tcPr>
            <w:tcW w:w="1142" w:type="dxa"/>
            <w:vMerge w:val="restart"/>
            <w:hideMark/>
          </w:tcPr>
          <w:p w14:paraId="340FD3B9" w14:textId="114F5310" w:rsidR="00A62DD4" w:rsidRPr="00255E9C" w:rsidRDefault="00A62DD4" w:rsidP="00A62DD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152A5E">
              <w:rPr>
                <w:rFonts w:ascii="Calibri Light" w:eastAsia="Times New Roman" w:hAnsi="Calibri Light" w:cs="Calibri Light"/>
                <w:color w:val="000000"/>
                <w:sz w:val="20"/>
                <w:szCs w:val="20"/>
              </w:rPr>
              <w:t>Denumire</w:t>
            </w:r>
            <w:r w:rsidR="00152A5E">
              <w:rPr>
                <w:rFonts w:ascii="Calibri Light" w:eastAsia="Times New Roman" w:hAnsi="Calibri Light" w:cs="Calibri Light"/>
                <w:bCs w:val="0"/>
                <w:color w:val="000000"/>
                <w:sz w:val="20"/>
                <w:szCs w:val="20"/>
              </w:rPr>
              <w:t xml:space="preserve">a </w:t>
            </w:r>
            <w:r w:rsidRPr="00152A5E">
              <w:rPr>
                <w:rFonts w:ascii="Calibri Light" w:eastAsia="Times New Roman" w:hAnsi="Calibri Light" w:cs="Calibri Light"/>
                <w:color w:val="000000"/>
                <w:sz w:val="20"/>
                <w:szCs w:val="20"/>
              </w:rPr>
              <w:t xml:space="preserve"> </w:t>
            </w:r>
            <w:r w:rsidR="00152A5E">
              <w:rPr>
                <w:rFonts w:ascii="Calibri Light" w:eastAsia="Times New Roman" w:hAnsi="Calibri Light" w:cs="Calibri Light"/>
                <w:bCs w:val="0"/>
                <w:color w:val="000000"/>
                <w:sz w:val="20"/>
                <w:szCs w:val="20"/>
              </w:rPr>
              <w:t>i</w:t>
            </w:r>
            <w:r w:rsidRPr="00152A5E">
              <w:rPr>
                <w:rFonts w:ascii="Calibri Light" w:eastAsia="Times New Roman" w:hAnsi="Calibri Light" w:cs="Calibri Light"/>
                <w:color w:val="000000"/>
                <w:sz w:val="20"/>
                <w:szCs w:val="20"/>
              </w:rPr>
              <w:t xml:space="preserve">nstituției </w:t>
            </w:r>
          </w:p>
        </w:tc>
        <w:tc>
          <w:tcPr>
            <w:tcW w:w="3935" w:type="dxa"/>
            <w:gridSpan w:val="4"/>
            <w:noWrap/>
            <w:hideMark/>
          </w:tcPr>
          <w:p w14:paraId="5E3A1F5F" w14:textId="77777777" w:rsidR="00A62DD4" w:rsidRPr="00255E9C" w:rsidRDefault="00A62DD4" w:rsidP="00A62DD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152A5E">
              <w:rPr>
                <w:rFonts w:ascii="Calibri Light" w:eastAsia="Times New Roman" w:hAnsi="Calibri Light" w:cs="Calibri Light"/>
                <w:color w:val="000000"/>
                <w:sz w:val="20"/>
                <w:szCs w:val="20"/>
              </w:rPr>
              <w:t>Anul 2020</w:t>
            </w:r>
          </w:p>
        </w:tc>
        <w:tc>
          <w:tcPr>
            <w:tcW w:w="3673" w:type="dxa"/>
            <w:gridSpan w:val="3"/>
            <w:noWrap/>
            <w:hideMark/>
          </w:tcPr>
          <w:p w14:paraId="76D25E11" w14:textId="77777777" w:rsidR="00A62DD4" w:rsidRPr="00255E9C" w:rsidRDefault="00A62DD4" w:rsidP="00A62DD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152A5E">
              <w:rPr>
                <w:rFonts w:ascii="Calibri Light" w:eastAsia="Times New Roman" w:hAnsi="Calibri Light" w:cs="Calibri Light"/>
                <w:color w:val="000000"/>
                <w:sz w:val="20"/>
                <w:szCs w:val="20"/>
              </w:rPr>
              <w:t>Anul 2021</w:t>
            </w:r>
          </w:p>
        </w:tc>
      </w:tr>
      <w:tr w:rsidR="00A62DD4" w:rsidRPr="00A62DD4" w14:paraId="2B4E9904" w14:textId="77777777" w:rsidTr="009A09D1">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59" w:type="dxa"/>
            <w:vMerge/>
            <w:hideMark/>
          </w:tcPr>
          <w:p w14:paraId="7C6E35B9" w14:textId="77777777" w:rsidR="00A62DD4" w:rsidRPr="00A62DD4" w:rsidRDefault="00A62DD4" w:rsidP="00A62DD4">
            <w:pPr>
              <w:rPr>
                <w:rFonts w:ascii="Calibri Light" w:eastAsia="Times New Roman" w:hAnsi="Calibri Light" w:cs="Calibri Light"/>
                <w:b w:val="0"/>
                <w:bCs w:val="0"/>
                <w:color w:val="000000"/>
                <w:sz w:val="20"/>
                <w:szCs w:val="20"/>
              </w:rPr>
            </w:pPr>
          </w:p>
        </w:tc>
        <w:tc>
          <w:tcPr>
            <w:tcW w:w="1142" w:type="dxa"/>
            <w:vMerge/>
            <w:hideMark/>
          </w:tcPr>
          <w:p w14:paraId="2B0FE714" w14:textId="77777777" w:rsidR="00A62DD4" w:rsidRPr="00A62DD4" w:rsidRDefault="00A62DD4" w:rsidP="00A62DD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c>
          <w:tcPr>
            <w:tcW w:w="1488" w:type="dxa"/>
            <w:gridSpan w:val="2"/>
            <w:hideMark/>
          </w:tcPr>
          <w:p w14:paraId="1C20C143" w14:textId="2B324FA6"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Total</w:t>
            </w:r>
            <w:r w:rsidR="00152A5E">
              <w:rPr>
                <w:rFonts w:ascii="Calibri Light" w:eastAsia="Times New Roman" w:hAnsi="Calibri Light" w:cs="Calibri Light"/>
                <w:b/>
                <w:bCs/>
                <w:color w:val="000000"/>
                <w:sz w:val="20"/>
                <w:szCs w:val="20"/>
              </w:rPr>
              <w:t>, c</w:t>
            </w:r>
            <w:r w:rsidRPr="00A62DD4">
              <w:rPr>
                <w:rFonts w:ascii="Calibri Light" w:eastAsia="Times New Roman" w:hAnsi="Calibri Light" w:cs="Calibri Light"/>
                <w:b/>
                <w:bCs/>
                <w:color w:val="000000"/>
                <w:sz w:val="20"/>
                <w:szCs w:val="20"/>
              </w:rPr>
              <w:t>heltuieli</w:t>
            </w:r>
          </w:p>
        </w:tc>
        <w:tc>
          <w:tcPr>
            <w:tcW w:w="1329" w:type="dxa"/>
            <w:hideMark/>
          </w:tcPr>
          <w:p w14:paraId="2FA2D665"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Cheltuieli de remunerare a muncii</w:t>
            </w:r>
          </w:p>
        </w:tc>
        <w:tc>
          <w:tcPr>
            <w:tcW w:w="1117" w:type="dxa"/>
            <w:hideMark/>
          </w:tcPr>
          <w:p w14:paraId="1507BD3B"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Ponderea în total cheltuieli</w:t>
            </w:r>
          </w:p>
        </w:tc>
        <w:tc>
          <w:tcPr>
            <w:tcW w:w="1223" w:type="dxa"/>
            <w:hideMark/>
          </w:tcPr>
          <w:p w14:paraId="64F3406C" w14:textId="44266E0B"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Total</w:t>
            </w:r>
            <w:r w:rsidR="00152A5E">
              <w:rPr>
                <w:rFonts w:ascii="Calibri Light" w:eastAsia="Times New Roman" w:hAnsi="Calibri Light" w:cs="Calibri Light"/>
                <w:b/>
                <w:bCs/>
                <w:color w:val="000000"/>
                <w:sz w:val="20"/>
                <w:szCs w:val="20"/>
              </w:rPr>
              <w:t>, c</w:t>
            </w:r>
            <w:r w:rsidRPr="00A62DD4">
              <w:rPr>
                <w:rFonts w:ascii="Calibri Light" w:eastAsia="Times New Roman" w:hAnsi="Calibri Light" w:cs="Calibri Light"/>
                <w:b/>
                <w:bCs/>
                <w:color w:val="000000"/>
                <w:sz w:val="20"/>
                <w:szCs w:val="20"/>
              </w:rPr>
              <w:t>heltuieli</w:t>
            </w:r>
          </w:p>
        </w:tc>
        <w:tc>
          <w:tcPr>
            <w:tcW w:w="1329" w:type="dxa"/>
            <w:hideMark/>
          </w:tcPr>
          <w:p w14:paraId="62FB4DB8"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Cheltuieli de remunerare a muncii</w:t>
            </w:r>
          </w:p>
        </w:tc>
        <w:tc>
          <w:tcPr>
            <w:tcW w:w="1120" w:type="dxa"/>
            <w:hideMark/>
          </w:tcPr>
          <w:p w14:paraId="5DE1678E"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Ponderea în total cheltuieli</w:t>
            </w:r>
          </w:p>
        </w:tc>
      </w:tr>
      <w:tr w:rsidR="00A62DD4" w:rsidRPr="00A62DD4" w14:paraId="4983D3C0" w14:textId="77777777" w:rsidTr="009A09D1">
        <w:trPr>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14:paraId="0150ED8C" w14:textId="77777777" w:rsidR="00A62DD4" w:rsidRPr="00A62DD4" w:rsidRDefault="00A62DD4" w:rsidP="00A62DD4">
            <w:pPr>
              <w:jc w:val="center"/>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w:t>
            </w:r>
          </w:p>
        </w:tc>
        <w:tc>
          <w:tcPr>
            <w:tcW w:w="1142" w:type="dxa"/>
            <w:hideMark/>
          </w:tcPr>
          <w:p w14:paraId="18B5C517" w14:textId="77777777" w:rsidR="00A62DD4" w:rsidRPr="00A62DD4" w:rsidRDefault="00A62DD4" w:rsidP="00A62DD4">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INM</w:t>
            </w:r>
          </w:p>
        </w:tc>
        <w:tc>
          <w:tcPr>
            <w:tcW w:w="1488" w:type="dxa"/>
            <w:gridSpan w:val="2"/>
            <w:hideMark/>
          </w:tcPr>
          <w:p w14:paraId="1056C3CC"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10.906,11</w:t>
            </w:r>
          </w:p>
        </w:tc>
        <w:tc>
          <w:tcPr>
            <w:tcW w:w="1329" w:type="dxa"/>
            <w:hideMark/>
          </w:tcPr>
          <w:p w14:paraId="6BA2302D"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8.810,40</w:t>
            </w:r>
          </w:p>
        </w:tc>
        <w:tc>
          <w:tcPr>
            <w:tcW w:w="1117" w:type="dxa"/>
            <w:hideMark/>
          </w:tcPr>
          <w:p w14:paraId="481F2658"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81%</w:t>
            </w:r>
          </w:p>
        </w:tc>
        <w:tc>
          <w:tcPr>
            <w:tcW w:w="1223" w:type="dxa"/>
            <w:hideMark/>
          </w:tcPr>
          <w:p w14:paraId="6E0EE717"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14.611,42</w:t>
            </w:r>
          </w:p>
        </w:tc>
        <w:tc>
          <w:tcPr>
            <w:tcW w:w="1329" w:type="dxa"/>
            <w:hideMark/>
          </w:tcPr>
          <w:p w14:paraId="4CC4577D"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10.670,70</w:t>
            </w:r>
          </w:p>
        </w:tc>
        <w:tc>
          <w:tcPr>
            <w:tcW w:w="1120" w:type="dxa"/>
            <w:hideMark/>
          </w:tcPr>
          <w:p w14:paraId="235D3340"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73%</w:t>
            </w:r>
          </w:p>
        </w:tc>
      </w:tr>
      <w:tr w:rsidR="00A62DD4" w:rsidRPr="00A62DD4" w14:paraId="58AEBD55" w14:textId="77777777" w:rsidTr="009A09D1">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14:paraId="615F3AC0" w14:textId="77777777" w:rsidR="00A62DD4" w:rsidRPr="00A62DD4" w:rsidRDefault="00A62DD4" w:rsidP="00A62DD4">
            <w:pPr>
              <w:jc w:val="center"/>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2</w:t>
            </w:r>
          </w:p>
        </w:tc>
        <w:tc>
          <w:tcPr>
            <w:tcW w:w="1142" w:type="dxa"/>
            <w:hideMark/>
          </w:tcPr>
          <w:p w14:paraId="1D5DB4F7"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ISM</w:t>
            </w:r>
          </w:p>
        </w:tc>
        <w:tc>
          <w:tcPr>
            <w:tcW w:w="1488" w:type="dxa"/>
            <w:gridSpan w:val="2"/>
            <w:hideMark/>
          </w:tcPr>
          <w:p w14:paraId="2EF419B6"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5.156,36</w:t>
            </w:r>
          </w:p>
        </w:tc>
        <w:tc>
          <w:tcPr>
            <w:tcW w:w="1329" w:type="dxa"/>
            <w:hideMark/>
          </w:tcPr>
          <w:p w14:paraId="658B1483"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4.433,82</w:t>
            </w:r>
          </w:p>
        </w:tc>
        <w:tc>
          <w:tcPr>
            <w:tcW w:w="1117" w:type="dxa"/>
            <w:hideMark/>
          </w:tcPr>
          <w:p w14:paraId="239EC4AD"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86%</w:t>
            </w:r>
          </w:p>
        </w:tc>
        <w:tc>
          <w:tcPr>
            <w:tcW w:w="1223" w:type="dxa"/>
            <w:hideMark/>
          </w:tcPr>
          <w:p w14:paraId="1CEBE795"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6.145,73</w:t>
            </w:r>
          </w:p>
        </w:tc>
        <w:tc>
          <w:tcPr>
            <w:tcW w:w="1329" w:type="dxa"/>
            <w:hideMark/>
          </w:tcPr>
          <w:p w14:paraId="21200497"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5.191,38</w:t>
            </w:r>
          </w:p>
        </w:tc>
        <w:tc>
          <w:tcPr>
            <w:tcW w:w="1120" w:type="dxa"/>
            <w:hideMark/>
          </w:tcPr>
          <w:p w14:paraId="645CD6F1"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84%</w:t>
            </w:r>
          </w:p>
        </w:tc>
      </w:tr>
      <w:tr w:rsidR="00A62DD4" w:rsidRPr="00A62DD4" w14:paraId="18B55ACA" w14:textId="77777777" w:rsidTr="009A09D1">
        <w:trPr>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14:paraId="42A2414B" w14:textId="77777777" w:rsidR="00A62DD4" w:rsidRPr="00A62DD4" w:rsidRDefault="00A62DD4" w:rsidP="00A62DD4">
            <w:pPr>
              <w:jc w:val="center"/>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3</w:t>
            </w:r>
          </w:p>
        </w:tc>
        <w:tc>
          <w:tcPr>
            <w:tcW w:w="1142" w:type="dxa"/>
            <w:hideMark/>
          </w:tcPr>
          <w:p w14:paraId="65AFA4CC" w14:textId="77777777" w:rsidR="00A62DD4" w:rsidRPr="00A62DD4" w:rsidRDefault="00A62DD4" w:rsidP="00A62DD4">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MOLDAC</w:t>
            </w:r>
          </w:p>
        </w:tc>
        <w:tc>
          <w:tcPr>
            <w:tcW w:w="1488" w:type="dxa"/>
            <w:gridSpan w:val="2"/>
            <w:hideMark/>
          </w:tcPr>
          <w:p w14:paraId="1E521C0D"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7.763,82</w:t>
            </w:r>
          </w:p>
        </w:tc>
        <w:tc>
          <w:tcPr>
            <w:tcW w:w="1329" w:type="dxa"/>
            <w:hideMark/>
          </w:tcPr>
          <w:p w14:paraId="4F0ACE74"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6.263,10</w:t>
            </w:r>
          </w:p>
        </w:tc>
        <w:tc>
          <w:tcPr>
            <w:tcW w:w="1117" w:type="dxa"/>
            <w:hideMark/>
          </w:tcPr>
          <w:p w14:paraId="6C9F06AA"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81%</w:t>
            </w:r>
          </w:p>
        </w:tc>
        <w:tc>
          <w:tcPr>
            <w:tcW w:w="1223" w:type="dxa"/>
            <w:hideMark/>
          </w:tcPr>
          <w:p w14:paraId="2BCF8F63"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8.578,56</w:t>
            </w:r>
          </w:p>
        </w:tc>
        <w:tc>
          <w:tcPr>
            <w:tcW w:w="1329" w:type="dxa"/>
            <w:hideMark/>
          </w:tcPr>
          <w:p w14:paraId="54BC8488"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6.790,90</w:t>
            </w:r>
          </w:p>
        </w:tc>
        <w:tc>
          <w:tcPr>
            <w:tcW w:w="1120" w:type="dxa"/>
            <w:hideMark/>
          </w:tcPr>
          <w:p w14:paraId="5F353EC1"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79%</w:t>
            </w:r>
          </w:p>
        </w:tc>
      </w:tr>
      <w:tr w:rsidR="00A62DD4" w:rsidRPr="00A62DD4" w14:paraId="693208DF" w14:textId="77777777" w:rsidTr="009A09D1">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59" w:type="dxa"/>
            <w:noWrap/>
            <w:hideMark/>
          </w:tcPr>
          <w:p w14:paraId="0068C7B6" w14:textId="77777777" w:rsidR="00A62DD4" w:rsidRPr="00A62DD4" w:rsidRDefault="00A62DD4" w:rsidP="00A62DD4">
            <w:pPr>
              <w:jc w:val="center"/>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4</w:t>
            </w:r>
          </w:p>
        </w:tc>
        <w:tc>
          <w:tcPr>
            <w:tcW w:w="1142" w:type="dxa"/>
            <w:hideMark/>
          </w:tcPr>
          <w:p w14:paraId="4EC239CD" w14:textId="77777777" w:rsidR="00A62DD4" w:rsidRPr="00A62DD4" w:rsidRDefault="00A62DD4" w:rsidP="00A62DD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APCSP</w:t>
            </w:r>
          </w:p>
        </w:tc>
        <w:tc>
          <w:tcPr>
            <w:tcW w:w="1488" w:type="dxa"/>
            <w:gridSpan w:val="2"/>
            <w:hideMark/>
          </w:tcPr>
          <w:p w14:paraId="0C305F85"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11.797,52</w:t>
            </w:r>
          </w:p>
        </w:tc>
        <w:tc>
          <w:tcPr>
            <w:tcW w:w="1329" w:type="dxa"/>
            <w:hideMark/>
          </w:tcPr>
          <w:p w14:paraId="36CD1E59"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6.915,17</w:t>
            </w:r>
          </w:p>
        </w:tc>
        <w:tc>
          <w:tcPr>
            <w:tcW w:w="1117" w:type="dxa"/>
            <w:hideMark/>
          </w:tcPr>
          <w:p w14:paraId="76121C89"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59%</w:t>
            </w:r>
          </w:p>
        </w:tc>
        <w:tc>
          <w:tcPr>
            <w:tcW w:w="1223" w:type="dxa"/>
            <w:hideMark/>
          </w:tcPr>
          <w:p w14:paraId="2FDDBCAA"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12.406,94</w:t>
            </w:r>
          </w:p>
        </w:tc>
        <w:tc>
          <w:tcPr>
            <w:tcW w:w="1329" w:type="dxa"/>
            <w:hideMark/>
          </w:tcPr>
          <w:p w14:paraId="689B9A33"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7.563,57</w:t>
            </w:r>
          </w:p>
        </w:tc>
        <w:tc>
          <w:tcPr>
            <w:tcW w:w="1120" w:type="dxa"/>
            <w:hideMark/>
          </w:tcPr>
          <w:p w14:paraId="34778B91" w14:textId="77777777" w:rsidR="00A62DD4" w:rsidRPr="00A62DD4" w:rsidRDefault="00A62DD4" w:rsidP="00A62DD4">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A62DD4">
              <w:rPr>
                <w:rFonts w:ascii="Calibri Light" w:eastAsia="Times New Roman" w:hAnsi="Calibri Light" w:cs="Calibri Light"/>
                <w:color w:val="000000"/>
                <w:sz w:val="20"/>
                <w:szCs w:val="20"/>
              </w:rPr>
              <w:t>61%</w:t>
            </w:r>
          </w:p>
        </w:tc>
      </w:tr>
      <w:tr w:rsidR="00A62DD4" w:rsidRPr="00A62DD4" w14:paraId="1BA9435B" w14:textId="77777777" w:rsidTr="009A09D1">
        <w:trPr>
          <w:trHeight w:val="166"/>
        </w:trPr>
        <w:tc>
          <w:tcPr>
            <w:cnfStyle w:val="001000000000" w:firstRow="0" w:lastRow="0" w:firstColumn="1" w:lastColumn="0" w:oddVBand="0" w:evenVBand="0" w:oddHBand="0" w:evenHBand="0" w:firstRowFirstColumn="0" w:firstRowLastColumn="0" w:lastRowFirstColumn="0" w:lastRowLastColumn="0"/>
            <w:tcW w:w="1710" w:type="dxa"/>
            <w:gridSpan w:val="3"/>
            <w:hideMark/>
          </w:tcPr>
          <w:p w14:paraId="3F8B52FD" w14:textId="77777777" w:rsidR="00A62DD4" w:rsidRPr="00255E9C" w:rsidRDefault="00A62DD4" w:rsidP="00A62DD4">
            <w:pPr>
              <w:jc w:val="center"/>
              <w:rPr>
                <w:rFonts w:ascii="Calibri Light" w:eastAsia="Times New Roman" w:hAnsi="Calibri Light" w:cs="Calibri Light"/>
                <w:bCs w:val="0"/>
                <w:color w:val="000000"/>
                <w:sz w:val="20"/>
                <w:szCs w:val="20"/>
              </w:rPr>
            </w:pPr>
            <w:r w:rsidRPr="00152A5E">
              <w:rPr>
                <w:rFonts w:ascii="Calibri Light" w:eastAsia="Times New Roman" w:hAnsi="Calibri Light" w:cs="Calibri Light"/>
                <w:color w:val="000000"/>
                <w:sz w:val="20"/>
                <w:szCs w:val="20"/>
              </w:rPr>
              <w:t>TOTAL:</w:t>
            </w:r>
          </w:p>
        </w:tc>
        <w:tc>
          <w:tcPr>
            <w:tcW w:w="1479" w:type="dxa"/>
            <w:hideMark/>
          </w:tcPr>
          <w:p w14:paraId="5EFB970A"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35.623,81</w:t>
            </w:r>
          </w:p>
        </w:tc>
        <w:tc>
          <w:tcPr>
            <w:tcW w:w="1329" w:type="dxa"/>
            <w:hideMark/>
          </w:tcPr>
          <w:p w14:paraId="74DE4062"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26.422,49</w:t>
            </w:r>
          </w:p>
        </w:tc>
        <w:tc>
          <w:tcPr>
            <w:tcW w:w="1117" w:type="dxa"/>
            <w:hideMark/>
          </w:tcPr>
          <w:p w14:paraId="0D58E312"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74%</w:t>
            </w:r>
          </w:p>
        </w:tc>
        <w:tc>
          <w:tcPr>
            <w:tcW w:w="1223" w:type="dxa"/>
            <w:hideMark/>
          </w:tcPr>
          <w:p w14:paraId="260BD992"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41.742,65</w:t>
            </w:r>
          </w:p>
        </w:tc>
        <w:tc>
          <w:tcPr>
            <w:tcW w:w="1329" w:type="dxa"/>
            <w:hideMark/>
          </w:tcPr>
          <w:p w14:paraId="2FA67A13"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30.216,55</w:t>
            </w:r>
          </w:p>
        </w:tc>
        <w:tc>
          <w:tcPr>
            <w:tcW w:w="1120" w:type="dxa"/>
            <w:hideMark/>
          </w:tcPr>
          <w:p w14:paraId="20A6020C" w14:textId="77777777" w:rsidR="00A62DD4" w:rsidRPr="00A62DD4" w:rsidRDefault="00A62DD4" w:rsidP="00A62DD4">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A62DD4">
              <w:rPr>
                <w:rFonts w:ascii="Calibri Light" w:eastAsia="Times New Roman" w:hAnsi="Calibri Light" w:cs="Calibri Light"/>
                <w:b/>
                <w:bCs/>
                <w:color w:val="000000"/>
                <w:sz w:val="20"/>
                <w:szCs w:val="20"/>
              </w:rPr>
              <w:t>72%</w:t>
            </w:r>
          </w:p>
        </w:tc>
      </w:tr>
    </w:tbl>
    <w:p w14:paraId="77E092FD" w14:textId="03CC9F5E" w:rsidR="001F70FD" w:rsidRDefault="00383A66" w:rsidP="00255E9C">
      <w:pPr>
        <w:tabs>
          <w:tab w:val="left" w:pos="270"/>
        </w:tabs>
        <w:spacing w:after="0" w:line="276" w:lineRule="auto"/>
        <w:jc w:val="both"/>
        <w:rPr>
          <w:rFonts w:ascii="Calibri Light" w:eastAsia="Times New Roman" w:hAnsi="Calibri Light" w:cs="Calibri Light"/>
          <w:i/>
          <w:iCs/>
          <w:sz w:val="20"/>
          <w:szCs w:val="20"/>
          <w:lang w:val="ro-MD"/>
        </w:rPr>
      </w:pPr>
      <w:r w:rsidRPr="00255E9C">
        <w:rPr>
          <w:rFonts w:asciiTheme="majorHAnsi" w:hAnsiTheme="majorHAnsi" w:cstheme="majorHAnsi"/>
          <w:b/>
          <w:i/>
          <w:color w:val="000000"/>
          <w:sz w:val="20"/>
          <w:szCs w:val="20"/>
        </w:rPr>
        <w:t>Sursă:</w:t>
      </w:r>
      <w:r w:rsidR="006E1AF3" w:rsidRPr="00255E9C">
        <w:rPr>
          <w:rFonts w:asciiTheme="majorHAnsi" w:hAnsiTheme="majorHAnsi" w:cstheme="majorHAnsi"/>
          <w:b/>
          <w:i/>
          <w:color w:val="000000"/>
          <w:sz w:val="20"/>
          <w:szCs w:val="20"/>
        </w:rPr>
        <w:t xml:space="preserve"> </w:t>
      </w:r>
      <w:r w:rsidR="006E1AF3" w:rsidRPr="00152A5E">
        <w:rPr>
          <w:rFonts w:ascii="Calibri Light" w:eastAsia="Times New Roman" w:hAnsi="Calibri Light" w:cs="Calibri Light"/>
          <w:i/>
          <w:iCs/>
          <w:sz w:val="20"/>
          <w:szCs w:val="20"/>
          <w:lang w:val="ro-MD"/>
        </w:rPr>
        <w:t>Situațiile/rapoartele</w:t>
      </w:r>
      <w:r w:rsidR="006E1AF3" w:rsidRPr="00255E9C">
        <w:rPr>
          <w:rFonts w:ascii="Calibri Light" w:eastAsia="Times New Roman" w:hAnsi="Calibri Light" w:cs="Calibri Light"/>
          <w:i/>
          <w:iCs/>
          <w:sz w:val="20"/>
          <w:szCs w:val="20"/>
          <w:lang w:val="ro-MD"/>
        </w:rPr>
        <w:t xml:space="preserve">  financiare pentru anul 2020 și anul 2021.</w:t>
      </w:r>
    </w:p>
    <w:p w14:paraId="5C0A9CA8" w14:textId="77777777" w:rsidR="00152A5E" w:rsidRPr="00255E9C" w:rsidRDefault="00152A5E" w:rsidP="00255E9C">
      <w:pPr>
        <w:tabs>
          <w:tab w:val="left" w:pos="270"/>
        </w:tabs>
        <w:spacing w:after="0" w:line="276" w:lineRule="auto"/>
        <w:jc w:val="both"/>
        <w:rPr>
          <w:rFonts w:asciiTheme="majorHAnsi" w:hAnsiTheme="majorHAnsi" w:cstheme="majorHAnsi"/>
          <w:b/>
          <w:i/>
          <w:sz w:val="24"/>
          <w:szCs w:val="24"/>
        </w:rPr>
      </w:pPr>
    </w:p>
    <w:p w14:paraId="6E34E315" w14:textId="094507C2" w:rsidR="005205E3" w:rsidRDefault="00693238" w:rsidP="005205E3">
      <w:pPr>
        <w:pStyle w:val="ListParagraph"/>
        <w:tabs>
          <w:tab w:val="left" w:pos="270"/>
        </w:tabs>
        <w:spacing w:after="0" w:line="276" w:lineRule="auto"/>
        <w:ind w:left="0" w:firstLine="720"/>
        <w:jc w:val="both"/>
        <w:rPr>
          <w:rFonts w:asciiTheme="majorHAnsi" w:eastAsia="Times New Roman" w:hAnsiTheme="majorHAnsi" w:cs="Times New Roman"/>
          <w:iCs/>
          <w:color w:val="000000" w:themeColor="text1"/>
          <w:sz w:val="24"/>
          <w:szCs w:val="24"/>
          <w:lang w:val="ro-MD" w:eastAsia="ro-MD"/>
        </w:rPr>
      </w:pPr>
      <w:r w:rsidRPr="005205E3">
        <w:rPr>
          <w:rFonts w:asciiTheme="majorHAnsi" w:hAnsiTheme="majorHAnsi" w:cstheme="majorHAnsi"/>
          <w:color w:val="000000"/>
          <w:sz w:val="24"/>
          <w:szCs w:val="24"/>
        </w:rPr>
        <w:t>Activitățile</w:t>
      </w:r>
      <w:r w:rsidRPr="005B6058">
        <w:rPr>
          <w:rFonts w:asciiTheme="majorHAnsi" w:hAnsiTheme="majorHAnsi" w:cs="Times New Roman"/>
          <w:sz w:val="24"/>
          <w:szCs w:val="24"/>
          <w:lang w:val="ro-MD"/>
        </w:rPr>
        <w:t xml:space="preserve"> de audit public extern desfășurate au relevat că cheltuielile de personal</w:t>
      </w:r>
      <w:r w:rsidR="00355B2E">
        <w:rPr>
          <w:rFonts w:asciiTheme="majorHAnsi" w:hAnsiTheme="majorHAnsi" w:cs="Times New Roman"/>
          <w:sz w:val="24"/>
          <w:szCs w:val="24"/>
          <w:lang w:val="ro-MD"/>
        </w:rPr>
        <w:t>,</w:t>
      </w:r>
      <w:r w:rsidR="002B4CB2">
        <w:rPr>
          <w:rFonts w:asciiTheme="majorHAnsi" w:hAnsiTheme="majorHAnsi" w:cs="Times New Roman"/>
          <w:sz w:val="24"/>
          <w:szCs w:val="24"/>
          <w:lang w:val="ro-MD"/>
        </w:rPr>
        <w:t xml:space="preserve"> </w:t>
      </w:r>
      <w:r w:rsidR="00425564">
        <w:rPr>
          <w:rFonts w:asciiTheme="majorHAnsi" w:hAnsiTheme="majorHAnsi" w:cs="Times New Roman"/>
          <w:sz w:val="24"/>
          <w:szCs w:val="24"/>
          <w:lang w:val="ro-MD"/>
        </w:rPr>
        <w:t>per ansamblu</w:t>
      </w:r>
      <w:r w:rsidRPr="005B6058">
        <w:rPr>
          <w:rFonts w:asciiTheme="majorHAnsi" w:hAnsiTheme="majorHAnsi" w:cs="Times New Roman"/>
          <w:sz w:val="24"/>
          <w:szCs w:val="24"/>
          <w:lang w:val="ro-MD"/>
        </w:rPr>
        <w:t xml:space="preserve">, au fost efectuate în conformitate cu exigențele cadrului normativ aplicabil. Totodată, se </w:t>
      </w:r>
      <w:r w:rsidR="00355B2E">
        <w:rPr>
          <w:rFonts w:asciiTheme="majorHAnsi" w:hAnsiTheme="majorHAnsi" w:cs="Times New Roman"/>
          <w:sz w:val="24"/>
          <w:szCs w:val="24"/>
          <w:lang w:val="ro-MD"/>
        </w:rPr>
        <w:t>atestă</w:t>
      </w:r>
      <w:r w:rsidRPr="005B6058">
        <w:rPr>
          <w:rFonts w:asciiTheme="majorHAnsi" w:hAnsiTheme="majorHAnsi" w:cs="Times New Roman"/>
          <w:sz w:val="24"/>
          <w:szCs w:val="24"/>
          <w:lang w:val="ro-MD"/>
        </w:rPr>
        <w:t xml:space="preserve"> și unele nereguli și probleme, care impun re</w:t>
      </w:r>
      <w:r w:rsidRPr="005B6058">
        <w:rPr>
          <w:rFonts w:asciiTheme="majorHAnsi" w:eastAsia="Times New Roman" w:hAnsiTheme="majorHAnsi" w:cs="Times New Roman"/>
          <w:iCs/>
          <w:color w:val="000000" w:themeColor="text1"/>
          <w:sz w:val="24"/>
          <w:szCs w:val="24"/>
          <w:lang w:val="ro-MD" w:eastAsia="ro-MD"/>
        </w:rPr>
        <w:t>abordarea cheltuielilor entităților auditate prin prisma principiului pru</w:t>
      </w:r>
      <w:r w:rsidR="005205E3">
        <w:rPr>
          <w:rFonts w:asciiTheme="majorHAnsi" w:eastAsia="Times New Roman" w:hAnsiTheme="majorHAnsi" w:cs="Times New Roman"/>
          <w:iCs/>
          <w:color w:val="000000" w:themeColor="text1"/>
          <w:sz w:val="24"/>
          <w:szCs w:val="24"/>
          <w:lang w:val="ro-MD" w:eastAsia="ro-MD"/>
        </w:rPr>
        <w:t>denței și regularității. Astfel</w:t>
      </w:r>
      <w:r w:rsidR="00355B2E">
        <w:rPr>
          <w:rFonts w:asciiTheme="majorHAnsi" w:eastAsia="Times New Roman" w:hAnsiTheme="majorHAnsi" w:cs="Times New Roman"/>
          <w:iCs/>
          <w:color w:val="000000" w:themeColor="text1"/>
          <w:sz w:val="24"/>
          <w:szCs w:val="24"/>
          <w:lang w:val="ro-MD" w:eastAsia="ro-MD"/>
        </w:rPr>
        <w:t>,</w:t>
      </w:r>
    </w:p>
    <w:p w14:paraId="6B435493" w14:textId="26074F23" w:rsidR="002A384E" w:rsidRPr="00B25733" w:rsidRDefault="002B4CB2" w:rsidP="00AF29FD">
      <w:pPr>
        <w:pStyle w:val="ListParagraph"/>
        <w:numPr>
          <w:ilvl w:val="0"/>
          <w:numId w:val="39"/>
        </w:numPr>
        <w:tabs>
          <w:tab w:val="left" w:pos="270"/>
        </w:tabs>
        <w:spacing w:after="0" w:line="276" w:lineRule="auto"/>
        <w:ind w:left="0" w:firstLine="426"/>
        <w:jc w:val="both"/>
        <w:rPr>
          <w:rFonts w:asciiTheme="majorHAnsi" w:eastAsia="Times New Roman" w:hAnsiTheme="majorHAnsi" w:cstheme="majorHAnsi"/>
          <w:b/>
          <w:i/>
          <w:lang w:val="ro-MD"/>
        </w:rPr>
      </w:pPr>
      <w:r w:rsidRPr="00790761">
        <w:rPr>
          <w:rFonts w:asciiTheme="majorHAnsi" w:eastAsia="Times New Roman" w:hAnsiTheme="majorHAnsi" w:cstheme="majorHAnsi"/>
          <w:b/>
          <w:i/>
          <w:lang w:val="ro-MD"/>
        </w:rPr>
        <w:t>a</w:t>
      </w:r>
      <w:r w:rsidR="002A384E" w:rsidRPr="00790761">
        <w:rPr>
          <w:rFonts w:asciiTheme="majorHAnsi" w:eastAsia="Times New Roman" w:hAnsiTheme="majorHAnsi" w:cstheme="majorHAnsi"/>
          <w:b/>
          <w:i/>
          <w:lang w:val="ro-MD"/>
        </w:rPr>
        <w:t>cumularea zilelor</w:t>
      </w:r>
      <w:r w:rsidR="002A384E" w:rsidRPr="00B25733">
        <w:rPr>
          <w:rFonts w:asciiTheme="majorHAnsi" w:eastAsia="Times New Roman" w:hAnsiTheme="majorHAnsi" w:cstheme="majorHAnsi"/>
          <w:b/>
          <w:i/>
          <w:lang w:val="ro-MD"/>
        </w:rPr>
        <w:t xml:space="preserve"> de concediu </w:t>
      </w:r>
      <w:r w:rsidR="00355B2E">
        <w:rPr>
          <w:rFonts w:asciiTheme="majorHAnsi" w:eastAsia="Times New Roman" w:hAnsiTheme="majorHAnsi" w:cstheme="majorHAnsi"/>
          <w:b/>
          <w:i/>
          <w:lang w:val="ro-MD"/>
        </w:rPr>
        <w:t xml:space="preserve">anual </w:t>
      </w:r>
      <w:r w:rsidR="002A384E" w:rsidRPr="00B25733">
        <w:rPr>
          <w:rFonts w:asciiTheme="majorHAnsi" w:eastAsia="Times New Roman" w:hAnsiTheme="majorHAnsi" w:cstheme="majorHAnsi"/>
          <w:b/>
          <w:i/>
          <w:lang w:val="ro-MD"/>
        </w:rPr>
        <w:t>nefolosite</w:t>
      </w:r>
      <w:r w:rsidR="00355B2E">
        <w:rPr>
          <w:rFonts w:asciiTheme="majorHAnsi" w:eastAsia="Times New Roman" w:hAnsiTheme="majorHAnsi" w:cstheme="majorHAnsi"/>
          <w:b/>
          <w:i/>
          <w:lang w:val="ro-MD"/>
        </w:rPr>
        <w:t>,</w:t>
      </w:r>
      <w:r w:rsidR="002A384E" w:rsidRPr="00B25733">
        <w:rPr>
          <w:rFonts w:asciiTheme="majorHAnsi" w:eastAsia="Times New Roman" w:hAnsiTheme="majorHAnsi" w:cstheme="majorHAnsi"/>
          <w:b/>
          <w:i/>
          <w:lang w:val="ro-MD"/>
        </w:rPr>
        <w:t xml:space="preserve"> în sumă totală de circa 1 176 mii lei</w:t>
      </w:r>
      <w:r w:rsidR="00355B2E">
        <w:rPr>
          <w:rFonts w:asciiTheme="majorHAnsi" w:eastAsia="Times New Roman" w:hAnsiTheme="majorHAnsi" w:cstheme="majorHAnsi"/>
          <w:b/>
          <w:i/>
          <w:lang w:val="ro-MD"/>
        </w:rPr>
        <w:t>,</w:t>
      </w:r>
      <w:r w:rsidR="002A384E" w:rsidRPr="00B25733">
        <w:rPr>
          <w:rFonts w:asciiTheme="majorHAnsi" w:eastAsia="Times New Roman" w:hAnsiTheme="majorHAnsi" w:cstheme="majorHAnsi"/>
          <w:b/>
          <w:i/>
          <w:lang w:val="ro-MD"/>
        </w:rPr>
        <w:t xml:space="preserve"> afectează stabi</w:t>
      </w:r>
      <w:r w:rsidR="00EF3ECA" w:rsidRPr="00B25733">
        <w:rPr>
          <w:rFonts w:asciiTheme="majorHAnsi" w:eastAsia="Times New Roman" w:hAnsiTheme="majorHAnsi" w:cstheme="majorHAnsi"/>
          <w:b/>
          <w:i/>
          <w:lang w:val="ro-MD"/>
        </w:rPr>
        <w:t xml:space="preserve">litatea financiară a </w:t>
      </w:r>
      <w:r w:rsidR="00355B2E">
        <w:rPr>
          <w:rFonts w:asciiTheme="majorHAnsi" w:eastAsia="Times New Roman" w:hAnsiTheme="majorHAnsi" w:cstheme="majorHAnsi"/>
          <w:b/>
          <w:i/>
          <w:lang w:val="ro-MD"/>
        </w:rPr>
        <w:t>i</w:t>
      </w:r>
      <w:r w:rsidR="00EF3ECA" w:rsidRPr="00B25733">
        <w:rPr>
          <w:rFonts w:asciiTheme="majorHAnsi" w:eastAsia="Times New Roman" w:hAnsiTheme="majorHAnsi" w:cstheme="majorHAnsi"/>
          <w:b/>
          <w:i/>
          <w:lang w:val="ro-MD"/>
        </w:rPr>
        <w:t xml:space="preserve">nstituțiilor </w:t>
      </w:r>
      <w:r w:rsidR="00355B2E">
        <w:rPr>
          <w:rFonts w:asciiTheme="majorHAnsi" w:eastAsia="Times New Roman" w:hAnsiTheme="majorHAnsi" w:cstheme="majorHAnsi"/>
          <w:b/>
          <w:i/>
          <w:lang w:val="ro-MD"/>
        </w:rPr>
        <w:t>p</w:t>
      </w:r>
      <w:r w:rsidR="00EF3ECA" w:rsidRPr="00B25733">
        <w:rPr>
          <w:rFonts w:asciiTheme="majorHAnsi" w:eastAsia="Times New Roman" w:hAnsiTheme="majorHAnsi" w:cstheme="majorHAnsi"/>
          <w:b/>
          <w:i/>
          <w:lang w:val="ro-MD"/>
        </w:rPr>
        <w:t xml:space="preserve">ublice </w:t>
      </w:r>
      <w:r w:rsidR="002A384E" w:rsidRPr="00B25733">
        <w:rPr>
          <w:rFonts w:asciiTheme="majorHAnsi" w:eastAsia="Times New Roman" w:hAnsiTheme="majorHAnsi" w:cstheme="majorHAnsi"/>
          <w:b/>
          <w:i/>
          <w:lang w:val="ro-MD"/>
        </w:rPr>
        <w:t xml:space="preserve"> auditate</w:t>
      </w:r>
    </w:p>
    <w:p w14:paraId="1110773A" w14:textId="6DB647C3" w:rsidR="002A384E" w:rsidRPr="00204D3F" w:rsidRDefault="002B4CB2" w:rsidP="002A384E">
      <w:pPr>
        <w:spacing w:after="0" w:line="276" w:lineRule="auto"/>
        <w:ind w:firstLine="709"/>
        <w:jc w:val="both"/>
        <w:rPr>
          <w:rFonts w:asciiTheme="majorHAnsi" w:hAnsiTheme="majorHAnsi" w:cstheme="majorHAnsi"/>
          <w:bCs/>
          <w:iCs/>
          <w:noProof/>
          <w:sz w:val="24"/>
          <w:szCs w:val="24"/>
          <w:shd w:val="clear" w:color="auto" w:fill="FFFFFF"/>
          <w:lang w:val="ro-MD"/>
        </w:rPr>
      </w:pPr>
      <w:r>
        <w:rPr>
          <w:rFonts w:asciiTheme="majorHAnsi" w:hAnsiTheme="majorHAnsi" w:cstheme="majorHAnsi"/>
          <w:bCs/>
          <w:iCs/>
          <w:noProof/>
          <w:sz w:val="24"/>
          <w:szCs w:val="24"/>
          <w:shd w:val="clear" w:color="auto" w:fill="FFFFFF"/>
          <w:lang w:val="ro-MD"/>
        </w:rPr>
        <w:t xml:space="preserve">Potrivit </w:t>
      </w:r>
      <w:r w:rsidR="007550F5">
        <w:rPr>
          <w:rFonts w:asciiTheme="majorHAnsi" w:hAnsiTheme="majorHAnsi" w:cstheme="majorHAnsi"/>
          <w:bCs/>
          <w:iCs/>
          <w:noProof/>
          <w:sz w:val="24"/>
          <w:szCs w:val="24"/>
          <w:shd w:val="clear" w:color="auto" w:fill="FFFFFF"/>
          <w:lang w:val="ro-MD"/>
        </w:rPr>
        <w:t xml:space="preserve"> reglementă</w:t>
      </w:r>
      <w:r>
        <w:rPr>
          <w:rFonts w:asciiTheme="majorHAnsi" w:hAnsiTheme="majorHAnsi" w:cstheme="majorHAnsi"/>
          <w:bCs/>
          <w:iCs/>
          <w:noProof/>
          <w:sz w:val="24"/>
          <w:szCs w:val="24"/>
          <w:shd w:val="clear" w:color="auto" w:fill="FFFFFF"/>
          <w:lang w:val="ro-MD"/>
        </w:rPr>
        <w:t>rilor</w:t>
      </w:r>
      <w:r w:rsidR="002A384E" w:rsidRPr="00204D3F">
        <w:rPr>
          <w:rFonts w:asciiTheme="majorHAnsi" w:hAnsiTheme="majorHAnsi" w:cstheme="majorHAnsi"/>
          <w:bCs/>
          <w:iCs/>
          <w:noProof/>
          <w:sz w:val="24"/>
          <w:szCs w:val="24"/>
          <w:shd w:val="clear" w:color="auto" w:fill="FFFFFF"/>
          <w:lang w:val="ro-MD"/>
        </w:rPr>
        <w:t xml:space="preserve"> aplicabil</w:t>
      </w:r>
      <w:r>
        <w:rPr>
          <w:rFonts w:asciiTheme="majorHAnsi" w:hAnsiTheme="majorHAnsi" w:cstheme="majorHAnsi"/>
          <w:bCs/>
          <w:iCs/>
          <w:noProof/>
          <w:sz w:val="24"/>
          <w:szCs w:val="24"/>
          <w:shd w:val="clear" w:color="auto" w:fill="FFFFFF"/>
          <w:lang w:val="ro-MD"/>
        </w:rPr>
        <w:t>e</w:t>
      </w:r>
      <w:r w:rsidR="002A384E" w:rsidRPr="00204D3F">
        <w:rPr>
          <w:rFonts w:asciiTheme="majorHAnsi" w:hAnsiTheme="majorHAnsi" w:cstheme="majorHAnsi"/>
          <w:bCs/>
          <w:iCs/>
          <w:noProof/>
          <w:sz w:val="24"/>
          <w:szCs w:val="24"/>
          <w:shd w:val="clear" w:color="auto" w:fill="FFFFFF"/>
          <w:vertAlign w:val="superscript"/>
          <w:lang w:val="ro-MD"/>
        </w:rPr>
        <w:footnoteReference w:id="40"/>
      </w:r>
      <w:r w:rsidR="002A384E" w:rsidRPr="00204D3F">
        <w:rPr>
          <w:rFonts w:asciiTheme="majorHAnsi" w:hAnsiTheme="majorHAnsi" w:cstheme="majorHAnsi"/>
          <w:bCs/>
          <w:iCs/>
          <w:noProof/>
          <w:sz w:val="24"/>
          <w:szCs w:val="24"/>
          <w:shd w:val="clear" w:color="auto" w:fill="FFFFFF"/>
          <w:lang w:val="ro-MD"/>
        </w:rPr>
        <w:t xml:space="preserve">, orice entitate urmează să constituie provizioane pentru acoperirea anumitor pierderi sau cheltuieli a căror cauză este precisă și asupra cărora există o incertitudine în ceea ce privește mărimea sau data producerii lor, iar modalitatea de creare, calculare și contabilizare a acestora trebuie să fie în corelație cu riscurile şi cheltuielile estimate. </w:t>
      </w:r>
    </w:p>
    <w:p w14:paraId="3FBAAE3B" w14:textId="3D5438E9" w:rsidR="002A384E" w:rsidRPr="00570167" w:rsidRDefault="002A384E" w:rsidP="002A384E">
      <w:pPr>
        <w:spacing w:after="0" w:line="276" w:lineRule="auto"/>
        <w:ind w:firstLine="709"/>
        <w:jc w:val="both"/>
        <w:rPr>
          <w:rFonts w:asciiTheme="majorHAnsi" w:hAnsiTheme="majorHAnsi" w:cstheme="majorHAnsi"/>
          <w:sz w:val="24"/>
          <w:szCs w:val="24"/>
          <w:lang w:val="ro-MD"/>
        </w:rPr>
      </w:pPr>
      <w:r w:rsidRPr="00204D3F">
        <w:rPr>
          <w:rFonts w:asciiTheme="majorHAnsi" w:hAnsiTheme="majorHAnsi" w:cstheme="majorHAnsi"/>
          <w:bCs/>
          <w:iCs/>
          <w:noProof/>
          <w:sz w:val="24"/>
          <w:szCs w:val="24"/>
          <w:shd w:val="clear" w:color="auto" w:fill="FFFFFF"/>
          <w:lang w:val="ro-MD"/>
        </w:rPr>
        <w:t xml:space="preserve">Urmare </w:t>
      </w:r>
      <w:r w:rsidR="007A30D9">
        <w:rPr>
          <w:rFonts w:asciiTheme="majorHAnsi" w:hAnsiTheme="majorHAnsi" w:cstheme="majorHAnsi"/>
          <w:bCs/>
          <w:iCs/>
          <w:noProof/>
          <w:sz w:val="24"/>
          <w:szCs w:val="24"/>
          <w:shd w:val="clear" w:color="auto" w:fill="FFFFFF"/>
          <w:lang w:val="ro-MD"/>
        </w:rPr>
        <w:t>efectuării</w:t>
      </w:r>
      <w:r w:rsidRPr="00204D3F">
        <w:rPr>
          <w:rFonts w:asciiTheme="majorHAnsi" w:hAnsiTheme="majorHAnsi" w:cstheme="majorHAnsi"/>
          <w:bCs/>
          <w:iCs/>
          <w:noProof/>
          <w:sz w:val="24"/>
          <w:szCs w:val="24"/>
          <w:shd w:val="clear" w:color="auto" w:fill="FFFFFF"/>
          <w:lang w:val="ro-MD"/>
        </w:rPr>
        <w:t xml:space="preserve"> testelor de audi</w:t>
      </w:r>
      <w:r w:rsidR="00315308" w:rsidRPr="00204D3F">
        <w:rPr>
          <w:rFonts w:asciiTheme="majorHAnsi" w:hAnsiTheme="majorHAnsi" w:cstheme="majorHAnsi"/>
          <w:bCs/>
          <w:iCs/>
          <w:noProof/>
          <w:sz w:val="24"/>
          <w:szCs w:val="24"/>
          <w:shd w:val="clear" w:color="auto" w:fill="FFFFFF"/>
          <w:lang w:val="ro-MD"/>
        </w:rPr>
        <w:t>t, s-a constatat că I</w:t>
      </w:r>
      <w:r w:rsidRPr="00204D3F">
        <w:rPr>
          <w:rFonts w:asciiTheme="majorHAnsi" w:hAnsiTheme="majorHAnsi" w:cstheme="majorHAnsi"/>
          <w:bCs/>
          <w:iCs/>
          <w:noProof/>
          <w:sz w:val="24"/>
          <w:szCs w:val="24"/>
          <w:shd w:val="clear" w:color="auto" w:fill="FFFFFF"/>
          <w:lang w:val="ro-MD"/>
        </w:rPr>
        <w:t>S</w:t>
      </w:r>
      <w:r w:rsidR="00315308" w:rsidRPr="00204D3F">
        <w:rPr>
          <w:rFonts w:asciiTheme="majorHAnsi" w:hAnsiTheme="majorHAnsi" w:cstheme="majorHAnsi"/>
          <w:bCs/>
          <w:iCs/>
          <w:noProof/>
          <w:sz w:val="24"/>
          <w:szCs w:val="24"/>
          <w:shd w:val="clear" w:color="auto" w:fill="FFFFFF"/>
          <w:lang w:val="ro-MD"/>
        </w:rPr>
        <w:t>M</w:t>
      </w:r>
      <w:r w:rsidRPr="00204D3F">
        <w:rPr>
          <w:rFonts w:asciiTheme="majorHAnsi" w:hAnsiTheme="majorHAnsi" w:cstheme="majorHAnsi"/>
          <w:bCs/>
          <w:iCs/>
          <w:noProof/>
          <w:sz w:val="24"/>
          <w:szCs w:val="24"/>
          <w:shd w:val="clear" w:color="auto" w:fill="FFFFFF"/>
          <w:lang w:val="ro-MD"/>
        </w:rPr>
        <w:t xml:space="preserve"> și MOLDAC</w:t>
      </w:r>
      <w:r w:rsidR="007A30D9">
        <w:rPr>
          <w:rFonts w:asciiTheme="majorHAnsi" w:hAnsiTheme="majorHAnsi" w:cstheme="majorHAnsi"/>
          <w:bCs/>
          <w:iCs/>
          <w:noProof/>
          <w:sz w:val="24"/>
          <w:szCs w:val="24"/>
          <w:shd w:val="clear" w:color="auto" w:fill="FFFFFF"/>
          <w:lang w:val="ro-MD"/>
        </w:rPr>
        <w:t>,</w:t>
      </w:r>
      <w:r w:rsidRPr="00204D3F">
        <w:rPr>
          <w:rFonts w:asciiTheme="majorHAnsi" w:hAnsiTheme="majorHAnsi" w:cstheme="majorHAnsi"/>
          <w:bCs/>
          <w:iCs/>
          <w:noProof/>
          <w:sz w:val="24"/>
          <w:szCs w:val="24"/>
          <w:shd w:val="clear" w:color="auto" w:fill="FFFFFF"/>
          <w:lang w:val="ro-MD"/>
        </w:rPr>
        <w:t xml:space="preserve"> la 31.12.2021</w:t>
      </w:r>
      <w:r w:rsidRPr="00204D3F">
        <w:rPr>
          <w:rStyle w:val="FootnoteReference"/>
          <w:rFonts w:asciiTheme="majorHAnsi" w:hAnsiTheme="majorHAnsi" w:cs="Times New Roman"/>
          <w:szCs w:val="24"/>
          <w:lang w:val="ro-MD"/>
        </w:rPr>
        <w:footnoteReference w:id="41"/>
      </w:r>
      <w:r w:rsidR="007A30D9">
        <w:rPr>
          <w:rFonts w:asciiTheme="majorHAnsi" w:hAnsiTheme="majorHAnsi" w:cstheme="majorHAnsi"/>
          <w:bCs/>
          <w:iCs/>
          <w:noProof/>
          <w:sz w:val="24"/>
          <w:szCs w:val="24"/>
          <w:shd w:val="clear" w:color="auto" w:fill="FFFFFF"/>
          <w:lang w:val="ro-MD"/>
        </w:rPr>
        <w:t>,</w:t>
      </w:r>
      <w:r w:rsidRPr="00204D3F">
        <w:rPr>
          <w:rFonts w:asciiTheme="majorHAnsi" w:hAnsiTheme="majorHAnsi" w:cs="Times New Roman"/>
          <w:sz w:val="24"/>
          <w:szCs w:val="24"/>
          <w:lang w:val="ro-MD"/>
        </w:rPr>
        <w:t xml:space="preserve"> </w:t>
      </w:r>
      <w:r w:rsidRPr="00204D3F">
        <w:rPr>
          <w:rFonts w:asciiTheme="majorHAnsi" w:hAnsiTheme="majorHAnsi" w:cstheme="majorHAnsi"/>
          <w:bCs/>
          <w:iCs/>
          <w:noProof/>
          <w:sz w:val="24"/>
          <w:szCs w:val="24"/>
          <w:shd w:val="clear" w:color="auto" w:fill="FFFFFF"/>
          <w:lang w:val="ro-MD"/>
        </w:rPr>
        <w:t xml:space="preserve">au acumulat 906 zile de concediu </w:t>
      </w:r>
      <w:r w:rsidR="007A30D9">
        <w:rPr>
          <w:rFonts w:asciiTheme="majorHAnsi" w:hAnsiTheme="majorHAnsi" w:cstheme="majorHAnsi"/>
          <w:bCs/>
          <w:iCs/>
          <w:noProof/>
          <w:sz w:val="24"/>
          <w:szCs w:val="24"/>
          <w:shd w:val="clear" w:color="auto" w:fill="FFFFFF"/>
          <w:lang w:val="ro-MD"/>
        </w:rPr>
        <w:t xml:space="preserve">anual </w:t>
      </w:r>
      <w:r w:rsidRPr="00204D3F">
        <w:rPr>
          <w:rFonts w:asciiTheme="majorHAnsi" w:hAnsiTheme="majorHAnsi" w:cstheme="majorHAnsi"/>
          <w:bCs/>
          <w:iCs/>
          <w:noProof/>
          <w:sz w:val="24"/>
          <w:szCs w:val="24"/>
          <w:shd w:val="clear" w:color="auto" w:fill="FFFFFF"/>
          <w:lang w:val="ro-MD"/>
        </w:rPr>
        <w:t>nefolosit</w:t>
      </w:r>
      <w:r w:rsidR="007A30D9">
        <w:rPr>
          <w:rFonts w:asciiTheme="majorHAnsi" w:hAnsiTheme="majorHAnsi" w:cstheme="majorHAnsi"/>
          <w:bCs/>
          <w:iCs/>
          <w:noProof/>
          <w:sz w:val="24"/>
          <w:szCs w:val="24"/>
          <w:shd w:val="clear" w:color="auto" w:fill="FFFFFF"/>
          <w:lang w:val="ro-MD"/>
        </w:rPr>
        <w:t>e,</w:t>
      </w:r>
      <w:r w:rsidRPr="00204D3F">
        <w:rPr>
          <w:rFonts w:asciiTheme="majorHAnsi" w:hAnsiTheme="majorHAnsi" w:cstheme="majorHAnsi"/>
          <w:bCs/>
          <w:iCs/>
          <w:noProof/>
          <w:sz w:val="24"/>
          <w:szCs w:val="24"/>
          <w:shd w:val="clear" w:color="auto" w:fill="FFFFFF"/>
          <w:lang w:val="ro-MD"/>
        </w:rPr>
        <w:t xml:space="preserve"> care, inevitabil, </w:t>
      </w:r>
      <w:r w:rsidRPr="00204D3F">
        <w:rPr>
          <w:rFonts w:asciiTheme="majorHAnsi" w:hAnsiTheme="majorHAnsi" w:cs="Times New Roman"/>
          <w:sz w:val="24"/>
          <w:szCs w:val="24"/>
          <w:lang w:val="ro-MD"/>
        </w:rPr>
        <w:t xml:space="preserve">atrag după sine </w:t>
      </w:r>
      <w:r w:rsidRPr="00204D3F">
        <w:rPr>
          <w:rFonts w:asciiTheme="majorHAnsi" w:hAnsiTheme="majorHAnsi" w:cs="Times New Roman"/>
          <w:sz w:val="24"/>
          <w:szCs w:val="24"/>
          <w:lang w:val="ro-RO"/>
        </w:rPr>
        <w:t xml:space="preserve">obligații </w:t>
      </w:r>
      <w:r w:rsidRPr="00204D3F">
        <w:rPr>
          <w:rFonts w:asciiTheme="majorHAnsi" w:eastAsia="Times New Roman" w:hAnsiTheme="majorHAnsi" w:cs="Times New Roman"/>
          <w:sz w:val="24"/>
          <w:szCs w:val="24"/>
          <w:bdr w:val="none" w:sz="0" w:space="0" w:color="auto" w:frame="1"/>
          <w:lang w:val="ro-RO"/>
        </w:rPr>
        <w:t>legale față de personalul încadrat</w:t>
      </w:r>
      <w:r w:rsidR="007A30D9">
        <w:rPr>
          <w:rFonts w:asciiTheme="majorHAnsi" w:eastAsia="Times New Roman" w:hAnsiTheme="majorHAnsi" w:cs="Times New Roman"/>
          <w:sz w:val="24"/>
          <w:szCs w:val="24"/>
          <w:bdr w:val="none" w:sz="0" w:space="0" w:color="auto" w:frame="1"/>
          <w:lang w:val="ro-RO"/>
        </w:rPr>
        <w:t>,</w:t>
      </w:r>
      <w:r w:rsidRPr="00204D3F">
        <w:rPr>
          <w:rFonts w:asciiTheme="majorHAnsi" w:eastAsia="Times New Roman" w:hAnsiTheme="majorHAnsi" w:cs="Times New Roman"/>
          <w:sz w:val="24"/>
          <w:szCs w:val="24"/>
          <w:bdr w:val="none" w:sz="0" w:space="0" w:color="auto" w:frame="1"/>
          <w:lang w:val="ro-RO"/>
        </w:rPr>
        <w:t xml:space="preserve"> în sumă totală de c</w:t>
      </w:r>
      <w:r w:rsidR="007A30D9">
        <w:rPr>
          <w:rFonts w:asciiTheme="majorHAnsi" w:eastAsia="Times New Roman" w:hAnsiTheme="majorHAnsi" w:cs="Times New Roman"/>
          <w:sz w:val="24"/>
          <w:szCs w:val="24"/>
          <w:bdr w:val="none" w:sz="0" w:space="0" w:color="auto" w:frame="1"/>
          <w:lang w:val="ro-RO"/>
        </w:rPr>
        <w:t>ir</w:t>
      </w:r>
      <w:r w:rsidRPr="00204D3F">
        <w:rPr>
          <w:rFonts w:asciiTheme="majorHAnsi" w:eastAsia="Times New Roman" w:hAnsiTheme="majorHAnsi" w:cs="Times New Roman"/>
          <w:sz w:val="24"/>
          <w:szCs w:val="24"/>
          <w:bdr w:val="none" w:sz="0" w:space="0" w:color="auto" w:frame="1"/>
          <w:lang w:val="ro-RO"/>
        </w:rPr>
        <w:t>ca 468</w:t>
      </w:r>
      <w:r w:rsidR="007A30D9">
        <w:rPr>
          <w:rFonts w:asciiTheme="majorHAnsi" w:eastAsia="Times New Roman" w:hAnsiTheme="majorHAnsi" w:cs="Times New Roman"/>
          <w:sz w:val="24"/>
          <w:szCs w:val="24"/>
          <w:bdr w:val="none" w:sz="0" w:space="0" w:color="auto" w:frame="1"/>
          <w:lang w:val="ro-RO"/>
        </w:rPr>
        <w:t>,0</w:t>
      </w:r>
      <w:r w:rsidRPr="00204D3F">
        <w:rPr>
          <w:rFonts w:asciiTheme="majorHAnsi" w:eastAsia="Times New Roman" w:hAnsiTheme="majorHAnsi" w:cs="Times New Roman"/>
          <w:sz w:val="24"/>
          <w:szCs w:val="24"/>
          <w:bdr w:val="none" w:sz="0" w:space="0" w:color="auto" w:frame="1"/>
          <w:lang w:val="ro-RO"/>
        </w:rPr>
        <w:t xml:space="preserve"> mii lei</w:t>
      </w:r>
      <w:r w:rsidRPr="00204D3F">
        <w:rPr>
          <w:rStyle w:val="FootnoteReference"/>
          <w:rFonts w:asciiTheme="majorHAnsi" w:eastAsia="Times New Roman" w:hAnsiTheme="majorHAnsi" w:cs="Times New Roman"/>
          <w:szCs w:val="24"/>
          <w:bdr w:val="none" w:sz="0" w:space="0" w:color="auto" w:frame="1"/>
          <w:lang w:val="ro-RO"/>
        </w:rPr>
        <w:footnoteReference w:id="42"/>
      </w:r>
      <w:r w:rsidRPr="00204D3F">
        <w:rPr>
          <w:rFonts w:asciiTheme="majorHAnsi" w:eastAsia="Times New Roman" w:hAnsiTheme="majorHAnsi" w:cs="Times New Roman"/>
          <w:sz w:val="24"/>
          <w:szCs w:val="24"/>
          <w:bdr w:val="none" w:sz="0" w:space="0" w:color="auto" w:frame="1"/>
          <w:lang w:val="ro-RO"/>
        </w:rPr>
        <w:t>. C</w:t>
      </w:r>
      <w:r w:rsidR="00315308" w:rsidRPr="00204D3F">
        <w:rPr>
          <w:rFonts w:asciiTheme="majorHAnsi" w:eastAsia="Times New Roman" w:hAnsiTheme="majorHAnsi" w:cs="Times New Roman"/>
          <w:sz w:val="24"/>
          <w:szCs w:val="24"/>
          <w:bdr w:val="none" w:sz="0" w:space="0" w:color="auto" w:frame="1"/>
          <w:lang w:val="ro-RO"/>
        </w:rPr>
        <w:t>oncomitent, se relevă că</w:t>
      </w:r>
      <w:r w:rsidR="00640A78">
        <w:rPr>
          <w:rFonts w:asciiTheme="majorHAnsi" w:eastAsia="Times New Roman" w:hAnsiTheme="majorHAnsi" w:cs="Times New Roman"/>
          <w:sz w:val="24"/>
          <w:szCs w:val="24"/>
          <w:bdr w:val="none" w:sz="0" w:space="0" w:color="auto" w:frame="1"/>
          <w:lang w:val="ro-RO"/>
        </w:rPr>
        <w:t>,</w:t>
      </w:r>
      <w:r w:rsidR="00315308" w:rsidRPr="00204D3F">
        <w:rPr>
          <w:rFonts w:asciiTheme="majorHAnsi" w:eastAsia="Times New Roman" w:hAnsiTheme="majorHAnsi" w:cs="Times New Roman"/>
          <w:sz w:val="24"/>
          <w:szCs w:val="24"/>
          <w:bdr w:val="none" w:sz="0" w:space="0" w:color="auto" w:frame="1"/>
          <w:lang w:val="ro-RO"/>
        </w:rPr>
        <w:t xml:space="preserve"> deși I</w:t>
      </w:r>
      <w:r w:rsidRPr="00204D3F">
        <w:rPr>
          <w:rFonts w:asciiTheme="majorHAnsi" w:eastAsia="Times New Roman" w:hAnsiTheme="majorHAnsi" w:cs="Times New Roman"/>
          <w:sz w:val="24"/>
          <w:szCs w:val="24"/>
          <w:bdr w:val="none" w:sz="0" w:space="0" w:color="auto" w:frame="1"/>
          <w:lang w:val="ro-RO"/>
        </w:rPr>
        <w:t>S</w:t>
      </w:r>
      <w:r w:rsidR="00315308" w:rsidRPr="00204D3F">
        <w:rPr>
          <w:rFonts w:asciiTheme="majorHAnsi" w:eastAsia="Times New Roman" w:hAnsiTheme="majorHAnsi" w:cs="Times New Roman"/>
          <w:sz w:val="24"/>
          <w:szCs w:val="24"/>
          <w:bdr w:val="none" w:sz="0" w:space="0" w:color="auto" w:frame="1"/>
          <w:lang w:val="ro-RO"/>
        </w:rPr>
        <w:t>M</w:t>
      </w:r>
      <w:r w:rsidRPr="00204D3F">
        <w:rPr>
          <w:rFonts w:asciiTheme="majorHAnsi" w:eastAsia="Times New Roman" w:hAnsiTheme="majorHAnsi" w:cs="Times New Roman"/>
          <w:sz w:val="24"/>
          <w:szCs w:val="24"/>
          <w:bdr w:val="none" w:sz="0" w:space="0" w:color="auto" w:frame="1"/>
          <w:lang w:val="ro-RO"/>
        </w:rPr>
        <w:t xml:space="preserve"> și MOLDAC </w:t>
      </w:r>
      <w:r w:rsidRPr="00204D3F">
        <w:rPr>
          <w:rFonts w:asciiTheme="majorHAnsi" w:hAnsiTheme="majorHAnsi" w:cstheme="majorHAnsi"/>
          <w:sz w:val="24"/>
          <w:szCs w:val="24"/>
          <w:lang w:val="ro-MD"/>
        </w:rPr>
        <w:t xml:space="preserve">organizează și țin evidența contabilă  în conformitate cu SNC, acestea, prin politicile </w:t>
      </w:r>
      <w:r w:rsidR="00640A78">
        <w:rPr>
          <w:rFonts w:asciiTheme="majorHAnsi" w:hAnsiTheme="majorHAnsi" w:cstheme="majorHAnsi"/>
          <w:sz w:val="24"/>
          <w:szCs w:val="24"/>
          <w:lang w:val="ro-MD"/>
        </w:rPr>
        <w:t>lor</w:t>
      </w:r>
      <w:r w:rsidRPr="00204D3F">
        <w:rPr>
          <w:rFonts w:asciiTheme="majorHAnsi" w:hAnsiTheme="majorHAnsi" w:cstheme="majorHAnsi"/>
          <w:sz w:val="24"/>
          <w:szCs w:val="24"/>
          <w:lang w:val="ro-MD"/>
        </w:rPr>
        <w:t xml:space="preserve"> contabile adoptate</w:t>
      </w:r>
      <w:r w:rsidR="00640A78">
        <w:rPr>
          <w:rFonts w:asciiTheme="majorHAnsi" w:hAnsiTheme="majorHAnsi" w:cstheme="majorHAnsi"/>
          <w:sz w:val="24"/>
          <w:szCs w:val="24"/>
          <w:lang w:val="ro-MD"/>
        </w:rPr>
        <w:t>,</w:t>
      </w:r>
      <w:r w:rsidRPr="00204D3F">
        <w:rPr>
          <w:rFonts w:asciiTheme="majorHAnsi" w:hAnsiTheme="majorHAnsi" w:cstheme="majorHAnsi"/>
          <w:sz w:val="24"/>
          <w:szCs w:val="24"/>
          <w:lang w:val="ro-MD"/>
        </w:rPr>
        <w:t xml:space="preserve"> nu au reglementat modul de constituire a provizioanelor</w:t>
      </w:r>
      <w:r w:rsidR="009611F5">
        <w:rPr>
          <w:rFonts w:asciiTheme="majorHAnsi" w:hAnsiTheme="majorHAnsi" w:cstheme="majorHAnsi"/>
          <w:sz w:val="24"/>
          <w:szCs w:val="24"/>
          <w:lang w:val="ro-MD"/>
        </w:rPr>
        <w:t>,</w:t>
      </w:r>
      <w:r w:rsidRPr="00204D3F">
        <w:rPr>
          <w:rFonts w:asciiTheme="majorHAnsi" w:hAnsiTheme="majorHAnsi" w:cstheme="majorHAnsi"/>
          <w:sz w:val="24"/>
          <w:szCs w:val="24"/>
          <w:lang w:val="ro-MD"/>
        </w:rPr>
        <w:t xml:space="preserve"> ceea ce nu asigură o gestionare prudentă a riscurilor corelate cu eventualele </w:t>
      </w:r>
      <w:r w:rsidR="00E14D9B" w:rsidRPr="00570167">
        <w:rPr>
          <w:rFonts w:asciiTheme="majorHAnsi" w:hAnsiTheme="majorHAnsi" w:cstheme="majorHAnsi"/>
          <w:sz w:val="24"/>
          <w:szCs w:val="24"/>
          <w:lang w:val="ro-MD"/>
        </w:rPr>
        <w:t>costuri /c</w:t>
      </w:r>
      <w:r w:rsidRPr="00570167">
        <w:rPr>
          <w:rFonts w:asciiTheme="majorHAnsi" w:hAnsiTheme="majorHAnsi" w:cstheme="majorHAnsi"/>
          <w:sz w:val="24"/>
          <w:szCs w:val="24"/>
          <w:lang w:val="ro-MD"/>
        </w:rPr>
        <w:t>heltuieli</w:t>
      </w:r>
      <w:r w:rsidR="00E14D9B" w:rsidRPr="00570167">
        <w:rPr>
          <w:rFonts w:asciiTheme="majorHAnsi" w:hAnsiTheme="majorHAnsi" w:cstheme="majorHAnsi"/>
          <w:sz w:val="24"/>
          <w:szCs w:val="24"/>
          <w:lang w:val="ro-MD"/>
        </w:rPr>
        <w:t xml:space="preserve"> aferente, dat fiind că acestea participă la fo</w:t>
      </w:r>
      <w:r w:rsidR="00640A78">
        <w:rPr>
          <w:rFonts w:asciiTheme="majorHAnsi" w:hAnsiTheme="majorHAnsi" w:cstheme="majorHAnsi"/>
          <w:sz w:val="24"/>
          <w:szCs w:val="24"/>
          <w:lang w:val="ro-MD"/>
        </w:rPr>
        <w:t>r</w:t>
      </w:r>
      <w:r w:rsidR="00E14D9B" w:rsidRPr="00570167">
        <w:rPr>
          <w:rFonts w:asciiTheme="majorHAnsi" w:hAnsiTheme="majorHAnsi" w:cstheme="majorHAnsi"/>
          <w:sz w:val="24"/>
          <w:szCs w:val="24"/>
          <w:lang w:val="ro-MD"/>
        </w:rPr>
        <w:t>marea costurilor serviciilor prestate.</w:t>
      </w:r>
    </w:p>
    <w:p w14:paraId="01C295B9" w14:textId="0C47A946" w:rsidR="005205E3" w:rsidRDefault="00640A78" w:rsidP="00204D3F">
      <w:pPr>
        <w:pStyle w:val="ListParagraph"/>
        <w:tabs>
          <w:tab w:val="left" w:pos="27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O s</w:t>
      </w:r>
      <w:r w:rsidR="002A384E" w:rsidRPr="00204D3F">
        <w:rPr>
          <w:rFonts w:asciiTheme="majorHAnsi" w:hAnsiTheme="majorHAnsi" w:cstheme="majorHAnsi"/>
          <w:sz w:val="24"/>
          <w:szCs w:val="24"/>
          <w:lang w:val="ro-MD"/>
        </w:rPr>
        <w:t>ituație practic similară se atestă și în cazul APCSP</w:t>
      </w:r>
      <w:r>
        <w:rPr>
          <w:rFonts w:asciiTheme="majorHAnsi" w:hAnsiTheme="majorHAnsi" w:cstheme="majorHAnsi"/>
          <w:sz w:val="24"/>
          <w:szCs w:val="24"/>
          <w:lang w:val="ro-MD"/>
        </w:rPr>
        <w:t>,</w:t>
      </w:r>
      <w:r w:rsidR="002A384E" w:rsidRPr="00204D3F">
        <w:rPr>
          <w:rFonts w:asciiTheme="majorHAnsi" w:hAnsiTheme="majorHAnsi" w:cstheme="majorHAnsi"/>
          <w:sz w:val="24"/>
          <w:szCs w:val="24"/>
          <w:lang w:val="ro-MD"/>
        </w:rPr>
        <w:t xml:space="preserve"> </w:t>
      </w:r>
      <w:r>
        <w:rPr>
          <w:rFonts w:asciiTheme="majorHAnsi" w:hAnsiTheme="majorHAnsi" w:cstheme="majorHAnsi"/>
          <w:sz w:val="24"/>
          <w:szCs w:val="24"/>
          <w:lang w:val="ro-MD"/>
        </w:rPr>
        <w:t>unde au fost</w:t>
      </w:r>
      <w:r w:rsidR="002A384E" w:rsidRPr="00204D3F">
        <w:rPr>
          <w:rFonts w:asciiTheme="majorHAnsi" w:hAnsiTheme="majorHAnsi" w:cstheme="majorHAnsi"/>
          <w:sz w:val="24"/>
          <w:szCs w:val="24"/>
          <w:lang w:val="ro-MD"/>
        </w:rPr>
        <w:t xml:space="preserve"> înregistrate 1 555 zile de concediu </w:t>
      </w:r>
      <w:r>
        <w:rPr>
          <w:rFonts w:asciiTheme="majorHAnsi" w:hAnsiTheme="majorHAnsi" w:cstheme="majorHAnsi"/>
          <w:sz w:val="24"/>
          <w:szCs w:val="24"/>
          <w:lang w:val="ro-MD"/>
        </w:rPr>
        <w:t xml:space="preserve">anual </w:t>
      </w:r>
      <w:r w:rsidR="002A384E" w:rsidRPr="00204D3F">
        <w:rPr>
          <w:rFonts w:asciiTheme="majorHAnsi" w:hAnsiTheme="majorHAnsi" w:cstheme="majorHAnsi"/>
          <w:sz w:val="24"/>
          <w:szCs w:val="24"/>
          <w:lang w:val="ro-MD"/>
        </w:rPr>
        <w:t>nefolosit</w:t>
      </w:r>
      <w:r>
        <w:rPr>
          <w:rFonts w:asciiTheme="majorHAnsi" w:hAnsiTheme="majorHAnsi" w:cstheme="majorHAnsi"/>
          <w:sz w:val="24"/>
          <w:szCs w:val="24"/>
          <w:lang w:val="ro-MD"/>
        </w:rPr>
        <w:t>e,</w:t>
      </w:r>
      <w:r w:rsidR="002A384E" w:rsidRPr="00204D3F">
        <w:rPr>
          <w:rFonts w:asciiTheme="majorHAnsi" w:hAnsiTheme="majorHAnsi" w:cstheme="majorHAnsi"/>
          <w:sz w:val="24"/>
          <w:szCs w:val="24"/>
          <w:lang w:val="ro-MD"/>
        </w:rPr>
        <w:t xml:space="preserve"> care, </w:t>
      </w:r>
      <w:r>
        <w:rPr>
          <w:rFonts w:asciiTheme="majorHAnsi" w:hAnsiTheme="majorHAnsi" w:cstheme="majorHAnsi"/>
          <w:sz w:val="24"/>
          <w:szCs w:val="24"/>
          <w:lang w:val="ro-MD"/>
        </w:rPr>
        <w:t>potrivit</w:t>
      </w:r>
      <w:r w:rsidR="002A384E" w:rsidRPr="00204D3F">
        <w:rPr>
          <w:rFonts w:asciiTheme="majorHAnsi" w:hAnsiTheme="majorHAnsi" w:cstheme="majorHAnsi"/>
          <w:sz w:val="24"/>
          <w:szCs w:val="24"/>
          <w:lang w:val="ro-MD"/>
        </w:rPr>
        <w:t xml:space="preserve"> estimărilor de audit, impun angajamente legale aferente în valoare de circa 708</w:t>
      </w:r>
      <w:r>
        <w:rPr>
          <w:rFonts w:asciiTheme="majorHAnsi" w:hAnsiTheme="majorHAnsi" w:cstheme="majorHAnsi"/>
          <w:sz w:val="24"/>
          <w:szCs w:val="24"/>
          <w:lang w:val="ro-MD"/>
        </w:rPr>
        <w:t>,0</w:t>
      </w:r>
      <w:r w:rsidR="002A384E" w:rsidRPr="00204D3F">
        <w:rPr>
          <w:rFonts w:asciiTheme="majorHAnsi" w:hAnsiTheme="majorHAnsi" w:cstheme="majorHAnsi"/>
          <w:sz w:val="24"/>
          <w:szCs w:val="24"/>
          <w:lang w:val="ro-MD"/>
        </w:rPr>
        <w:t xml:space="preserve"> mii lei. Deși APCSP nu are obligația de a constitui provizioane</w:t>
      </w:r>
      <w:r w:rsidR="002A384E" w:rsidRPr="00204D3F">
        <w:rPr>
          <w:rStyle w:val="FootnoteReference"/>
          <w:rFonts w:asciiTheme="majorHAnsi" w:hAnsiTheme="majorHAnsi" w:cstheme="majorHAnsi"/>
          <w:szCs w:val="24"/>
          <w:lang w:val="ro-MD"/>
        </w:rPr>
        <w:footnoteReference w:id="43"/>
      </w:r>
      <w:r w:rsidR="002A384E" w:rsidRPr="00204D3F">
        <w:rPr>
          <w:rFonts w:asciiTheme="majorHAnsi" w:hAnsiTheme="majorHAnsi" w:cstheme="majorHAnsi"/>
          <w:sz w:val="24"/>
          <w:szCs w:val="24"/>
          <w:lang w:val="ro-MD"/>
        </w:rPr>
        <w:t>, aceast</w:t>
      </w:r>
      <w:r>
        <w:rPr>
          <w:rFonts w:asciiTheme="majorHAnsi" w:hAnsiTheme="majorHAnsi" w:cstheme="majorHAnsi"/>
          <w:sz w:val="24"/>
          <w:szCs w:val="24"/>
          <w:lang w:val="ro-MD"/>
        </w:rPr>
        <w:t xml:space="preserve"> fapt</w:t>
      </w:r>
      <w:r w:rsidR="002A384E" w:rsidRPr="00204D3F">
        <w:rPr>
          <w:rFonts w:asciiTheme="majorHAnsi" w:hAnsiTheme="majorHAnsi" w:cstheme="majorHAnsi"/>
          <w:sz w:val="24"/>
          <w:szCs w:val="24"/>
          <w:lang w:val="ro-MD"/>
        </w:rPr>
        <w:t xml:space="preserve"> condiționează perturbarea echilibrului bugetar al </w:t>
      </w:r>
      <w:r>
        <w:rPr>
          <w:rFonts w:asciiTheme="majorHAnsi" w:hAnsiTheme="majorHAnsi" w:cstheme="majorHAnsi"/>
          <w:sz w:val="24"/>
          <w:szCs w:val="24"/>
          <w:lang w:val="ro-MD"/>
        </w:rPr>
        <w:t>institu</w:t>
      </w:r>
      <w:r w:rsidR="002A384E" w:rsidRPr="00204D3F">
        <w:rPr>
          <w:rFonts w:asciiTheme="majorHAnsi" w:hAnsiTheme="majorHAnsi" w:cstheme="majorHAnsi"/>
          <w:sz w:val="24"/>
          <w:szCs w:val="24"/>
          <w:lang w:val="ro-MD"/>
        </w:rPr>
        <w:t>ției pentru perioadele viitoare de gestiune.</w:t>
      </w:r>
    </w:p>
    <w:p w14:paraId="641E2CC7" w14:textId="017CF952" w:rsidR="00E47C57" w:rsidRPr="00570167" w:rsidRDefault="00640A78" w:rsidP="00E47C57">
      <w:pPr>
        <w:pStyle w:val="ListParagraph"/>
        <w:spacing w:after="0" w:line="276" w:lineRule="auto"/>
        <w:ind w:left="0" w:firstLine="425"/>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 xml:space="preserve">     </w:t>
      </w:r>
      <w:r w:rsidR="00E47C57" w:rsidRPr="00570167">
        <w:rPr>
          <w:rFonts w:asciiTheme="majorHAnsi" w:eastAsia="Times New Roman" w:hAnsiTheme="majorHAnsi" w:cs="Times New Roman"/>
          <w:iCs/>
          <w:sz w:val="24"/>
          <w:szCs w:val="24"/>
          <w:lang w:val="ro-MD" w:eastAsia="ro-MD"/>
        </w:rPr>
        <w:t>Concomitent, se denotă că unii salariați din cadrul APCSP, re</w:t>
      </w:r>
      <w:r w:rsidR="00684070" w:rsidRPr="00570167">
        <w:rPr>
          <w:rFonts w:asciiTheme="majorHAnsi" w:eastAsia="Times New Roman" w:hAnsiTheme="majorHAnsi" w:cs="Times New Roman"/>
          <w:iCs/>
          <w:sz w:val="24"/>
          <w:szCs w:val="24"/>
          <w:lang w:val="ro-MD" w:eastAsia="ro-MD"/>
        </w:rPr>
        <w:t>chemați din concediul de odihnă</w:t>
      </w:r>
      <w:r w:rsidR="00E47C57" w:rsidRPr="00570167">
        <w:rPr>
          <w:rFonts w:asciiTheme="majorHAnsi" w:eastAsia="Times New Roman" w:hAnsiTheme="majorHAnsi" w:cs="Times New Roman"/>
          <w:iCs/>
          <w:sz w:val="24"/>
          <w:szCs w:val="24"/>
          <w:lang w:val="ro-MD" w:eastAsia="ro-MD"/>
        </w:rPr>
        <w:t xml:space="preserve">, nu și-au folosit pe deplin zilele pentru care au fost achitate indemnizațiile corespunzătoare </w:t>
      </w:r>
      <w:r>
        <w:rPr>
          <w:rFonts w:asciiTheme="majorHAnsi" w:eastAsia="Times New Roman" w:hAnsiTheme="majorHAnsi" w:cs="Times New Roman"/>
          <w:iCs/>
          <w:sz w:val="24"/>
          <w:szCs w:val="24"/>
          <w:lang w:val="ro-MD" w:eastAsia="ro-MD"/>
        </w:rPr>
        <w:t>(</w:t>
      </w:r>
      <w:r w:rsidR="00E47C57" w:rsidRPr="00570167">
        <w:rPr>
          <w:rFonts w:asciiTheme="majorHAnsi" w:eastAsia="Times New Roman" w:hAnsiTheme="majorHAnsi" w:cs="Times New Roman"/>
          <w:iCs/>
          <w:sz w:val="24"/>
          <w:szCs w:val="24"/>
          <w:lang w:val="ro-MD" w:eastAsia="ro-MD"/>
        </w:rPr>
        <w:t xml:space="preserve">aferente a 89 </w:t>
      </w:r>
      <w:r>
        <w:rPr>
          <w:rFonts w:asciiTheme="majorHAnsi" w:eastAsia="Times New Roman" w:hAnsiTheme="majorHAnsi" w:cs="Times New Roman"/>
          <w:iCs/>
          <w:sz w:val="24"/>
          <w:szCs w:val="24"/>
          <w:lang w:val="ro-MD" w:eastAsia="ro-MD"/>
        </w:rPr>
        <w:t xml:space="preserve">de </w:t>
      </w:r>
      <w:r w:rsidR="00E47C57" w:rsidRPr="00570167">
        <w:rPr>
          <w:rFonts w:asciiTheme="majorHAnsi" w:eastAsia="Times New Roman" w:hAnsiTheme="majorHAnsi" w:cs="Times New Roman"/>
          <w:iCs/>
          <w:sz w:val="24"/>
          <w:szCs w:val="24"/>
          <w:lang w:val="ro-MD" w:eastAsia="ro-MD"/>
        </w:rPr>
        <w:t>zile</w:t>
      </w:r>
      <w:r w:rsidR="00F15E84">
        <w:rPr>
          <w:rFonts w:asciiTheme="majorHAnsi" w:eastAsia="Times New Roman" w:hAnsiTheme="majorHAnsi" w:cs="Times New Roman"/>
          <w:iCs/>
          <w:sz w:val="24"/>
          <w:szCs w:val="24"/>
          <w:lang w:val="ro-MD" w:eastAsia="ro-MD"/>
        </w:rPr>
        <w:t>),</w:t>
      </w:r>
      <w:r w:rsidR="00E47C57" w:rsidRPr="00570167">
        <w:rPr>
          <w:rFonts w:asciiTheme="majorHAnsi" w:eastAsia="Times New Roman" w:hAnsiTheme="majorHAnsi" w:cs="Times New Roman"/>
          <w:iCs/>
          <w:sz w:val="24"/>
          <w:szCs w:val="24"/>
          <w:lang w:val="ro-MD" w:eastAsia="ro-MD"/>
        </w:rPr>
        <w:t xml:space="preserve"> în sumă totală de 44,85 mii lei</w:t>
      </w:r>
      <w:r w:rsidR="00F15E84">
        <w:rPr>
          <w:rFonts w:asciiTheme="majorHAnsi" w:eastAsia="Times New Roman" w:hAnsiTheme="majorHAnsi" w:cs="Times New Roman"/>
          <w:iCs/>
          <w:sz w:val="24"/>
          <w:szCs w:val="24"/>
          <w:lang w:val="ro-MD" w:eastAsia="ro-MD"/>
        </w:rPr>
        <w:t>,</w:t>
      </w:r>
      <w:r w:rsidR="00E47C57" w:rsidRPr="00570167">
        <w:rPr>
          <w:rFonts w:asciiTheme="majorHAnsi" w:eastAsia="Times New Roman" w:hAnsiTheme="majorHAnsi" w:cs="Times New Roman"/>
          <w:iCs/>
          <w:sz w:val="24"/>
          <w:szCs w:val="24"/>
          <w:lang w:val="ro-MD" w:eastAsia="ro-MD"/>
        </w:rPr>
        <w:t xml:space="preserve"> nici în același an calendaristic, nici în </w:t>
      </w:r>
      <w:r w:rsidR="00F15E84" w:rsidRPr="00570167">
        <w:rPr>
          <w:rFonts w:asciiTheme="majorHAnsi" w:eastAsia="Times New Roman" w:hAnsiTheme="majorHAnsi" w:cs="Times New Roman"/>
          <w:iCs/>
          <w:sz w:val="24"/>
          <w:szCs w:val="24"/>
          <w:lang w:val="ro-MD" w:eastAsia="ro-MD"/>
        </w:rPr>
        <w:t>an</w:t>
      </w:r>
      <w:r w:rsidR="00F15E84">
        <w:rPr>
          <w:rFonts w:asciiTheme="majorHAnsi" w:eastAsia="Times New Roman" w:hAnsiTheme="majorHAnsi" w:cs="Times New Roman"/>
          <w:iCs/>
          <w:sz w:val="24"/>
          <w:szCs w:val="24"/>
          <w:lang w:val="ro-MD" w:eastAsia="ro-MD"/>
        </w:rPr>
        <w:t xml:space="preserve">ul </w:t>
      </w:r>
      <w:r w:rsidR="00F15E84" w:rsidRPr="00570167">
        <w:rPr>
          <w:rFonts w:asciiTheme="majorHAnsi" w:eastAsia="Times New Roman" w:hAnsiTheme="majorHAnsi" w:cs="Times New Roman"/>
          <w:iCs/>
          <w:sz w:val="24"/>
          <w:szCs w:val="24"/>
          <w:lang w:val="ro-MD" w:eastAsia="ro-MD"/>
        </w:rPr>
        <w:t xml:space="preserve"> </w:t>
      </w:r>
      <w:r w:rsidR="00E47C57" w:rsidRPr="00570167">
        <w:rPr>
          <w:rFonts w:asciiTheme="majorHAnsi" w:eastAsia="Times New Roman" w:hAnsiTheme="majorHAnsi" w:cs="Times New Roman"/>
          <w:iCs/>
          <w:sz w:val="24"/>
          <w:szCs w:val="24"/>
          <w:lang w:val="ro-MD" w:eastAsia="ro-MD"/>
        </w:rPr>
        <w:t>următor.</w:t>
      </w:r>
    </w:p>
    <w:p w14:paraId="65C04EBD" w14:textId="3D0195CB" w:rsidR="00E47C57" w:rsidRPr="00570167" w:rsidRDefault="00E47C57" w:rsidP="00E47C57">
      <w:pPr>
        <w:pStyle w:val="ListParagraph"/>
        <w:tabs>
          <w:tab w:val="left" w:pos="270"/>
        </w:tabs>
        <w:spacing w:after="0" w:line="276" w:lineRule="auto"/>
        <w:ind w:left="0" w:firstLine="720"/>
        <w:jc w:val="both"/>
        <w:rPr>
          <w:rFonts w:asciiTheme="majorHAnsi" w:eastAsia="Times New Roman" w:hAnsiTheme="majorHAnsi" w:cs="Times New Roman"/>
          <w:iCs/>
          <w:sz w:val="24"/>
          <w:szCs w:val="24"/>
          <w:lang w:val="ro-MD" w:eastAsia="ro-MD"/>
        </w:rPr>
      </w:pPr>
      <w:r w:rsidRPr="00570167">
        <w:rPr>
          <w:rFonts w:asciiTheme="majorHAnsi" w:eastAsia="Times New Roman" w:hAnsiTheme="majorHAnsi" w:cs="Times New Roman"/>
          <w:iCs/>
          <w:sz w:val="24"/>
          <w:szCs w:val="24"/>
          <w:lang w:val="ro-MD" w:eastAsia="ro-MD"/>
        </w:rPr>
        <w:t xml:space="preserve">Astfel, deși persoanele vizate aveau obligația să folosească restul zilelor </w:t>
      </w:r>
      <w:r w:rsidR="00F15E84">
        <w:rPr>
          <w:rFonts w:asciiTheme="majorHAnsi" w:eastAsia="Times New Roman" w:hAnsiTheme="majorHAnsi" w:cs="Times New Roman"/>
          <w:iCs/>
          <w:sz w:val="24"/>
          <w:szCs w:val="24"/>
          <w:lang w:val="ro-MD" w:eastAsia="ro-MD"/>
        </w:rPr>
        <w:t xml:space="preserve">de concediu </w:t>
      </w:r>
      <w:r w:rsidRPr="00570167">
        <w:rPr>
          <w:rFonts w:asciiTheme="majorHAnsi" w:eastAsia="Times New Roman" w:hAnsiTheme="majorHAnsi" w:cs="Times New Roman"/>
          <w:iCs/>
          <w:sz w:val="24"/>
          <w:szCs w:val="24"/>
          <w:lang w:val="ro-MD" w:eastAsia="ro-MD"/>
        </w:rPr>
        <w:t>rămase ca urmare a rechemării</w:t>
      </w:r>
      <w:r w:rsidR="00640A78" w:rsidRPr="00640A78">
        <w:rPr>
          <w:rFonts w:asciiTheme="majorHAnsi" w:eastAsia="Times New Roman" w:hAnsiTheme="majorHAnsi" w:cs="Times New Roman"/>
          <w:iCs/>
          <w:sz w:val="24"/>
          <w:szCs w:val="24"/>
          <w:lang w:val="ro-MD" w:eastAsia="ro-MD"/>
        </w:rPr>
        <w:t xml:space="preserve"> </w:t>
      </w:r>
      <w:r w:rsidR="00640A78">
        <w:rPr>
          <w:rFonts w:asciiTheme="majorHAnsi" w:eastAsia="Times New Roman" w:hAnsiTheme="majorHAnsi" w:cs="Times New Roman"/>
          <w:iCs/>
          <w:sz w:val="24"/>
          <w:szCs w:val="24"/>
          <w:lang w:val="ro-MD" w:eastAsia="ro-MD"/>
        </w:rPr>
        <w:t>din concediu</w:t>
      </w:r>
      <w:r w:rsidRPr="00570167">
        <w:rPr>
          <w:rFonts w:asciiTheme="majorHAnsi" w:eastAsia="Times New Roman" w:hAnsiTheme="majorHAnsi" w:cs="Times New Roman"/>
          <w:iCs/>
          <w:sz w:val="24"/>
          <w:szCs w:val="24"/>
          <w:lang w:val="ro-MD" w:eastAsia="ro-MD"/>
        </w:rPr>
        <w:t xml:space="preserve">, acestora le-au </w:t>
      </w:r>
      <w:r w:rsidR="00F15E84">
        <w:rPr>
          <w:rFonts w:asciiTheme="majorHAnsi" w:eastAsia="Times New Roman" w:hAnsiTheme="majorHAnsi" w:cs="Times New Roman"/>
          <w:iCs/>
          <w:sz w:val="24"/>
          <w:szCs w:val="24"/>
          <w:lang w:val="ro-MD" w:eastAsia="ro-MD"/>
        </w:rPr>
        <w:t xml:space="preserve">mai </w:t>
      </w:r>
      <w:r w:rsidRPr="00570167">
        <w:rPr>
          <w:rFonts w:asciiTheme="majorHAnsi" w:eastAsia="Times New Roman" w:hAnsiTheme="majorHAnsi" w:cs="Times New Roman"/>
          <w:iCs/>
          <w:sz w:val="24"/>
          <w:szCs w:val="24"/>
          <w:lang w:val="ro-MD" w:eastAsia="ro-MD"/>
        </w:rPr>
        <w:t xml:space="preserve">fost acordate alte concedii de odihnă, cu achitarea indemnizațiilor respective.  </w:t>
      </w:r>
    </w:p>
    <w:p w14:paraId="5EC0B5C9" w14:textId="69390977" w:rsidR="000D01B1" w:rsidRPr="0045544E" w:rsidRDefault="0045544E" w:rsidP="000D01B1">
      <w:pPr>
        <w:pStyle w:val="ListParagraph"/>
        <w:numPr>
          <w:ilvl w:val="0"/>
          <w:numId w:val="39"/>
        </w:numPr>
        <w:tabs>
          <w:tab w:val="left" w:pos="270"/>
        </w:tabs>
        <w:spacing w:after="0" w:line="276" w:lineRule="auto"/>
        <w:ind w:left="0" w:firstLine="426"/>
        <w:jc w:val="both"/>
        <w:rPr>
          <w:rFonts w:asciiTheme="majorHAnsi" w:eastAsia="Times New Roman" w:hAnsiTheme="majorHAnsi" w:cs="Times New Roman"/>
          <w:b/>
          <w:i/>
          <w:sz w:val="24"/>
          <w:lang w:val="ro-MD"/>
        </w:rPr>
      </w:pPr>
      <w:r w:rsidRPr="0045544E">
        <w:rPr>
          <w:rFonts w:asciiTheme="majorHAnsi" w:eastAsia="Times New Roman" w:hAnsiTheme="majorHAnsi" w:cs="Times New Roman"/>
          <w:b/>
          <w:i/>
          <w:sz w:val="24"/>
          <w:szCs w:val="24"/>
          <w:lang w:val="ro-MD"/>
        </w:rPr>
        <w:t>a</w:t>
      </w:r>
      <w:r w:rsidR="000D01B1" w:rsidRPr="0045544E">
        <w:rPr>
          <w:rFonts w:asciiTheme="majorHAnsi" w:eastAsia="Times New Roman" w:hAnsiTheme="majorHAnsi" w:cs="Times New Roman"/>
          <w:b/>
          <w:i/>
          <w:sz w:val="24"/>
          <w:szCs w:val="24"/>
          <w:lang w:val="ro-MD"/>
        </w:rPr>
        <w:t>plicarea necorespunzătoare a prevederilor cadrului legislativ în vigoare a condiționat majorarea cheltuielilor de salarizare cu circa 116,62 mii lei</w:t>
      </w:r>
    </w:p>
    <w:p w14:paraId="39195EFF" w14:textId="2CD7028C" w:rsidR="000D01B1" w:rsidRPr="0045544E" w:rsidRDefault="00077551" w:rsidP="00472A2B">
      <w:pPr>
        <w:jc w:val="both"/>
        <w:rPr>
          <w:rFonts w:asciiTheme="majorHAnsi" w:hAnsiTheme="majorHAnsi" w:cstheme="majorHAnsi"/>
          <w:sz w:val="24"/>
          <w:szCs w:val="24"/>
          <w:lang w:val="ro-MD"/>
        </w:rPr>
      </w:pPr>
      <w:r w:rsidRPr="0045544E">
        <w:rPr>
          <w:rFonts w:asciiTheme="majorHAnsi" w:hAnsiTheme="majorHAnsi" w:cstheme="majorHAnsi"/>
          <w:sz w:val="24"/>
          <w:szCs w:val="24"/>
          <w:lang w:val="ro-MD"/>
        </w:rPr>
        <w:tab/>
      </w:r>
      <w:r w:rsidR="0027619B" w:rsidRPr="0045544E">
        <w:rPr>
          <w:rFonts w:asciiTheme="majorHAnsi" w:hAnsiTheme="majorHAnsi" w:cstheme="majorHAnsi"/>
          <w:sz w:val="24"/>
          <w:szCs w:val="24"/>
          <w:lang w:val="ro-MD"/>
        </w:rPr>
        <w:t>Reglementările normative statuează că</w:t>
      </w:r>
      <w:r w:rsidR="000D01B1" w:rsidRPr="0045544E">
        <w:rPr>
          <w:rFonts w:asciiTheme="majorHAnsi" w:hAnsiTheme="majorHAnsi" w:cstheme="majorHAnsi"/>
          <w:sz w:val="24"/>
          <w:szCs w:val="24"/>
          <w:lang w:val="ro-MD"/>
        </w:rPr>
        <w:t xml:space="preserve"> persoanelor cu funcții de conducere nu Ii se permite cumularea a două funcții de conducere</w:t>
      </w:r>
      <w:r w:rsidR="000D01B1" w:rsidRPr="0045544E">
        <w:rPr>
          <w:rStyle w:val="FootnoteReference"/>
          <w:rFonts w:asciiTheme="majorHAnsi" w:hAnsiTheme="majorHAnsi" w:cstheme="majorHAnsi"/>
          <w:sz w:val="24"/>
          <w:szCs w:val="24"/>
          <w:lang w:val="ro-MD"/>
        </w:rPr>
        <w:footnoteReference w:id="44"/>
      </w:r>
      <w:r w:rsidR="000D01B1" w:rsidRPr="0045544E">
        <w:rPr>
          <w:rFonts w:asciiTheme="majorHAnsi" w:hAnsiTheme="majorHAnsi" w:cstheme="majorHAnsi"/>
          <w:sz w:val="24"/>
          <w:szCs w:val="24"/>
          <w:lang w:val="ro-MD"/>
        </w:rPr>
        <w:t>. Probele colectate de audit relevă că, în unele cazuri, persoanele cu funcții de conducere au cumulat altă funcție de conducere</w:t>
      </w:r>
      <w:r w:rsidR="000D01B1" w:rsidRPr="0045544E">
        <w:rPr>
          <w:rFonts w:asciiTheme="majorHAnsi" w:hAnsiTheme="majorHAnsi" w:cstheme="majorHAnsi"/>
          <w:sz w:val="24"/>
          <w:szCs w:val="24"/>
          <w:shd w:val="clear" w:color="auto" w:fill="FFFFFF"/>
        </w:rPr>
        <w:t xml:space="preserve">, </w:t>
      </w:r>
      <w:r w:rsidR="000D01B1" w:rsidRPr="0045544E">
        <w:rPr>
          <w:rFonts w:asciiTheme="majorHAnsi" w:hAnsiTheme="majorHAnsi" w:cstheme="majorHAnsi"/>
          <w:sz w:val="24"/>
          <w:szCs w:val="24"/>
          <w:lang w:val="ro-MD"/>
        </w:rPr>
        <w:t>ceea ce a</w:t>
      </w:r>
      <w:r w:rsidR="000D01B1" w:rsidRPr="0045544E">
        <w:rPr>
          <w:rFonts w:asciiTheme="majorHAnsi" w:hAnsiTheme="majorHAnsi" w:cstheme="majorHAnsi"/>
          <w:sz w:val="24"/>
          <w:szCs w:val="24"/>
        </w:rPr>
        <w:t xml:space="preserve"> </w:t>
      </w:r>
      <w:r w:rsidR="000D01B1" w:rsidRPr="0045544E">
        <w:rPr>
          <w:rFonts w:asciiTheme="majorHAnsi" w:hAnsiTheme="majorHAnsi" w:cstheme="majorHAnsi"/>
          <w:sz w:val="24"/>
          <w:szCs w:val="24"/>
          <w:lang w:val="ro-MD"/>
        </w:rPr>
        <w:t xml:space="preserve">cauzat, </w:t>
      </w:r>
      <w:r w:rsidR="000D01B1" w:rsidRPr="0045544E">
        <w:rPr>
          <w:rFonts w:asciiTheme="majorHAnsi" w:hAnsiTheme="majorHAnsi" w:cstheme="majorHAnsi"/>
          <w:sz w:val="24"/>
          <w:szCs w:val="24"/>
          <w:lang w:val="ro-RO"/>
        </w:rPr>
        <w:t>î</w:t>
      </w:r>
      <w:r w:rsidR="000D01B1" w:rsidRPr="0045544E">
        <w:rPr>
          <w:rFonts w:asciiTheme="majorHAnsi" w:hAnsiTheme="majorHAnsi" w:cstheme="majorHAnsi"/>
          <w:sz w:val="24"/>
          <w:szCs w:val="24"/>
          <w:lang w:val="ro-MD"/>
        </w:rPr>
        <w:t>n perioada auditată, suportarea cheltuielilor neconforme de către ISM și MOLDAC</w:t>
      </w:r>
      <w:r w:rsidR="00F15E84">
        <w:rPr>
          <w:rFonts w:asciiTheme="majorHAnsi" w:hAnsiTheme="majorHAnsi" w:cstheme="majorHAnsi"/>
          <w:sz w:val="24"/>
          <w:szCs w:val="24"/>
          <w:lang w:val="ro-MD"/>
        </w:rPr>
        <w:t>,</w:t>
      </w:r>
      <w:r w:rsidR="000D01B1" w:rsidRPr="0045544E">
        <w:rPr>
          <w:rFonts w:asciiTheme="majorHAnsi" w:hAnsiTheme="majorHAnsi" w:cstheme="majorHAnsi"/>
          <w:sz w:val="24"/>
          <w:szCs w:val="24"/>
          <w:lang w:val="ro-MD"/>
        </w:rPr>
        <w:t xml:space="preserve"> în cuantum de 85</w:t>
      </w:r>
      <w:r w:rsidR="00F15E84">
        <w:rPr>
          <w:rFonts w:asciiTheme="majorHAnsi" w:hAnsiTheme="majorHAnsi" w:cstheme="majorHAnsi"/>
          <w:sz w:val="24"/>
          <w:szCs w:val="24"/>
          <w:lang w:val="ro-MD"/>
        </w:rPr>
        <w:t>,0</w:t>
      </w:r>
      <w:r w:rsidR="000D01B1" w:rsidRPr="0045544E">
        <w:rPr>
          <w:rFonts w:asciiTheme="majorHAnsi" w:hAnsiTheme="majorHAnsi" w:cstheme="majorHAnsi"/>
          <w:sz w:val="24"/>
          <w:szCs w:val="24"/>
          <w:lang w:val="ro-MD"/>
        </w:rPr>
        <w:t xml:space="preserve"> mii lei</w:t>
      </w:r>
      <w:r w:rsidR="000D01B1" w:rsidRPr="0045544E">
        <w:rPr>
          <w:rStyle w:val="FootnoteReference"/>
          <w:rFonts w:asciiTheme="majorHAnsi" w:hAnsiTheme="majorHAnsi" w:cstheme="majorHAnsi"/>
          <w:szCs w:val="24"/>
          <w:lang w:val="ro-MD"/>
        </w:rPr>
        <w:footnoteReference w:id="45"/>
      </w:r>
      <w:r w:rsidR="000D01B1" w:rsidRPr="0045544E">
        <w:rPr>
          <w:rFonts w:asciiTheme="majorHAnsi" w:hAnsiTheme="majorHAnsi" w:cstheme="majorHAnsi"/>
          <w:sz w:val="24"/>
          <w:szCs w:val="24"/>
          <w:lang w:val="ro-MD"/>
        </w:rPr>
        <w:t>.</w:t>
      </w:r>
    </w:p>
    <w:p w14:paraId="6351F5B9" w14:textId="3CB4A16D" w:rsidR="00E8536E" w:rsidRPr="00E8394D" w:rsidRDefault="009611F5" w:rsidP="005205E3">
      <w:pPr>
        <w:pStyle w:val="ListParagraph"/>
        <w:tabs>
          <w:tab w:val="left" w:pos="270"/>
        </w:tabs>
        <w:spacing w:after="0" w:line="276" w:lineRule="auto"/>
        <w:ind w:left="0" w:firstLine="720"/>
        <w:jc w:val="both"/>
        <w:rPr>
          <w:rFonts w:asciiTheme="majorHAnsi" w:hAnsiTheme="majorHAnsi" w:cstheme="majorHAnsi"/>
          <w:sz w:val="24"/>
          <w:szCs w:val="24"/>
          <w:lang w:val="ro-MD"/>
        </w:rPr>
      </w:pPr>
      <w:r>
        <w:rPr>
          <w:rFonts w:asciiTheme="majorHAnsi" w:hAnsiTheme="majorHAnsi" w:cstheme="majorHAnsi"/>
          <w:sz w:val="24"/>
          <w:szCs w:val="24"/>
          <w:lang w:val="ro-MD"/>
        </w:rPr>
        <w:t>Concomitent, se atestă că I</w:t>
      </w:r>
      <w:r w:rsidR="00E8536E" w:rsidRPr="00E8394D">
        <w:rPr>
          <w:rFonts w:asciiTheme="majorHAnsi" w:hAnsiTheme="majorHAnsi" w:cstheme="majorHAnsi"/>
          <w:sz w:val="24"/>
          <w:szCs w:val="24"/>
          <w:lang w:val="ro-MD"/>
        </w:rPr>
        <w:t>S</w:t>
      </w:r>
      <w:r>
        <w:rPr>
          <w:rFonts w:asciiTheme="majorHAnsi" w:hAnsiTheme="majorHAnsi" w:cstheme="majorHAnsi"/>
          <w:sz w:val="24"/>
          <w:szCs w:val="24"/>
          <w:lang w:val="ro-MD"/>
        </w:rPr>
        <w:t>M</w:t>
      </w:r>
      <w:r w:rsidR="00E8536E" w:rsidRPr="00E8394D">
        <w:rPr>
          <w:rFonts w:asciiTheme="majorHAnsi" w:hAnsiTheme="majorHAnsi" w:cstheme="majorHAnsi"/>
          <w:sz w:val="24"/>
          <w:szCs w:val="24"/>
          <w:lang w:val="ro-MD"/>
        </w:rPr>
        <w:t>, contrar prevederilor normative în vigoare, a contractat servicii de curățenie în baza unui contract de mică valoare</w:t>
      </w:r>
      <w:r w:rsidR="00F15E84">
        <w:rPr>
          <w:rFonts w:asciiTheme="majorHAnsi" w:hAnsiTheme="majorHAnsi" w:cstheme="majorHAnsi"/>
          <w:sz w:val="24"/>
          <w:szCs w:val="24"/>
          <w:lang w:val="ro-MD"/>
        </w:rPr>
        <w:t>,</w:t>
      </w:r>
      <w:r w:rsidR="00E8536E" w:rsidRPr="00E8394D">
        <w:rPr>
          <w:rFonts w:asciiTheme="majorHAnsi" w:hAnsiTheme="majorHAnsi" w:cstheme="majorHAnsi"/>
          <w:sz w:val="24"/>
          <w:szCs w:val="24"/>
          <w:lang w:val="ro-MD"/>
        </w:rPr>
        <w:t xml:space="preserve"> încheiat încă în anul 2018 si prelungit anual prin acorduri adiționale. Mai mult decât atât, persoana contractată a beneficiat de concedii anuale de odihnă, premii unice și salariu de funcție, garanții prevăzute salariaților angajați prin contract individual de muncă, reglementate prin legislația muncii, deși aceasta nu </w:t>
      </w:r>
      <w:r w:rsidR="00E8536E" w:rsidRPr="00603857">
        <w:rPr>
          <w:rFonts w:asciiTheme="majorHAnsi" w:hAnsiTheme="majorHAnsi" w:cstheme="majorHAnsi"/>
          <w:sz w:val="24"/>
          <w:szCs w:val="24"/>
          <w:lang w:val="ro-MD"/>
        </w:rPr>
        <w:t xml:space="preserve">se încadrează în </w:t>
      </w:r>
      <w:r w:rsidR="00E8536E" w:rsidRPr="00E8394D">
        <w:rPr>
          <w:rFonts w:asciiTheme="majorHAnsi" w:hAnsiTheme="majorHAnsi" w:cstheme="majorHAnsi"/>
          <w:sz w:val="24"/>
          <w:szCs w:val="24"/>
          <w:lang w:val="ro-MD"/>
        </w:rPr>
        <w:t>statele de perso</w:t>
      </w:r>
      <w:r w:rsidR="007D1E43">
        <w:rPr>
          <w:rFonts w:asciiTheme="majorHAnsi" w:hAnsiTheme="majorHAnsi" w:cstheme="majorHAnsi"/>
          <w:sz w:val="24"/>
          <w:szCs w:val="24"/>
          <w:lang w:val="ro-MD"/>
        </w:rPr>
        <w:t xml:space="preserve">nal ale </w:t>
      </w:r>
      <w:r w:rsidR="00F15E84">
        <w:rPr>
          <w:rFonts w:asciiTheme="majorHAnsi" w:hAnsiTheme="majorHAnsi" w:cstheme="majorHAnsi"/>
          <w:sz w:val="24"/>
          <w:szCs w:val="24"/>
          <w:lang w:val="ro-MD"/>
        </w:rPr>
        <w:t>i</w:t>
      </w:r>
      <w:r w:rsidR="007D1E43">
        <w:rPr>
          <w:rFonts w:asciiTheme="majorHAnsi" w:hAnsiTheme="majorHAnsi" w:cstheme="majorHAnsi"/>
          <w:sz w:val="24"/>
          <w:szCs w:val="24"/>
          <w:lang w:val="ro-MD"/>
        </w:rPr>
        <w:t>nstituției. Astfel</w:t>
      </w:r>
      <w:r w:rsidR="00E8536E" w:rsidRPr="00E8394D">
        <w:rPr>
          <w:rFonts w:asciiTheme="majorHAnsi" w:hAnsiTheme="majorHAnsi" w:cstheme="majorHAnsi"/>
          <w:sz w:val="24"/>
          <w:szCs w:val="24"/>
          <w:lang w:val="ro-MD"/>
        </w:rPr>
        <w:t xml:space="preserve">, plățile salariale calculate neconform </w:t>
      </w:r>
      <w:r w:rsidR="00E8536E" w:rsidRPr="00603857">
        <w:rPr>
          <w:rFonts w:asciiTheme="majorHAnsi" w:hAnsiTheme="majorHAnsi" w:cstheme="majorHAnsi"/>
          <w:sz w:val="24"/>
          <w:szCs w:val="24"/>
          <w:lang w:val="ro-MD"/>
        </w:rPr>
        <w:t>din fondul de salari</w:t>
      </w:r>
      <w:r w:rsidR="00603857" w:rsidRPr="00255E9C">
        <w:rPr>
          <w:rFonts w:asciiTheme="majorHAnsi" w:hAnsiTheme="majorHAnsi" w:cstheme="majorHAnsi"/>
          <w:sz w:val="24"/>
          <w:szCs w:val="24"/>
          <w:lang w:val="ro-MD"/>
        </w:rPr>
        <w:t>i</w:t>
      </w:r>
      <w:r w:rsidR="00E8536E" w:rsidRPr="00E8394D">
        <w:rPr>
          <w:rFonts w:asciiTheme="majorHAnsi" w:hAnsiTheme="majorHAnsi" w:cstheme="majorHAnsi"/>
          <w:sz w:val="24"/>
          <w:szCs w:val="24"/>
          <w:lang w:val="ro-MD"/>
        </w:rPr>
        <w:t xml:space="preserve"> au însumat 31,62</w:t>
      </w:r>
      <w:r w:rsidR="00BB0B64">
        <w:rPr>
          <w:rFonts w:asciiTheme="majorHAnsi" w:hAnsiTheme="majorHAnsi" w:cstheme="majorHAnsi"/>
          <w:sz w:val="24"/>
          <w:szCs w:val="24"/>
          <w:lang w:val="ro-MD"/>
        </w:rPr>
        <w:t xml:space="preserve"> </w:t>
      </w:r>
      <w:r w:rsidR="00E8536E" w:rsidRPr="00E8394D">
        <w:rPr>
          <w:rFonts w:asciiTheme="majorHAnsi" w:hAnsiTheme="majorHAnsi" w:cstheme="majorHAnsi"/>
          <w:sz w:val="24"/>
          <w:szCs w:val="24"/>
          <w:lang w:val="ro-MD"/>
        </w:rPr>
        <w:t>mii lei, fapt c</w:t>
      </w:r>
      <w:r w:rsidR="00BB0B64">
        <w:rPr>
          <w:rFonts w:asciiTheme="majorHAnsi" w:hAnsiTheme="majorHAnsi" w:cstheme="majorHAnsi"/>
          <w:sz w:val="24"/>
          <w:szCs w:val="24"/>
          <w:lang w:val="ro-MD"/>
        </w:rPr>
        <w:t>ar</w:t>
      </w:r>
      <w:r w:rsidR="00E8536E" w:rsidRPr="00E8394D">
        <w:rPr>
          <w:rFonts w:asciiTheme="majorHAnsi" w:hAnsiTheme="majorHAnsi" w:cstheme="majorHAnsi"/>
          <w:sz w:val="24"/>
          <w:szCs w:val="24"/>
          <w:lang w:val="ro-MD"/>
        </w:rPr>
        <w:t xml:space="preserve">e a </w:t>
      </w:r>
      <w:r w:rsidR="00BB0B64">
        <w:rPr>
          <w:rFonts w:asciiTheme="majorHAnsi" w:hAnsiTheme="majorHAnsi" w:cstheme="majorHAnsi"/>
          <w:sz w:val="24"/>
          <w:szCs w:val="24"/>
          <w:lang w:val="ro-MD"/>
        </w:rPr>
        <w:t xml:space="preserve">determinat </w:t>
      </w:r>
      <w:r w:rsidR="00E8536E" w:rsidRPr="00E8394D">
        <w:rPr>
          <w:rFonts w:asciiTheme="majorHAnsi" w:hAnsiTheme="majorHAnsi" w:cstheme="majorHAnsi"/>
          <w:sz w:val="24"/>
          <w:szCs w:val="24"/>
          <w:lang w:val="ro-MD"/>
        </w:rPr>
        <w:t>majora</w:t>
      </w:r>
      <w:r w:rsidR="00BB0B64">
        <w:rPr>
          <w:rFonts w:asciiTheme="majorHAnsi" w:hAnsiTheme="majorHAnsi" w:cstheme="majorHAnsi"/>
          <w:sz w:val="24"/>
          <w:szCs w:val="24"/>
          <w:lang w:val="ro-MD"/>
        </w:rPr>
        <w:t>rea</w:t>
      </w:r>
      <w:r w:rsidR="00E8536E" w:rsidRPr="00E8394D">
        <w:rPr>
          <w:rFonts w:asciiTheme="majorHAnsi" w:hAnsiTheme="majorHAnsi" w:cstheme="majorHAnsi"/>
          <w:sz w:val="24"/>
          <w:szCs w:val="24"/>
          <w:lang w:val="ro-MD"/>
        </w:rPr>
        <w:t xml:space="preserve"> cheltuielil</w:t>
      </w:r>
      <w:r w:rsidR="00BB0B64">
        <w:rPr>
          <w:rFonts w:asciiTheme="majorHAnsi" w:hAnsiTheme="majorHAnsi" w:cstheme="majorHAnsi"/>
          <w:sz w:val="24"/>
          <w:szCs w:val="24"/>
          <w:lang w:val="ro-MD"/>
        </w:rPr>
        <w:t>or</w:t>
      </w:r>
      <w:r w:rsidR="00E8536E" w:rsidRPr="00E8394D">
        <w:rPr>
          <w:rFonts w:asciiTheme="majorHAnsi" w:hAnsiTheme="majorHAnsi" w:cstheme="majorHAnsi"/>
          <w:sz w:val="24"/>
          <w:szCs w:val="24"/>
          <w:lang w:val="ro-MD"/>
        </w:rPr>
        <w:t xml:space="preserve"> respective pentru perioadele corespunzătoare de gestiune.</w:t>
      </w:r>
    </w:p>
    <w:p w14:paraId="6C02CC7E" w14:textId="6D2D58AF" w:rsidR="00497CB4" w:rsidRPr="005205E3" w:rsidRDefault="00543D69" w:rsidP="007E002D">
      <w:pPr>
        <w:pStyle w:val="ListParagraph"/>
        <w:numPr>
          <w:ilvl w:val="0"/>
          <w:numId w:val="39"/>
        </w:numPr>
        <w:tabs>
          <w:tab w:val="left" w:pos="270"/>
        </w:tabs>
        <w:spacing w:after="0" w:line="276" w:lineRule="auto"/>
        <w:ind w:left="0" w:firstLine="426"/>
        <w:jc w:val="both"/>
        <w:rPr>
          <w:rFonts w:asciiTheme="majorHAnsi" w:eastAsia="Times New Roman" w:hAnsiTheme="majorHAnsi" w:cs="Times New Roman"/>
          <w:b/>
          <w:i/>
          <w:sz w:val="24"/>
          <w:lang w:val="ro-MD"/>
        </w:rPr>
      </w:pPr>
      <w:r>
        <w:rPr>
          <w:rFonts w:asciiTheme="majorHAnsi" w:eastAsia="Times New Roman" w:hAnsiTheme="majorHAnsi" w:cs="Times New Roman"/>
          <w:b/>
          <w:i/>
          <w:sz w:val="24"/>
          <w:lang w:val="ro-MD"/>
        </w:rPr>
        <w:t>l</w:t>
      </w:r>
      <w:r w:rsidR="00497CB4" w:rsidRPr="005205E3">
        <w:rPr>
          <w:rFonts w:asciiTheme="majorHAnsi" w:eastAsia="Times New Roman" w:hAnsiTheme="majorHAnsi" w:cs="Times New Roman"/>
          <w:b/>
          <w:i/>
          <w:sz w:val="24"/>
          <w:lang w:val="ro-MD"/>
        </w:rPr>
        <w:t xml:space="preserve">ipsa unui mecanism clar de stabilire și acordare a sporurilor de stimulare (stimulatorii) și </w:t>
      </w:r>
      <w:r w:rsidR="00BB0B64">
        <w:rPr>
          <w:rFonts w:asciiTheme="majorHAnsi" w:eastAsia="Times New Roman" w:hAnsiTheme="majorHAnsi" w:cs="Times New Roman"/>
          <w:b/>
          <w:i/>
          <w:sz w:val="24"/>
          <w:lang w:val="ro-MD"/>
        </w:rPr>
        <w:t xml:space="preserve">a </w:t>
      </w:r>
      <w:r w:rsidR="00497CB4" w:rsidRPr="005205E3">
        <w:rPr>
          <w:rFonts w:asciiTheme="majorHAnsi" w:eastAsia="Times New Roman" w:hAnsiTheme="majorHAnsi" w:cs="Times New Roman"/>
          <w:b/>
          <w:i/>
          <w:sz w:val="24"/>
          <w:lang w:val="ro-MD"/>
        </w:rPr>
        <w:t xml:space="preserve">suplimentelor la salariile de funcție nu contribuie la transparența utilizării resurselor financiare </w:t>
      </w:r>
    </w:p>
    <w:p w14:paraId="426BE88C" w14:textId="40E36E23" w:rsidR="00497CB4" w:rsidRPr="005B6058" w:rsidRDefault="00497CB4" w:rsidP="005205E3">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5205E3">
        <w:rPr>
          <w:rFonts w:asciiTheme="majorHAnsi" w:eastAsia="Times New Roman" w:hAnsiTheme="majorHAnsi" w:cs="Times New Roman"/>
          <w:sz w:val="24"/>
          <w:szCs w:val="24"/>
          <w:bdr w:val="none" w:sz="0" w:space="0" w:color="auto" w:frame="1"/>
          <w:lang w:val="ro-MD"/>
        </w:rPr>
        <w:t>Raporturile</w:t>
      </w:r>
      <w:r w:rsidR="005975B4">
        <w:rPr>
          <w:rFonts w:asciiTheme="majorHAnsi" w:hAnsiTheme="majorHAnsi" w:cstheme="majorHAnsi"/>
          <w:sz w:val="24"/>
          <w:szCs w:val="24"/>
          <w:lang w:val="ro-MD"/>
        </w:rPr>
        <w:t xml:space="preserve"> de muncă în </w:t>
      </w:r>
      <w:r w:rsidR="00543D69">
        <w:rPr>
          <w:rFonts w:asciiTheme="majorHAnsi" w:hAnsiTheme="majorHAnsi" w:cstheme="majorHAnsi"/>
          <w:sz w:val="24"/>
          <w:szCs w:val="24"/>
          <w:lang w:val="ro-MD"/>
        </w:rPr>
        <w:t xml:space="preserve"> cadrul </w:t>
      </w:r>
      <w:r w:rsidR="005975B4">
        <w:rPr>
          <w:rFonts w:asciiTheme="majorHAnsi" w:hAnsiTheme="majorHAnsi" w:cstheme="majorHAnsi"/>
          <w:sz w:val="24"/>
          <w:szCs w:val="24"/>
          <w:lang w:val="ro-MD"/>
        </w:rPr>
        <w:t>MOLDAC, I</w:t>
      </w:r>
      <w:r w:rsidRPr="005B6058">
        <w:rPr>
          <w:rFonts w:asciiTheme="majorHAnsi" w:hAnsiTheme="majorHAnsi" w:cstheme="majorHAnsi"/>
          <w:sz w:val="24"/>
          <w:szCs w:val="24"/>
          <w:lang w:val="ro-MD"/>
        </w:rPr>
        <w:t>S</w:t>
      </w:r>
      <w:r w:rsidR="005975B4">
        <w:rPr>
          <w:rFonts w:asciiTheme="majorHAnsi" w:hAnsiTheme="majorHAnsi" w:cstheme="majorHAnsi"/>
          <w:sz w:val="24"/>
          <w:szCs w:val="24"/>
          <w:lang w:val="ro-MD"/>
        </w:rPr>
        <w:t>M</w:t>
      </w:r>
      <w:r w:rsidRPr="005B6058">
        <w:rPr>
          <w:rFonts w:asciiTheme="majorHAnsi" w:hAnsiTheme="majorHAnsi" w:cstheme="majorHAnsi"/>
          <w:sz w:val="24"/>
          <w:szCs w:val="24"/>
          <w:lang w:val="ro-MD"/>
        </w:rPr>
        <w:t>, INM sunt reglementate de cadrul legal-normativ în vigoare</w:t>
      </w:r>
      <w:r w:rsidRPr="005B6058">
        <w:rPr>
          <w:rStyle w:val="FootnoteReference"/>
          <w:rFonts w:asciiTheme="majorHAnsi" w:hAnsiTheme="majorHAnsi" w:cstheme="majorHAnsi"/>
          <w:sz w:val="24"/>
          <w:szCs w:val="24"/>
          <w:lang w:val="ro-MD"/>
        </w:rPr>
        <w:footnoteReference w:id="46"/>
      </w:r>
      <w:r w:rsidRPr="005B6058">
        <w:rPr>
          <w:rFonts w:asciiTheme="majorHAnsi" w:hAnsiTheme="majorHAnsi" w:cstheme="majorHAnsi"/>
          <w:sz w:val="24"/>
          <w:szCs w:val="24"/>
          <w:lang w:val="ro-MD"/>
        </w:rPr>
        <w:t xml:space="preserve"> și de </w:t>
      </w:r>
      <w:r w:rsidR="00BB0B64">
        <w:rPr>
          <w:rFonts w:asciiTheme="majorHAnsi" w:hAnsiTheme="majorHAnsi" w:cstheme="majorHAnsi"/>
          <w:sz w:val="24"/>
          <w:szCs w:val="24"/>
          <w:lang w:val="ro-MD"/>
        </w:rPr>
        <w:t>acte</w:t>
      </w:r>
      <w:r w:rsidR="00543D69">
        <w:rPr>
          <w:rFonts w:asciiTheme="majorHAnsi" w:hAnsiTheme="majorHAnsi" w:cstheme="majorHAnsi"/>
          <w:sz w:val="24"/>
          <w:szCs w:val="24"/>
          <w:lang w:val="ro-MD"/>
        </w:rPr>
        <w:t>le  interne adprobate</w:t>
      </w:r>
      <w:r w:rsidRPr="005B6058">
        <w:rPr>
          <w:rFonts w:asciiTheme="majorHAnsi" w:hAnsiTheme="majorHAnsi" w:cstheme="majorHAnsi"/>
          <w:sz w:val="24"/>
          <w:szCs w:val="24"/>
          <w:vertAlign w:val="superscript"/>
          <w:lang w:val="ro-MD"/>
        </w:rPr>
        <w:footnoteReference w:id="47"/>
      </w:r>
      <w:r w:rsidRPr="005B6058">
        <w:rPr>
          <w:rFonts w:asciiTheme="majorHAnsi" w:hAnsiTheme="majorHAnsi" w:cstheme="majorHAnsi"/>
          <w:sz w:val="24"/>
          <w:szCs w:val="24"/>
          <w:lang w:val="ro-MD"/>
        </w:rPr>
        <w:t>, aplicând</w:t>
      </w:r>
      <w:r w:rsidR="00BB0B64">
        <w:rPr>
          <w:rFonts w:asciiTheme="majorHAnsi" w:hAnsiTheme="majorHAnsi" w:cstheme="majorHAnsi"/>
          <w:sz w:val="24"/>
          <w:szCs w:val="24"/>
          <w:lang w:val="ro-MD"/>
        </w:rPr>
        <w:t>u-se</w:t>
      </w:r>
      <w:r w:rsidRPr="005B6058">
        <w:rPr>
          <w:rFonts w:asciiTheme="majorHAnsi" w:hAnsiTheme="majorHAnsi" w:cstheme="majorHAnsi"/>
          <w:sz w:val="24"/>
          <w:szCs w:val="24"/>
          <w:lang w:val="ro-MD"/>
        </w:rPr>
        <w:t xml:space="preserve"> sistemul tarifar de salarizare unde salariul tarifar pentru categoria I de calificare (de salarizare) a rețelei tarifare este componenta principală și obligatorie și servește drept bază pentru stabilirea salariilor de funcție concrete, calculat reieșind din cuantumul minim garantat al salariului în sectorul real</w:t>
      </w:r>
      <w:r w:rsidRPr="005B6058">
        <w:rPr>
          <w:rStyle w:val="FootnoteReference"/>
          <w:rFonts w:asciiTheme="majorHAnsi" w:hAnsiTheme="majorHAnsi" w:cstheme="majorHAnsi"/>
          <w:sz w:val="24"/>
          <w:szCs w:val="24"/>
          <w:lang w:val="ro-MD"/>
        </w:rPr>
        <w:footnoteReference w:id="48"/>
      </w:r>
      <w:r w:rsidRPr="005B6058">
        <w:rPr>
          <w:rFonts w:asciiTheme="majorHAnsi" w:hAnsiTheme="majorHAnsi" w:cstheme="majorHAnsi"/>
          <w:sz w:val="24"/>
          <w:szCs w:val="24"/>
          <w:lang w:val="ro-MD"/>
        </w:rPr>
        <w:t xml:space="preserve"> și coeficientul de </w:t>
      </w:r>
      <w:r w:rsidRPr="006478EE">
        <w:rPr>
          <w:rFonts w:asciiTheme="majorHAnsi" w:hAnsiTheme="majorHAnsi" w:cstheme="majorHAnsi"/>
          <w:sz w:val="24"/>
          <w:szCs w:val="24"/>
          <w:lang w:val="ro-MD"/>
        </w:rPr>
        <w:t>multiplic</w:t>
      </w:r>
      <w:r w:rsidR="002022C6" w:rsidRPr="006478EE">
        <w:rPr>
          <w:rFonts w:asciiTheme="majorHAnsi" w:hAnsiTheme="majorHAnsi" w:cstheme="majorHAnsi"/>
          <w:sz w:val="24"/>
          <w:szCs w:val="24"/>
          <w:lang w:val="ro-MD"/>
        </w:rPr>
        <w:t>itat</w:t>
      </w:r>
      <w:r w:rsidRPr="006478EE">
        <w:rPr>
          <w:rFonts w:asciiTheme="majorHAnsi" w:hAnsiTheme="majorHAnsi" w:cstheme="majorHAnsi"/>
          <w:sz w:val="24"/>
          <w:szCs w:val="24"/>
          <w:lang w:val="ro-MD"/>
        </w:rPr>
        <w:t>e</w:t>
      </w:r>
      <w:r w:rsidRPr="005B6058">
        <w:rPr>
          <w:sz w:val="24"/>
          <w:szCs w:val="24"/>
          <w:vertAlign w:val="superscript"/>
          <w:lang w:val="ro-MD"/>
        </w:rPr>
        <w:footnoteReference w:id="49"/>
      </w:r>
      <w:r w:rsidRPr="005B6058">
        <w:rPr>
          <w:rFonts w:asciiTheme="majorHAnsi" w:hAnsiTheme="majorHAnsi" w:cstheme="majorHAnsi"/>
          <w:sz w:val="24"/>
          <w:szCs w:val="24"/>
          <w:lang w:val="ro-MD"/>
        </w:rPr>
        <w:t xml:space="preserve">.  </w:t>
      </w:r>
      <w:r w:rsidRPr="005B6058">
        <w:rPr>
          <w:rFonts w:asciiTheme="majorHAnsi" w:hAnsiTheme="majorHAnsi"/>
          <w:sz w:val="24"/>
          <w:szCs w:val="24"/>
          <w:lang w:val="ro-MD"/>
        </w:rPr>
        <w:t>Conform prevederil</w:t>
      </w:r>
      <w:r w:rsidR="00BB0B64">
        <w:rPr>
          <w:rFonts w:asciiTheme="majorHAnsi" w:hAnsiTheme="majorHAnsi"/>
          <w:sz w:val="24"/>
          <w:szCs w:val="24"/>
          <w:lang w:val="ro-MD"/>
        </w:rPr>
        <w:t>or</w:t>
      </w:r>
      <w:r w:rsidRPr="005B6058">
        <w:rPr>
          <w:rFonts w:asciiTheme="majorHAnsi" w:hAnsiTheme="majorHAnsi"/>
          <w:sz w:val="24"/>
          <w:szCs w:val="24"/>
          <w:lang w:val="ro-MD"/>
        </w:rPr>
        <w:t xml:space="preserve"> normative</w:t>
      </w:r>
      <w:r w:rsidRPr="005B6058">
        <w:rPr>
          <w:rStyle w:val="FootnoteReference"/>
          <w:rFonts w:asciiTheme="majorHAnsi" w:hAnsiTheme="majorHAnsi"/>
          <w:sz w:val="24"/>
          <w:szCs w:val="24"/>
          <w:lang w:val="ro-MD"/>
        </w:rPr>
        <w:footnoteReference w:id="50"/>
      </w:r>
      <w:r w:rsidRPr="005B6058">
        <w:rPr>
          <w:rFonts w:asciiTheme="majorHAnsi" w:hAnsiTheme="majorHAnsi"/>
          <w:sz w:val="24"/>
          <w:szCs w:val="24"/>
          <w:lang w:val="ro-MD"/>
        </w:rPr>
        <w:t xml:space="preserve">, coeficientul de </w:t>
      </w:r>
      <w:r w:rsidRPr="006478EE">
        <w:rPr>
          <w:rFonts w:asciiTheme="majorHAnsi" w:hAnsiTheme="majorHAnsi"/>
          <w:sz w:val="24"/>
          <w:szCs w:val="24"/>
          <w:lang w:val="ro-MD"/>
        </w:rPr>
        <w:t>multiplicitate</w:t>
      </w:r>
      <w:r w:rsidR="00BB0B64">
        <w:rPr>
          <w:rFonts w:asciiTheme="majorHAnsi" w:hAnsiTheme="majorHAnsi"/>
          <w:sz w:val="24"/>
          <w:szCs w:val="24"/>
          <w:lang w:val="ro-MD"/>
        </w:rPr>
        <w:t xml:space="preserve"> </w:t>
      </w:r>
      <w:r w:rsidRPr="005B6058">
        <w:rPr>
          <w:rFonts w:asciiTheme="majorHAnsi" w:hAnsiTheme="majorHAnsi"/>
          <w:sz w:val="24"/>
          <w:szCs w:val="24"/>
          <w:lang w:val="ro-MD"/>
        </w:rPr>
        <w:t xml:space="preserve"> individual se stabileşte de către angajator pentru fiecare salariat, în dependenţă de funcţia acestuia, în limitele diapazonului coeficienţilor de multiplicitate pentru stabilirea salariului </w:t>
      </w:r>
      <w:r w:rsidR="002022C6">
        <w:rPr>
          <w:rFonts w:asciiTheme="majorHAnsi" w:hAnsiTheme="majorHAnsi"/>
          <w:sz w:val="24"/>
          <w:szCs w:val="24"/>
          <w:lang w:val="ro-MD"/>
        </w:rPr>
        <w:t xml:space="preserve">de </w:t>
      </w:r>
      <w:r w:rsidRPr="005B6058">
        <w:rPr>
          <w:rFonts w:asciiTheme="majorHAnsi" w:hAnsiTheme="majorHAnsi"/>
          <w:sz w:val="24"/>
          <w:szCs w:val="24"/>
          <w:lang w:val="ro-MD"/>
        </w:rPr>
        <w:t>funcţie</w:t>
      </w:r>
      <w:r w:rsidR="002022C6">
        <w:rPr>
          <w:rFonts w:asciiTheme="majorHAnsi" w:hAnsiTheme="majorHAnsi"/>
          <w:sz w:val="24"/>
          <w:szCs w:val="24"/>
          <w:lang w:val="ro-MD"/>
        </w:rPr>
        <w:t xml:space="preserve"> al</w:t>
      </w:r>
      <w:r w:rsidRPr="005B6058">
        <w:rPr>
          <w:rFonts w:asciiTheme="majorHAnsi" w:hAnsiTheme="majorHAnsi"/>
          <w:sz w:val="24"/>
          <w:szCs w:val="24"/>
          <w:lang w:val="ro-MD"/>
        </w:rPr>
        <w:t xml:space="preserve"> salariaţilor</w:t>
      </w:r>
      <w:r w:rsidR="002022C6">
        <w:rPr>
          <w:rFonts w:asciiTheme="majorHAnsi" w:hAnsiTheme="majorHAnsi"/>
          <w:sz w:val="24"/>
          <w:szCs w:val="24"/>
          <w:lang w:val="ro-MD"/>
        </w:rPr>
        <w:t>,</w:t>
      </w:r>
      <w:r w:rsidRPr="005B6058">
        <w:rPr>
          <w:rFonts w:asciiTheme="majorHAnsi" w:hAnsiTheme="majorHAnsi"/>
          <w:sz w:val="24"/>
          <w:szCs w:val="24"/>
          <w:lang w:val="ro-MD"/>
        </w:rPr>
        <w:t xml:space="preserve"> prevăzut în Anexa nr. 4 la HG nr. 743/2002, ţinând cont de calificarea, performanţe</w:t>
      </w:r>
      <w:r w:rsidR="00C07881">
        <w:rPr>
          <w:rFonts w:asciiTheme="majorHAnsi" w:hAnsiTheme="majorHAnsi"/>
          <w:sz w:val="24"/>
          <w:szCs w:val="24"/>
          <w:lang w:val="ro-MD"/>
        </w:rPr>
        <w:t>le</w:t>
      </w:r>
      <w:r w:rsidRPr="005B6058">
        <w:rPr>
          <w:rFonts w:asciiTheme="majorHAnsi" w:hAnsiTheme="majorHAnsi"/>
          <w:sz w:val="24"/>
          <w:szCs w:val="24"/>
          <w:lang w:val="ro-MD"/>
        </w:rPr>
        <w:t xml:space="preserve"> individuale ale salariatului, inclusiv de propunerile şefilor de subdiviziuni.</w:t>
      </w:r>
    </w:p>
    <w:p w14:paraId="40C5168E" w14:textId="4CFB90C4" w:rsidR="00497CB4" w:rsidRPr="005B6058" w:rsidRDefault="00497CB4" w:rsidP="005205E3">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5205E3">
        <w:rPr>
          <w:rFonts w:asciiTheme="majorHAnsi" w:eastAsia="Times New Roman" w:hAnsiTheme="majorHAnsi" w:cs="Times New Roman"/>
          <w:sz w:val="24"/>
          <w:szCs w:val="24"/>
          <w:bdr w:val="none" w:sz="0" w:space="0" w:color="auto" w:frame="1"/>
          <w:lang w:val="ro-MD"/>
        </w:rPr>
        <w:t>Contrar</w:t>
      </w:r>
      <w:r w:rsidRPr="005B6058">
        <w:rPr>
          <w:rFonts w:asciiTheme="majorHAnsi" w:hAnsiTheme="majorHAnsi" w:cstheme="majorHAnsi"/>
          <w:sz w:val="24"/>
          <w:szCs w:val="24"/>
          <w:lang w:val="ro-MD"/>
        </w:rPr>
        <w:t xml:space="preserve"> prevederilor normative în vigoare</w:t>
      </w:r>
      <w:r w:rsidRPr="005B6058">
        <w:rPr>
          <w:rStyle w:val="FootnoteReference"/>
          <w:rFonts w:asciiTheme="majorHAnsi" w:hAnsiTheme="majorHAnsi" w:cstheme="majorHAnsi"/>
          <w:sz w:val="24"/>
          <w:szCs w:val="24"/>
          <w:lang w:val="ro-MD"/>
        </w:rPr>
        <w:footnoteReference w:id="51"/>
      </w:r>
      <w:r w:rsidR="00512790">
        <w:rPr>
          <w:rFonts w:asciiTheme="majorHAnsi" w:hAnsiTheme="majorHAnsi" w:cstheme="majorHAnsi"/>
          <w:sz w:val="24"/>
          <w:szCs w:val="24"/>
          <w:lang w:val="ro-MD"/>
        </w:rPr>
        <w:t>, managementul I</w:t>
      </w:r>
      <w:r w:rsidRPr="005B6058">
        <w:rPr>
          <w:rFonts w:asciiTheme="majorHAnsi" w:hAnsiTheme="majorHAnsi" w:cstheme="majorHAnsi"/>
          <w:sz w:val="24"/>
          <w:szCs w:val="24"/>
          <w:lang w:val="ro-MD"/>
        </w:rPr>
        <w:t>S</w:t>
      </w:r>
      <w:r w:rsidR="00512790">
        <w:rPr>
          <w:rFonts w:asciiTheme="majorHAnsi" w:hAnsiTheme="majorHAnsi" w:cstheme="majorHAnsi"/>
          <w:sz w:val="24"/>
          <w:szCs w:val="24"/>
          <w:lang w:val="ro-MD"/>
        </w:rPr>
        <w:t>M</w:t>
      </w:r>
      <w:r w:rsidRPr="005B6058">
        <w:rPr>
          <w:rFonts w:asciiTheme="majorHAnsi" w:hAnsiTheme="majorHAnsi" w:cstheme="majorHAnsi"/>
          <w:sz w:val="24"/>
          <w:szCs w:val="24"/>
          <w:lang w:val="ro-MD"/>
        </w:rPr>
        <w:t xml:space="preserve"> și </w:t>
      </w:r>
      <w:r w:rsidR="002022C6">
        <w:rPr>
          <w:rFonts w:asciiTheme="majorHAnsi" w:hAnsiTheme="majorHAnsi" w:cstheme="majorHAnsi"/>
          <w:sz w:val="24"/>
          <w:szCs w:val="24"/>
          <w:lang w:val="ro-MD"/>
        </w:rPr>
        <w:t xml:space="preserve">al </w:t>
      </w:r>
      <w:r w:rsidRPr="005B6058">
        <w:rPr>
          <w:rFonts w:asciiTheme="majorHAnsi" w:hAnsiTheme="majorHAnsi" w:cstheme="majorHAnsi"/>
          <w:sz w:val="24"/>
          <w:szCs w:val="24"/>
          <w:lang w:val="ro-MD"/>
        </w:rPr>
        <w:t xml:space="preserve">MOLDAC, la întocmirea statelor de personal și </w:t>
      </w:r>
      <w:r w:rsidR="002022C6">
        <w:rPr>
          <w:rFonts w:asciiTheme="majorHAnsi" w:hAnsiTheme="majorHAnsi" w:cstheme="majorHAnsi"/>
          <w:sz w:val="24"/>
          <w:szCs w:val="24"/>
          <w:lang w:val="ro-MD"/>
        </w:rPr>
        <w:t xml:space="preserve">la </w:t>
      </w:r>
      <w:r w:rsidRPr="005B6058">
        <w:rPr>
          <w:rFonts w:asciiTheme="majorHAnsi" w:hAnsiTheme="majorHAnsi" w:cstheme="majorHAnsi"/>
          <w:sz w:val="24"/>
          <w:szCs w:val="24"/>
          <w:lang w:val="ro-MD"/>
        </w:rPr>
        <w:t>calcularea salariilor de funcție pentru an</w:t>
      </w:r>
      <w:r w:rsidR="002022C6">
        <w:rPr>
          <w:rFonts w:asciiTheme="majorHAnsi" w:hAnsiTheme="majorHAnsi" w:cstheme="majorHAnsi"/>
          <w:sz w:val="24"/>
          <w:szCs w:val="24"/>
          <w:lang w:val="ro-MD"/>
        </w:rPr>
        <w:t>ii</w:t>
      </w:r>
      <w:r w:rsidRPr="005B6058">
        <w:rPr>
          <w:rFonts w:asciiTheme="majorHAnsi" w:hAnsiTheme="majorHAnsi" w:cstheme="majorHAnsi"/>
          <w:sz w:val="24"/>
          <w:szCs w:val="24"/>
          <w:lang w:val="ro-MD"/>
        </w:rPr>
        <w:t xml:space="preserve"> 2020 și 2021</w:t>
      </w:r>
      <w:r w:rsidR="002022C6">
        <w:rPr>
          <w:rFonts w:asciiTheme="majorHAnsi" w:hAnsiTheme="majorHAnsi" w:cstheme="majorHAnsi"/>
          <w:sz w:val="24"/>
          <w:szCs w:val="24"/>
          <w:lang w:val="ro-MD"/>
        </w:rPr>
        <w:t>,</w:t>
      </w:r>
      <w:r w:rsidRPr="005B6058">
        <w:rPr>
          <w:rFonts w:asciiTheme="majorHAnsi" w:hAnsiTheme="majorHAnsi" w:cstheme="majorHAnsi"/>
          <w:sz w:val="24"/>
          <w:szCs w:val="24"/>
          <w:lang w:val="ro-MD"/>
        </w:rPr>
        <w:t xml:space="preserve"> nu au aproba</w:t>
      </w:r>
      <w:r w:rsidR="002022C6">
        <w:rPr>
          <w:rFonts w:asciiTheme="majorHAnsi" w:hAnsiTheme="majorHAnsi" w:cstheme="majorHAnsi"/>
          <w:sz w:val="24"/>
          <w:szCs w:val="24"/>
          <w:lang w:val="ro-MD"/>
        </w:rPr>
        <w:t>t</w:t>
      </w:r>
      <w:r w:rsidRPr="005B6058">
        <w:rPr>
          <w:rFonts w:asciiTheme="majorHAnsi" w:hAnsiTheme="majorHAnsi" w:cstheme="majorHAnsi"/>
          <w:sz w:val="24"/>
          <w:szCs w:val="24"/>
          <w:lang w:val="ro-MD"/>
        </w:rPr>
        <w:t>, prin ordinul directorului, coeficienții de multiplicitate</w:t>
      </w:r>
      <w:r w:rsidR="002022C6">
        <w:rPr>
          <w:rFonts w:asciiTheme="majorHAnsi" w:hAnsiTheme="majorHAnsi" w:cstheme="majorHAnsi"/>
          <w:sz w:val="24"/>
          <w:szCs w:val="24"/>
          <w:lang w:val="ro-MD"/>
        </w:rPr>
        <w:t>,</w:t>
      </w:r>
      <w:r w:rsidRPr="005B6058">
        <w:rPr>
          <w:rFonts w:asciiTheme="majorHAnsi" w:hAnsiTheme="majorHAnsi" w:cstheme="majorHAnsi"/>
          <w:sz w:val="24"/>
          <w:szCs w:val="24"/>
          <w:lang w:val="ro-MD"/>
        </w:rPr>
        <w:t xml:space="preserve"> pentru stabilirea salariilor de funcție ale personalului încadrat </w:t>
      </w:r>
      <w:r w:rsidR="002022C6">
        <w:rPr>
          <w:rFonts w:asciiTheme="majorHAnsi" w:hAnsiTheme="majorHAnsi" w:cstheme="majorHAnsi"/>
          <w:sz w:val="24"/>
          <w:szCs w:val="24"/>
          <w:lang w:val="ro-MD"/>
        </w:rPr>
        <w:t>la</w:t>
      </w:r>
      <w:r w:rsidRPr="005B6058">
        <w:rPr>
          <w:rFonts w:asciiTheme="majorHAnsi" w:hAnsiTheme="majorHAnsi" w:cstheme="majorHAnsi"/>
          <w:sz w:val="24"/>
          <w:szCs w:val="24"/>
          <w:lang w:val="ro-MD"/>
        </w:rPr>
        <w:t xml:space="preserve"> entitate</w:t>
      </w:r>
      <w:r w:rsidR="004C2220">
        <w:rPr>
          <w:rFonts w:asciiTheme="majorHAnsi" w:hAnsiTheme="majorHAnsi" w:cstheme="majorHAnsi"/>
          <w:sz w:val="24"/>
          <w:szCs w:val="24"/>
          <w:lang w:val="ro-MD"/>
        </w:rPr>
        <w:t>.</w:t>
      </w:r>
      <w:r w:rsidRPr="005B6058">
        <w:rPr>
          <w:rFonts w:asciiTheme="majorHAnsi" w:hAnsiTheme="majorHAnsi" w:cstheme="majorHAnsi"/>
          <w:sz w:val="24"/>
          <w:szCs w:val="24"/>
          <w:lang w:val="ro-MD"/>
        </w:rPr>
        <w:t xml:space="preserve"> </w:t>
      </w:r>
    </w:p>
    <w:p w14:paraId="63FF1B4D" w14:textId="01044CF3" w:rsidR="00497CB4" w:rsidRPr="005B6058" w:rsidRDefault="00497CB4" w:rsidP="005205E3">
      <w:pPr>
        <w:pStyle w:val="ListParagraph"/>
        <w:tabs>
          <w:tab w:val="left" w:pos="270"/>
        </w:tabs>
        <w:spacing w:after="0" w:line="276" w:lineRule="auto"/>
        <w:ind w:left="0" w:firstLine="720"/>
        <w:jc w:val="both"/>
        <w:rPr>
          <w:rFonts w:asciiTheme="majorHAnsi" w:hAnsiTheme="majorHAnsi" w:cstheme="majorHAnsi"/>
          <w:color w:val="000000"/>
          <w:sz w:val="24"/>
          <w:szCs w:val="24"/>
          <w:lang w:val="ro-MD"/>
        </w:rPr>
      </w:pPr>
      <w:r w:rsidRPr="005205E3">
        <w:rPr>
          <w:rFonts w:asciiTheme="majorHAnsi" w:eastAsia="Times New Roman" w:hAnsiTheme="majorHAnsi" w:cs="Times New Roman"/>
          <w:sz w:val="24"/>
          <w:szCs w:val="24"/>
          <w:bdr w:val="none" w:sz="0" w:space="0" w:color="auto" w:frame="1"/>
          <w:lang w:val="ro-MD"/>
        </w:rPr>
        <w:t>Totodată</w:t>
      </w:r>
      <w:r w:rsidRPr="005B6058">
        <w:rPr>
          <w:rFonts w:asciiTheme="majorHAnsi" w:hAnsiTheme="majorHAnsi" w:cstheme="majorHAnsi"/>
          <w:sz w:val="24"/>
          <w:szCs w:val="24"/>
          <w:lang w:val="ro-MD"/>
        </w:rPr>
        <w:t>, probele de audit colectate au relevat că, deși</w:t>
      </w:r>
      <w:r w:rsidR="002022C6">
        <w:rPr>
          <w:rFonts w:asciiTheme="majorHAnsi" w:hAnsiTheme="majorHAnsi" w:cstheme="majorHAnsi"/>
          <w:sz w:val="24"/>
          <w:szCs w:val="24"/>
          <w:lang w:val="ro-MD"/>
        </w:rPr>
        <w:t xml:space="preserve"> la </w:t>
      </w:r>
      <w:r w:rsidRPr="005B6058">
        <w:rPr>
          <w:rFonts w:asciiTheme="majorHAnsi" w:hAnsiTheme="majorHAnsi" w:cstheme="majorHAnsi"/>
          <w:sz w:val="24"/>
          <w:szCs w:val="24"/>
          <w:lang w:val="ro-MD"/>
        </w:rPr>
        <w:t xml:space="preserve">MOLDAC raporturile de muncă sunt reglementate de cadrul legal-normativ în vigoare și de </w:t>
      </w:r>
      <w:r w:rsidR="00D7502F">
        <w:rPr>
          <w:rFonts w:asciiTheme="majorHAnsi" w:hAnsiTheme="majorHAnsi" w:cstheme="majorHAnsi"/>
          <w:sz w:val="24"/>
          <w:szCs w:val="24"/>
          <w:lang w:val="ro-MD"/>
        </w:rPr>
        <w:t>actele</w:t>
      </w:r>
      <w:r w:rsidRPr="005B6058">
        <w:rPr>
          <w:rFonts w:asciiTheme="majorHAnsi" w:hAnsiTheme="majorHAnsi" w:cstheme="majorHAnsi"/>
          <w:sz w:val="24"/>
          <w:szCs w:val="24"/>
          <w:lang w:val="ro-MD"/>
        </w:rPr>
        <w:t xml:space="preserve">  interne aprobate, sistemul de salarizare existent este unul netransparent și imprevizibil. </w:t>
      </w:r>
      <w:r w:rsidRPr="005B6058">
        <w:rPr>
          <w:rFonts w:asciiTheme="majorHAnsi" w:hAnsiTheme="majorHAnsi" w:cstheme="majorHAnsi"/>
          <w:color w:val="000000"/>
          <w:sz w:val="24"/>
          <w:szCs w:val="24"/>
          <w:lang w:val="ro-MD"/>
        </w:rPr>
        <w:t xml:space="preserve">Lipsa cadrului </w:t>
      </w:r>
      <w:r w:rsidR="00D7502F">
        <w:rPr>
          <w:rFonts w:asciiTheme="majorHAnsi" w:hAnsiTheme="majorHAnsi" w:cstheme="majorHAnsi"/>
          <w:color w:val="000000"/>
          <w:sz w:val="24"/>
          <w:szCs w:val="24"/>
          <w:lang w:val="ro-MD"/>
        </w:rPr>
        <w:t>instituțional</w:t>
      </w:r>
      <w:r w:rsidR="002022C6">
        <w:rPr>
          <w:rFonts w:asciiTheme="majorHAnsi" w:hAnsiTheme="majorHAnsi" w:cstheme="majorHAnsi"/>
          <w:color w:val="000000"/>
          <w:sz w:val="24"/>
          <w:szCs w:val="24"/>
          <w:lang w:val="ro-MD"/>
        </w:rPr>
        <w:t xml:space="preserve"> </w:t>
      </w:r>
      <w:r w:rsidRPr="005B6058">
        <w:rPr>
          <w:rFonts w:asciiTheme="majorHAnsi" w:hAnsiTheme="majorHAnsi" w:cstheme="majorHAnsi"/>
          <w:color w:val="000000"/>
          <w:sz w:val="24"/>
          <w:szCs w:val="24"/>
          <w:lang w:val="ro-MD"/>
        </w:rPr>
        <w:t>privi</w:t>
      </w:r>
      <w:r w:rsidR="002022C6">
        <w:rPr>
          <w:rFonts w:asciiTheme="majorHAnsi" w:hAnsiTheme="majorHAnsi" w:cstheme="majorHAnsi"/>
          <w:color w:val="000000"/>
          <w:sz w:val="24"/>
          <w:szCs w:val="24"/>
          <w:lang w:val="ro-MD"/>
        </w:rPr>
        <w:t xml:space="preserve">nd </w:t>
      </w:r>
      <w:r w:rsidRPr="005B6058">
        <w:rPr>
          <w:rFonts w:asciiTheme="majorHAnsi" w:hAnsiTheme="majorHAnsi" w:cstheme="majorHAnsi"/>
          <w:color w:val="000000"/>
          <w:sz w:val="24"/>
          <w:szCs w:val="24"/>
          <w:lang w:val="ro-MD"/>
        </w:rPr>
        <w:t xml:space="preserve"> modalitatea și criteriile de stabilire a sporurilor stimulatorii, mărimea sporului stabilit pentru fiecare criteriu, </w:t>
      </w:r>
      <w:r w:rsidR="00F848BA" w:rsidRPr="005B6058">
        <w:rPr>
          <w:rFonts w:asciiTheme="majorHAnsi" w:hAnsiTheme="majorHAnsi" w:cstheme="majorHAnsi"/>
          <w:color w:val="000000"/>
          <w:sz w:val="24"/>
          <w:szCs w:val="24"/>
          <w:lang w:val="ro-MD"/>
        </w:rPr>
        <w:t>precum și</w:t>
      </w:r>
      <w:r w:rsidR="00F848BA">
        <w:rPr>
          <w:rFonts w:asciiTheme="majorHAnsi" w:hAnsiTheme="majorHAnsi" w:cstheme="majorHAnsi"/>
          <w:color w:val="000000"/>
          <w:sz w:val="24"/>
          <w:szCs w:val="24"/>
          <w:lang w:val="ro-MD"/>
        </w:rPr>
        <w:t xml:space="preserve"> a</w:t>
      </w:r>
      <w:r w:rsidR="00F848BA" w:rsidRPr="005B6058">
        <w:rPr>
          <w:rFonts w:asciiTheme="majorHAnsi" w:hAnsiTheme="majorHAnsi" w:cstheme="majorHAnsi"/>
          <w:color w:val="000000"/>
          <w:sz w:val="24"/>
          <w:szCs w:val="24"/>
          <w:lang w:val="ro-MD"/>
        </w:rPr>
        <w:t xml:space="preserve"> </w:t>
      </w:r>
      <w:r w:rsidRPr="005B6058">
        <w:rPr>
          <w:rFonts w:asciiTheme="majorHAnsi" w:hAnsiTheme="majorHAnsi" w:cstheme="majorHAnsi"/>
          <w:color w:val="000000"/>
          <w:sz w:val="24"/>
          <w:szCs w:val="24"/>
          <w:lang w:val="ro-MD"/>
        </w:rPr>
        <w:t xml:space="preserve">documentelor justificative care ar confirma aplicarea diferențiată a sporurilor a afectat transparența utilizării resurselor financiare în </w:t>
      </w:r>
      <w:r>
        <w:rPr>
          <w:rFonts w:asciiTheme="majorHAnsi" w:hAnsiTheme="majorHAnsi" w:cstheme="majorHAnsi"/>
          <w:color w:val="000000"/>
          <w:sz w:val="24"/>
          <w:szCs w:val="24"/>
          <w:lang w:val="ro-MD"/>
        </w:rPr>
        <w:t xml:space="preserve">sumă totală </w:t>
      </w:r>
      <w:r w:rsidRPr="005B6058">
        <w:rPr>
          <w:rFonts w:asciiTheme="majorHAnsi" w:hAnsiTheme="majorHAnsi" w:cstheme="majorHAnsi"/>
          <w:color w:val="000000"/>
          <w:sz w:val="24"/>
          <w:szCs w:val="24"/>
          <w:lang w:val="ro-MD"/>
        </w:rPr>
        <w:t>de 1.354,9 mii lei</w:t>
      </w:r>
      <w:r w:rsidRPr="005B6058">
        <w:rPr>
          <w:rStyle w:val="FootnoteReference"/>
          <w:rFonts w:asciiTheme="majorHAnsi" w:hAnsiTheme="majorHAnsi" w:cstheme="majorHAnsi"/>
          <w:color w:val="000000"/>
          <w:sz w:val="24"/>
          <w:szCs w:val="24"/>
          <w:lang w:val="ro-MD"/>
        </w:rPr>
        <w:footnoteReference w:id="52"/>
      </w:r>
      <w:r w:rsidRPr="005B6058">
        <w:rPr>
          <w:rFonts w:asciiTheme="majorHAnsi" w:hAnsiTheme="majorHAnsi" w:cstheme="majorHAnsi"/>
          <w:color w:val="000000"/>
          <w:sz w:val="24"/>
          <w:szCs w:val="24"/>
          <w:lang w:val="ro-MD"/>
        </w:rPr>
        <w:t xml:space="preserve">. </w:t>
      </w:r>
    </w:p>
    <w:p w14:paraId="5A85F4A3" w14:textId="1D08C12C" w:rsidR="002A384E" w:rsidRPr="000008CE" w:rsidRDefault="00DB7E01" w:rsidP="00E644C4">
      <w:pPr>
        <w:pStyle w:val="ListParagraph"/>
        <w:numPr>
          <w:ilvl w:val="0"/>
          <w:numId w:val="39"/>
        </w:numPr>
        <w:tabs>
          <w:tab w:val="left" w:pos="270"/>
        </w:tabs>
        <w:spacing w:after="0" w:line="276" w:lineRule="auto"/>
        <w:ind w:left="0" w:firstLine="426"/>
        <w:jc w:val="both"/>
        <w:rPr>
          <w:rFonts w:asciiTheme="majorHAnsi" w:hAnsiTheme="majorHAnsi" w:cstheme="majorHAnsi"/>
          <w:b/>
          <w:i/>
          <w:sz w:val="24"/>
          <w:szCs w:val="24"/>
          <w:lang w:val="ro-RO"/>
        </w:rPr>
      </w:pPr>
      <w:r>
        <w:rPr>
          <w:rFonts w:asciiTheme="majorHAnsi" w:hAnsiTheme="majorHAnsi" w:cstheme="majorHAnsi"/>
          <w:b/>
          <w:i/>
          <w:sz w:val="24"/>
          <w:szCs w:val="24"/>
          <w:lang w:val="ro-MD"/>
        </w:rPr>
        <w:t>d</w:t>
      </w:r>
      <w:r w:rsidR="002A384E" w:rsidRPr="000008CE">
        <w:rPr>
          <w:rFonts w:asciiTheme="majorHAnsi" w:hAnsiTheme="majorHAnsi" w:cstheme="majorHAnsi"/>
          <w:b/>
          <w:i/>
          <w:sz w:val="24"/>
          <w:szCs w:val="24"/>
          <w:lang w:val="ro-RO"/>
        </w:rPr>
        <w:t>epășirea cuantumurilor stabilite, dar și nerespectarea pe deplin a cadrului normativ în vigoare aferent remunerării conducătorului MOLDAC a</w:t>
      </w:r>
      <w:r w:rsidR="00F848BA">
        <w:rPr>
          <w:rFonts w:asciiTheme="majorHAnsi" w:hAnsiTheme="majorHAnsi" w:cstheme="majorHAnsi"/>
          <w:b/>
          <w:i/>
          <w:sz w:val="24"/>
          <w:szCs w:val="24"/>
          <w:lang w:val="ro-RO"/>
        </w:rPr>
        <w:t>u</w:t>
      </w:r>
      <w:r w:rsidR="002A384E" w:rsidRPr="000008CE">
        <w:rPr>
          <w:rFonts w:asciiTheme="majorHAnsi" w:hAnsiTheme="majorHAnsi" w:cstheme="majorHAnsi"/>
          <w:b/>
          <w:i/>
          <w:sz w:val="24"/>
          <w:szCs w:val="24"/>
          <w:lang w:val="ro-RO"/>
        </w:rPr>
        <w:t xml:space="preserve"> generat achitări </w:t>
      </w:r>
      <w:r w:rsidR="00F848BA">
        <w:rPr>
          <w:rFonts w:asciiTheme="majorHAnsi" w:hAnsiTheme="majorHAnsi" w:cstheme="majorHAnsi"/>
          <w:b/>
          <w:i/>
          <w:sz w:val="24"/>
          <w:szCs w:val="24"/>
          <w:lang w:val="ro-RO"/>
        </w:rPr>
        <w:t xml:space="preserve">de plăți </w:t>
      </w:r>
      <w:r w:rsidR="002A384E" w:rsidRPr="000008CE">
        <w:rPr>
          <w:rFonts w:asciiTheme="majorHAnsi" w:hAnsiTheme="majorHAnsi" w:cstheme="majorHAnsi"/>
          <w:b/>
          <w:i/>
          <w:sz w:val="24"/>
          <w:szCs w:val="24"/>
          <w:lang w:val="ro-RO"/>
        </w:rPr>
        <w:t>suplimentare în sumă de 57,92  mii lei</w:t>
      </w:r>
    </w:p>
    <w:p w14:paraId="0D973A36" w14:textId="5934AEB7" w:rsidR="00497CB4" w:rsidRPr="005205E3" w:rsidRDefault="00497CB4" w:rsidP="005205E3">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5205E3">
        <w:rPr>
          <w:rFonts w:asciiTheme="majorHAnsi" w:hAnsiTheme="majorHAnsi" w:cstheme="majorHAnsi"/>
          <w:color w:val="000000"/>
          <w:sz w:val="24"/>
          <w:szCs w:val="24"/>
          <w:lang w:val="ro-MD"/>
        </w:rPr>
        <w:t>În conf</w:t>
      </w:r>
      <w:r w:rsidR="00DB7E01">
        <w:rPr>
          <w:rFonts w:asciiTheme="majorHAnsi" w:hAnsiTheme="majorHAnsi" w:cstheme="majorHAnsi"/>
          <w:color w:val="000000"/>
          <w:sz w:val="24"/>
          <w:szCs w:val="24"/>
          <w:lang w:val="ro-MD"/>
        </w:rPr>
        <w:t>ormitate cu prevederile</w:t>
      </w:r>
      <w:r w:rsidRPr="005205E3">
        <w:rPr>
          <w:rFonts w:asciiTheme="majorHAnsi" w:hAnsiTheme="majorHAnsi" w:cstheme="majorHAnsi"/>
          <w:color w:val="000000"/>
          <w:sz w:val="24"/>
          <w:szCs w:val="24"/>
          <w:lang w:val="ro-MD"/>
        </w:rPr>
        <w:t xml:space="preserve"> normativ</w:t>
      </w:r>
      <w:r w:rsidR="00DB7E01">
        <w:rPr>
          <w:rFonts w:asciiTheme="majorHAnsi" w:hAnsiTheme="majorHAnsi" w:cstheme="majorHAnsi"/>
          <w:color w:val="000000"/>
          <w:sz w:val="24"/>
          <w:szCs w:val="24"/>
          <w:lang w:val="ro-MD"/>
        </w:rPr>
        <w:t>e</w:t>
      </w:r>
      <w:r w:rsidRPr="005205E3">
        <w:rPr>
          <w:rFonts w:asciiTheme="majorHAnsi" w:hAnsiTheme="majorHAnsi" w:cstheme="majorHAnsi"/>
          <w:color w:val="000000"/>
          <w:sz w:val="24"/>
          <w:szCs w:val="24"/>
          <w:lang w:val="ro-MD"/>
        </w:rPr>
        <w:t xml:space="preserve"> în vigoare</w:t>
      </w:r>
      <w:r w:rsidRPr="005205E3">
        <w:rPr>
          <w:rStyle w:val="FootnoteReference"/>
          <w:rFonts w:ascii="Calibri Light" w:hAnsi="Calibri Light" w:cs="Calibri Light"/>
          <w:sz w:val="24"/>
          <w:szCs w:val="24"/>
          <w:lang w:val="ro-MD"/>
        </w:rPr>
        <w:footnoteReference w:id="53"/>
      </w:r>
      <w:r w:rsidRPr="005205E3">
        <w:rPr>
          <w:rFonts w:ascii="Calibri Light" w:hAnsi="Calibri Light" w:cs="Calibri Light"/>
          <w:sz w:val="24"/>
          <w:szCs w:val="24"/>
          <w:lang w:val="ro-MD"/>
        </w:rPr>
        <w:t>, mărimile altor plăţi, care nu se raportează la salarizare, dar care pot fi prevăzute în contractul individual de muncă sau în contractul colectiv de muncă (ajutor material, premii cu prilejul jubileelor, sărbătorilor profesionale etc.), se determină în fiecare caz concret, în funcţie de mijloacele financiare disponibile. Totodată, cuantumul acestor plăţi, care se plătesc din contul economisirii mijloacelor pentru retribuirea muncii, acordate conducătorului, pe parcursul unui an, nu va depăşi 3 salarii de funcţie.</w:t>
      </w:r>
    </w:p>
    <w:p w14:paraId="7DA0F045" w14:textId="73E785FB" w:rsidR="00497CB4" w:rsidRDefault="00497CB4" w:rsidP="00C4195C">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C4195C">
        <w:rPr>
          <w:rFonts w:asciiTheme="majorHAnsi" w:hAnsiTheme="majorHAnsi" w:cstheme="majorHAnsi"/>
          <w:color w:val="000000"/>
          <w:sz w:val="24"/>
          <w:szCs w:val="24"/>
          <w:lang w:val="ro-MD"/>
        </w:rPr>
        <w:t>Contrar</w:t>
      </w:r>
      <w:r w:rsidRPr="005B6058">
        <w:rPr>
          <w:rFonts w:asciiTheme="majorHAnsi" w:hAnsiTheme="majorHAnsi" w:cstheme="majorHAnsi"/>
          <w:sz w:val="24"/>
          <w:szCs w:val="24"/>
          <w:lang w:val="ro-MD"/>
        </w:rPr>
        <w:t xml:space="preserve"> prevederilor normative în vigoare</w:t>
      </w:r>
      <w:r w:rsidRPr="005B6058">
        <w:rPr>
          <w:rStyle w:val="FootnoteReference"/>
          <w:rFonts w:asciiTheme="majorHAnsi" w:hAnsiTheme="majorHAnsi" w:cstheme="majorHAnsi"/>
          <w:sz w:val="24"/>
          <w:szCs w:val="24"/>
          <w:lang w:val="ro-MD"/>
        </w:rPr>
        <w:footnoteReference w:id="54"/>
      </w:r>
      <w:r w:rsidRPr="005B6058">
        <w:rPr>
          <w:rFonts w:asciiTheme="majorHAnsi" w:hAnsiTheme="majorHAnsi" w:cstheme="majorHAnsi"/>
          <w:sz w:val="24"/>
          <w:szCs w:val="24"/>
          <w:lang w:val="ro-MD"/>
        </w:rPr>
        <w:t xml:space="preserve">, în perioada </w:t>
      </w:r>
      <w:r w:rsidR="00046F58">
        <w:rPr>
          <w:rFonts w:asciiTheme="majorHAnsi" w:hAnsiTheme="majorHAnsi" w:cstheme="majorHAnsi"/>
          <w:sz w:val="24"/>
          <w:szCs w:val="24"/>
          <w:lang w:val="ro-MD"/>
        </w:rPr>
        <w:t xml:space="preserve">anilor </w:t>
      </w:r>
      <w:r w:rsidRPr="005B6058">
        <w:rPr>
          <w:rFonts w:asciiTheme="majorHAnsi" w:hAnsiTheme="majorHAnsi" w:cstheme="majorHAnsi"/>
          <w:sz w:val="24"/>
          <w:szCs w:val="24"/>
          <w:lang w:val="ro-MD"/>
        </w:rPr>
        <w:t xml:space="preserve">2020-2021, </w:t>
      </w:r>
      <w:r w:rsidR="002A384E" w:rsidRPr="000008CE">
        <w:rPr>
          <w:rFonts w:asciiTheme="majorHAnsi" w:hAnsiTheme="majorHAnsi" w:cstheme="majorHAnsi"/>
          <w:sz w:val="24"/>
          <w:szCs w:val="24"/>
          <w:lang w:val="ro-MD"/>
        </w:rPr>
        <w:t>conducătoarea</w:t>
      </w:r>
      <w:r w:rsidR="002A384E">
        <w:rPr>
          <w:rFonts w:asciiTheme="majorHAnsi" w:hAnsiTheme="majorHAnsi" w:cstheme="majorHAnsi"/>
          <w:sz w:val="24"/>
          <w:szCs w:val="24"/>
          <w:lang w:val="ro-MD"/>
        </w:rPr>
        <w:t xml:space="preserve"> </w:t>
      </w:r>
      <w:r w:rsidRPr="005B6058">
        <w:rPr>
          <w:rFonts w:asciiTheme="majorHAnsi" w:hAnsiTheme="majorHAnsi" w:cstheme="majorHAnsi"/>
          <w:sz w:val="24"/>
          <w:szCs w:val="24"/>
          <w:lang w:val="ro-MD"/>
        </w:rPr>
        <w:t xml:space="preserve"> MOLDAC a beneficiat de ajutor material și </w:t>
      </w:r>
      <w:r w:rsidR="00046F58">
        <w:rPr>
          <w:rFonts w:asciiTheme="majorHAnsi" w:hAnsiTheme="majorHAnsi" w:cstheme="majorHAnsi"/>
          <w:sz w:val="24"/>
          <w:szCs w:val="24"/>
          <w:lang w:val="ro-MD"/>
        </w:rPr>
        <w:t xml:space="preserve">de </w:t>
      </w:r>
      <w:r w:rsidRPr="005B6058">
        <w:rPr>
          <w:rFonts w:asciiTheme="majorHAnsi" w:hAnsiTheme="majorHAnsi" w:cstheme="majorHAnsi"/>
          <w:sz w:val="24"/>
          <w:szCs w:val="24"/>
          <w:lang w:val="ro-MD"/>
        </w:rPr>
        <w:t>premii unice</w:t>
      </w:r>
      <w:r w:rsidR="00046F58">
        <w:rPr>
          <w:rFonts w:asciiTheme="majorHAnsi" w:hAnsiTheme="majorHAnsi" w:cstheme="majorHAnsi"/>
          <w:sz w:val="24"/>
          <w:szCs w:val="24"/>
          <w:lang w:val="ro-MD"/>
        </w:rPr>
        <w:t>,</w:t>
      </w:r>
      <w:r w:rsidRPr="005B6058">
        <w:rPr>
          <w:rFonts w:asciiTheme="majorHAnsi" w:hAnsiTheme="majorHAnsi" w:cstheme="majorHAnsi"/>
          <w:sz w:val="24"/>
          <w:szCs w:val="24"/>
          <w:lang w:val="ro-MD"/>
        </w:rPr>
        <w:t xml:space="preserve"> c</w:t>
      </w:r>
      <w:r w:rsidR="00046F58">
        <w:rPr>
          <w:rFonts w:asciiTheme="majorHAnsi" w:hAnsiTheme="majorHAnsi" w:cstheme="majorHAnsi"/>
          <w:sz w:val="24"/>
          <w:szCs w:val="24"/>
          <w:lang w:val="ro-MD"/>
        </w:rPr>
        <w:t>ar</w:t>
      </w:r>
      <w:r w:rsidRPr="005B6058">
        <w:rPr>
          <w:rFonts w:asciiTheme="majorHAnsi" w:hAnsiTheme="majorHAnsi" w:cstheme="majorHAnsi"/>
          <w:sz w:val="24"/>
          <w:szCs w:val="24"/>
          <w:lang w:val="ro-MD"/>
        </w:rPr>
        <w:t>e au depășit cuantumul a 3 salarii de funcți</w:t>
      </w:r>
      <w:r w:rsidR="00046F58">
        <w:rPr>
          <w:rFonts w:asciiTheme="majorHAnsi" w:hAnsiTheme="majorHAnsi" w:cstheme="majorHAnsi"/>
          <w:sz w:val="24"/>
          <w:szCs w:val="24"/>
          <w:lang w:val="ro-MD"/>
        </w:rPr>
        <w:t>e</w:t>
      </w:r>
      <w:r w:rsidRPr="005B6058">
        <w:rPr>
          <w:rFonts w:asciiTheme="majorHAnsi" w:hAnsiTheme="majorHAnsi" w:cstheme="majorHAnsi"/>
          <w:sz w:val="24"/>
          <w:szCs w:val="24"/>
          <w:lang w:val="ro-MD"/>
        </w:rPr>
        <w:t xml:space="preserve"> cu 57,92 mii lei</w:t>
      </w:r>
      <w:r w:rsidRPr="005B6058">
        <w:rPr>
          <w:rStyle w:val="FootnoteReference"/>
          <w:rFonts w:asciiTheme="majorHAnsi" w:hAnsiTheme="majorHAnsi" w:cstheme="majorHAnsi"/>
          <w:sz w:val="24"/>
          <w:szCs w:val="24"/>
          <w:lang w:val="ro-MD"/>
        </w:rPr>
        <w:footnoteReference w:id="55"/>
      </w:r>
      <w:r w:rsidRPr="005B6058">
        <w:rPr>
          <w:rFonts w:asciiTheme="majorHAnsi" w:hAnsiTheme="majorHAnsi" w:cstheme="majorHAnsi"/>
          <w:sz w:val="24"/>
          <w:szCs w:val="24"/>
          <w:lang w:val="ro-MD"/>
        </w:rPr>
        <w:t xml:space="preserve"> . </w:t>
      </w:r>
    </w:p>
    <w:p w14:paraId="74DE8656" w14:textId="140BE117" w:rsidR="00D5579B" w:rsidRPr="002B2160" w:rsidRDefault="00D5579B" w:rsidP="002B2160">
      <w:pPr>
        <w:tabs>
          <w:tab w:val="left" w:pos="328"/>
        </w:tabs>
        <w:spacing w:line="276" w:lineRule="auto"/>
        <w:jc w:val="both"/>
        <w:rPr>
          <w:rFonts w:asciiTheme="majorHAnsi" w:hAnsiTheme="majorHAnsi" w:cstheme="majorHAnsi"/>
          <w:color w:val="FF0000"/>
          <w:sz w:val="24"/>
          <w:szCs w:val="24"/>
          <w:lang w:val="ro-MD"/>
        </w:rPr>
      </w:pPr>
      <w:r>
        <w:rPr>
          <w:rFonts w:asciiTheme="majorHAnsi" w:hAnsiTheme="majorHAnsi" w:cstheme="majorHAnsi"/>
          <w:sz w:val="24"/>
          <w:szCs w:val="24"/>
          <w:lang w:val="ro-MD"/>
        </w:rPr>
        <w:tab/>
      </w:r>
      <w:r>
        <w:rPr>
          <w:rFonts w:asciiTheme="majorHAnsi" w:hAnsiTheme="majorHAnsi" w:cstheme="majorHAnsi"/>
          <w:sz w:val="24"/>
          <w:szCs w:val="24"/>
          <w:lang w:val="ro-MD"/>
        </w:rPr>
        <w:tab/>
      </w:r>
      <w:r w:rsidRPr="000008CE">
        <w:rPr>
          <w:rFonts w:asciiTheme="majorHAnsi" w:hAnsiTheme="majorHAnsi" w:cstheme="majorHAnsi"/>
          <w:sz w:val="24"/>
          <w:szCs w:val="24"/>
          <w:lang w:val="ro-MD"/>
        </w:rPr>
        <w:t xml:space="preserve">Prin urmare, din cauza neaplicării conforme a </w:t>
      </w:r>
      <w:r w:rsidR="002049FF">
        <w:rPr>
          <w:rFonts w:asciiTheme="majorHAnsi" w:hAnsiTheme="majorHAnsi" w:cstheme="majorHAnsi"/>
          <w:sz w:val="24"/>
          <w:szCs w:val="24"/>
          <w:lang w:val="ro-MD"/>
        </w:rPr>
        <w:t>normelor legale</w:t>
      </w:r>
      <w:r w:rsidRPr="000008CE">
        <w:rPr>
          <w:rFonts w:asciiTheme="majorHAnsi" w:hAnsiTheme="majorHAnsi" w:cstheme="majorHAnsi"/>
          <w:sz w:val="24"/>
          <w:szCs w:val="24"/>
          <w:lang w:val="ro-MD"/>
        </w:rPr>
        <w:t xml:space="preserve">, MOLDAC, nejustificat, a majorat cheltuielile salariale </w:t>
      </w:r>
      <w:r w:rsidR="00046F58">
        <w:rPr>
          <w:rFonts w:asciiTheme="majorHAnsi" w:hAnsiTheme="majorHAnsi" w:cstheme="majorHAnsi"/>
          <w:sz w:val="24"/>
          <w:szCs w:val="24"/>
          <w:lang w:val="ro-MD"/>
        </w:rPr>
        <w:t xml:space="preserve">pentru </w:t>
      </w:r>
      <w:r w:rsidR="000008CE" w:rsidRPr="000008CE">
        <w:rPr>
          <w:rFonts w:asciiTheme="majorHAnsi" w:hAnsiTheme="majorHAnsi" w:cstheme="majorHAnsi"/>
          <w:sz w:val="24"/>
          <w:szCs w:val="24"/>
          <w:lang w:val="ro-MD"/>
        </w:rPr>
        <w:t>conducătorul instituției</w:t>
      </w:r>
      <w:r w:rsidRPr="000008CE">
        <w:rPr>
          <w:rFonts w:asciiTheme="majorHAnsi" w:hAnsiTheme="majorHAnsi" w:cstheme="majorHAnsi"/>
          <w:sz w:val="24"/>
          <w:szCs w:val="24"/>
          <w:lang w:val="ro-MD"/>
        </w:rPr>
        <w:t xml:space="preserve">, ceea ce nu asigură o </w:t>
      </w:r>
      <w:r w:rsidRPr="008D7756">
        <w:rPr>
          <w:rFonts w:asciiTheme="majorHAnsi" w:hAnsiTheme="majorHAnsi" w:cstheme="majorHAnsi"/>
          <w:sz w:val="24"/>
          <w:szCs w:val="24"/>
          <w:lang w:val="ro-MD"/>
        </w:rPr>
        <w:t>abordare uniformă</w:t>
      </w:r>
      <w:r w:rsidRPr="000008CE">
        <w:rPr>
          <w:rFonts w:asciiTheme="majorHAnsi" w:hAnsiTheme="majorHAnsi" w:cstheme="majorHAnsi"/>
          <w:sz w:val="24"/>
          <w:szCs w:val="24"/>
          <w:lang w:val="ro-MD"/>
        </w:rPr>
        <w:t xml:space="preserve"> a remunerării angajaților și nu contribuie la un management eficient al resurselor uman</w:t>
      </w:r>
      <w:r w:rsidRPr="00FC76BC">
        <w:rPr>
          <w:rFonts w:asciiTheme="majorHAnsi" w:hAnsiTheme="majorHAnsi" w:cstheme="majorHAnsi"/>
          <w:sz w:val="24"/>
          <w:szCs w:val="24"/>
          <w:lang w:val="ro-MD"/>
        </w:rPr>
        <w:t>e.</w:t>
      </w:r>
    </w:p>
    <w:p w14:paraId="222E9249" w14:textId="2A2B6273" w:rsidR="00497CB4" w:rsidRPr="005B6058" w:rsidRDefault="00B50543" w:rsidP="00C4195C">
      <w:pPr>
        <w:pStyle w:val="ListParagraph"/>
        <w:tabs>
          <w:tab w:val="left" w:pos="270"/>
        </w:tabs>
        <w:spacing w:after="0" w:line="276" w:lineRule="auto"/>
        <w:ind w:left="0" w:firstLine="720"/>
        <w:jc w:val="both"/>
        <w:rPr>
          <w:rFonts w:asciiTheme="majorHAnsi" w:hAnsiTheme="majorHAnsi"/>
          <w:sz w:val="24"/>
          <w:szCs w:val="24"/>
          <w:lang w:val="ro-MD"/>
        </w:rPr>
      </w:pPr>
      <w:r>
        <w:rPr>
          <w:rFonts w:asciiTheme="majorHAnsi" w:hAnsiTheme="majorHAnsi" w:cstheme="majorHAnsi"/>
          <w:color w:val="000000"/>
          <w:sz w:val="24"/>
          <w:szCs w:val="24"/>
          <w:lang w:val="ro-MD"/>
        </w:rPr>
        <w:t>În contradicție cu</w:t>
      </w:r>
      <w:r w:rsidR="00497CB4" w:rsidRPr="005B6058">
        <w:rPr>
          <w:rFonts w:asciiTheme="majorHAnsi" w:hAnsiTheme="majorHAnsi"/>
          <w:sz w:val="24"/>
          <w:szCs w:val="24"/>
          <w:lang w:val="ro-MD"/>
        </w:rPr>
        <w:t xml:space="preserve"> prevederil</w:t>
      </w:r>
      <w:r>
        <w:rPr>
          <w:rFonts w:asciiTheme="majorHAnsi" w:hAnsiTheme="majorHAnsi"/>
          <w:sz w:val="24"/>
          <w:szCs w:val="24"/>
          <w:lang w:val="ro-MD"/>
        </w:rPr>
        <w:t>e</w:t>
      </w:r>
      <w:r w:rsidR="00497CB4" w:rsidRPr="005B6058">
        <w:rPr>
          <w:rFonts w:asciiTheme="majorHAnsi" w:hAnsiTheme="majorHAnsi"/>
          <w:sz w:val="24"/>
          <w:szCs w:val="24"/>
          <w:lang w:val="ro-MD"/>
        </w:rPr>
        <w:t xml:space="preserve"> pct. 5.3. din </w:t>
      </w:r>
      <w:r w:rsidR="00046F58">
        <w:rPr>
          <w:rFonts w:asciiTheme="majorHAnsi" w:hAnsiTheme="majorHAnsi"/>
          <w:sz w:val="24"/>
          <w:szCs w:val="24"/>
          <w:lang w:val="ro-MD"/>
        </w:rPr>
        <w:t>C</w:t>
      </w:r>
      <w:r w:rsidR="00497CB4" w:rsidRPr="005B6058">
        <w:rPr>
          <w:rFonts w:asciiTheme="majorHAnsi" w:hAnsiTheme="majorHAnsi"/>
          <w:sz w:val="24"/>
          <w:szCs w:val="24"/>
          <w:lang w:val="ro-MD"/>
        </w:rPr>
        <w:t>ontractul individual de muncă nr. 3 din 15.11.2021, directorului interimar nu i s-a stabilit și nu i se calculează spor pentru vechimea neîntreruptă în muncă. Totodată, fondatorul, contrar prevederilor normative</w:t>
      </w:r>
      <w:r w:rsidR="00497CB4" w:rsidRPr="005B6058">
        <w:rPr>
          <w:rStyle w:val="FootnoteReference"/>
          <w:rFonts w:asciiTheme="majorHAnsi" w:hAnsiTheme="majorHAnsi"/>
          <w:sz w:val="24"/>
          <w:szCs w:val="24"/>
          <w:lang w:val="ro-MD"/>
        </w:rPr>
        <w:footnoteReference w:id="56"/>
      </w:r>
      <w:r w:rsidR="00497CB4" w:rsidRPr="005B6058">
        <w:rPr>
          <w:rFonts w:asciiTheme="majorHAnsi" w:hAnsiTheme="majorHAnsi"/>
          <w:sz w:val="24"/>
          <w:szCs w:val="24"/>
          <w:lang w:val="ro-MD"/>
        </w:rPr>
        <w:t xml:space="preserve">, nu a stabilit cuantumul procentual concret al sporului pentru complexitate, dar a utilizat sintagma </w:t>
      </w:r>
      <w:r>
        <w:rPr>
          <w:rFonts w:asciiTheme="majorHAnsi" w:hAnsiTheme="majorHAnsi"/>
          <w:sz w:val="24"/>
          <w:szCs w:val="24"/>
          <w:lang w:val="ro-MD"/>
        </w:rPr>
        <w:t>„</w:t>
      </w:r>
      <w:r w:rsidR="00497CB4" w:rsidRPr="005B6058">
        <w:rPr>
          <w:rFonts w:asciiTheme="majorHAnsi" w:hAnsiTheme="majorHAnsi"/>
          <w:sz w:val="24"/>
          <w:szCs w:val="24"/>
          <w:lang w:val="ro-MD"/>
        </w:rPr>
        <w:t xml:space="preserve">până la 50%”, ceea ce produce incertitudine la calcularea sporului lunar </w:t>
      </w:r>
      <w:r>
        <w:rPr>
          <w:rFonts w:asciiTheme="majorHAnsi" w:hAnsiTheme="majorHAnsi"/>
          <w:sz w:val="24"/>
          <w:szCs w:val="24"/>
          <w:lang w:val="ro-MD"/>
        </w:rPr>
        <w:t xml:space="preserve">pentru </w:t>
      </w:r>
      <w:r w:rsidR="00497CB4" w:rsidRPr="005B6058">
        <w:rPr>
          <w:rFonts w:asciiTheme="majorHAnsi" w:hAnsiTheme="majorHAnsi"/>
          <w:sz w:val="24"/>
          <w:szCs w:val="24"/>
          <w:lang w:val="ro-MD"/>
        </w:rPr>
        <w:t xml:space="preserve">directorul interimar de către entitate, dat fiind faptul că decizia aparține fondatorului. </w:t>
      </w:r>
    </w:p>
    <w:p w14:paraId="71305A56" w14:textId="2C2742C1" w:rsidR="00FF69D4" w:rsidRPr="00777772" w:rsidRDefault="008D4BC5" w:rsidP="007E002D">
      <w:pPr>
        <w:pStyle w:val="ListParagraph"/>
        <w:numPr>
          <w:ilvl w:val="0"/>
          <w:numId w:val="39"/>
        </w:numPr>
        <w:tabs>
          <w:tab w:val="left" w:pos="270"/>
        </w:tabs>
        <w:spacing w:after="0" w:line="276" w:lineRule="auto"/>
        <w:ind w:left="0" w:firstLine="426"/>
        <w:jc w:val="both"/>
        <w:rPr>
          <w:rFonts w:asciiTheme="majorHAnsi" w:eastAsia="Times New Roman" w:hAnsiTheme="majorHAnsi" w:cs="Times New Roman"/>
          <w:b/>
          <w:i/>
          <w:sz w:val="24"/>
          <w:lang w:val="ro-MD"/>
        </w:rPr>
      </w:pPr>
      <w:r>
        <w:rPr>
          <w:rFonts w:asciiTheme="majorHAnsi" w:eastAsia="Times New Roman" w:hAnsiTheme="majorHAnsi" w:cs="Times New Roman"/>
          <w:b/>
          <w:i/>
          <w:sz w:val="24"/>
          <w:lang w:val="ro-MD"/>
        </w:rPr>
        <w:t>u</w:t>
      </w:r>
      <w:r w:rsidR="00FF69D4" w:rsidRPr="00777772">
        <w:rPr>
          <w:rFonts w:asciiTheme="majorHAnsi" w:eastAsia="Times New Roman" w:hAnsiTheme="majorHAnsi" w:cs="Times New Roman"/>
          <w:b/>
          <w:i/>
          <w:sz w:val="24"/>
          <w:lang w:val="ro-MD"/>
        </w:rPr>
        <w:t xml:space="preserve">nele cheltuieli aferente contractelor de prestări servicii nu au fost efectuate  în corespundere cu cadrul normativ aplicabil </w:t>
      </w:r>
    </w:p>
    <w:p w14:paraId="24296731" w14:textId="2BD1BB38" w:rsidR="007317F3" w:rsidRPr="00932248" w:rsidRDefault="00FF69D4" w:rsidP="00C4195C">
      <w:pPr>
        <w:pStyle w:val="ListParagraph"/>
        <w:tabs>
          <w:tab w:val="left" w:pos="270"/>
        </w:tabs>
        <w:spacing w:after="0" w:line="276" w:lineRule="auto"/>
        <w:ind w:left="0" w:firstLine="720"/>
        <w:jc w:val="both"/>
        <w:rPr>
          <w:rFonts w:asciiTheme="majorHAnsi" w:hAnsiTheme="majorHAnsi" w:cstheme="majorHAnsi"/>
          <w:b/>
          <w:i/>
          <w:sz w:val="24"/>
          <w:szCs w:val="24"/>
          <w:shd w:val="clear" w:color="auto" w:fill="FFFFFF"/>
          <w:lang w:val="ro-RO"/>
        </w:rPr>
      </w:pPr>
      <w:r w:rsidRPr="00C4195C">
        <w:rPr>
          <w:rFonts w:asciiTheme="majorHAnsi" w:hAnsiTheme="majorHAnsi" w:cstheme="majorHAnsi"/>
          <w:color w:val="000000"/>
          <w:sz w:val="24"/>
          <w:szCs w:val="24"/>
          <w:lang w:val="ro-MD"/>
        </w:rPr>
        <w:t>MOLDAC</w:t>
      </w:r>
      <w:r w:rsidRPr="007917DD">
        <w:rPr>
          <w:rFonts w:asciiTheme="majorHAnsi" w:eastAsia="Times New Roman" w:hAnsiTheme="majorHAnsi" w:cstheme="majorHAnsi"/>
          <w:sz w:val="24"/>
          <w:szCs w:val="24"/>
        </w:rPr>
        <w:t xml:space="preserve"> a încheiat</w:t>
      </w:r>
      <w:r w:rsidR="00A62DD4">
        <w:rPr>
          <w:rFonts w:asciiTheme="majorHAnsi" w:eastAsia="Times New Roman" w:hAnsiTheme="majorHAnsi" w:cstheme="majorHAnsi"/>
          <w:sz w:val="24"/>
          <w:szCs w:val="24"/>
        </w:rPr>
        <w:t>,</w:t>
      </w:r>
      <w:r w:rsidRPr="007917DD">
        <w:rPr>
          <w:rFonts w:asciiTheme="majorHAnsi" w:eastAsia="Times New Roman" w:hAnsiTheme="majorHAnsi" w:cstheme="majorHAnsi"/>
          <w:sz w:val="24"/>
          <w:szCs w:val="24"/>
        </w:rPr>
        <w:t xml:space="preserve"> suplimentar</w:t>
      </w:r>
      <w:r w:rsidR="00A62DD4">
        <w:rPr>
          <w:rFonts w:asciiTheme="majorHAnsi" w:eastAsia="Times New Roman" w:hAnsiTheme="majorHAnsi" w:cstheme="majorHAnsi"/>
          <w:sz w:val="24"/>
          <w:szCs w:val="24"/>
        </w:rPr>
        <w:t>,</w:t>
      </w:r>
      <w:r w:rsidRPr="007917DD">
        <w:rPr>
          <w:rFonts w:asciiTheme="majorHAnsi" w:eastAsia="Times New Roman" w:hAnsiTheme="majorHAnsi" w:cstheme="majorHAnsi"/>
          <w:sz w:val="24"/>
          <w:szCs w:val="24"/>
        </w:rPr>
        <w:t xml:space="preserve"> cu angajații din cadrul instituției</w:t>
      </w:r>
      <w:r w:rsidR="00A62DD4">
        <w:rPr>
          <w:rFonts w:asciiTheme="majorHAnsi" w:eastAsia="Times New Roman" w:hAnsiTheme="majorHAnsi" w:cstheme="majorHAnsi"/>
          <w:sz w:val="24"/>
          <w:szCs w:val="24"/>
        </w:rPr>
        <w:t>,</w:t>
      </w:r>
      <w:r w:rsidRPr="007917DD">
        <w:rPr>
          <w:rFonts w:asciiTheme="majorHAnsi" w:eastAsia="Times New Roman" w:hAnsiTheme="majorHAnsi" w:cstheme="majorHAnsi"/>
          <w:sz w:val="24"/>
          <w:szCs w:val="24"/>
        </w:rPr>
        <w:t xml:space="preserve"> în anul 2020, 16 </w:t>
      </w:r>
      <w:r w:rsidRPr="007917DD">
        <w:rPr>
          <w:rFonts w:asciiTheme="majorHAnsi" w:hAnsiTheme="majorHAnsi" w:cstheme="majorHAnsi"/>
          <w:sz w:val="24"/>
          <w:szCs w:val="24"/>
          <w:lang w:val="ro-RO"/>
        </w:rPr>
        <w:t>contracte de prestări servicii</w:t>
      </w:r>
      <w:r w:rsidR="00B5054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în valoare totală de 285,</w:t>
      </w:r>
      <w:r>
        <w:rPr>
          <w:rFonts w:asciiTheme="majorHAnsi" w:hAnsiTheme="majorHAnsi" w:cstheme="majorHAnsi"/>
          <w:sz w:val="24"/>
          <w:szCs w:val="24"/>
          <w:lang w:val="ro-RO"/>
        </w:rPr>
        <w:t>5</w:t>
      </w:r>
      <w:r w:rsidRPr="007917DD">
        <w:rPr>
          <w:rFonts w:asciiTheme="majorHAnsi" w:hAnsiTheme="majorHAnsi" w:cstheme="majorHAnsi"/>
          <w:sz w:val="24"/>
          <w:szCs w:val="24"/>
          <w:lang w:val="ro-RO"/>
        </w:rPr>
        <w:t xml:space="preserve"> mii lei, iar în anul 2021</w:t>
      </w:r>
      <w:r w:rsidR="00B50543">
        <w:rPr>
          <w:rFonts w:asciiTheme="majorHAnsi" w:hAnsiTheme="majorHAnsi" w:cstheme="majorHAnsi"/>
          <w:sz w:val="24"/>
          <w:szCs w:val="24"/>
          <w:lang w:val="ro-RO"/>
        </w:rPr>
        <w:t xml:space="preserve"> -</w:t>
      </w:r>
      <w:r w:rsidRPr="007917DD">
        <w:rPr>
          <w:rFonts w:asciiTheme="majorHAnsi" w:hAnsiTheme="majorHAnsi" w:cstheme="majorHAnsi"/>
          <w:sz w:val="24"/>
          <w:szCs w:val="24"/>
          <w:lang w:val="ro-RO"/>
        </w:rPr>
        <w:t xml:space="preserve"> 14 contracte de prestări servicii</w:t>
      </w:r>
      <w:r w:rsidR="00B50543">
        <w:rPr>
          <w:rFonts w:asciiTheme="majorHAnsi" w:hAnsiTheme="majorHAnsi" w:cstheme="majorHAnsi"/>
          <w:sz w:val="24"/>
          <w:szCs w:val="24"/>
          <w:lang w:val="ro-RO"/>
        </w:rPr>
        <w:t>,</w:t>
      </w:r>
      <w:r w:rsidRPr="007917DD">
        <w:rPr>
          <w:rFonts w:asciiTheme="majorHAnsi" w:hAnsiTheme="majorHAnsi" w:cstheme="majorHAnsi"/>
          <w:sz w:val="24"/>
          <w:szCs w:val="24"/>
          <w:lang w:val="ro-RO"/>
        </w:rPr>
        <w:t xml:space="preserve"> în valoare totală de 232.5,0 mii lei, al căror obiect constituie participarea în grupuri de lucru pentru prestarea următoarelor servicii: </w:t>
      </w:r>
      <w:r w:rsidR="00F61C39">
        <w:rPr>
          <w:rFonts w:asciiTheme="majorHAnsi" w:hAnsiTheme="majorHAnsi" w:cstheme="majorHAnsi"/>
          <w:sz w:val="24"/>
          <w:szCs w:val="24"/>
          <w:lang w:val="ro-RO"/>
        </w:rPr>
        <w:t>i</w:t>
      </w:r>
      <w:r w:rsidRPr="007917DD">
        <w:rPr>
          <w:rFonts w:asciiTheme="majorHAnsi" w:hAnsiTheme="majorHAnsi" w:cstheme="majorHAnsi"/>
          <w:sz w:val="24"/>
          <w:szCs w:val="24"/>
          <w:lang w:val="ro-RO"/>
        </w:rPr>
        <w:t xml:space="preserve">) </w:t>
      </w:r>
      <w:r>
        <w:rPr>
          <w:rFonts w:asciiTheme="majorHAnsi" w:hAnsiTheme="majorHAnsi" w:cstheme="majorHAnsi"/>
          <w:sz w:val="24"/>
          <w:szCs w:val="24"/>
          <w:lang w:val="ro-RO"/>
        </w:rPr>
        <w:t>e</w:t>
      </w:r>
      <w:r w:rsidRPr="007917DD">
        <w:rPr>
          <w:rFonts w:asciiTheme="majorHAnsi" w:hAnsiTheme="majorHAnsi" w:cstheme="majorHAnsi"/>
          <w:sz w:val="24"/>
          <w:szCs w:val="24"/>
          <w:lang w:val="ro-RO"/>
        </w:rPr>
        <w:t xml:space="preserve">laborarea și modificarea documentelor (normative și informative privind activitatea de acreditare și de evaluare a conformității) ale sistemului de management al calității MOLDAC (reguli, proceduri și documente de referință); </w:t>
      </w:r>
      <w:r w:rsidR="00F61C39">
        <w:rPr>
          <w:rFonts w:asciiTheme="majorHAnsi" w:hAnsiTheme="majorHAnsi" w:cstheme="majorHAnsi"/>
          <w:sz w:val="24"/>
          <w:szCs w:val="24"/>
          <w:lang w:val="ro-RO"/>
        </w:rPr>
        <w:t>ii</w:t>
      </w:r>
      <w:r w:rsidRPr="007917DD">
        <w:rPr>
          <w:rFonts w:asciiTheme="majorHAnsi" w:hAnsiTheme="majorHAnsi" w:cstheme="majorHAnsi"/>
          <w:sz w:val="24"/>
          <w:szCs w:val="24"/>
          <w:lang w:val="ro-RO"/>
        </w:rPr>
        <w:t xml:space="preserve">) </w:t>
      </w:r>
      <w:r>
        <w:rPr>
          <w:rFonts w:asciiTheme="majorHAnsi" w:hAnsiTheme="majorHAnsi" w:cstheme="majorHAnsi"/>
          <w:sz w:val="24"/>
          <w:szCs w:val="24"/>
          <w:lang w:val="ro-RO"/>
        </w:rPr>
        <w:t>t</w:t>
      </w:r>
      <w:r w:rsidRPr="007917DD">
        <w:rPr>
          <w:rFonts w:asciiTheme="majorHAnsi" w:hAnsiTheme="majorHAnsi" w:cstheme="majorHAnsi"/>
          <w:sz w:val="24"/>
          <w:szCs w:val="24"/>
          <w:lang w:val="ro-RO"/>
        </w:rPr>
        <w:t xml:space="preserve">raducerea documentelor EA, ILAC, IAF din limba engleză în </w:t>
      </w:r>
      <w:r w:rsidR="00B50543">
        <w:rPr>
          <w:rFonts w:asciiTheme="majorHAnsi" w:hAnsiTheme="majorHAnsi" w:cstheme="majorHAnsi"/>
          <w:sz w:val="24"/>
          <w:szCs w:val="24"/>
          <w:lang w:val="ro-RO"/>
        </w:rPr>
        <w:t xml:space="preserve">limba </w:t>
      </w:r>
      <w:r w:rsidRPr="007917DD">
        <w:rPr>
          <w:rFonts w:asciiTheme="majorHAnsi" w:hAnsiTheme="majorHAnsi" w:cstheme="majorHAnsi"/>
          <w:sz w:val="24"/>
          <w:szCs w:val="24"/>
          <w:lang w:val="ro-RO"/>
        </w:rPr>
        <w:t>rom</w:t>
      </w:r>
      <w:r w:rsidR="00B50543">
        <w:rPr>
          <w:rFonts w:asciiTheme="majorHAnsi" w:hAnsiTheme="majorHAnsi" w:cstheme="majorHAnsi"/>
          <w:sz w:val="24"/>
          <w:szCs w:val="24"/>
          <w:lang w:val="ro-RO"/>
        </w:rPr>
        <w:t>â</w:t>
      </w:r>
      <w:r w:rsidRPr="007917DD">
        <w:rPr>
          <w:rFonts w:asciiTheme="majorHAnsi" w:hAnsiTheme="majorHAnsi" w:cstheme="majorHAnsi"/>
          <w:sz w:val="24"/>
          <w:szCs w:val="24"/>
          <w:lang w:val="ro-RO"/>
        </w:rPr>
        <w:t xml:space="preserve">nă; </w:t>
      </w:r>
      <w:r w:rsidR="00F61C39">
        <w:rPr>
          <w:rFonts w:asciiTheme="majorHAnsi" w:hAnsiTheme="majorHAnsi" w:cstheme="majorHAnsi"/>
          <w:sz w:val="24"/>
          <w:szCs w:val="24"/>
          <w:lang w:val="ro-RO"/>
        </w:rPr>
        <w:t>iii</w:t>
      </w:r>
      <w:r w:rsidRPr="007917DD">
        <w:rPr>
          <w:rFonts w:asciiTheme="majorHAnsi" w:hAnsiTheme="majorHAnsi" w:cstheme="majorHAnsi"/>
          <w:sz w:val="24"/>
          <w:szCs w:val="24"/>
          <w:lang w:val="ro-RO"/>
        </w:rPr>
        <w:t xml:space="preserve">) </w:t>
      </w:r>
      <w:r>
        <w:rPr>
          <w:rFonts w:asciiTheme="majorHAnsi" w:hAnsiTheme="majorHAnsi" w:cstheme="majorHAnsi"/>
          <w:sz w:val="24"/>
          <w:szCs w:val="24"/>
          <w:lang w:val="ro-RO"/>
        </w:rPr>
        <w:t>t</w:t>
      </w:r>
      <w:r w:rsidRPr="007917DD">
        <w:rPr>
          <w:rFonts w:asciiTheme="majorHAnsi" w:hAnsiTheme="majorHAnsi" w:cstheme="majorHAnsi"/>
          <w:sz w:val="24"/>
          <w:szCs w:val="24"/>
          <w:lang w:val="ro-RO"/>
        </w:rPr>
        <w:t xml:space="preserve">raducerea documentelor MOLDAC în limba engleză din </w:t>
      </w:r>
      <w:r w:rsidR="00B50543">
        <w:rPr>
          <w:rFonts w:asciiTheme="majorHAnsi" w:hAnsiTheme="majorHAnsi" w:cstheme="majorHAnsi"/>
          <w:sz w:val="24"/>
          <w:szCs w:val="24"/>
          <w:lang w:val="ro-RO"/>
        </w:rPr>
        <w:t xml:space="preserve">limba </w:t>
      </w:r>
      <w:r w:rsidRPr="007917DD">
        <w:rPr>
          <w:rFonts w:asciiTheme="majorHAnsi" w:hAnsiTheme="majorHAnsi" w:cstheme="majorHAnsi"/>
          <w:sz w:val="24"/>
          <w:szCs w:val="24"/>
          <w:lang w:val="ro-RO"/>
        </w:rPr>
        <w:t xml:space="preserve">română; </w:t>
      </w:r>
      <w:r w:rsidR="00F61C39">
        <w:rPr>
          <w:rFonts w:asciiTheme="majorHAnsi" w:hAnsiTheme="majorHAnsi" w:cstheme="majorHAnsi"/>
          <w:sz w:val="24"/>
          <w:szCs w:val="24"/>
          <w:lang w:val="ro-RO"/>
        </w:rPr>
        <w:t>iv</w:t>
      </w:r>
      <w:r w:rsidRPr="007917DD">
        <w:rPr>
          <w:rFonts w:asciiTheme="majorHAnsi" w:hAnsiTheme="majorHAnsi" w:cstheme="majorHAnsi"/>
          <w:sz w:val="24"/>
          <w:szCs w:val="24"/>
          <w:lang w:val="ro-RO"/>
        </w:rPr>
        <w:t xml:space="preserve">) </w:t>
      </w:r>
      <w:r>
        <w:rPr>
          <w:rFonts w:asciiTheme="majorHAnsi" w:hAnsiTheme="majorHAnsi" w:cstheme="majorHAnsi"/>
          <w:sz w:val="24"/>
          <w:szCs w:val="24"/>
          <w:lang w:val="ro-RO"/>
        </w:rPr>
        <w:t>t</w:t>
      </w:r>
      <w:r w:rsidRPr="007917DD">
        <w:rPr>
          <w:rFonts w:asciiTheme="majorHAnsi" w:hAnsiTheme="majorHAnsi" w:cstheme="majorHAnsi"/>
          <w:sz w:val="24"/>
          <w:szCs w:val="24"/>
          <w:lang w:val="ro-RO"/>
        </w:rPr>
        <w:t xml:space="preserve">raducerea documentelor MOLDAC în limba rusă din </w:t>
      </w:r>
      <w:r w:rsidR="00B50543">
        <w:rPr>
          <w:rFonts w:asciiTheme="majorHAnsi" w:hAnsiTheme="majorHAnsi" w:cstheme="majorHAnsi"/>
          <w:sz w:val="24"/>
          <w:szCs w:val="24"/>
          <w:lang w:val="ro-RO"/>
        </w:rPr>
        <w:t xml:space="preserve">limba </w:t>
      </w:r>
      <w:r w:rsidRPr="007917DD">
        <w:rPr>
          <w:rFonts w:asciiTheme="majorHAnsi" w:hAnsiTheme="majorHAnsi" w:cstheme="majorHAnsi"/>
          <w:sz w:val="24"/>
          <w:szCs w:val="24"/>
          <w:lang w:val="ro-RO"/>
        </w:rPr>
        <w:t>română, în condițiile în care în cadrul MOLDAC există subdiviziuni structurale, cu atribuții specifice specialităților contractate suplimentar</w:t>
      </w:r>
      <w:r>
        <w:rPr>
          <w:rFonts w:asciiTheme="majorHAnsi" w:hAnsiTheme="majorHAnsi" w:cstheme="majorHAnsi"/>
          <w:sz w:val="24"/>
          <w:szCs w:val="24"/>
          <w:lang w:val="ro-RO"/>
        </w:rPr>
        <w:t>.</w:t>
      </w:r>
      <w:r w:rsidR="00932248">
        <w:rPr>
          <w:rFonts w:asciiTheme="majorHAnsi" w:hAnsiTheme="majorHAnsi" w:cstheme="majorHAnsi"/>
          <w:sz w:val="24"/>
          <w:szCs w:val="24"/>
          <w:lang w:val="ro-RO"/>
        </w:rPr>
        <w:t xml:space="preserve"> </w:t>
      </w:r>
    </w:p>
    <w:p w14:paraId="70BF3438" w14:textId="5785F019" w:rsidR="00CB680F" w:rsidRPr="00AC5AE0" w:rsidRDefault="00FF69D4" w:rsidP="00C4195C">
      <w:pPr>
        <w:pStyle w:val="ListParagraph"/>
        <w:tabs>
          <w:tab w:val="left" w:pos="270"/>
        </w:tabs>
        <w:spacing w:after="0" w:line="276" w:lineRule="auto"/>
        <w:ind w:left="0" w:firstLine="720"/>
        <w:jc w:val="both"/>
        <w:rPr>
          <w:rFonts w:asciiTheme="majorHAnsi" w:hAnsiTheme="majorHAnsi" w:cstheme="majorHAnsi"/>
          <w:i/>
          <w:sz w:val="24"/>
          <w:szCs w:val="24"/>
          <w:lang w:val="ro-MD"/>
        </w:rPr>
      </w:pPr>
      <w:r w:rsidRPr="00C4195C">
        <w:rPr>
          <w:rFonts w:asciiTheme="majorHAnsi" w:hAnsiTheme="majorHAnsi" w:cstheme="majorHAnsi"/>
          <w:color w:val="000000"/>
          <w:sz w:val="24"/>
          <w:szCs w:val="24"/>
          <w:lang w:val="ro-MD"/>
        </w:rPr>
        <w:t>Activitățile</w:t>
      </w:r>
      <w:r w:rsidRPr="00FF69D4">
        <w:rPr>
          <w:rFonts w:asciiTheme="majorHAnsi" w:hAnsiTheme="majorHAnsi" w:cstheme="majorHAnsi"/>
          <w:sz w:val="24"/>
          <w:szCs w:val="24"/>
          <w:shd w:val="clear" w:color="auto" w:fill="FFFFFF"/>
          <w:lang w:val="ro-MD"/>
        </w:rPr>
        <w:t xml:space="preserve"> de audit desfășurate </w:t>
      </w:r>
      <w:r>
        <w:rPr>
          <w:rFonts w:asciiTheme="majorHAnsi" w:hAnsiTheme="majorHAnsi" w:cstheme="majorHAnsi"/>
          <w:sz w:val="24"/>
          <w:szCs w:val="24"/>
          <w:lang w:val="ro-RO"/>
        </w:rPr>
        <w:t xml:space="preserve"> denotă că, contrar </w:t>
      </w:r>
      <w:r>
        <w:rPr>
          <w:rFonts w:asciiTheme="majorHAnsi" w:hAnsiTheme="majorHAnsi" w:cstheme="majorHAnsi"/>
          <w:sz w:val="24"/>
          <w:szCs w:val="24"/>
          <w:lang w:val="ro-MD"/>
        </w:rPr>
        <w:t>prevederilor legale</w:t>
      </w:r>
      <w:r>
        <w:rPr>
          <w:rStyle w:val="FootnoteReference"/>
          <w:rFonts w:asciiTheme="majorHAnsi" w:hAnsiTheme="majorHAnsi" w:cstheme="majorHAnsi"/>
          <w:szCs w:val="24"/>
          <w:lang w:val="ro-MD"/>
        </w:rPr>
        <w:footnoteReference w:id="57"/>
      </w:r>
      <w:r w:rsidR="00A62DD4">
        <w:rPr>
          <w:rFonts w:asciiTheme="majorHAnsi" w:hAnsiTheme="majorHAnsi" w:cstheme="majorHAnsi"/>
          <w:sz w:val="24"/>
          <w:szCs w:val="24"/>
          <w:lang w:val="ro-MD"/>
        </w:rPr>
        <w:t xml:space="preserve">, </w:t>
      </w:r>
      <w:r>
        <w:rPr>
          <w:rFonts w:asciiTheme="majorHAnsi" w:hAnsiTheme="majorHAnsi" w:cstheme="majorHAnsi"/>
          <w:sz w:val="24"/>
          <w:szCs w:val="24"/>
          <w:lang w:val="ro-MD"/>
        </w:rPr>
        <w:t>plata pentru serviciile prestate a fost achitată în avans. Totodată</w:t>
      </w:r>
      <w:r w:rsidR="00B50543">
        <w:rPr>
          <w:rFonts w:asciiTheme="majorHAnsi" w:hAnsiTheme="majorHAnsi" w:cstheme="majorHAnsi"/>
          <w:sz w:val="24"/>
          <w:szCs w:val="24"/>
          <w:lang w:val="ro-MD"/>
        </w:rPr>
        <w:t>,</w:t>
      </w:r>
      <w:r>
        <w:rPr>
          <w:rFonts w:asciiTheme="majorHAnsi" w:hAnsiTheme="majorHAnsi" w:cstheme="majorHAnsi"/>
          <w:sz w:val="24"/>
          <w:szCs w:val="24"/>
          <w:lang w:val="ro-MD"/>
        </w:rPr>
        <w:t xml:space="preserve"> legislația prevede cunoștințe speciale în domeniu</w:t>
      </w:r>
      <w:r>
        <w:rPr>
          <w:rStyle w:val="FootnoteReference"/>
          <w:rFonts w:asciiTheme="majorHAnsi" w:hAnsiTheme="majorHAnsi" w:cstheme="majorHAnsi"/>
          <w:szCs w:val="24"/>
          <w:lang w:val="ro-MD"/>
        </w:rPr>
        <w:footnoteReference w:id="58"/>
      </w:r>
      <w:r w:rsidR="00A62DD4">
        <w:rPr>
          <w:rFonts w:asciiTheme="majorHAnsi" w:hAnsiTheme="majorHAnsi" w:cstheme="majorHAnsi"/>
          <w:sz w:val="24"/>
          <w:szCs w:val="24"/>
          <w:lang w:val="ro-MD"/>
        </w:rPr>
        <w:t>,</w:t>
      </w:r>
      <w:r>
        <w:rPr>
          <w:rFonts w:asciiTheme="majorHAnsi" w:hAnsiTheme="majorHAnsi" w:cstheme="majorHAnsi"/>
          <w:sz w:val="24"/>
          <w:szCs w:val="24"/>
          <w:lang w:val="ro-MD"/>
        </w:rPr>
        <w:t xml:space="preserve"> normă de care nu s-a ținut cont la încheierea contractelor de prestări servicii aferent</w:t>
      </w:r>
      <w:r w:rsidR="00B50543">
        <w:rPr>
          <w:rFonts w:asciiTheme="majorHAnsi" w:hAnsiTheme="majorHAnsi" w:cstheme="majorHAnsi"/>
          <w:sz w:val="24"/>
          <w:szCs w:val="24"/>
          <w:lang w:val="ro-MD"/>
        </w:rPr>
        <w:t xml:space="preserve">e </w:t>
      </w:r>
      <w:r>
        <w:rPr>
          <w:rFonts w:asciiTheme="majorHAnsi" w:hAnsiTheme="majorHAnsi" w:cstheme="majorHAnsi"/>
          <w:sz w:val="24"/>
          <w:szCs w:val="24"/>
          <w:lang w:val="ro-MD"/>
        </w:rPr>
        <w:t xml:space="preserve"> traducerii documentelor MOLDAC pentru perioada anilor 2020-2021 (angajații care au prestat serviciile în cauză au fin</w:t>
      </w:r>
      <w:r w:rsidR="00B50543">
        <w:rPr>
          <w:rFonts w:asciiTheme="majorHAnsi" w:hAnsiTheme="majorHAnsi" w:cstheme="majorHAnsi"/>
          <w:sz w:val="24"/>
          <w:szCs w:val="24"/>
          <w:lang w:val="ro-MD"/>
        </w:rPr>
        <w:t>aliz</w:t>
      </w:r>
      <w:r>
        <w:rPr>
          <w:rFonts w:asciiTheme="majorHAnsi" w:hAnsiTheme="majorHAnsi" w:cstheme="majorHAnsi"/>
          <w:sz w:val="24"/>
          <w:szCs w:val="24"/>
          <w:lang w:val="ro-MD"/>
        </w:rPr>
        <w:t xml:space="preserve">at cursurile și </w:t>
      </w:r>
      <w:r w:rsidR="00AC5AE0">
        <w:rPr>
          <w:rFonts w:asciiTheme="majorHAnsi" w:hAnsiTheme="majorHAnsi" w:cstheme="majorHAnsi"/>
          <w:sz w:val="24"/>
          <w:szCs w:val="24"/>
          <w:lang w:val="ro-MD"/>
        </w:rPr>
        <w:t xml:space="preserve">au </w:t>
      </w:r>
      <w:r w:rsidR="00B50543">
        <w:rPr>
          <w:rFonts w:asciiTheme="majorHAnsi" w:hAnsiTheme="majorHAnsi" w:cstheme="majorHAnsi"/>
          <w:sz w:val="24"/>
          <w:szCs w:val="24"/>
          <w:lang w:val="ro-MD"/>
        </w:rPr>
        <w:t>obț</w:t>
      </w:r>
      <w:r>
        <w:rPr>
          <w:rFonts w:asciiTheme="majorHAnsi" w:hAnsiTheme="majorHAnsi" w:cstheme="majorHAnsi"/>
          <w:sz w:val="24"/>
          <w:szCs w:val="24"/>
          <w:lang w:val="ro-MD"/>
        </w:rPr>
        <w:t>inut certificatul de cunoaștere a limbii engleze în lunile martie-mai anul 2021</w:t>
      </w:r>
      <w:r w:rsidR="0044409B">
        <w:rPr>
          <w:rFonts w:asciiTheme="majorHAnsi" w:hAnsiTheme="majorHAnsi" w:cstheme="majorHAnsi"/>
          <w:sz w:val="24"/>
          <w:szCs w:val="24"/>
          <w:lang w:val="ro-MD"/>
        </w:rPr>
        <w:t>, dar</w:t>
      </w:r>
      <w:r w:rsidR="009E378B" w:rsidRPr="00AC5AE0">
        <w:rPr>
          <w:rFonts w:asciiTheme="majorHAnsi" w:hAnsiTheme="majorHAnsi" w:cstheme="majorHAnsi"/>
          <w:sz w:val="24"/>
          <w:szCs w:val="24"/>
          <w:lang w:val="ro-RO"/>
        </w:rPr>
        <w:t xml:space="preserve"> dețin</w:t>
      </w:r>
      <w:r w:rsidR="00345026">
        <w:rPr>
          <w:rFonts w:asciiTheme="majorHAnsi" w:hAnsiTheme="majorHAnsi" w:cstheme="majorHAnsi"/>
          <w:sz w:val="24"/>
          <w:szCs w:val="24"/>
          <w:lang w:val="ro-RO"/>
        </w:rPr>
        <w:t xml:space="preserve"> doar</w:t>
      </w:r>
      <w:r w:rsidR="009E378B" w:rsidRPr="00AC5AE0">
        <w:rPr>
          <w:rFonts w:asciiTheme="majorHAnsi" w:hAnsiTheme="majorHAnsi" w:cstheme="majorHAnsi"/>
          <w:sz w:val="24"/>
          <w:szCs w:val="24"/>
          <w:lang w:val="ro-RO"/>
        </w:rPr>
        <w:t xml:space="preserve"> un nivel elementar și intermediar de cuno</w:t>
      </w:r>
      <w:r w:rsidR="0044409B">
        <w:rPr>
          <w:rFonts w:asciiTheme="majorHAnsi" w:hAnsiTheme="majorHAnsi" w:cstheme="majorHAnsi"/>
          <w:sz w:val="24"/>
          <w:szCs w:val="24"/>
          <w:lang w:val="ro-RO"/>
        </w:rPr>
        <w:t>aștere</w:t>
      </w:r>
      <w:r w:rsidR="009E378B" w:rsidRPr="00AC5AE0">
        <w:rPr>
          <w:rFonts w:asciiTheme="majorHAnsi" w:hAnsiTheme="majorHAnsi" w:cstheme="majorHAnsi"/>
          <w:sz w:val="24"/>
          <w:szCs w:val="24"/>
          <w:lang w:val="ro-RO"/>
        </w:rPr>
        <w:t xml:space="preserve"> a limbii e</w:t>
      </w:r>
      <w:r w:rsidR="0044409B">
        <w:rPr>
          <w:rFonts w:asciiTheme="majorHAnsi" w:hAnsiTheme="majorHAnsi" w:cstheme="majorHAnsi"/>
          <w:sz w:val="24"/>
          <w:szCs w:val="24"/>
          <w:lang w:val="ro-RO"/>
        </w:rPr>
        <w:t>n</w:t>
      </w:r>
      <w:r w:rsidR="009E378B" w:rsidRPr="00AC5AE0">
        <w:rPr>
          <w:rFonts w:asciiTheme="majorHAnsi" w:hAnsiTheme="majorHAnsi" w:cstheme="majorHAnsi"/>
          <w:sz w:val="24"/>
          <w:szCs w:val="24"/>
          <w:lang w:val="ro-RO"/>
        </w:rPr>
        <w:t>gleze</w:t>
      </w:r>
      <w:r w:rsidRPr="00AC5AE0">
        <w:rPr>
          <w:rFonts w:asciiTheme="majorHAnsi" w:hAnsiTheme="majorHAnsi" w:cstheme="majorHAnsi"/>
          <w:sz w:val="24"/>
          <w:szCs w:val="24"/>
          <w:lang w:val="ro-MD"/>
        </w:rPr>
        <w:t>)</w:t>
      </w:r>
      <w:r w:rsidRPr="00AC5AE0">
        <w:rPr>
          <w:rFonts w:asciiTheme="majorHAnsi" w:hAnsiTheme="majorHAnsi" w:cstheme="majorHAnsi"/>
          <w:i/>
          <w:sz w:val="24"/>
          <w:szCs w:val="24"/>
          <w:lang w:val="ro-MD"/>
        </w:rPr>
        <w:t>.</w:t>
      </w:r>
      <w:r w:rsidR="00CB680F" w:rsidRPr="00AC5AE0">
        <w:rPr>
          <w:rFonts w:asciiTheme="majorHAnsi" w:hAnsiTheme="majorHAnsi" w:cstheme="majorHAnsi"/>
          <w:i/>
          <w:sz w:val="24"/>
          <w:szCs w:val="24"/>
          <w:lang w:val="ro-MD"/>
        </w:rPr>
        <w:t xml:space="preserve"> </w:t>
      </w:r>
    </w:p>
    <w:p w14:paraId="785B8918" w14:textId="4B521052" w:rsidR="00CB680F" w:rsidRPr="00777772" w:rsidRDefault="00AF0457" w:rsidP="007E002D">
      <w:pPr>
        <w:pStyle w:val="ListParagraph"/>
        <w:numPr>
          <w:ilvl w:val="0"/>
          <w:numId w:val="39"/>
        </w:numPr>
        <w:tabs>
          <w:tab w:val="left" w:pos="270"/>
        </w:tabs>
        <w:spacing w:after="0" w:line="276" w:lineRule="auto"/>
        <w:ind w:left="0" w:firstLine="426"/>
        <w:jc w:val="both"/>
        <w:rPr>
          <w:rFonts w:asciiTheme="majorHAnsi" w:eastAsia="Times New Roman" w:hAnsiTheme="majorHAnsi" w:cs="Times New Roman"/>
          <w:b/>
          <w:i/>
          <w:sz w:val="24"/>
          <w:lang w:val="ro-MD"/>
        </w:rPr>
      </w:pPr>
      <w:r>
        <w:rPr>
          <w:rFonts w:asciiTheme="majorHAnsi" w:eastAsia="Times New Roman" w:hAnsiTheme="majorHAnsi" w:cs="Times New Roman"/>
          <w:b/>
          <w:i/>
          <w:sz w:val="24"/>
          <w:lang w:val="ro-MD"/>
        </w:rPr>
        <w:t>n</w:t>
      </w:r>
      <w:r w:rsidR="00CB680F" w:rsidRPr="00777772">
        <w:rPr>
          <w:rFonts w:asciiTheme="majorHAnsi" w:eastAsia="Times New Roman" w:hAnsiTheme="majorHAnsi" w:cs="Times New Roman"/>
          <w:b/>
          <w:i/>
          <w:sz w:val="24"/>
          <w:lang w:val="ro-MD"/>
        </w:rPr>
        <w:t>econformarea responsabililor la exigențele cadrului normativ în vigoare a generat remunerarea neconformă a salariaților INM participanți în cadrul proiectelor</w:t>
      </w:r>
      <w:r w:rsidR="0044409B">
        <w:rPr>
          <w:rFonts w:asciiTheme="majorHAnsi" w:eastAsia="Times New Roman" w:hAnsiTheme="majorHAnsi" w:cs="Times New Roman"/>
          <w:b/>
          <w:i/>
          <w:sz w:val="24"/>
          <w:lang w:val="ro-MD"/>
        </w:rPr>
        <w:t>,</w:t>
      </w:r>
      <w:r w:rsidR="00CB680F" w:rsidRPr="00777772">
        <w:rPr>
          <w:rFonts w:asciiTheme="majorHAnsi" w:eastAsia="Times New Roman" w:hAnsiTheme="majorHAnsi" w:cs="Times New Roman"/>
          <w:b/>
          <w:i/>
          <w:sz w:val="24"/>
          <w:lang w:val="ro-MD"/>
        </w:rPr>
        <w:t xml:space="preserve"> pentru anul 2021</w:t>
      </w:r>
      <w:r w:rsidR="0044409B">
        <w:rPr>
          <w:rFonts w:asciiTheme="majorHAnsi" w:eastAsia="Times New Roman" w:hAnsiTheme="majorHAnsi" w:cs="Times New Roman"/>
          <w:b/>
          <w:i/>
          <w:sz w:val="24"/>
          <w:lang w:val="ro-MD"/>
        </w:rPr>
        <w:t xml:space="preserve">, </w:t>
      </w:r>
      <w:r w:rsidR="00CB680F" w:rsidRPr="00777772">
        <w:rPr>
          <w:rFonts w:asciiTheme="majorHAnsi" w:eastAsia="Times New Roman" w:hAnsiTheme="majorHAnsi" w:cs="Times New Roman"/>
          <w:b/>
          <w:i/>
          <w:sz w:val="24"/>
          <w:lang w:val="ro-MD"/>
        </w:rPr>
        <w:t xml:space="preserve"> în sumă totală de 247,0 mii lei</w:t>
      </w:r>
    </w:p>
    <w:p w14:paraId="31A427A8" w14:textId="2BAC81B1" w:rsidR="00C770C0" w:rsidRPr="00C770C0" w:rsidRDefault="00CB680F" w:rsidP="00C4195C">
      <w:pPr>
        <w:pStyle w:val="ListParagraph"/>
        <w:tabs>
          <w:tab w:val="left" w:pos="270"/>
        </w:tabs>
        <w:spacing w:after="0" w:line="276" w:lineRule="auto"/>
        <w:ind w:left="0" w:firstLine="720"/>
        <w:jc w:val="both"/>
        <w:rPr>
          <w:rFonts w:asciiTheme="majorHAnsi" w:hAnsiTheme="majorHAnsi" w:cstheme="majorHAnsi"/>
          <w:sz w:val="24"/>
          <w:szCs w:val="24"/>
          <w:lang w:val="ro-MD"/>
        </w:rPr>
      </w:pPr>
      <w:r w:rsidRPr="00CB680F">
        <w:rPr>
          <w:rFonts w:asciiTheme="majorHAnsi" w:hAnsiTheme="majorHAnsi" w:cstheme="majorHAnsi"/>
          <w:sz w:val="24"/>
          <w:szCs w:val="24"/>
          <w:lang w:val="ro-MD"/>
        </w:rPr>
        <w:t>Se relevă că,</w:t>
      </w:r>
      <w:r>
        <w:rPr>
          <w:rFonts w:asciiTheme="majorHAnsi" w:hAnsiTheme="majorHAnsi" w:cstheme="majorHAnsi"/>
          <w:b/>
          <w:i/>
          <w:sz w:val="24"/>
          <w:szCs w:val="24"/>
          <w:lang w:val="ro-MD"/>
        </w:rPr>
        <w:t xml:space="preserve"> </w:t>
      </w:r>
      <w:r w:rsidRPr="007917DD">
        <w:rPr>
          <w:rFonts w:asciiTheme="majorHAnsi" w:hAnsiTheme="majorHAnsi" w:cstheme="majorHAnsi"/>
          <w:sz w:val="24"/>
          <w:szCs w:val="24"/>
          <w:lang w:val="ro-MD"/>
        </w:rPr>
        <w:t>în perioada anilor 2020 – 2021</w:t>
      </w:r>
      <w:r w:rsidR="0044409B">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INM a participat, în calitate de partener extern finanțat, la </w:t>
      </w:r>
      <w:r>
        <w:rPr>
          <w:rFonts w:asciiTheme="majorHAnsi" w:hAnsiTheme="majorHAnsi" w:cstheme="majorHAnsi"/>
          <w:sz w:val="24"/>
          <w:szCs w:val="24"/>
          <w:lang w:val="ro-MD"/>
        </w:rPr>
        <w:t xml:space="preserve">unele </w:t>
      </w:r>
      <w:r w:rsidRPr="007917DD">
        <w:rPr>
          <w:rFonts w:asciiTheme="majorHAnsi" w:hAnsiTheme="majorHAnsi" w:cstheme="majorHAnsi"/>
          <w:sz w:val="24"/>
          <w:szCs w:val="24"/>
          <w:lang w:val="ro-MD"/>
        </w:rPr>
        <w:t>proiect</w:t>
      </w:r>
      <w:r>
        <w:rPr>
          <w:rFonts w:asciiTheme="majorHAnsi" w:hAnsiTheme="majorHAnsi" w:cstheme="majorHAnsi"/>
          <w:sz w:val="24"/>
          <w:szCs w:val="24"/>
          <w:lang w:val="ro-MD"/>
        </w:rPr>
        <w:t>e</w:t>
      </w:r>
      <w:r w:rsidRPr="007917DD">
        <w:rPr>
          <w:rFonts w:asciiTheme="majorHAnsi" w:hAnsiTheme="majorHAnsi" w:cstheme="majorHAnsi"/>
          <w:sz w:val="24"/>
          <w:szCs w:val="24"/>
          <w:lang w:val="ro-MD"/>
        </w:rPr>
        <w:t xml:space="preserve"> de cercetare în cadrul comunității europene</w:t>
      </w:r>
      <w:r>
        <w:rPr>
          <w:rStyle w:val="FootnoteReference"/>
          <w:rFonts w:asciiTheme="majorHAnsi" w:hAnsiTheme="majorHAnsi" w:cstheme="majorHAnsi"/>
          <w:szCs w:val="24"/>
          <w:lang w:val="ro-MD"/>
        </w:rPr>
        <w:footnoteReference w:id="59"/>
      </w:r>
      <w:r>
        <w:rPr>
          <w:rFonts w:asciiTheme="majorHAnsi" w:hAnsiTheme="majorHAnsi" w:cstheme="majorHAnsi"/>
          <w:sz w:val="24"/>
          <w:szCs w:val="24"/>
          <w:lang w:val="ro-MD"/>
        </w:rPr>
        <w:t>.</w:t>
      </w:r>
      <w:r w:rsidR="00C770C0">
        <w:rPr>
          <w:rFonts w:asciiTheme="majorHAnsi" w:hAnsiTheme="majorHAnsi" w:cstheme="majorHAnsi"/>
          <w:sz w:val="24"/>
          <w:szCs w:val="24"/>
          <w:lang w:val="ro-MD"/>
        </w:rPr>
        <w:t xml:space="preserve"> R</w:t>
      </w:r>
      <w:r w:rsidR="00C770C0" w:rsidRPr="007917DD">
        <w:rPr>
          <w:rFonts w:asciiTheme="majorHAnsi" w:hAnsiTheme="majorHAnsi" w:cstheme="majorHAnsi"/>
          <w:sz w:val="24"/>
          <w:szCs w:val="24"/>
          <w:lang w:val="ro-MD"/>
        </w:rPr>
        <w:t xml:space="preserve">emunerarea salariaților INM participanți </w:t>
      </w:r>
      <w:r w:rsidR="0043640C">
        <w:rPr>
          <w:rFonts w:asciiTheme="majorHAnsi" w:hAnsiTheme="majorHAnsi" w:cstheme="majorHAnsi"/>
          <w:sz w:val="24"/>
          <w:szCs w:val="24"/>
          <w:lang w:val="ro-MD"/>
        </w:rPr>
        <w:t>la</w:t>
      </w:r>
      <w:r w:rsidR="00C770C0" w:rsidRPr="007917DD">
        <w:rPr>
          <w:rFonts w:asciiTheme="majorHAnsi" w:hAnsiTheme="majorHAnsi" w:cstheme="majorHAnsi"/>
          <w:sz w:val="24"/>
          <w:szCs w:val="24"/>
          <w:lang w:val="ro-MD"/>
        </w:rPr>
        <w:t xml:space="preserve"> proiecte</w:t>
      </w:r>
      <w:r w:rsidR="0044409B">
        <w:rPr>
          <w:rFonts w:asciiTheme="majorHAnsi" w:hAnsiTheme="majorHAnsi" w:cstheme="majorHAnsi"/>
          <w:sz w:val="24"/>
          <w:szCs w:val="24"/>
          <w:lang w:val="ro-MD"/>
        </w:rPr>
        <w:t>,</w:t>
      </w:r>
      <w:r w:rsidR="00C770C0" w:rsidRPr="007917DD">
        <w:rPr>
          <w:rFonts w:asciiTheme="majorHAnsi" w:hAnsiTheme="majorHAnsi" w:cstheme="majorHAnsi"/>
          <w:sz w:val="24"/>
          <w:szCs w:val="24"/>
          <w:lang w:val="ro-MD"/>
        </w:rPr>
        <w:t xml:space="preserve"> </w:t>
      </w:r>
      <w:r w:rsidR="00C770C0">
        <w:rPr>
          <w:rFonts w:asciiTheme="majorHAnsi" w:hAnsiTheme="majorHAnsi" w:cstheme="majorHAnsi"/>
          <w:sz w:val="24"/>
          <w:szCs w:val="24"/>
          <w:lang w:val="ro-MD"/>
        </w:rPr>
        <w:t>î</w:t>
      </w:r>
      <w:r w:rsidR="00C770C0" w:rsidRPr="007917DD">
        <w:rPr>
          <w:rFonts w:asciiTheme="majorHAnsi" w:hAnsiTheme="majorHAnsi" w:cstheme="majorHAnsi"/>
          <w:sz w:val="24"/>
          <w:szCs w:val="24"/>
          <w:lang w:val="ro-MD"/>
        </w:rPr>
        <w:t>n anul 2020</w:t>
      </w:r>
      <w:r w:rsidR="0044409B">
        <w:rPr>
          <w:rFonts w:asciiTheme="majorHAnsi" w:hAnsiTheme="majorHAnsi" w:cstheme="majorHAnsi"/>
          <w:sz w:val="24"/>
          <w:szCs w:val="24"/>
          <w:lang w:val="ro-MD"/>
        </w:rPr>
        <w:t xml:space="preserve">, </w:t>
      </w:r>
      <w:r w:rsidR="00C770C0" w:rsidRPr="007917DD">
        <w:rPr>
          <w:rFonts w:asciiTheme="majorHAnsi" w:hAnsiTheme="majorHAnsi" w:cstheme="majorHAnsi"/>
          <w:sz w:val="24"/>
          <w:szCs w:val="24"/>
          <w:lang w:val="ro-MD"/>
        </w:rPr>
        <w:t xml:space="preserve">a constituit </w:t>
      </w:r>
      <w:r w:rsidR="00CF0D2C">
        <w:rPr>
          <w:rFonts w:asciiTheme="majorHAnsi" w:hAnsiTheme="majorHAnsi" w:cstheme="majorHAnsi"/>
          <w:sz w:val="24"/>
          <w:szCs w:val="24"/>
          <w:lang w:val="ro-MD"/>
        </w:rPr>
        <w:t>92,</w:t>
      </w:r>
      <w:r w:rsidR="00C770C0" w:rsidRPr="00C770C0">
        <w:rPr>
          <w:rFonts w:asciiTheme="majorHAnsi" w:hAnsiTheme="majorHAnsi" w:cstheme="majorHAnsi"/>
          <w:sz w:val="24"/>
          <w:szCs w:val="24"/>
          <w:lang w:val="ro-MD"/>
        </w:rPr>
        <w:t>3 mii lei,</w:t>
      </w:r>
      <w:r w:rsidR="00C770C0" w:rsidRPr="007917DD">
        <w:rPr>
          <w:rFonts w:asciiTheme="majorHAnsi" w:hAnsiTheme="majorHAnsi" w:cstheme="majorHAnsi"/>
          <w:sz w:val="24"/>
          <w:szCs w:val="24"/>
          <w:lang w:val="ro-MD"/>
        </w:rPr>
        <w:t xml:space="preserve"> iar în anul 2021 </w:t>
      </w:r>
      <w:r w:rsidR="0044409B">
        <w:rPr>
          <w:rFonts w:asciiTheme="majorHAnsi" w:hAnsiTheme="majorHAnsi" w:cstheme="majorHAnsi"/>
          <w:sz w:val="24"/>
          <w:szCs w:val="24"/>
          <w:lang w:val="ro-MD"/>
        </w:rPr>
        <w:t>–</w:t>
      </w:r>
      <w:r w:rsidR="00C770C0" w:rsidRPr="007917DD">
        <w:rPr>
          <w:rFonts w:asciiTheme="majorHAnsi" w:hAnsiTheme="majorHAnsi" w:cstheme="majorHAnsi"/>
          <w:sz w:val="24"/>
          <w:szCs w:val="24"/>
          <w:lang w:val="ro-MD"/>
        </w:rPr>
        <w:t xml:space="preserve"> </w:t>
      </w:r>
      <w:r w:rsidR="00CF0D2C">
        <w:rPr>
          <w:rFonts w:asciiTheme="majorHAnsi" w:hAnsiTheme="majorHAnsi" w:cstheme="majorHAnsi"/>
          <w:sz w:val="24"/>
          <w:szCs w:val="24"/>
          <w:lang w:val="ro-MD"/>
        </w:rPr>
        <w:t>247</w:t>
      </w:r>
      <w:r w:rsidR="0044409B">
        <w:rPr>
          <w:rFonts w:asciiTheme="majorHAnsi" w:hAnsiTheme="majorHAnsi" w:cstheme="majorHAnsi"/>
          <w:sz w:val="24"/>
          <w:szCs w:val="24"/>
          <w:lang w:val="ro-MD"/>
        </w:rPr>
        <w:t>,0</w:t>
      </w:r>
      <w:r w:rsidR="00C770C0" w:rsidRPr="00C770C0">
        <w:rPr>
          <w:rFonts w:asciiTheme="majorHAnsi" w:hAnsiTheme="majorHAnsi" w:cstheme="majorHAnsi"/>
          <w:sz w:val="24"/>
          <w:szCs w:val="24"/>
          <w:lang w:val="ro-MD"/>
        </w:rPr>
        <w:t xml:space="preserve"> mii </w:t>
      </w:r>
      <w:r w:rsidR="0043640C">
        <w:rPr>
          <w:rFonts w:asciiTheme="majorHAnsi" w:hAnsiTheme="majorHAnsi" w:cstheme="majorHAnsi"/>
          <w:sz w:val="24"/>
          <w:szCs w:val="24"/>
          <w:lang w:val="ro-MD"/>
        </w:rPr>
        <w:t>l</w:t>
      </w:r>
      <w:r w:rsidR="00C770C0" w:rsidRPr="00C770C0">
        <w:rPr>
          <w:rFonts w:asciiTheme="majorHAnsi" w:hAnsiTheme="majorHAnsi" w:cstheme="majorHAnsi"/>
          <w:sz w:val="24"/>
          <w:szCs w:val="24"/>
          <w:lang w:val="ro-MD"/>
        </w:rPr>
        <w:t xml:space="preserve">ei. </w:t>
      </w:r>
    </w:p>
    <w:p w14:paraId="6891A2E8" w14:textId="049DD6D5" w:rsidR="002A7E86" w:rsidRDefault="00CB680F" w:rsidP="00C4195C">
      <w:pPr>
        <w:pStyle w:val="ListParagraph"/>
        <w:tabs>
          <w:tab w:val="left" w:pos="270"/>
        </w:tabs>
        <w:spacing w:after="0" w:line="276" w:lineRule="auto"/>
        <w:ind w:left="0" w:firstLine="720"/>
        <w:jc w:val="both"/>
        <w:rPr>
          <w:rFonts w:asciiTheme="majorHAnsi" w:hAnsiTheme="majorHAnsi" w:cstheme="majorHAnsi"/>
          <w:b/>
          <w:i/>
          <w:sz w:val="24"/>
          <w:szCs w:val="24"/>
          <w:shd w:val="clear" w:color="auto" w:fill="FFFFFF"/>
          <w:lang w:val="ro-MD"/>
        </w:rPr>
      </w:pPr>
      <w:r>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În conformitate cu normele</w:t>
      </w:r>
      <w:r w:rsidR="00A064D3">
        <w:rPr>
          <w:rFonts w:asciiTheme="majorHAnsi" w:hAnsiTheme="majorHAnsi" w:cstheme="majorHAnsi"/>
          <w:sz w:val="24"/>
          <w:szCs w:val="24"/>
          <w:lang w:val="ro-MD"/>
        </w:rPr>
        <w:t xml:space="preserve"> legislației</w:t>
      </w:r>
      <w:r w:rsidRPr="007917DD">
        <w:rPr>
          <w:rFonts w:asciiTheme="majorHAnsi" w:hAnsiTheme="majorHAnsi" w:cstheme="majorHAnsi"/>
          <w:sz w:val="24"/>
          <w:szCs w:val="24"/>
          <w:lang w:val="ro-MD"/>
        </w:rPr>
        <w:t xml:space="preserve"> europene, remunerarea salariaților care participă în cadrul proiectelor poate fi făcută prin două modalități:</w:t>
      </w:r>
      <w:r w:rsidR="00A064D3">
        <w:rPr>
          <w:rFonts w:asciiTheme="majorHAnsi" w:hAnsiTheme="majorHAnsi" w:cstheme="majorHAnsi"/>
          <w:sz w:val="24"/>
          <w:szCs w:val="24"/>
          <w:lang w:val="ro-MD"/>
        </w:rPr>
        <w:t xml:space="preserve"> i</w:t>
      </w:r>
      <w:r>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în baza salariului fiecărui salariat implicat în proiect, sau</w:t>
      </w:r>
      <w:r w:rsidR="00C83C3B">
        <w:rPr>
          <w:rFonts w:asciiTheme="majorHAnsi" w:hAnsiTheme="majorHAnsi" w:cstheme="majorHAnsi"/>
          <w:sz w:val="24"/>
          <w:szCs w:val="24"/>
          <w:lang w:val="ro-MD"/>
        </w:rPr>
        <w:t xml:space="preserve"> ii</w:t>
      </w:r>
      <w:r>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în baza salariului mediu al instituției participante la proiect.</w:t>
      </w:r>
      <w:r>
        <w:rPr>
          <w:rFonts w:asciiTheme="majorHAnsi" w:hAnsiTheme="majorHAnsi" w:cstheme="majorHAnsi"/>
          <w:sz w:val="24"/>
          <w:szCs w:val="24"/>
          <w:lang w:val="ro-MD"/>
        </w:rPr>
        <w:t xml:space="preserve"> </w:t>
      </w:r>
      <w:r w:rsidR="00C770C0">
        <w:rPr>
          <w:rFonts w:asciiTheme="majorHAnsi" w:hAnsiTheme="majorHAnsi" w:cstheme="majorHAnsi"/>
          <w:sz w:val="24"/>
          <w:szCs w:val="24"/>
          <w:lang w:val="ro-MD"/>
        </w:rPr>
        <w:t xml:space="preserve">Auditul atestă că </w:t>
      </w:r>
      <w:r w:rsidRPr="007917DD">
        <w:rPr>
          <w:rFonts w:asciiTheme="majorHAnsi" w:hAnsiTheme="majorHAnsi" w:cstheme="majorHAnsi"/>
          <w:sz w:val="24"/>
          <w:szCs w:val="24"/>
          <w:lang w:val="ro-MD"/>
        </w:rPr>
        <w:t>în cadrul instituției nu s-a aplicat nicio modalitate de achitare</w:t>
      </w:r>
      <w:r w:rsidR="00C83C3B">
        <w:rPr>
          <w:rFonts w:asciiTheme="majorHAnsi" w:hAnsiTheme="majorHAnsi" w:cstheme="majorHAnsi"/>
          <w:sz w:val="24"/>
          <w:szCs w:val="24"/>
          <w:lang w:val="ro-MD"/>
        </w:rPr>
        <w:t xml:space="preserve"> din cele două prevăzute</w:t>
      </w:r>
      <w:r w:rsidR="00C770C0">
        <w:rPr>
          <w:rFonts w:asciiTheme="majorHAnsi" w:hAnsiTheme="majorHAnsi" w:cstheme="majorHAnsi"/>
          <w:sz w:val="24"/>
          <w:szCs w:val="24"/>
          <w:lang w:val="ro-MD"/>
        </w:rPr>
        <w:t>, deoarece, conform explicațiilor oferiite de responsabilii din cadrul instituției,</w:t>
      </w:r>
      <w:r w:rsidRPr="007917DD">
        <w:rPr>
          <w:rFonts w:asciiTheme="majorHAnsi" w:hAnsiTheme="majorHAnsi" w:cstheme="majorHAnsi"/>
          <w:sz w:val="24"/>
          <w:szCs w:val="24"/>
          <w:lang w:val="ro-MD"/>
        </w:rPr>
        <w:t xml:space="preserve"> durata </w:t>
      </w:r>
      <w:r w:rsidR="0043640C">
        <w:rPr>
          <w:rFonts w:asciiTheme="majorHAnsi" w:hAnsiTheme="majorHAnsi" w:cstheme="majorHAnsi"/>
          <w:sz w:val="24"/>
          <w:szCs w:val="24"/>
          <w:lang w:val="ro-MD"/>
        </w:rPr>
        <w:t>maximă a</w:t>
      </w:r>
      <w:r w:rsidR="0043640C" w:rsidRPr="007917DD">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muncii  salariaților implicați în proiect este de 4 ore pe zi</w:t>
      </w:r>
      <w:r w:rsidR="0043640C">
        <w:rPr>
          <w:rFonts w:asciiTheme="majorHAnsi" w:hAnsiTheme="majorHAnsi" w:cstheme="majorHAnsi"/>
          <w:sz w:val="24"/>
          <w:szCs w:val="24"/>
          <w:lang w:val="ro-MD"/>
        </w:rPr>
        <w:t>. A</w:t>
      </w:r>
      <w:r w:rsidRPr="007917DD">
        <w:rPr>
          <w:rFonts w:asciiTheme="majorHAnsi" w:hAnsiTheme="majorHAnsi" w:cstheme="majorHAnsi"/>
          <w:sz w:val="24"/>
          <w:szCs w:val="24"/>
          <w:lang w:val="ro-MD"/>
        </w:rPr>
        <w:t>stfel</w:t>
      </w:r>
      <w:r w:rsidR="0043640C">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pentru angajații cu salarii mici, participarea în proiecte este neatractivă financiar. A doua modalitate</w:t>
      </w:r>
      <w:r w:rsidR="0043640C">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la fel</w:t>
      </w:r>
      <w:r w:rsidR="0043640C">
        <w:rPr>
          <w:rFonts w:asciiTheme="majorHAnsi" w:hAnsiTheme="majorHAnsi" w:cstheme="majorHAnsi"/>
          <w:sz w:val="24"/>
          <w:szCs w:val="24"/>
          <w:lang w:val="ro-MD"/>
        </w:rPr>
        <w:t>,</w:t>
      </w:r>
      <w:r w:rsidRPr="007917DD">
        <w:rPr>
          <w:rFonts w:asciiTheme="majorHAnsi" w:hAnsiTheme="majorHAnsi" w:cstheme="majorHAnsi"/>
          <w:sz w:val="24"/>
          <w:szCs w:val="24"/>
          <w:lang w:val="ro-MD"/>
        </w:rPr>
        <w:t xml:space="preserve"> nu a fost aplicată, motiv</w:t>
      </w:r>
      <w:r w:rsidR="00C770C0">
        <w:rPr>
          <w:rFonts w:asciiTheme="majorHAnsi" w:hAnsiTheme="majorHAnsi" w:cstheme="majorHAnsi"/>
          <w:sz w:val="24"/>
          <w:szCs w:val="24"/>
          <w:lang w:val="ro-MD"/>
        </w:rPr>
        <w:t>ul</w:t>
      </w:r>
      <w:r w:rsidRPr="007917DD">
        <w:rPr>
          <w:rFonts w:asciiTheme="majorHAnsi" w:hAnsiTheme="majorHAnsi" w:cstheme="majorHAnsi"/>
          <w:sz w:val="24"/>
          <w:szCs w:val="24"/>
          <w:lang w:val="ro-MD"/>
        </w:rPr>
        <w:t xml:space="preserve"> fiind bugetul limitat al instituției la capitolul </w:t>
      </w:r>
      <w:r w:rsidR="00C770C0">
        <w:rPr>
          <w:rFonts w:asciiTheme="majorHAnsi" w:hAnsiTheme="majorHAnsi" w:cstheme="majorHAnsi"/>
          <w:sz w:val="24"/>
          <w:szCs w:val="24"/>
          <w:lang w:val="ro-MD"/>
        </w:rPr>
        <w:t>„</w:t>
      </w:r>
      <w:r w:rsidRPr="007917DD">
        <w:rPr>
          <w:rFonts w:asciiTheme="majorHAnsi" w:hAnsiTheme="majorHAnsi" w:cstheme="majorHAnsi"/>
          <w:sz w:val="24"/>
          <w:szCs w:val="24"/>
          <w:lang w:val="ro-MD"/>
        </w:rPr>
        <w:t>salarizare</w:t>
      </w:r>
      <w:r w:rsidR="00C770C0">
        <w:rPr>
          <w:rFonts w:asciiTheme="majorHAnsi" w:hAnsiTheme="majorHAnsi" w:cstheme="majorHAnsi"/>
          <w:sz w:val="24"/>
          <w:szCs w:val="24"/>
          <w:lang w:val="ro-MD"/>
        </w:rPr>
        <w:t>”</w:t>
      </w:r>
      <w:r w:rsidRPr="007917DD">
        <w:rPr>
          <w:rFonts w:asciiTheme="majorHAnsi" w:hAnsiTheme="majorHAnsi" w:cstheme="majorHAnsi"/>
          <w:sz w:val="24"/>
          <w:szCs w:val="24"/>
          <w:lang w:val="ro-MD"/>
        </w:rPr>
        <w:t>.</w:t>
      </w:r>
      <w:r w:rsidR="00C770C0">
        <w:rPr>
          <w:rFonts w:asciiTheme="majorHAnsi" w:hAnsiTheme="majorHAnsi" w:cstheme="majorHAnsi"/>
          <w:sz w:val="24"/>
          <w:szCs w:val="24"/>
          <w:lang w:val="ro-MD"/>
        </w:rPr>
        <w:t xml:space="preserve"> Prin urmare,</w:t>
      </w:r>
      <w:r w:rsidRPr="007917DD">
        <w:rPr>
          <w:rFonts w:asciiTheme="majorHAnsi" w:hAnsiTheme="majorHAnsi" w:cstheme="majorHAnsi"/>
          <w:sz w:val="24"/>
          <w:szCs w:val="24"/>
          <w:lang w:val="ro-MD"/>
        </w:rPr>
        <w:t xml:space="preserve"> norma de plată pentru remunerarea salariaților INM participanți în cadrul proiectelor (an</w:t>
      </w:r>
      <w:r w:rsidR="00C770C0">
        <w:rPr>
          <w:rFonts w:asciiTheme="majorHAnsi" w:hAnsiTheme="majorHAnsi" w:cstheme="majorHAnsi"/>
          <w:sz w:val="24"/>
          <w:szCs w:val="24"/>
          <w:lang w:val="ro-MD"/>
        </w:rPr>
        <w:t>ii</w:t>
      </w:r>
      <w:r w:rsidRPr="007917DD">
        <w:rPr>
          <w:rFonts w:asciiTheme="majorHAnsi" w:hAnsiTheme="majorHAnsi" w:cstheme="majorHAnsi"/>
          <w:sz w:val="24"/>
          <w:szCs w:val="24"/>
          <w:lang w:val="ro-MD"/>
        </w:rPr>
        <w:t xml:space="preserve"> 2020 - 2021)</w:t>
      </w:r>
      <w:r w:rsidR="0043640C">
        <w:rPr>
          <w:rFonts w:asciiTheme="majorHAnsi" w:hAnsiTheme="majorHAnsi" w:cstheme="majorHAnsi"/>
          <w:sz w:val="24"/>
          <w:szCs w:val="24"/>
          <w:lang w:val="ro-MD"/>
        </w:rPr>
        <w:t xml:space="preserve"> s-a </w:t>
      </w:r>
      <w:r w:rsidRPr="007917DD">
        <w:rPr>
          <w:rFonts w:asciiTheme="majorHAnsi" w:hAnsiTheme="majorHAnsi" w:cstheme="majorHAnsi"/>
          <w:sz w:val="24"/>
          <w:szCs w:val="24"/>
          <w:lang w:val="ro-MD"/>
        </w:rPr>
        <w:t xml:space="preserve">aplicat în conformitate cu </w:t>
      </w:r>
      <w:r w:rsidR="00CF0D2C">
        <w:rPr>
          <w:rFonts w:asciiTheme="majorHAnsi" w:hAnsiTheme="majorHAnsi" w:cstheme="majorHAnsi"/>
          <w:sz w:val="24"/>
          <w:szCs w:val="24"/>
          <w:lang w:val="ro-MD"/>
        </w:rPr>
        <w:t>HG</w:t>
      </w:r>
      <w:r w:rsidRPr="007917DD">
        <w:rPr>
          <w:rFonts w:asciiTheme="majorHAnsi" w:hAnsiTheme="majorHAnsi" w:cstheme="majorHAnsi"/>
          <w:sz w:val="24"/>
          <w:szCs w:val="24"/>
          <w:lang w:val="ro-MD"/>
        </w:rPr>
        <w:t xml:space="preserve"> nr. 534 din 20.07.2012</w:t>
      </w:r>
      <w:r w:rsidRPr="007917DD">
        <w:rPr>
          <w:rStyle w:val="FootnoteReference"/>
          <w:rFonts w:asciiTheme="majorHAnsi" w:hAnsiTheme="majorHAnsi" w:cstheme="majorHAnsi"/>
          <w:sz w:val="24"/>
          <w:szCs w:val="24"/>
          <w:lang w:val="ro-MD"/>
        </w:rPr>
        <w:footnoteReference w:id="60"/>
      </w:r>
      <w:r w:rsidR="00CF0D2C">
        <w:rPr>
          <w:rFonts w:asciiTheme="majorHAnsi" w:hAnsiTheme="majorHAnsi" w:cstheme="majorHAnsi"/>
          <w:sz w:val="24"/>
          <w:szCs w:val="24"/>
          <w:lang w:val="ro-MD"/>
        </w:rPr>
        <w:t xml:space="preserve">, </w:t>
      </w:r>
      <w:r w:rsidR="00F32BA5">
        <w:rPr>
          <w:rFonts w:asciiTheme="majorHAnsi" w:hAnsiTheme="majorHAnsi" w:cstheme="majorHAnsi"/>
          <w:sz w:val="24"/>
          <w:szCs w:val="24"/>
          <w:lang w:val="ro-MD"/>
        </w:rPr>
        <w:t>cu toate că a fost</w:t>
      </w:r>
      <w:r w:rsidRPr="007917DD">
        <w:rPr>
          <w:rFonts w:asciiTheme="majorHAnsi" w:hAnsiTheme="majorHAnsi" w:cstheme="majorHAnsi"/>
          <w:sz w:val="24"/>
          <w:szCs w:val="24"/>
          <w:lang w:val="ro-MD"/>
        </w:rPr>
        <w:t xml:space="preserve"> </w:t>
      </w:r>
      <w:r w:rsidR="00C83C3B">
        <w:rPr>
          <w:rFonts w:asciiTheme="majorHAnsi" w:hAnsiTheme="majorHAnsi" w:cstheme="majorHAnsi"/>
          <w:sz w:val="24"/>
          <w:szCs w:val="24"/>
          <w:lang w:val="ro-MD"/>
        </w:rPr>
        <w:t>în vigoare p</w:t>
      </w:r>
      <w:r w:rsidR="0043640C">
        <w:rPr>
          <w:rFonts w:asciiTheme="majorHAnsi" w:hAnsiTheme="majorHAnsi" w:cstheme="majorHAnsi"/>
          <w:sz w:val="24"/>
          <w:szCs w:val="24"/>
          <w:lang w:val="ro-MD"/>
        </w:rPr>
        <w:t>â</w:t>
      </w:r>
      <w:r w:rsidR="00C83C3B">
        <w:rPr>
          <w:rFonts w:asciiTheme="majorHAnsi" w:hAnsiTheme="majorHAnsi" w:cstheme="majorHAnsi"/>
          <w:sz w:val="24"/>
          <w:szCs w:val="24"/>
          <w:lang w:val="ro-MD"/>
        </w:rPr>
        <w:t>nă la</w:t>
      </w:r>
      <w:r w:rsidRPr="007917DD">
        <w:rPr>
          <w:rFonts w:asciiTheme="majorHAnsi" w:hAnsiTheme="majorHAnsi" w:cstheme="majorHAnsi"/>
          <w:sz w:val="24"/>
          <w:szCs w:val="24"/>
          <w:lang w:val="ro-MD"/>
        </w:rPr>
        <w:t xml:space="preserve"> data de 01 ianuarie 2021</w:t>
      </w:r>
      <w:r w:rsidR="00C770C0">
        <w:rPr>
          <w:rFonts w:asciiTheme="majorHAnsi" w:hAnsiTheme="majorHAnsi" w:cstheme="majorHAnsi"/>
          <w:sz w:val="24"/>
          <w:szCs w:val="24"/>
          <w:lang w:val="ro-MD"/>
        </w:rPr>
        <w:t xml:space="preserve">, </w:t>
      </w:r>
      <w:r w:rsidR="0043640C">
        <w:rPr>
          <w:rFonts w:asciiTheme="majorHAnsi" w:hAnsiTheme="majorHAnsi" w:cstheme="majorHAnsi"/>
          <w:sz w:val="24"/>
          <w:szCs w:val="24"/>
          <w:lang w:val="ro-MD"/>
        </w:rPr>
        <w:t>fapt</w:t>
      </w:r>
      <w:r w:rsidR="00C770C0">
        <w:rPr>
          <w:rFonts w:asciiTheme="majorHAnsi" w:hAnsiTheme="majorHAnsi" w:cstheme="majorHAnsi"/>
          <w:sz w:val="24"/>
          <w:szCs w:val="24"/>
          <w:lang w:val="ro-MD"/>
        </w:rPr>
        <w:t xml:space="preserve"> c</w:t>
      </w:r>
      <w:r w:rsidR="0043640C">
        <w:rPr>
          <w:rFonts w:asciiTheme="majorHAnsi" w:hAnsiTheme="majorHAnsi" w:cstheme="majorHAnsi"/>
          <w:sz w:val="24"/>
          <w:szCs w:val="24"/>
          <w:lang w:val="ro-MD"/>
        </w:rPr>
        <w:t>ar</w:t>
      </w:r>
      <w:r w:rsidR="00C770C0">
        <w:rPr>
          <w:rFonts w:asciiTheme="majorHAnsi" w:hAnsiTheme="majorHAnsi" w:cstheme="majorHAnsi"/>
          <w:sz w:val="24"/>
          <w:szCs w:val="24"/>
          <w:lang w:val="ro-MD"/>
        </w:rPr>
        <w:t xml:space="preserve">e a condiționat remunerarea </w:t>
      </w:r>
      <w:r w:rsidR="00CF0D2C">
        <w:rPr>
          <w:rFonts w:asciiTheme="majorHAnsi" w:hAnsiTheme="majorHAnsi" w:cstheme="majorHAnsi"/>
          <w:sz w:val="24"/>
          <w:szCs w:val="24"/>
          <w:lang w:val="ro-MD"/>
        </w:rPr>
        <w:t>neconformă a</w:t>
      </w:r>
      <w:r w:rsidR="00C770C0" w:rsidRPr="00C770C0">
        <w:rPr>
          <w:rFonts w:asciiTheme="majorHAnsi" w:hAnsiTheme="majorHAnsi" w:cstheme="majorHAnsi"/>
          <w:sz w:val="24"/>
          <w:szCs w:val="24"/>
          <w:lang w:val="ro-MD"/>
        </w:rPr>
        <w:t xml:space="preserve"> salariaților INM participanți în cadrul proiectelor</w:t>
      </w:r>
      <w:r w:rsidR="00CF0D2C">
        <w:rPr>
          <w:rFonts w:asciiTheme="majorHAnsi" w:hAnsiTheme="majorHAnsi" w:cstheme="majorHAnsi"/>
          <w:sz w:val="24"/>
          <w:szCs w:val="24"/>
          <w:lang w:val="ro-MD"/>
        </w:rPr>
        <w:t>,</w:t>
      </w:r>
      <w:r w:rsidR="00C770C0" w:rsidRPr="00C770C0">
        <w:rPr>
          <w:rFonts w:asciiTheme="majorHAnsi" w:hAnsiTheme="majorHAnsi" w:cstheme="majorHAnsi"/>
          <w:sz w:val="24"/>
          <w:szCs w:val="24"/>
          <w:lang w:val="ro-MD"/>
        </w:rPr>
        <w:t xml:space="preserve">  pentru anul 2021</w:t>
      </w:r>
      <w:r w:rsidR="0043640C">
        <w:rPr>
          <w:rFonts w:asciiTheme="majorHAnsi" w:hAnsiTheme="majorHAnsi" w:cstheme="majorHAnsi"/>
          <w:sz w:val="24"/>
          <w:szCs w:val="24"/>
          <w:lang w:val="ro-MD"/>
        </w:rPr>
        <w:t>,</w:t>
      </w:r>
      <w:r w:rsidR="00C770C0" w:rsidRPr="00C770C0">
        <w:rPr>
          <w:rFonts w:asciiTheme="majorHAnsi" w:hAnsiTheme="majorHAnsi" w:cstheme="majorHAnsi"/>
          <w:sz w:val="24"/>
          <w:szCs w:val="24"/>
        </w:rPr>
        <w:t xml:space="preserve"> </w:t>
      </w:r>
      <w:r w:rsidR="00C770C0" w:rsidRPr="00C770C0">
        <w:rPr>
          <w:rFonts w:asciiTheme="majorHAnsi" w:hAnsiTheme="majorHAnsi" w:cstheme="majorHAnsi"/>
          <w:sz w:val="24"/>
          <w:szCs w:val="24"/>
          <w:lang w:val="ro-MD"/>
        </w:rPr>
        <w:t>în sumă totală de 247,0 mii lei</w:t>
      </w:r>
      <w:r w:rsidR="00C770C0">
        <w:rPr>
          <w:rFonts w:asciiTheme="majorHAnsi" w:hAnsiTheme="majorHAnsi" w:cstheme="majorHAnsi"/>
          <w:sz w:val="24"/>
          <w:szCs w:val="24"/>
          <w:lang w:val="ro-MD"/>
        </w:rPr>
        <w:t>.</w:t>
      </w:r>
      <w:r w:rsidR="00012E23" w:rsidRPr="007917DD">
        <w:rPr>
          <w:rFonts w:asciiTheme="majorHAnsi" w:hAnsiTheme="majorHAnsi" w:cstheme="majorHAnsi"/>
          <w:b/>
          <w:i/>
          <w:sz w:val="24"/>
          <w:szCs w:val="24"/>
          <w:shd w:val="clear" w:color="auto" w:fill="FFFFFF"/>
          <w:lang w:val="ro-MD"/>
        </w:rPr>
        <w:t xml:space="preserve"> </w:t>
      </w:r>
      <w:r w:rsidR="000A09D0" w:rsidRPr="007917DD">
        <w:rPr>
          <w:rFonts w:asciiTheme="majorHAnsi" w:hAnsiTheme="majorHAnsi" w:cstheme="majorHAnsi"/>
          <w:b/>
          <w:i/>
          <w:sz w:val="24"/>
          <w:szCs w:val="24"/>
          <w:shd w:val="clear" w:color="auto" w:fill="FFFFFF"/>
          <w:lang w:val="ro-MD"/>
        </w:rPr>
        <w:t xml:space="preserve"> </w:t>
      </w:r>
    </w:p>
    <w:p w14:paraId="6D7FA80B" w14:textId="1CAE6646" w:rsidR="001F70FD" w:rsidRDefault="001F70FD" w:rsidP="00C4195C">
      <w:pPr>
        <w:pStyle w:val="ListParagraph"/>
        <w:tabs>
          <w:tab w:val="left" w:pos="270"/>
        </w:tabs>
        <w:spacing w:after="0" w:line="276" w:lineRule="auto"/>
        <w:ind w:left="0" w:firstLine="720"/>
        <w:jc w:val="both"/>
        <w:rPr>
          <w:rFonts w:asciiTheme="majorHAnsi" w:hAnsiTheme="majorHAnsi" w:cstheme="majorHAnsi"/>
          <w:b/>
          <w:i/>
          <w:sz w:val="24"/>
          <w:szCs w:val="24"/>
          <w:shd w:val="clear" w:color="auto" w:fill="FFFFFF"/>
          <w:lang w:val="ro-MD"/>
        </w:rPr>
      </w:pPr>
    </w:p>
    <w:p w14:paraId="69963CF5" w14:textId="6EE797F9" w:rsidR="00337D9A" w:rsidRDefault="00337D9A" w:rsidP="00C4195C">
      <w:pPr>
        <w:pStyle w:val="ListParagraph"/>
        <w:tabs>
          <w:tab w:val="left" w:pos="270"/>
        </w:tabs>
        <w:spacing w:after="0" w:line="276" w:lineRule="auto"/>
        <w:ind w:left="0" w:firstLine="720"/>
        <w:jc w:val="both"/>
        <w:rPr>
          <w:rFonts w:asciiTheme="majorHAnsi" w:hAnsiTheme="majorHAnsi" w:cstheme="majorHAnsi"/>
          <w:b/>
          <w:i/>
          <w:sz w:val="24"/>
          <w:szCs w:val="24"/>
          <w:shd w:val="clear" w:color="auto" w:fill="FFFFFF"/>
          <w:lang w:val="ro-MD"/>
        </w:rPr>
      </w:pPr>
    </w:p>
    <w:p w14:paraId="45BE14E2" w14:textId="07DFD80C" w:rsidR="00337D9A" w:rsidRDefault="00337D9A" w:rsidP="00C4195C">
      <w:pPr>
        <w:pStyle w:val="ListParagraph"/>
        <w:tabs>
          <w:tab w:val="left" w:pos="270"/>
        </w:tabs>
        <w:spacing w:after="0" w:line="276" w:lineRule="auto"/>
        <w:ind w:left="0" w:firstLine="720"/>
        <w:jc w:val="both"/>
        <w:rPr>
          <w:rFonts w:asciiTheme="majorHAnsi" w:hAnsiTheme="majorHAnsi" w:cstheme="majorHAnsi"/>
          <w:b/>
          <w:i/>
          <w:sz w:val="24"/>
          <w:szCs w:val="24"/>
          <w:shd w:val="clear" w:color="auto" w:fill="FFFFFF"/>
          <w:lang w:val="ro-MD"/>
        </w:rPr>
      </w:pPr>
    </w:p>
    <w:p w14:paraId="42B7FE03" w14:textId="10AACA2A" w:rsidR="00436A77" w:rsidRPr="00C4195C" w:rsidRDefault="00436A77" w:rsidP="00255E9C">
      <w:pPr>
        <w:pStyle w:val="ListParagraph"/>
        <w:tabs>
          <w:tab w:val="left" w:pos="720"/>
          <w:tab w:val="left" w:pos="1710"/>
        </w:tabs>
        <w:spacing w:after="0" w:line="276" w:lineRule="auto"/>
        <w:ind w:left="0"/>
        <w:outlineLvl w:val="0"/>
        <w:rPr>
          <w:rFonts w:asciiTheme="majorHAnsi" w:eastAsia="Times New Roman" w:hAnsiTheme="majorHAnsi" w:cstheme="majorHAnsi"/>
          <w:b/>
          <w:bCs/>
          <w:caps/>
          <w:color w:val="0070C0"/>
          <w:sz w:val="24"/>
          <w:szCs w:val="24"/>
          <w:lang w:val="ro-MD"/>
        </w:rPr>
      </w:pPr>
      <w:bookmarkStart w:id="132" w:name="_Toc123116715"/>
      <w:r w:rsidRPr="00C4195C">
        <w:rPr>
          <w:rFonts w:asciiTheme="majorHAnsi" w:eastAsia="Times New Roman" w:hAnsiTheme="majorHAnsi" w:cstheme="majorHAnsi"/>
          <w:b/>
          <w:bCs/>
          <w:caps/>
          <w:color w:val="0070C0"/>
          <w:sz w:val="24"/>
          <w:szCs w:val="24"/>
          <w:lang w:val="ro-MD"/>
        </w:rPr>
        <w:t>V. BUNA GUVERNARE</w:t>
      </w:r>
      <w:bookmarkEnd w:id="132"/>
    </w:p>
    <w:p w14:paraId="36238289" w14:textId="537D4EE9" w:rsidR="002A7E86" w:rsidRPr="00C4195C" w:rsidRDefault="002A7E86" w:rsidP="007E002D">
      <w:pPr>
        <w:pStyle w:val="ListParagraph"/>
        <w:numPr>
          <w:ilvl w:val="1"/>
          <w:numId w:val="40"/>
        </w:numPr>
        <w:tabs>
          <w:tab w:val="left" w:pos="720"/>
        </w:tabs>
        <w:spacing w:after="0" w:line="276" w:lineRule="auto"/>
        <w:ind w:left="0" w:firstLine="0"/>
        <w:contextualSpacing w:val="0"/>
        <w:jc w:val="both"/>
        <w:outlineLvl w:val="0"/>
        <w:rPr>
          <w:rFonts w:asciiTheme="majorHAnsi" w:hAnsiTheme="majorHAnsi" w:cstheme="majorHAnsi"/>
          <w:b/>
          <w:color w:val="00B0F0"/>
          <w:sz w:val="24"/>
          <w:szCs w:val="24"/>
          <w:lang w:val="ro-MD"/>
        </w:rPr>
      </w:pPr>
      <w:bookmarkStart w:id="133" w:name="_Toc123116716"/>
      <w:r w:rsidRPr="00C4195C">
        <w:rPr>
          <w:rFonts w:asciiTheme="majorHAnsi" w:hAnsiTheme="majorHAnsi" w:cstheme="majorHAnsi"/>
          <w:b/>
          <w:color w:val="00B0F0"/>
          <w:sz w:val="24"/>
          <w:szCs w:val="24"/>
          <w:lang w:val="ro-MD"/>
        </w:rPr>
        <w:t xml:space="preserve">Sistemul de control intern managerial </w:t>
      </w:r>
      <w:r w:rsidR="00DB2223" w:rsidRPr="00C4195C">
        <w:rPr>
          <w:rFonts w:asciiTheme="majorHAnsi" w:hAnsiTheme="majorHAnsi" w:cstheme="majorHAnsi"/>
          <w:b/>
          <w:color w:val="00B0F0"/>
          <w:sz w:val="24"/>
          <w:szCs w:val="24"/>
          <w:lang w:val="ro-MD"/>
        </w:rPr>
        <w:t>necesită a fi fortificat</w:t>
      </w:r>
      <w:r w:rsidR="005F37E4">
        <w:rPr>
          <w:rFonts w:asciiTheme="majorHAnsi" w:hAnsiTheme="majorHAnsi" w:cstheme="majorHAnsi"/>
          <w:b/>
          <w:color w:val="00B0F0"/>
          <w:sz w:val="24"/>
          <w:szCs w:val="24"/>
          <w:lang w:val="ro-MD"/>
        </w:rPr>
        <w:t>,</w:t>
      </w:r>
      <w:r w:rsidR="00DB2223" w:rsidRPr="00C4195C">
        <w:rPr>
          <w:rFonts w:asciiTheme="majorHAnsi" w:hAnsiTheme="majorHAnsi" w:cstheme="majorHAnsi"/>
          <w:b/>
          <w:color w:val="00B0F0"/>
          <w:sz w:val="24"/>
          <w:szCs w:val="24"/>
          <w:lang w:val="ro-MD"/>
        </w:rPr>
        <w:t xml:space="preserve"> pentru a oferi în continuare</w:t>
      </w:r>
      <w:r w:rsidRPr="00C4195C">
        <w:rPr>
          <w:rFonts w:asciiTheme="majorHAnsi" w:hAnsiTheme="majorHAnsi" w:cstheme="majorHAnsi"/>
          <w:b/>
          <w:color w:val="00B0F0"/>
          <w:sz w:val="24"/>
          <w:szCs w:val="24"/>
          <w:lang w:val="ro-MD"/>
        </w:rPr>
        <w:t xml:space="preserve"> asigurări rezonabile privind capacitatea entităților din domeniul infrastructur</w:t>
      </w:r>
      <w:r w:rsidR="005F37E4">
        <w:rPr>
          <w:rFonts w:asciiTheme="majorHAnsi" w:hAnsiTheme="majorHAnsi" w:cstheme="majorHAnsi"/>
          <w:b/>
          <w:color w:val="00B0F0"/>
          <w:sz w:val="24"/>
          <w:szCs w:val="24"/>
          <w:lang w:val="ro-MD"/>
        </w:rPr>
        <w:t>ii</w:t>
      </w:r>
      <w:r w:rsidRPr="00C4195C">
        <w:rPr>
          <w:rFonts w:asciiTheme="majorHAnsi" w:hAnsiTheme="majorHAnsi" w:cstheme="majorHAnsi"/>
          <w:b/>
          <w:color w:val="00B0F0"/>
          <w:sz w:val="24"/>
          <w:szCs w:val="24"/>
          <w:lang w:val="ro-MD"/>
        </w:rPr>
        <w:t xml:space="preserve"> calității de a atinge obiectivele și rezultatele planificate.</w:t>
      </w:r>
      <w:bookmarkEnd w:id="133"/>
    </w:p>
    <w:p w14:paraId="0B539CF6" w14:textId="68B2BFC3" w:rsidR="002A7E86" w:rsidRPr="0018261C" w:rsidRDefault="002A7E86" w:rsidP="00C4195C">
      <w:pPr>
        <w:pStyle w:val="ListParagraph"/>
        <w:tabs>
          <w:tab w:val="left" w:pos="270"/>
        </w:tabs>
        <w:spacing w:after="0" w:line="276" w:lineRule="auto"/>
        <w:ind w:left="0" w:firstLine="720"/>
        <w:jc w:val="both"/>
        <w:rPr>
          <w:rFonts w:ascii="Calibri Light" w:eastAsia="Calibri" w:hAnsi="Calibri Light" w:cs="Calibri Light"/>
          <w:sz w:val="24"/>
          <w:szCs w:val="24"/>
          <w:lang w:val="ro-MD"/>
        </w:rPr>
      </w:pPr>
      <w:r w:rsidRPr="00C4195C">
        <w:rPr>
          <w:rFonts w:asciiTheme="majorHAnsi" w:hAnsiTheme="majorHAnsi" w:cstheme="majorHAnsi"/>
          <w:sz w:val="24"/>
          <w:szCs w:val="24"/>
          <w:lang w:val="ro-MD"/>
        </w:rPr>
        <w:t>Sistemul</w:t>
      </w:r>
      <w:r w:rsidRPr="0018261C">
        <w:rPr>
          <w:rFonts w:ascii="Calibri Light" w:eastAsia="Calibri" w:hAnsi="Calibri Light" w:cs="Calibri Light"/>
          <w:sz w:val="24"/>
          <w:szCs w:val="24"/>
          <w:lang w:val="ro-MD"/>
        </w:rPr>
        <w:t xml:space="preserve"> de control intern managerial reprezintă un sistem organizat de managerul entității</w:t>
      </w:r>
      <w:r w:rsidR="00CF0D2C">
        <w:rPr>
          <w:rFonts w:ascii="Calibri Light" w:eastAsia="Calibri" w:hAnsi="Calibri Light" w:cs="Calibri Light"/>
          <w:sz w:val="24"/>
          <w:szCs w:val="24"/>
          <w:lang w:val="ro-MD"/>
        </w:rPr>
        <w:t>,</w:t>
      </w:r>
      <w:r w:rsidRPr="0018261C">
        <w:rPr>
          <w:rFonts w:ascii="Calibri Light" w:eastAsia="Calibri" w:hAnsi="Calibri Light" w:cs="Calibri Light"/>
          <w:sz w:val="24"/>
          <w:szCs w:val="24"/>
          <w:lang w:val="ro-MD"/>
        </w:rPr>
        <w:t xml:space="preserve"> care are ca scop asigurarea valorificării raționale, eficiente și durabile a resurselor publice</w:t>
      </w:r>
      <w:r w:rsidRPr="0018261C">
        <w:rPr>
          <w:rFonts w:ascii="Calibri Light" w:eastAsia="Calibri" w:hAnsi="Calibri Light" w:cs="Calibri Light"/>
          <w:sz w:val="24"/>
          <w:szCs w:val="24"/>
          <w:vertAlign w:val="superscript"/>
          <w:lang w:val="ro-MD"/>
        </w:rPr>
        <w:footnoteReference w:id="61"/>
      </w:r>
      <w:r w:rsidRPr="0018261C">
        <w:rPr>
          <w:rFonts w:ascii="Calibri Light" w:eastAsia="Calibri" w:hAnsi="Calibri Light" w:cs="Calibri Light"/>
          <w:sz w:val="24"/>
          <w:szCs w:val="24"/>
          <w:lang w:val="ro-MD"/>
        </w:rPr>
        <w:t>. Deși conducerea entităților din domeniul infrastructurii calității a întreprins unele măsuri pentru organizarea și dezvoltarea sistemului de cont</w:t>
      </w:r>
      <w:r w:rsidR="00DB2223">
        <w:rPr>
          <w:rFonts w:ascii="Calibri Light" w:eastAsia="Calibri" w:hAnsi="Calibri Light" w:cs="Calibri Light"/>
          <w:sz w:val="24"/>
          <w:szCs w:val="24"/>
          <w:lang w:val="ro-MD"/>
        </w:rPr>
        <w:t xml:space="preserve">rol intern managerial, auditul </w:t>
      </w:r>
      <w:r w:rsidR="00AD1737">
        <w:rPr>
          <w:rFonts w:ascii="Calibri Light" w:eastAsia="Calibri" w:hAnsi="Calibri Light" w:cs="Calibri Light"/>
          <w:sz w:val="24"/>
          <w:szCs w:val="24"/>
          <w:lang w:val="ro-MD"/>
        </w:rPr>
        <w:t>atestă</w:t>
      </w:r>
      <w:r w:rsidRPr="0018261C">
        <w:rPr>
          <w:rFonts w:ascii="Calibri Light" w:eastAsia="Calibri" w:hAnsi="Calibri Light" w:cs="Calibri Light"/>
          <w:sz w:val="24"/>
          <w:szCs w:val="24"/>
          <w:lang w:val="ro-MD"/>
        </w:rPr>
        <w:t xml:space="preserve"> unele deficiențe </w:t>
      </w:r>
      <w:r w:rsidR="00DB2223">
        <w:rPr>
          <w:rFonts w:ascii="Calibri Light" w:eastAsia="Calibri" w:hAnsi="Calibri Light" w:cs="Calibri Light"/>
          <w:sz w:val="24"/>
          <w:szCs w:val="24"/>
          <w:lang w:val="ro-MD"/>
        </w:rPr>
        <w:t>ne</w:t>
      </w:r>
      <w:r w:rsidRPr="0018261C">
        <w:rPr>
          <w:rFonts w:ascii="Calibri Light" w:eastAsia="Calibri" w:hAnsi="Calibri Light" w:cs="Calibri Light"/>
          <w:sz w:val="24"/>
          <w:szCs w:val="24"/>
          <w:lang w:val="ro-MD"/>
        </w:rPr>
        <w:t>semnificative</w:t>
      </w:r>
      <w:r w:rsidR="00AD1737">
        <w:rPr>
          <w:rFonts w:ascii="Calibri Light" w:eastAsia="Calibri" w:hAnsi="Calibri Light" w:cs="Calibri Light"/>
          <w:sz w:val="24"/>
          <w:szCs w:val="24"/>
          <w:lang w:val="ro-MD"/>
        </w:rPr>
        <w:t>,</w:t>
      </w:r>
      <w:r w:rsidRPr="0018261C">
        <w:rPr>
          <w:rFonts w:ascii="Calibri Light" w:eastAsia="Calibri" w:hAnsi="Calibri Light" w:cs="Calibri Light"/>
          <w:sz w:val="24"/>
          <w:szCs w:val="24"/>
          <w:lang w:val="ro-MD"/>
        </w:rPr>
        <w:t xml:space="preserve"> care au impact direct asupra atingerii obiectivelor stabilite și realizării conforme a activităților operaționale, după cum urmează:</w:t>
      </w:r>
    </w:p>
    <w:p w14:paraId="6BB9FAC8" w14:textId="1CC78678" w:rsidR="00A43546" w:rsidRPr="00DB22BE" w:rsidRDefault="00A43546" w:rsidP="00A43546">
      <w:pPr>
        <w:numPr>
          <w:ilvl w:val="0"/>
          <w:numId w:val="37"/>
        </w:numPr>
        <w:spacing w:line="276" w:lineRule="auto"/>
        <w:contextualSpacing/>
        <w:jc w:val="both"/>
        <w:rPr>
          <w:rFonts w:ascii="Calibri Light" w:eastAsia="Calibri" w:hAnsi="Calibri Light" w:cs="Calibri Light"/>
          <w:sz w:val="24"/>
          <w:szCs w:val="24"/>
          <w:lang w:val="ro-MD"/>
        </w:rPr>
      </w:pPr>
      <w:r w:rsidRPr="00DB22BE">
        <w:rPr>
          <w:rFonts w:ascii="Calibri Light" w:eastAsia="Calibri" w:hAnsi="Calibri Light" w:cs="Calibri Light"/>
          <w:sz w:val="24"/>
          <w:szCs w:val="24"/>
          <w:lang w:val="ro-MD"/>
        </w:rPr>
        <w:t>Managementul riscurilor nu este implementat pe deplin. Acesta nu presupune integral evaluarea riscurilor, stabilirea reacției la riscuri, determinarea activităților de control, precum și a persoanelor responsabile de implementarea, monitorizarea și raportarea riscurilor;</w:t>
      </w:r>
    </w:p>
    <w:p w14:paraId="21B93F05" w14:textId="3E800CA0" w:rsidR="002A7E86" w:rsidRPr="00DB22BE" w:rsidRDefault="002A7E86" w:rsidP="007E002D">
      <w:pPr>
        <w:numPr>
          <w:ilvl w:val="0"/>
          <w:numId w:val="37"/>
        </w:numPr>
        <w:spacing w:line="276" w:lineRule="auto"/>
        <w:contextualSpacing/>
        <w:jc w:val="both"/>
        <w:rPr>
          <w:rFonts w:ascii="Calibri Light" w:eastAsia="Calibri" w:hAnsi="Calibri Light" w:cs="Calibri Light"/>
          <w:sz w:val="24"/>
          <w:szCs w:val="24"/>
          <w:lang w:val="ro-MD"/>
        </w:rPr>
      </w:pPr>
      <w:r w:rsidRPr="00DB22BE">
        <w:rPr>
          <w:rFonts w:ascii="Calibri Light" w:eastAsia="Calibri" w:hAnsi="Calibri Light" w:cs="Calibri Light"/>
          <w:sz w:val="24"/>
          <w:szCs w:val="24"/>
          <w:lang w:val="ro-MD"/>
        </w:rPr>
        <w:t xml:space="preserve">Nu au fost </w:t>
      </w:r>
      <w:r w:rsidR="00A43546" w:rsidRPr="00DB22BE">
        <w:rPr>
          <w:rFonts w:ascii="Calibri Light" w:eastAsia="Calibri" w:hAnsi="Calibri Light" w:cs="Calibri Light"/>
          <w:sz w:val="24"/>
          <w:szCs w:val="24"/>
          <w:lang w:val="ro-MD"/>
        </w:rPr>
        <w:t>instituite activit</w:t>
      </w:r>
      <w:r w:rsidR="003A38D3" w:rsidRPr="00DB22BE">
        <w:rPr>
          <w:rFonts w:ascii="Calibri Light" w:eastAsia="Calibri" w:hAnsi="Calibri Light" w:cs="Calibri Light"/>
          <w:sz w:val="24"/>
          <w:szCs w:val="24"/>
          <w:lang w:val="ro-MD"/>
        </w:rPr>
        <w:t>ăț</w:t>
      </w:r>
      <w:r w:rsidR="00A43546" w:rsidRPr="00DB22BE">
        <w:rPr>
          <w:rFonts w:ascii="Calibri Light" w:eastAsia="Calibri" w:hAnsi="Calibri Light" w:cs="Calibri Light"/>
          <w:sz w:val="24"/>
          <w:szCs w:val="24"/>
          <w:lang w:val="ro-MD"/>
        </w:rPr>
        <w:t xml:space="preserve">i </w:t>
      </w:r>
      <w:r w:rsidRPr="00DB22BE">
        <w:rPr>
          <w:rFonts w:ascii="Calibri Light" w:eastAsia="Calibri" w:hAnsi="Calibri Light" w:cs="Calibri Light"/>
          <w:sz w:val="24"/>
          <w:szCs w:val="24"/>
          <w:lang w:val="ro-MD"/>
        </w:rPr>
        <w:t>de control intern privind prevenirea și detectarea erorilor</w:t>
      </w:r>
      <w:r w:rsidR="00CB56A8" w:rsidRPr="00DB22BE">
        <w:rPr>
          <w:rFonts w:ascii="Calibri Light" w:eastAsia="Calibri" w:hAnsi="Calibri Light" w:cs="Calibri Light"/>
          <w:sz w:val="24"/>
          <w:szCs w:val="24"/>
          <w:lang w:val="ro-MD"/>
        </w:rPr>
        <w:t xml:space="preserve"> aferent</w:t>
      </w:r>
      <w:r w:rsidR="00AD1737">
        <w:rPr>
          <w:rFonts w:ascii="Calibri Light" w:eastAsia="Calibri" w:hAnsi="Calibri Light" w:cs="Calibri Light"/>
          <w:sz w:val="24"/>
          <w:szCs w:val="24"/>
          <w:lang w:val="ro-MD"/>
        </w:rPr>
        <w:t>e</w:t>
      </w:r>
      <w:r w:rsidR="00CB56A8" w:rsidRPr="00DB22BE">
        <w:rPr>
          <w:rFonts w:ascii="Calibri Light" w:eastAsia="Calibri" w:hAnsi="Calibri Light" w:cs="Calibri Light"/>
          <w:sz w:val="24"/>
          <w:szCs w:val="24"/>
          <w:lang w:val="ro-MD"/>
        </w:rPr>
        <w:t xml:space="preserve"> sistemului economico- financiar</w:t>
      </w:r>
      <w:r w:rsidR="00A43546" w:rsidRPr="00DB22BE">
        <w:rPr>
          <w:rFonts w:ascii="Calibri Light" w:eastAsia="Calibri" w:hAnsi="Calibri Light" w:cs="Calibri Light"/>
          <w:sz w:val="24"/>
          <w:szCs w:val="24"/>
          <w:lang w:val="ro-MD"/>
        </w:rPr>
        <w:t>.</w:t>
      </w:r>
    </w:p>
    <w:p w14:paraId="374248BE" w14:textId="22B40B52" w:rsidR="002A7E86" w:rsidRPr="0018261C" w:rsidRDefault="00C62722" w:rsidP="002A7E86">
      <w:pPr>
        <w:spacing w:line="276" w:lineRule="auto"/>
        <w:jc w:val="both"/>
        <w:rPr>
          <w:rFonts w:ascii="Calibri Light" w:eastAsia="Calibri" w:hAnsi="Calibri Light" w:cs="Calibri Light"/>
          <w:sz w:val="24"/>
          <w:szCs w:val="24"/>
          <w:lang w:val="ro-MD"/>
        </w:rPr>
      </w:pPr>
      <w:r>
        <w:rPr>
          <w:rFonts w:ascii="Calibri Light" w:eastAsia="Calibri" w:hAnsi="Calibri Light" w:cs="Calibri Light"/>
          <w:sz w:val="24"/>
          <w:szCs w:val="24"/>
          <w:lang w:val="ro-MD"/>
        </w:rPr>
        <w:tab/>
      </w:r>
      <w:r w:rsidR="002A7E86" w:rsidRPr="0018261C">
        <w:rPr>
          <w:rFonts w:ascii="Calibri Light" w:eastAsia="Calibri" w:hAnsi="Calibri Light" w:cs="Calibri Light"/>
          <w:sz w:val="24"/>
          <w:szCs w:val="24"/>
          <w:lang w:val="ro-MD"/>
        </w:rPr>
        <w:t>Astfel, auditul</w:t>
      </w:r>
      <w:r w:rsidR="008B7636">
        <w:rPr>
          <w:rFonts w:ascii="Calibri Light" w:eastAsia="Calibri" w:hAnsi="Calibri Light" w:cs="Calibri Light"/>
          <w:sz w:val="24"/>
          <w:szCs w:val="24"/>
          <w:lang w:val="ro-MD"/>
        </w:rPr>
        <w:t xml:space="preserve"> public extern</w:t>
      </w:r>
      <w:r w:rsidR="002A7E86" w:rsidRPr="0018261C">
        <w:rPr>
          <w:rFonts w:ascii="Calibri Light" w:eastAsia="Calibri" w:hAnsi="Calibri Light" w:cs="Calibri Light"/>
          <w:sz w:val="24"/>
          <w:szCs w:val="24"/>
          <w:lang w:val="ro-MD"/>
        </w:rPr>
        <w:t xml:space="preserve"> relevă că</w:t>
      </w:r>
      <w:r w:rsidR="008B7636">
        <w:rPr>
          <w:rFonts w:ascii="Calibri Light" w:eastAsia="Calibri" w:hAnsi="Calibri Light" w:cs="Calibri Light"/>
          <w:sz w:val="24"/>
          <w:szCs w:val="24"/>
          <w:lang w:val="ro-MD"/>
        </w:rPr>
        <w:t xml:space="preserve"> acțiunile conducătorilor entităților auditate</w:t>
      </w:r>
      <w:r w:rsidR="002A7E86" w:rsidRPr="0018261C">
        <w:rPr>
          <w:rFonts w:ascii="Calibri Light" w:eastAsia="Calibri" w:hAnsi="Calibri Light" w:cs="Calibri Light"/>
          <w:sz w:val="24"/>
          <w:szCs w:val="24"/>
          <w:lang w:val="ro-MD"/>
        </w:rPr>
        <w:t xml:space="preserve"> privind implementarea și dezvoltarea sistemului de control intern managerial au fost insuficiente, nu au funcționat sistematic și nu au ati</w:t>
      </w:r>
      <w:r w:rsidR="00414E61">
        <w:rPr>
          <w:rFonts w:ascii="Calibri Light" w:eastAsia="Calibri" w:hAnsi="Calibri Light" w:cs="Calibri Light"/>
          <w:sz w:val="24"/>
          <w:szCs w:val="24"/>
          <w:lang w:val="ro-MD"/>
        </w:rPr>
        <w:t>ns nivelul care ar aduce plus</w:t>
      </w:r>
      <w:r w:rsidR="002A7E86" w:rsidRPr="0018261C">
        <w:rPr>
          <w:rFonts w:ascii="Calibri Light" w:eastAsia="Calibri" w:hAnsi="Calibri Light" w:cs="Calibri Light"/>
          <w:sz w:val="24"/>
          <w:szCs w:val="24"/>
          <w:lang w:val="ro-MD"/>
        </w:rPr>
        <w:t>valoare activității în ansamblu.</w:t>
      </w:r>
    </w:p>
    <w:p w14:paraId="04ED7D44" w14:textId="093194EB" w:rsidR="002A7E86" w:rsidRPr="00C4195C" w:rsidRDefault="002A7E86" w:rsidP="007E002D">
      <w:pPr>
        <w:pStyle w:val="ListParagraph"/>
        <w:numPr>
          <w:ilvl w:val="1"/>
          <w:numId w:val="40"/>
        </w:numPr>
        <w:tabs>
          <w:tab w:val="left" w:pos="720"/>
        </w:tabs>
        <w:spacing w:after="0" w:line="276" w:lineRule="auto"/>
        <w:ind w:left="0" w:firstLine="0"/>
        <w:contextualSpacing w:val="0"/>
        <w:jc w:val="both"/>
        <w:outlineLvl w:val="0"/>
        <w:rPr>
          <w:rFonts w:asciiTheme="majorHAnsi" w:hAnsiTheme="majorHAnsi" w:cstheme="majorHAnsi"/>
          <w:b/>
          <w:color w:val="00B0F0"/>
          <w:sz w:val="24"/>
          <w:szCs w:val="24"/>
          <w:lang w:val="ro-MD"/>
        </w:rPr>
      </w:pPr>
      <w:bookmarkStart w:id="134" w:name="_Toc88735111"/>
      <w:bookmarkStart w:id="135" w:name="_Toc123116717"/>
      <w:r w:rsidRPr="00C4195C">
        <w:rPr>
          <w:rFonts w:asciiTheme="majorHAnsi" w:hAnsiTheme="majorHAnsi" w:cstheme="majorHAnsi"/>
          <w:b/>
          <w:color w:val="00B0F0"/>
          <w:sz w:val="24"/>
          <w:szCs w:val="24"/>
          <w:lang w:val="ro-MD"/>
        </w:rPr>
        <w:t>Implementarea recomandărilor anterioare ale Cu</w:t>
      </w:r>
      <w:r w:rsidR="00752913" w:rsidRPr="00C4195C">
        <w:rPr>
          <w:rFonts w:asciiTheme="majorHAnsi" w:hAnsiTheme="majorHAnsi" w:cstheme="majorHAnsi"/>
          <w:b/>
          <w:color w:val="00B0F0"/>
          <w:sz w:val="24"/>
          <w:szCs w:val="24"/>
          <w:lang w:val="ro-MD"/>
        </w:rPr>
        <w:t>rții de Conturi a fost</w:t>
      </w:r>
      <w:r w:rsidR="00376281">
        <w:rPr>
          <w:rFonts w:asciiTheme="majorHAnsi" w:hAnsiTheme="majorHAnsi" w:cstheme="majorHAnsi"/>
          <w:b/>
          <w:color w:val="00B0F0"/>
          <w:sz w:val="24"/>
          <w:szCs w:val="24"/>
          <w:lang w:val="ro-MD"/>
        </w:rPr>
        <w:t xml:space="preserve"> </w:t>
      </w:r>
      <w:r w:rsidR="00752913" w:rsidRPr="00C4195C">
        <w:rPr>
          <w:rFonts w:asciiTheme="majorHAnsi" w:hAnsiTheme="majorHAnsi" w:cstheme="majorHAnsi"/>
          <w:b/>
          <w:color w:val="00B0F0"/>
          <w:sz w:val="24"/>
          <w:szCs w:val="24"/>
          <w:lang w:val="ro-MD"/>
        </w:rPr>
        <w:t>realizată</w:t>
      </w:r>
      <w:r w:rsidRPr="00C4195C">
        <w:rPr>
          <w:rFonts w:asciiTheme="majorHAnsi" w:hAnsiTheme="majorHAnsi" w:cstheme="majorHAnsi"/>
          <w:b/>
          <w:color w:val="00B0F0"/>
          <w:sz w:val="24"/>
          <w:szCs w:val="24"/>
          <w:lang w:val="ro-MD"/>
        </w:rPr>
        <w:t xml:space="preserve"> în proporție de </w:t>
      </w:r>
      <w:bookmarkEnd w:id="134"/>
      <w:r w:rsidRPr="00C4195C">
        <w:rPr>
          <w:rFonts w:asciiTheme="majorHAnsi" w:hAnsiTheme="majorHAnsi" w:cstheme="majorHAnsi"/>
          <w:b/>
          <w:color w:val="00B0F0"/>
          <w:sz w:val="24"/>
          <w:szCs w:val="24"/>
          <w:lang w:val="ro-MD"/>
        </w:rPr>
        <w:t>80%.</w:t>
      </w:r>
      <w:bookmarkEnd w:id="135"/>
    </w:p>
    <w:p w14:paraId="25EB3DD2" w14:textId="20C08B5C" w:rsidR="002A7E86" w:rsidRPr="00DB1AEF" w:rsidRDefault="002A7E86" w:rsidP="002A7E86">
      <w:pPr>
        <w:ind w:firstLine="720"/>
        <w:jc w:val="both"/>
        <w:rPr>
          <w:rFonts w:asciiTheme="majorHAnsi" w:hAnsiTheme="majorHAnsi" w:cstheme="majorHAnsi"/>
          <w:sz w:val="24"/>
        </w:rPr>
      </w:pPr>
      <w:r>
        <w:rPr>
          <w:rFonts w:asciiTheme="majorHAnsi" w:hAnsiTheme="majorHAnsi" w:cstheme="majorHAnsi"/>
          <w:sz w:val="24"/>
        </w:rPr>
        <w:t xml:space="preserve">Prin Hotărârea Curții de Conturi </w:t>
      </w:r>
      <w:r w:rsidRPr="0007554D">
        <w:rPr>
          <w:rFonts w:asciiTheme="majorHAnsi" w:hAnsiTheme="majorHAnsi" w:cstheme="majorHAnsi"/>
          <w:sz w:val="24"/>
        </w:rPr>
        <w:t>nr.17 din 29.04.2021</w:t>
      </w:r>
      <w:r>
        <w:rPr>
          <w:rFonts w:asciiTheme="majorHAnsi" w:hAnsiTheme="majorHAnsi" w:cstheme="majorHAnsi"/>
          <w:sz w:val="24"/>
        </w:rPr>
        <w:t xml:space="preserve"> a fost aprobat  </w:t>
      </w:r>
      <w:r w:rsidRPr="00DB1AEF">
        <w:rPr>
          <w:rFonts w:asciiTheme="majorHAnsi" w:hAnsiTheme="majorHAnsi" w:cstheme="majorHAnsi"/>
          <w:sz w:val="24"/>
        </w:rPr>
        <w:t>Raportul auditului conformității asupra achizițiilor publice în cadrul Ministerului Economiei și Infrastructurii în anii 2019-2020</w:t>
      </w:r>
      <w:r>
        <w:rPr>
          <w:rFonts w:asciiTheme="majorHAnsi" w:hAnsiTheme="majorHAnsi" w:cstheme="majorHAnsi"/>
          <w:sz w:val="24"/>
        </w:rPr>
        <w:t xml:space="preserve">. </w:t>
      </w:r>
      <w:r w:rsidRPr="00DB1AEF">
        <w:rPr>
          <w:rFonts w:asciiTheme="majorHAnsi" w:hAnsiTheme="majorHAnsi" w:cstheme="majorHAnsi"/>
          <w:sz w:val="24"/>
        </w:rPr>
        <w:t>Analizând și sistematizând acț</w:t>
      </w:r>
      <w:r>
        <w:rPr>
          <w:rFonts w:asciiTheme="majorHAnsi" w:hAnsiTheme="majorHAnsi" w:cstheme="majorHAnsi"/>
          <w:sz w:val="24"/>
        </w:rPr>
        <w:t>iunile întreprinse de entități</w:t>
      </w:r>
      <w:r w:rsidRPr="00DB1AEF">
        <w:rPr>
          <w:rFonts w:asciiTheme="majorHAnsi" w:hAnsiTheme="majorHAnsi" w:cstheme="majorHAnsi"/>
          <w:sz w:val="24"/>
        </w:rPr>
        <w:t xml:space="preserve"> de la ultimul audit efectuat de către Curtea de Conturi, echipa concluzionează că 3 recomandări</w:t>
      </w:r>
      <w:r w:rsidR="005D7127">
        <w:rPr>
          <w:rFonts w:asciiTheme="majorHAnsi" w:hAnsiTheme="majorHAnsi" w:cstheme="majorHAnsi"/>
          <w:sz w:val="24"/>
        </w:rPr>
        <w:t>,</w:t>
      </w:r>
      <w:r w:rsidRPr="00DB1AEF">
        <w:rPr>
          <w:rFonts w:asciiTheme="majorHAnsi" w:hAnsiTheme="majorHAnsi" w:cstheme="majorHAnsi"/>
          <w:sz w:val="24"/>
        </w:rPr>
        <w:t xml:space="preserve"> din 4</w:t>
      </w:r>
      <w:r w:rsidR="005D7127">
        <w:rPr>
          <w:rFonts w:asciiTheme="majorHAnsi" w:hAnsiTheme="majorHAnsi" w:cstheme="majorHAnsi"/>
          <w:sz w:val="24"/>
        </w:rPr>
        <w:t>,</w:t>
      </w:r>
      <w:r w:rsidRPr="00DB1AEF">
        <w:rPr>
          <w:rFonts w:asciiTheme="majorHAnsi" w:hAnsiTheme="majorHAnsi" w:cstheme="majorHAnsi"/>
          <w:sz w:val="24"/>
        </w:rPr>
        <w:t xml:space="preserve"> au fost implementate integral, iar 1 recomandare </w:t>
      </w:r>
      <w:r w:rsidR="005D7127">
        <w:rPr>
          <w:rFonts w:asciiTheme="majorHAnsi" w:hAnsiTheme="majorHAnsi" w:cstheme="majorHAnsi"/>
          <w:sz w:val="24"/>
        </w:rPr>
        <w:t xml:space="preserve">- </w:t>
      </w:r>
      <w:r w:rsidRPr="00DB1AEF">
        <w:rPr>
          <w:rFonts w:asciiTheme="majorHAnsi" w:hAnsiTheme="majorHAnsi" w:cstheme="majorHAnsi"/>
          <w:sz w:val="24"/>
        </w:rPr>
        <w:t>parțial implementată (INM)</w:t>
      </w:r>
      <w:r w:rsidR="005D7127">
        <w:rPr>
          <w:rFonts w:asciiTheme="majorHAnsi" w:hAnsiTheme="majorHAnsi" w:cstheme="majorHAnsi"/>
          <w:sz w:val="24"/>
        </w:rPr>
        <w:t>,</w:t>
      </w:r>
      <w:r w:rsidRPr="00DB1AEF">
        <w:rPr>
          <w:rFonts w:asciiTheme="majorHAnsi" w:hAnsiTheme="majorHAnsi" w:cstheme="majorHAnsi"/>
          <w:sz w:val="24"/>
        </w:rPr>
        <w:t xml:space="preserve"> și 1 recomandare </w:t>
      </w:r>
      <w:r w:rsidR="005D7127">
        <w:rPr>
          <w:rFonts w:asciiTheme="majorHAnsi" w:hAnsiTheme="majorHAnsi" w:cstheme="majorHAnsi"/>
          <w:sz w:val="24"/>
        </w:rPr>
        <w:t xml:space="preserve">- </w:t>
      </w:r>
      <w:r w:rsidRPr="00DB1AEF">
        <w:rPr>
          <w:rFonts w:asciiTheme="majorHAnsi" w:hAnsiTheme="majorHAnsi" w:cstheme="majorHAnsi"/>
          <w:sz w:val="24"/>
        </w:rPr>
        <w:t xml:space="preserve">neimplementată (APCSP). Neimplementarea recomandării înaintate a fost condiționată de nesuplinirea funcției de </w:t>
      </w:r>
      <w:r w:rsidRPr="005647E7">
        <w:rPr>
          <w:rFonts w:asciiTheme="majorHAnsi" w:hAnsiTheme="majorHAnsi" w:cstheme="majorHAnsi"/>
          <w:sz w:val="24"/>
        </w:rPr>
        <w:t>audit</w:t>
      </w:r>
      <w:r w:rsidR="005D7127" w:rsidRPr="005647E7">
        <w:rPr>
          <w:rFonts w:asciiTheme="majorHAnsi" w:hAnsiTheme="majorHAnsi" w:cstheme="majorHAnsi"/>
          <w:sz w:val="24"/>
        </w:rPr>
        <w:t>or</w:t>
      </w:r>
      <w:r w:rsidRPr="005647E7">
        <w:rPr>
          <w:rFonts w:asciiTheme="majorHAnsi" w:hAnsiTheme="majorHAnsi" w:cstheme="majorHAnsi"/>
          <w:sz w:val="24"/>
        </w:rPr>
        <w:t xml:space="preserve"> intern</w:t>
      </w:r>
      <w:r w:rsidRPr="00DB1AEF">
        <w:rPr>
          <w:rFonts w:asciiTheme="majorHAnsi" w:hAnsiTheme="majorHAnsi" w:cstheme="majorHAnsi"/>
          <w:sz w:val="24"/>
        </w:rPr>
        <w:t xml:space="preserve"> în cadrul A</w:t>
      </w:r>
      <w:r w:rsidR="005D7127">
        <w:rPr>
          <w:rFonts w:asciiTheme="majorHAnsi" w:hAnsiTheme="majorHAnsi" w:cstheme="majorHAnsi"/>
          <w:sz w:val="24"/>
        </w:rPr>
        <w:t>PCSP</w:t>
      </w:r>
      <w:r w:rsidRPr="00DB1AEF">
        <w:rPr>
          <w:rFonts w:asciiTheme="majorHAnsi" w:hAnsiTheme="majorHAnsi" w:cstheme="majorHAnsi"/>
          <w:sz w:val="24"/>
        </w:rPr>
        <w:t xml:space="preserve">. </w:t>
      </w:r>
    </w:p>
    <w:p w14:paraId="2DBC6776" w14:textId="70B1BF14" w:rsidR="001F70FD" w:rsidRDefault="00C90792" w:rsidP="002A7E86">
      <w:pPr>
        <w:ind w:firstLine="720"/>
        <w:jc w:val="both"/>
        <w:rPr>
          <w:rFonts w:asciiTheme="majorHAnsi" w:hAnsiTheme="majorHAnsi" w:cstheme="majorHAnsi"/>
          <w:sz w:val="24"/>
        </w:rPr>
      </w:pPr>
      <w:r>
        <w:rPr>
          <w:rFonts w:asciiTheme="majorHAnsi" w:hAnsiTheme="majorHAnsi" w:cstheme="majorHAnsi"/>
          <w:sz w:val="24"/>
        </w:rPr>
        <w:t>Astfel, se atestă nivel</w:t>
      </w:r>
      <w:r w:rsidR="005D7127">
        <w:rPr>
          <w:rFonts w:asciiTheme="majorHAnsi" w:hAnsiTheme="majorHAnsi" w:cstheme="majorHAnsi"/>
          <w:sz w:val="24"/>
        </w:rPr>
        <w:t>ul</w:t>
      </w:r>
      <w:r>
        <w:rPr>
          <w:rFonts w:asciiTheme="majorHAnsi" w:hAnsiTheme="majorHAnsi" w:cstheme="majorHAnsi"/>
          <w:sz w:val="24"/>
        </w:rPr>
        <w:t xml:space="preserve"> </w:t>
      </w:r>
      <w:r w:rsidR="002A7E86" w:rsidRPr="00DB1AEF">
        <w:rPr>
          <w:rFonts w:asciiTheme="majorHAnsi" w:hAnsiTheme="majorHAnsi" w:cstheme="majorHAnsi"/>
          <w:sz w:val="24"/>
        </w:rPr>
        <w:t>de implementare a recomandărilor de circa 80%</w:t>
      </w:r>
      <w:r w:rsidR="002A6BE7">
        <w:rPr>
          <w:rFonts w:asciiTheme="majorHAnsi" w:hAnsiTheme="majorHAnsi" w:cstheme="majorHAnsi"/>
          <w:sz w:val="24"/>
        </w:rPr>
        <w:t xml:space="preserve">, </w:t>
      </w:r>
      <w:r w:rsidR="002A7E86" w:rsidRPr="00DB1AEF">
        <w:rPr>
          <w:rFonts w:asciiTheme="majorHAnsi" w:hAnsiTheme="majorHAnsi" w:cstheme="majorHAnsi"/>
          <w:sz w:val="24"/>
        </w:rPr>
        <w:t xml:space="preserve"> ceea ce permite echipei </w:t>
      </w:r>
      <w:r w:rsidR="005D7127">
        <w:rPr>
          <w:rFonts w:asciiTheme="majorHAnsi" w:hAnsiTheme="majorHAnsi" w:cstheme="majorHAnsi"/>
          <w:sz w:val="24"/>
        </w:rPr>
        <w:t xml:space="preserve">de audit </w:t>
      </w:r>
      <w:r w:rsidR="002A7E86" w:rsidRPr="00DB1AEF">
        <w:rPr>
          <w:rFonts w:asciiTheme="majorHAnsi" w:hAnsiTheme="majorHAnsi" w:cstheme="majorHAnsi"/>
          <w:sz w:val="24"/>
        </w:rPr>
        <w:t xml:space="preserve">să propună excluderea din regim de monitorizare a Hotărârii Curții de Conturi nr.17 din 29.04.2021, iar </w:t>
      </w:r>
      <w:r w:rsidR="001D415D">
        <w:rPr>
          <w:rFonts w:asciiTheme="majorHAnsi" w:hAnsiTheme="majorHAnsi" w:cstheme="majorHAnsi"/>
          <w:sz w:val="24"/>
        </w:rPr>
        <w:t xml:space="preserve">referitor la </w:t>
      </w:r>
      <w:r w:rsidR="002A7E86" w:rsidRPr="00DB1AEF">
        <w:rPr>
          <w:rFonts w:asciiTheme="majorHAnsi" w:hAnsiTheme="majorHAnsi" w:cstheme="majorHAnsi"/>
          <w:sz w:val="24"/>
        </w:rPr>
        <w:t xml:space="preserve">recomandările care nu au fost implementate </w:t>
      </w:r>
      <w:r w:rsidR="001D415D">
        <w:rPr>
          <w:rFonts w:asciiTheme="majorHAnsi" w:hAnsiTheme="majorHAnsi" w:cstheme="majorHAnsi"/>
          <w:sz w:val="24"/>
        </w:rPr>
        <w:t xml:space="preserve">– </w:t>
      </w:r>
      <w:r w:rsidR="002A7E86" w:rsidRPr="00DB1AEF">
        <w:rPr>
          <w:rFonts w:asciiTheme="majorHAnsi" w:hAnsiTheme="majorHAnsi" w:cstheme="majorHAnsi"/>
          <w:sz w:val="24"/>
        </w:rPr>
        <w:t>reitera</w:t>
      </w:r>
      <w:r w:rsidR="001D415D">
        <w:rPr>
          <w:rFonts w:asciiTheme="majorHAnsi" w:hAnsiTheme="majorHAnsi" w:cstheme="majorHAnsi"/>
          <w:sz w:val="24"/>
        </w:rPr>
        <w:t xml:space="preserve">rea lor </w:t>
      </w:r>
      <w:r w:rsidR="002A7E86" w:rsidRPr="00DB1AEF">
        <w:rPr>
          <w:rFonts w:asciiTheme="majorHAnsi" w:hAnsiTheme="majorHAnsi" w:cstheme="majorHAnsi"/>
          <w:sz w:val="24"/>
        </w:rPr>
        <w:t xml:space="preserve"> </w:t>
      </w:r>
      <w:r w:rsidR="002A7E86">
        <w:rPr>
          <w:rFonts w:asciiTheme="majorHAnsi" w:hAnsiTheme="majorHAnsi" w:cstheme="majorHAnsi"/>
          <w:sz w:val="24"/>
        </w:rPr>
        <w:t xml:space="preserve">în prezentul Raport. Informația detaliată în acest sens se prezintă în </w:t>
      </w:r>
      <w:r w:rsidR="002F5FDD" w:rsidRPr="002F5FDD">
        <w:rPr>
          <w:rFonts w:asciiTheme="majorHAnsi" w:hAnsiTheme="majorHAnsi" w:cstheme="majorHAnsi"/>
          <w:sz w:val="24"/>
        </w:rPr>
        <w:t>Anexa nr.7</w:t>
      </w:r>
      <w:r w:rsidR="001D415D">
        <w:rPr>
          <w:rFonts w:asciiTheme="majorHAnsi" w:hAnsiTheme="majorHAnsi" w:cstheme="majorHAnsi"/>
          <w:sz w:val="24"/>
        </w:rPr>
        <w:t xml:space="preserve"> la </w:t>
      </w:r>
      <w:r w:rsidR="00C640AE">
        <w:rPr>
          <w:rFonts w:asciiTheme="majorHAnsi" w:hAnsiTheme="majorHAnsi" w:cstheme="majorHAnsi"/>
          <w:sz w:val="24"/>
        </w:rPr>
        <w:t xml:space="preserve">prezentul </w:t>
      </w:r>
      <w:r w:rsidR="001D415D">
        <w:rPr>
          <w:rFonts w:asciiTheme="majorHAnsi" w:hAnsiTheme="majorHAnsi" w:cstheme="majorHAnsi"/>
          <w:sz w:val="24"/>
        </w:rPr>
        <w:t>R</w:t>
      </w:r>
      <w:r w:rsidR="00C640AE">
        <w:rPr>
          <w:rFonts w:asciiTheme="majorHAnsi" w:hAnsiTheme="majorHAnsi" w:cstheme="majorHAnsi"/>
          <w:sz w:val="24"/>
        </w:rPr>
        <w:t xml:space="preserve">aport </w:t>
      </w:r>
      <w:r w:rsidR="001D415D">
        <w:rPr>
          <w:rFonts w:asciiTheme="majorHAnsi" w:hAnsiTheme="majorHAnsi" w:cstheme="majorHAnsi"/>
          <w:sz w:val="24"/>
        </w:rPr>
        <w:t xml:space="preserve"> de audit.</w:t>
      </w:r>
    </w:p>
    <w:p w14:paraId="5FE2F837" w14:textId="77777777" w:rsidR="00A90561" w:rsidRDefault="00A90561" w:rsidP="002A7E86">
      <w:pPr>
        <w:ind w:firstLine="720"/>
        <w:jc w:val="both"/>
        <w:rPr>
          <w:rFonts w:asciiTheme="majorHAnsi" w:hAnsiTheme="majorHAnsi" w:cstheme="majorHAnsi"/>
          <w:sz w:val="24"/>
        </w:rPr>
      </w:pPr>
    </w:p>
    <w:p w14:paraId="10013FAB" w14:textId="28B220E0" w:rsidR="001E1A82" w:rsidRPr="00255E9C" w:rsidRDefault="005D7127" w:rsidP="00255E9C">
      <w:pPr>
        <w:tabs>
          <w:tab w:val="left" w:pos="720"/>
          <w:tab w:val="left" w:pos="1710"/>
        </w:tabs>
        <w:spacing w:after="0" w:line="276" w:lineRule="auto"/>
        <w:outlineLvl w:val="0"/>
        <w:rPr>
          <w:rFonts w:asciiTheme="majorHAnsi" w:eastAsia="Times New Roman" w:hAnsiTheme="majorHAnsi" w:cstheme="majorHAnsi"/>
          <w:b/>
          <w:bCs/>
          <w:caps/>
          <w:color w:val="0070C0"/>
          <w:sz w:val="24"/>
          <w:szCs w:val="24"/>
          <w:lang w:val="ro-MD"/>
        </w:rPr>
      </w:pPr>
      <w:bookmarkStart w:id="136" w:name="_Toc59529072"/>
      <w:bookmarkStart w:id="137" w:name="_Toc123116718"/>
      <w:bookmarkStart w:id="138" w:name="_Toc91581315"/>
      <w:r>
        <w:rPr>
          <w:rFonts w:asciiTheme="majorHAnsi" w:eastAsia="Times New Roman" w:hAnsiTheme="majorHAnsi" w:cstheme="majorHAnsi"/>
          <w:b/>
          <w:bCs/>
          <w:caps/>
          <w:color w:val="0070C0"/>
          <w:sz w:val="24"/>
          <w:szCs w:val="24"/>
          <w:lang w:val="ro-MD"/>
        </w:rPr>
        <w:t xml:space="preserve">VI. </w:t>
      </w:r>
      <w:r w:rsidR="001E1A82" w:rsidRPr="00255E9C">
        <w:rPr>
          <w:rFonts w:asciiTheme="majorHAnsi" w:eastAsia="Times New Roman" w:hAnsiTheme="majorHAnsi" w:cstheme="majorHAnsi"/>
          <w:b/>
          <w:bCs/>
          <w:caps/>
          <w:color w:val="0070C0"/>
          <w:sz w:val="24"/>
          <w:szCs w:val="24"/>
          <w:lang w:val="ro-MD"/>
        </w:rPr>
        <w:t>Concluzia generală</w:t>
      </w:r>
      <w:bookmarkEnd w:id="136"/>
      <w:bookmarkEnd w:id="137"/>
    </w:p>
    <w:p w14:paraId="45DAA62C" w14:textId="046BFD97" w:rsidR="001E1A82" w:rsidRPr="000F76F9" w:rsidRDefault="001E1A82" w:rsidP="001E1A82">
      <w:pPr>
        <w:tabs>
          <w:tab w:val="left" w:pos="720"/>
        </w:tabs>
        <w:spacing w:after="0" w:line="276" w:lineRule="auto"/>
        <w:ind w:firstLine="720"/>
        <w:jc w:val="both"/>
        <w:rPr>
          <w:rFonts w:asciiTheme="majorHAnsi" w:hAnsiTheme="majorHAnsi"/>
          <w:sz w:val="24"/>
          <w:szCs w:val="24"/>
          <w:lang w:val="ro-MD"/>
        </w:rPr>
      </w:pPr>
      <w:r w:rsidRPr="000F76F9">
        <w:rPr>
          <w:rFonts w:asciiTheme="majorHAnsi" w:eastAsia="Times New Roman" w:hAnsiTheme="majorHAnsi" w:cs="Times New Roman"/>
          <w:iCs/>
          <w:sz w:val="24"/>
          <w:szCs w:val="24"/>
          <w:lang w:val="ro-MD" w:eastAsia="ro-MD"/>
        </w:rPr>
        <w:t>Misiunea de audit desfășurată a relevat că</w:t>
      </w:r>
      <w:r w:rsidR="00DB0153">
        <w:rPr>
          <w:rFonts w:asciiTheme="majorHAnsi" w:eastAsia="Times New Roman" w:hAnsiTheme="majorHAnsi" w:cs="Times New Roman"/>
          <w:iCs/>
          <w:sz w:val="24"/>
          <w:szCs w:val="24"/>
          <w:lang w:val="ro-MD" w:eastAsia="ro-MD"/>
        </w:rPr>
        <w:t>,</w:t>
      </w:r>
      <w:r w:rsidRPr="000F76F9">
        <w:rPr>
          <w:rFonts w:asciiTheme="majorHAnsi" w:hAnsiTheme="majorHAnsi"/>
          <w:sz w:val="24"/>
          <w:szCs w:val="24"/>
          <w:lang w:val="ro-MD"/>
        </w:rPr>
        <w:t xml:space="preserve"> </w:t>
      </w:r>
      <w:r w:rsidRPr="000F76F9">
        <w:rPr>
          <w:rFonts w:asciiTheme="majorHAnsi" w:eastAsia="Times New Roman" w:hAnsiTheme="majorHAnsi" w:cs="Times New Roman"/>
          <w:iCs/>
          <w:sz w:val="24"/>
          <w:szCs w:val="24"/>
          <w:lang w:val="ro-MD" w:eastAsia="ro-MD"/>
        </w:rPr>
        <w:t>în cadrul</w:t>
      </w:r>
      <w:r w:rsidR="001515B5" w:rsidRPr="000F76F9">
        <w:rPr>
          <w:rFonts w:asciiTheme="majorHAnsi" w:eastAsia="Times New Roman" w:hAnsiTheme="majorHAnsi" w:cs="Times New Roman"/>
          <w:iCs/>
          <w:sz w:val="24"/>
          <w:szCs w:val="24"/>
          <w:lang w:val="ro-MD" w:eastAsia="ro-MD"/>
        </w:rPr>
        <w:t xml:space="preserve"> instituțiilor publice din domeniul infrastructurii calității</w:t>
      </w:r>
      <w:r w:rsidRPr="000F76F9">
        <w:rPr>
          <w:rFonts w:asciiTheme="majorHAnsi" w:eastAsia="Times New Roman" w:hAnsiTheme="majorHAnsi" w:cs="Times New Roman"/>
          <w:iCs/>
          <w:sz w:val="24"/>
          <w:szCs w:val="24"/>
          <w:lang w:val="ro-MD" w:eastAsia="ro-MD"/>
        </w:rPr>
        <w:t xml:space="preserve">, în perioada supusă auditului, </w:t>
      </w:r>
      <w:r w:rsidRPr="000F76F9">
        <w:rPr>
          <w:rFonts w:asciiTheme="majorHAnsi" w:hAnsiTheme="majorHAnsi"/>
          <w:sz w:val="24"/>
          <w:szCs w:val="24"/>
          <w:lang w:val="ro-MD"/>
        </w:rPr>
        <w:t>modul de gestionare a patrimoniului public</w:t>
      </w:r>
      <w:r w:rsidRPr="000F76F9">
        <w:rPr>
          <w:rFonts w:asciiTheme="majorHAnsi" w:eastAsia="Times New Roman" w:hAnsiTheme="majorHAnsi" w:cs="Times New Roman"/>
          <w:iCs/>
          <w:sz w:val="24"/>
          <w:szCs w:val="24"/>
          <w:lang w:val="ro-MD" w:eastAsia="ro-MD"/>
        </w:rPr>
        <w:t xml:space="preserve">, </w:t>
      </w:r>
      <w:r w:rsidR="001515B5" w:rsidRPr="000F76F9">
        <w:rPr>
          <w:rFonts w:asciiTheme="majorHAnsi" w:hAnsiTheme="majorHAnsi"/>
          <w:sz w:val="24"/>
          <w:szCs w:val="24"/>
          <w:lang w:val="ro-MD"/>
        </w:rPr>
        <w:t>cu unele rezerve de îmbunătățire, per ansamblu</w:t>
      </w:r>
      <w:r w:rsidR="00DB0153">
        <w:rPr>
          <w:rFonts w:asciiTheme="majorHAnsi" w:hAnsiTheme="majorHAnsi"/>
          <w:sz w:val="24"/>
          <w:szCs w:val="24"/>
          <w:lang w:val="ro-MD"/>
        </w:rPr>
        <w:t>,</w:t>
      </w:r>
      <w:r w:rsidR="001515B5" w:rsidRPr="000F76F9">
        <w:rPr>
          <w:rFonts w:asciiTheme="majorHAnsi" w:hAnsiTheme="majorHAnsi"/>
          <w:sz w:val="24"/>
          <w:szCs w:val="24"/>
          <w:lang w:val="ro-MD"/>
        </w:rPr>
        <w:t xml:space="preserve"> </w:t>
      </w:r>
      <w:r w:rsidRPr="000F76F9">
        <w:rPr>
          <w:rFonts w:asciiTheme="majorHAnsi" w:hAnsiTheme="majorHAnsi" w:cstheme="minorHAnsi"/>
          <w:sz w:val="24"/>
          <w:szCs w:val="24"/>
          <w:lang w:val="ro-MD"/>
        </w:rPr>
        <w:t xml:space="preserve">a întrunit principiile de legalitate, transparență și integritate. Totodată, au fost identificate unele deficiențe și neconformități aferente </w:t>
      </w:r>
      <w:r w:rsidR="00461A81" w:rsidRPr="00461A81">
        <w:rPr>
          <w:rFonts w:asciiTheme="majorHAnsi" w:hAnsiTheme="majorHAnsi" w:cstheme="minorHAnsi"/>
          <w:color w:val="FF0000"/>
          <w:sz w:val="24"/>
          <w:szCs w:val="24"/>
          <w:lang w:val="ro-MD"/>
        </w:rPr>
        <w:t xml:space="preserve">gestionării </w:t>
      </w:r>
      <w:r w:rsidRPr="000F76F9">
        <w:rPr>
          <w:rFonts w:asciiTheme="majorHAnsi" w:hAnsiTheme="majorHAnsi" w:cstheme="minorHAnsi"/>
          <w:sz w:val="24"/>
          <w:szCs w:val="24"/>
          <w:lang w:val="ro-MD"/>
        </w:rPr>
        <w:t>patrimoniului, dar care nu au afectat semnificativ buna guvernare a patrimoniului public</w:t>
      </w:r>
      <w:r w:rsidR="00C318AF" w:rsidRPr="000F76F9">
        <w:rPr>
          <w:rFonts w:asciiTheme="majorHAnsi" w:hAnsiTheme="majorHAnsi" w:cstheme="minorHAnsi"/>
          <w:sz w:val="24"/>
          <w:szCs w:val="24"/>
          <w:lang w:val="ro-MD"/>
        </w:rPr>
        <w:t xml:space="preserve"> încredințat, </w:t>
      </w:r>
      <w:r w:rsidR="00C640AE">
        <w:rPr>
          <w:rFonts w:asciiTheme="majorHAnsi" w:hAnsiTheme="majorHAnsi" w:cstheme="minorHAnsi"/>
          <w:sz w:val="24"/>
          <w:szCs w:val="24"/>
          <w:lang w:val="ro-MD"/>
        </w:rPr>
        <w:t xml:space="preserve">acestea fiind </w:t>
      </w:r>
      <w:r w:rsidR="00C318AF" w:rsidRPr="000F76F9">
        <w:rPr>
          <w:rFonts w:asciiTheme="majorHAnsi" w:hAnsiTheme="majorHAnsi" w:cstheme="minorHAnsi"/>
          <w:sz w:val="24"/>
          <w:szCs w:val="24"/>
          <w:lang w:val="ro-MD"/>
        </w:rPr>
        <w:t>cauzate atât de unele lacune ale sistemului de control intern managerial, cât și de neconformarea responsabililor din cadrul instituțiilor la prevederile legale.</w:t>
      </w:r>
    </w:p>
    <w:p w14:paraId="5DE5066A" w14:textId="3DEC2FD8" w:rsidR="002A7E86" w:rsidRPr="00FB77E6" w:rsidRDefault="002A7E86" w:rsidP="002A7E86">
      <w:pPr>
        <w:spacing w:after="0" w:line="276" w:lineRule="auto"/>
        <w:ind w:firstLine="720"/>
        <w:jc w:val="both"/>
        <w:rPr>
          <w:rFonts w:asciiTheme="majorHAnsi" w:hAnsiTheme="majorHAnsi" w:cstheme="majorHAnsi"/>
          <w:sz w:val="24"/>
          <w:szCs w:val="24"/>
        </w:rPr>
      </w:pPr>
      <w:r>
        <w:rPr>
          <w:rFonts w:asciiTheme="majorHAnsi" w:hAnsiTheme="majorHAnsi" w:cstheme="majorHAnsi"/>
          <w:sz w:val="24"/>
          <w:szCs w:val="24"/>
        </w:rPr>
        <w:t>Astfel</w:t>
      </w:r>
      <w:r w:rsidRPr="008D05CA">
        <w:rPr>
          <w:rFonts w:asciiTheme="majorHAnsi" w:hAnsiTheme="majorHAnsi" w:cstheme="majorHAnsi"/>
          <w:sz w:val="24"/>
          <w:szCs w:val="24"/>
        </w:rPr>
        <w:t xml:space="preserve">, </w:t>
      </w:r>
      <w:r>
        <w:rPr>
          <w:rFonts w:asciiTheme="majorHAnsi" w:hAnsiTheme="majorHAnsi" w:cstheme="majorHAnsi"/>
          <w:sz w:val="24"/>
          <w:szCs w:val="24"/>
        </w:rPr>
        <w:t xml:space="preserve">prin </w:t>
      </w:r>
      <w:r w:rsidRPr="008D05CA">
        <w:rPr>
          <w:rFonts w:asciiTheme="majorHAnsi" w:hAnsiTheme="majorHAnsi" w:cstheme="majorHAnsi"/>
          <w:sz w:val="24"/>
          <w:szCs w:val="24"/>
        </w:rPr>
        <w:t xml:space="preserve">prisma constatărilor expuse, </w:t>
      </w:r>
      <w:r>
        <w:rPr>
          <w:rFonts w:asciiTheme="majorHAnsi" w:hAnsiTheme="majorHAnsi" w:cstheme="majorHAnsi"/>
          <w:sz w:val="24"/>
          <w:szCs w:val="24"/>
        </w:rPr>
        <w:t xml:space="preserve">se </w:t>
      </w:r>
      <w:r w:rsidR="00C640AE">
        <w:rPr>
          <w:rFonts w:asciiTheme="majorHAnsi" w:hAnsiTheme="majorHAnsi" w:cstheme="majorHAnsi"/>
          <w:sz w:val="24"/>
          <w:szCs w:val="24"/>
        </w:rPr>
        <w:t>atestă</w:t>
      </w:r>
      <w:r>
        <w:rPr>
          <w:rFonts w:asciiTheme="majorHAnsi" w:hAnsiTheme="majorHAnsi" w:cstheme="majorHAnsi"/>
          <w:sz w:val="24"/>
          <w:szCs w:val="24"/>
        </w:rPr>
        <w:t xml:space="preserve"> </w:t>
      </w:r>
      <w:r w:rsidRPr="008D05CA">
        <w:rPr>
          <w:rFonts w:asciiTheme="majorHAnsi" w:hAnsiTheme="majorHAnsi" w:cstheme="majorHAnsi"/>
          <w:sz w:val="24"/>
          <w:szCs w:val="24"/>
        </w:rPr>
        <w:t xml:space="preserve">o abordare neconformă a procesului de </w:t>
      </w:r>
      <w:r>
        <w:rPr>
          <w:rFonts w:asciiTheme="majorHAnsi" w:hAnsiTheme="majorHAnsi" w:cstheme="majorHAnsi"/>
          <w:sz w:val="24"/>
          <w:szCs w:val="24"/>
        </w:rPr>
        <w:t xml:space="preserve">gestionare a  imobilizărilor  necorporale, corporale deținute, </w:t>
      </w:r>
      <w:r w:rsidR="00C640AE">
        <w:rPr>
          <w:rFonts w:asciiTheme="majorHAnsi" w:hAnsiTheme="majorHAnsi" w:cstheme="majorHAnsi"/>
          <w:sz w:val="24"/>
          <w:szCs w:val="24"/>
        </w:rPr>
        <w:t xml:space="preserve">a </w:t>
      </w:r>
      <w:r>
        <w:rPr>
          <w:rFonts w:asciiTheme="majorHAnsi" w:hAnsiTheme="majorHAnsi" w:cstheme="majorHAnsi"/>
          <w:sz w:val="24"/>
          <w:szCs w:val="24"/>
        </w:rPr>
        <w:t>activelor în curs de execuție</w:t>
      </w:r>
      <w:r w:rsidRPr="008D05CA">
        <w:rPr>
          <w:rFonts w:asciiTheme="majorHAnsi" w:hAnsiTheme="majorHAnsi" w:cstheme="majorHAnsi"/>
          <w:sz w:val="24"/>
          <w:szCs w:val="24"/>
        </w:rPr>
        <w:t>,</w:t>
      </w:r>
      <w:r>
        <w:rPr>
          <w:rFonts w:asciiTheme="majorHAnsi" w:hAnsiTheme="majorHAnsi" w:cstheme="majorHAnsi"/>
          <w:sz w:val="24"/>
          <w:szCs w:val="24"/>
        </w:rPr>
        <w:t xml:space="preserve"> precum și</w:t>
      </w:r>
      <w:r w:rsidR="00C640AE">
        <w:rPr>
          <w:rFonts w:asciiTheme="majorHAnsi" w:hAnsiTheme="majorHAnsi" w:cstheme="majorHAnsi"/>
          <w:sz w:val="24"/>
          <w:szCs w:val="24"/>
        </w:rPr>
        <w:t xml:space="preserve"> a</w:t>
      </w:r>
      <w:r>
        <w:rPr>
          <w:rFonts w:asciiTheme="majorHAnsi" w:hAnsiTheme="majorHAnsi" w:cstheme="majorHAnsi"/>
          <w:sz w:val="24"/>
          <w:szCs w:val="24"/>
        </w:rPr>
        <w:t xml:space="preserve"> bunurilor</w:t>
      </w:r>
      <w:r w:rsidRPr="008D05CA">
        <w:rPr>
          <w:rFonts w:asciiTheme="majorHAnsi" w:hAnsiTheme="majorHAnsi" w:cstheme="majorHAnsi"/>
          <w:sz w:val="24"/>
          <w:szCs w:val="24"/>
        </w:rPr>
        <w:t xml:space="preserve"> neutilizate</w:t>
      </w:r>
      <w:r>
        <w:rPr>
          <w:rFonts w:asciiTheme="majorHAnsi" w:hAnsiTheme="majorHAnsi" w:cstheme="majorHAnsi"/>
          <w:sz w:val="24"/>
          <w:szCs w:val="24"/>
        </w:rPr>
        <w:t>,</w:t>
      </w:r>
      <w:r w:rsidRPr="008D05CA">
        <w:rPr>
          <w:rFonts w:asciiTheme="majorHAnsi" w:hAnsiTheme="majorHAnsi" w:cstheme="majorHAnsi"/>
          <w:sz w:val="24"/>
          <w:szCs w:val="24"/>
        </w:rPr>
        <w:t xml:space="preserve"> ceea ce </w:t>
      </w:r>
      <w:r>
        <w:rPr>
          <w:rFonts w:asciiTheme="majorHAnsi" w:hAnsiTheme="majorHAnsi" w:cstheme="majorHAnsi"/>
          <w:sz w:val="24"/>
          <w:szCs w:val="24"/>
        </w:rPr>
        <w:t xml:space="preserve">contravine  </w:t>
      </w:r>
      <w:r w:rsidRPr="00FB77E6">
        <w:rPr>
          <w:rFonts w:asciiTheme="majorHAnsi" w:hAnsiTheme="majorHAnsi" w:cstheme="majorHAnsi"/>
          <w:sz w:val="24"/>
          <w:szCs w:val="24"/>
        </w:rPr>
        <w:t xml:space="preserve">principiilor </w:t>
      </w:r>
      <w:r w:rsidRPr="00D05890">
        <w:rPr>
          <w:rFonts w:asciiTheme="majorHAnsi" w:hAnsiTheme="majorHAnsi" w:cstheme="majorHAnsi"/>
          <w:sz w:val="24"/>
          <w:szCs w:val="24"/>
        </w:rPr>
        <w:t>bunei guvernări,</w:t>
      </w:r>
      <w:r>
        <w:rPr>
          <w:rFonts w:asciiTheme="majorHAnsi" w:hAnsiTheme="majorHAnsi" w:cstheme="majorHAnsi"/>
          <w:sz w:val="24"/>
          <w:szCs w:val="24"/>
        </w:rPr>
        <w:t xml:space="preserve"> iar neaplicarea și neinstituirea</w:t>
      </w:r>
      <w:r w:rsidRPr="00FB77E6">
        <w:rPr>
          <w:rFonts w:asciiTheme="majorHAnsi" w:hAnsiTheme="majorHAnsi" w:cstheme="majorHAnsi"/>
          <w:sz w:val="24"/>
          <w:szCs w:val="24"/>
        </w:rPr>
        <w:t xml:space="preserve"> unor politici, proce</w:t>
      </w:r>
      <w:r>
        <w:rPr>
          <w:rFonts w:asciiTheme="majorHAnsi" w:hAnsiTheme="majorHAnsi" w:cstheme="majorHAnsi"/>
          <w:sz w:val="24"/>
          <w:szCs w:val="24"/>
        </w:rPr>
        <w:t xml:space="preserve">duri și reguli interne afectează procesul de </w:t>
      </w:r>
      <w:r w:rsidRPr="00FE31B7">
        <w:rPr>
          <w:rFonts w:asciiTheme="majorHAnsi" w:hAnsiTheme="majorHAnsi" w:cstheme="majorHAnsi"/>
          <w:sz w:val="24"/>
          <w:szCs w:val="24"/>
        </w:rPr>
        <w:t>remunerare a personalului,</w:t>
      </w:r>
      <w:r w:rsidRPr="00C921B0">
        <w:rPr>
          <w:rFonts w:asciiTheme="majorHAnsi" w:hAnsiTheme="majorHAnsi" w:cstheme="majorHAnsi"/>
          <w:sz w:val="24"/>
          <w:szCs w:val="24"/>
        </w:rPr>
        <w:t xml:space="preserve"> generâ</w:t>
      </w:r>
      <w:r w:rsidR="00A90561">
        <w:rPr>
          <w:rFonts w:asciiTheme="majorHAnsi" w:hAnsiTheme="majorHAnsi" w:cstheme="majorHAnsi"/>
          <w:sz w:val="24"/>
          <w:szCs w:val="24"/>
        </w:rPr>
        <w:t xml:space="preserve">nd </w:t>
      </w:r>
      <w:r w:rsidRPr="008A5D6C">
        <w:rPr>
          <w:rFonts w:asciiTheme="majorHAnsi" w:hAnsiTheme="majorHAnsi" w:cstheme="majorHAnsi"/>
          <w:sz w:val="24"/>
          <w:szCs w:val="24"/>
        </w:rPr>
        <w:t xml:space="preserve"> </w:t>
      </w:r>
      <w:r w:rsidRPr="008B18B0">
        <w:rPr>
          <w:rFonts w:asciiTheme="majorHAnsi" w:hAnsiTheme="majorHAnsi" w:cstheme="majorHAnsi"/>
          <w:sz w:val="24"/>
          <w:szCs w:val="24"/>
        </w:rPr>
        <w:t>și alte riscuri în raport și</w:t>
      </w:r>
      <w:r w:rsidRPr="00DD7DEE">
        <w:rPr>
          <w:rFonts w:asciiTheme="majorHAnsi" w:hAnsiTheme="majorHAnsi" w:cstheme="majorHAnsi"/>
          <w:sz w:val="24"/>
          <w:szCs w:val="24"/>
        </w:rPr>
        <w:t xml:space="preserve"> în aspect de regularitate. </w:t>
      </w:r>
    </w:p>
    <w:p w14:paraId="36340985" w14:textId="61359E98" w:rsidR="002A7E86" w:rsidRPr="008D05CA" w:rsidRDefault="002A7E86" w:rsidP="002A7E86">
      <w:pPr>
        <w:spacing w:after="0" w:line="276" w:lineRule="auto"/>
        <w:ind w:firstLine="720"/>
        <w:jc w:val="both"/>
        <w:rPr>
          <w:rFonts w:asciiTheme="majorHAnsi" w:hAnsiTheme="majorHAnsi" w:cstheme="majorHAnsi"/>
          <w:sz w:val="24"/>
          <w:szCs w:val="24"/>
        </w:rPr>
      </w:pPr>
      <w:r w:rsidRPr="008D05CA">
        <w:rPr>
          <w:rFonts w:asciiTheme="majorHAnsi" w:hAnsiTheme="majorHAnsi" w:cstheme="majorHAnsi"/>
          <w:sz w:val="24"/>
          <w:szCs w:val="24"/>
        </w:rPr>
        <w:t xml:space="preserve">Prin urmare, se relevă necesitatea de </w:t>
      </w:r>
      <w:r>
        <w:rPr>
          <w:rFonts w:asciiTheme="majorHAnsi" w:hAnsiTheme="majorHAnsi" w:cstheme="majorHAnsi"/>
          <w:sz w:val="24"/>
          <w:szCs w:val="24"/>
        </w:rPr>
        <w:t>asumare a unor decizii manageriale pentru elucidarea situațiilor expuse, consolidare</w:t>
      </w:r>
      <w:r w:rsidRPr="008D05CA">
        <w:rPr>
          <w:rFonts w:asciiTheme="majorHAnsi" w:hAnsiTheme="majorHAnsi" w:cstheme="majorHAnsi"/>
          <w:sz w:val="24"/>
          <w:szCs w:val="24"/>
        </w:rPr>
        <w:t>a sistemu</w:t>
      </w:r>
      <w:r>
        <w:rPr>
          <w:rFonts w:asciiTheme="majorHAnsi" w:hAnsiTheme="majorHAnsi" w:cstheme="majorHAnsi"/>
          <w:sz w:val="24"/>
          <w:szCs w:val="24"/>
        </w:rPr>
        <w:t>lui de control intern, care să asigure</w:t>
      </w:r>
      <w:r w:rsidRPr="008D05CA">
        <w:rPr>
          <w:rFonts w:asciiTheme="majorHAnsi" w:hAnsiTheme="majorHAnsi" w:cstheme="majorHAnsi"/>
          <w:sz w:val="24"/>
          <w:szCs w:val="24"/>
        </w:rPr>
        <w:t xml:space="preserve"> gestionarea </w:t>
      </w:r>
      <w:r>
        <w:rPr>
          <w:rFonts w:asciiTheme="majorHAnsi" w:hAnsiTheme="majorHAnsi" w:cstheme="majorHAnsi"/>
          <w:sz w:val="24"/>
          <w:szCs w:val="24"/>
        </w:rPr>
        <w:t xml:space="preserve">eficientă a </w:t>
      </w:r>
      <w:r w:rsidRPr="008D05CA">
        <w:rPr>
          <w:rFonts w:asciiTheme="majorHAnsi" w:hAnsiTheme="majorHAnsi" w:cstheme="majorHAnsi"/>
          <w:sz w:val="24"/>
          <w:szCs w:val="24"/>
        </w:rPr>
        <w:t xml:space="preserve">riscurilor de conformitate. </w:t>
      </w:r>
    </w:p>
    <w:p w14:paraId="055DF435" w14:textId="5EE825AC" w:rsidR="002A7E86" w:rsidRDefault="002A7E86" w:rsidP="00597105">
      <w:pPr>
        <w:pStyle w:val="msonormalmailrucssattributepostfix"/>
        <w:spacing w:before="0" w:beforeAutospacing="0" w:after="0" w:afterAutospacing="0" w:line="276" w:lineRule="auto"/>
        <w:ind w:firstLine="720"/>
        <w:jc w:val="both"/>
        <w:rPr>
          <w:rFonts w:asciiTheme="majorHAnsi" w:hAnsiTheme="majorHAnsi" w:cstheme="majorHAnsi"/>
          <w:lang w:val="ro-MD"/>
        </w:rPr>
      </w:pPr>
      <w:r w:rsidRPr="008D05CA">
        <w:rPr>
          <w:rFonts w:asciiTheme="majorHAnsi" w:hAnsiTheme="majorHAnsi" w:cstheme="majorHAnsi"/>
          <w:lang w:val="ro-MD"/>
        </w:rPr>
        <w:t>Rezumând constatările și concluziile formulate, auditul public extern a oferit următoarele recomandări pentru remedierea punctelor vulnerabile depistate în ca</w:t>
      </w:r>
      <w:r>
        <w:rPr>
          <w:rFonts w:asciiTheme="majorHAnsi" w:hAnsiTheme="majorHAnsi" w:cstheme="majorHAnsi"/>
          <w:lang w:val="ro-MD"/>
        </w:rPr>
        <w:t xml:space="preserve">drul prezentei misiuni de audit, acestea fiind acceptate de către </w:t>
      </w:r>
      <w:r w:rsidR="00C640AE">
        <w:rPr>
          <w:rFonts w:asciiTheme="majorHAnsi" w:hAnsiTheme="majorHAnsi" w:cstheme="majorHAnsi"/>
          <w:lang w:val="ro-MD"/>
        </w:rPr>
        <w:t>i</w:t>
      </w:r>
      <w:r>
        <w:rPr>
          <w:rFonts w:asciiTheme="majorHAnsi" w:hAnsiTheme="majorHAnsi" w:cstheme="majorHAnsi"/>
          <w:lang w:val="ro-MD"/>
        </w:rPr>
        <w:t xml:space="preserve">nstituțiile </w:t>
      </w:r>
      <w:r w:rsidR="00C640AE">
        <w:rPr>
          <w:rFonts w:asciiTheme="majorHAnsi" w:hAnsiTheme="majorHAnsi" w:cstheme="majorHAnsi"/>
          <w:lang w:val="ro-MD"/>
        </w:rPr>
        <w:t>p</w:t>
      </w:r>
      <w:r>
        <w:rPr>
          <w:rFonts w:asciiTheme="majorHAnsi" w:hAnsiTheme="majorHAnsi" w:cstheme="majorHAnsi"/>
          <w:lang w:val="ro-MD"/>
        </w:rPr>
        <w:t>ublice d</w:t>
      </w:r>
      <w:r w:rsidR="00647D93">
        <w:rPr>
          <w:rFonts w:asciiTheme="majorHAnsi" w:hAnsiTheme="majorHAnsi" w:cstheme="majorHAnsi"/>
          <w:lang w:val="ro-MD"/>
        </w:rPr>
        <w:t>in domeniul infrastructurii cal</w:t>
      </w:r>
      <w:r>
        <w:rPr>
          <w:rFonts w:asciiTheme="majorHAnsi" w:hAnsiTheme="majorHAnsi" w:cstheme="majorHAnsi"/>
          <w:lang w:val="ro-MD"/>
        </w:rPr>
        <w:t>ității</w:t>
      </w:r>
      <w:r w:rsidR="00A90561">
        <w:rPr>
          <w:rFonts w:asciiTheme="majorHAnsi" w:hAnsiTheme="majorHAnsi" w:cstheme="majorHAnsi"/>
          <w:lang w:val="ro-MD"/>
        </w:rPr>
        <w:t xml:space="preserve">, </w:t>
      </w:r>
      <w:r w:rsidR="00C640AE">
        <w:rPr>
          <w:rFonts w:asciiTheme="majorHAnsi" w:hAnsiTheme="majorHAnsi" w:cstheme="majorHAnsi"/>
          <w:lang w:val="ro-MD"/>
        </w:rPr>
        <w:t xml:space="preserve">cu </w:t>
      </w:r>
      <w:r>
        <w:rPr>
          <w:rFonts w:asciiTheme="majorHAnsi" w:hAnsiTheme="majorHAnsi" w:cstheme="majorHAnsi"/>
          <w:lang w:val="ro-MD"/>
        </w:rPr>
        <w:t>im</w:t>
      </w:r>
      <w:r w:rsidR="00A90561">
        <w:rPr>
          <w:rFonts w:asciiTheme="majorHAnsi" w:hAnsiTheme="majorHAnsi" w:cstheme="majorHAnsi"/>
          <w:lang w:val="ro-MD"/>
        </w:rPr>
        <w:t>plementarea</w:t>
      </w:r>
      <w:r>
        <w:rPr>
          <w:rFonts w:asciiTheme="majorHAnsi" w:hAnsiTheme="majorHAnsi" w:cstheme="majorHAnsi"/>
          <w:lang w:val="ro-MD"/>
        </w:rPr>
        <w:t xml:space="preserve"> </w:t>
      </w:r>
      <w:r w:rsidR="00A90561">
        <w:rPr>
          <w:rFonts w:asciiTheme="majorHAnsi" w:hAnsiTheme="majorHAnsi" w:cstheme="majorHAnsi"/>
          <w:lang w:val="ro-MD"/>
        </w:rPr>
        <w:t xml:space="preserve"> lor </w:t>
      </w:r>
      <w:r>
        <w:rPr>
          <w:rFonts w:asciiTheme="majorHAnsi" w:hAnsiTheme="majorHAnsi" w:cstheme="majorHAnsi"/>
          <w:lang w:val="ro-MD"/>
        </w:rPr>
        <w:t xml:space="preserve">în termen </w:t>
      </w:r>
      <w:r w:rsidRPr="002D7001">
        <w:rPr>
          <w:rFonts w:asciiTheme="majorHAnsi" w:hAnsiTheme="majorHAnsi" w:cstheme="majorHAnsi"/>
          <w:lang w:val="ro-MD"/>
        </w:rPr>
        <w:t>de 6</w:t>
      </w:r>
      <w:r w:rsidR="00A90561">
        <w:rPr>
          <w:rFonts w:asciiTheme="majorHAnsi" w:hAnsiTheme="majorHAnsi" w:cstheme="majorHAnsi"/>
          <w:lang w:val="ro-MD"/>
        </w:rPr>
        <w:t xml:space="preserve"> </w:t>
      </w:r>
      <w:r w:rsidRPr="002D7001">
        <w:rPr>
          <w:rFonts w:asciiTheme="majorHAnsi" w:hAnsiTheme="majorHAnsi" w:cstheme="majorHAnsi"/>
          <w:lang w:val="ro-MD"/>
        </w:rPr>
        <w:t>luni</w:t>
      </w:r>
      <w:r w:rsidR="00C640AE">
        <w:rPr>
          <w:rFonts w:asciiTheme="majorHAnsi" w:hAnsiTheme="majorHAnsi" w:cstheme="majorHAnsi"/>
          <w:lang w:val="ro-MD"/>
        </w:rPr>
        <w:t>,</w:t>
      </w:r>
      <w:r w:rsidR="00A90561">
        <w:rPr>
          <w:rFonts w:asciiTheme="majorHAnsi" w:hAnsiTheme="majorHAnsi" w:cstheme="majorHAnsi"/>
          <w:lang w:val="ro-MD"/>
        </w:rPr>
        <w:t xml:space="preserve"> și de către Ministerul Economiei </w:t>
      </w:r>
      <w:r w:rsidR="00C640AE">
        <w:rPr>
          <w:rFonts w:asciiTheme="majorHAnsi" w:hAnsiTheme="majorHAnsi" w:cstheme="majorHAnsi"/>
          <w:lang w:val="ro-MD"/>
        </w:rPr>
        <w:t xml:space="preserve">- </w:t>
      </w:r>
      <w:r w:rsidR="00A90561">
        <w:rPr>
          <w:rFonts w:asciiTheme="majorHAnsi" w:hAnsiTheme="majorHAnsi" w:cstheme="majorHAnsi"/>
          <w:lang w:val="ro-MD"/>
        </w:rPr>
        <w:t>în termen de 12 luni</w:t>
      </w:r>
      <w:r w:rsidRPr="002D7001">
        <w:rPr>
          <w:rFonts w:asciiTheme="majorHAnsi" w:hAnsiTheme="majorHAnsi" w:cstheme="majorHAnsi"/>
          <w:lang w:val="ro-MD"/>
        </w:rPr>
        <w:t>.</w:t>
      </w:r>
      <w:r>
        <w:rPr>
          <w:rFonts w:asciiTheme="majorHAnsi" w:hAnsiTheme="majorHAnsi" w:cstheme="majorHAnsi"/>
          <w:lang w:val="ro-MD"/>
        </w:rPr>
        <w:t xml:space="preserve"> (</w:t>
      </w:r>
      <w:r w:rsidRPr="002D7001">
        <w:rPr>
          <w:rFonts w:asciiTheme="majorHAnsi" w:hAnsiTheme="majorHAnsi" w:cstheme="majorHAnsi"/>
          <w:lang w:val="ro-MD"/>
        </w:rPr>
        <w:t>Anexa</w:t>
      </w:r>
      <w:r w:rsidR="002D7001" w:rsidRPr="002D7001">
        <w:rPr>
          <w:rFonts w:asciiTheme="majorHAnsi" w:hAnsiTheme="majorHAnsi" w:cstheme="majorHAnsi"/>
          <w:lang w:val="ro-MD"/>
        </w:rPr>
        <w:t xml:space="preserve"> nr.8</w:t>
      </w:r>
      <w:r w:rsidRPr="002D7001">
        <w:rPr>
          <w:rFonts w:asciiTheme="majorHAnsi" w:hAnsiTheme="majorHAnsi" w:cstheme="majorHAnsi"/>
          <w:lang w:val="ro-MD"/>
        </w:rPr>
        <w:t xml:space="preserve">  la prezentul Raport de audit</w:t>
      </w:r>
      <w:r>
        <w:rPr>
          <w:rFonts w:asciiTheme="majorHAnsi" w:hAnsiTheme="majorHAnsi" w:cstheme="majorHAnsi"/>
          <w:lang w:val="ro-MD"/>
        </w:rPr>
        <w:t xml:space="preserve">). </w:t>
      </w:r>
    </w:p>
    <w:p w14:paraId="5A1C58F3" w14:textId="77777777" w:rsidR="001515B5" w:rsidRPr="001515B5" w:rsidRDefault="001515B5" w:rsidP="001E1A82">
      <w:pPr>
        <w:tabs>
          <w:tab w:val="left" w:pos="720"/>
        </w:tabs>
        <w:spacing w:after="0" w:line="276" w:lineRule="auto"/>
        <w:ind w:firstLine="720"/>
        <w:jc w:val="both"/>
        <w:rPr>
          <w:rFonts w:asciiTheme="majorHAnsi" w:hAnsiTheme="majorHAnsi"/>
          <w:sz w:val="24"/>
          <w:szCs w:val="24"/>
          <w:lang w:val="ro-MD"/>
        </w:rPr>
      </w:pPr>
    </w:p>
    <w:p w14:paraId="084A331C" w14:textId="72034BDD" w:rsidR="001E1A82" w:rsidRPr="00255E9C" w:rsidRDefault="005D7127" w:rsidP="00255E9C">
      <w:pPr>
        <w:tabs>
          <w:tab w:val="left" w:pos="720"/>
          <w:tab w:val="left" w:pos="1710"/>
        </w:tabs>
        <w:spacing w:after="0" w:line="276" w:lineRule="auto"/>
        <w:outlineLvl w:val="0"/>
        <w:rPr>
          <w:rFonts w:asciiTheme="majorHAnsi" w:eastAsia="Times New Roman" w:hAnsiTheme="majorHAnsi" w:cstheme="majorHAnsi"/>
          <w:b/>
          <w:bCs/>
          <w:caps/>
          <w:color w:val="0070C0"/>
          <w:sz w:val="24"/>
          <w:szCs w:val="24"/>
          <w:lang w:val="ro-MD"/>
        </w:rPr>
      </w:pPr>
      <w:bookmarkStart w:id="139" w:name="_Toc59529073"/>
      <w:bookmarkStart w:id="140" w:name="_Toc123116719"/>
      <w:r>
        <w:rPr>
          <w:rFonts w:asciiTheme="majorHAnsi" w:eastAsia="Times New Roman" w:hAnsiTheme="majorHAnsi" w:cstheme="majorHAnsi"/>
          <w:b/>
          <w:bCs/>
          <w:caps/>
          <w:color w:val="0070C0"/>
          <w:sz w:val="24"/>
          <w:szCs w:val="24"/>
          <w:lang w:val="ro-MD"/>
        </w:rPr>
        <w:t>VII.</w:t>
      </w:r>
      <w:r w:rsidR="001E1A82" w:rsidRPr="00255E9C">
        <w:rPr>
          <w:rFonts w:asciiTheme="majorHAnsi" w:eastAsia="Times New Roman" w:hAnsiTheme="majorHAnsi" w:cstheme="majorHAnsi"/>
          <w:b/>
          <w:bCs/>
          <w:caps/>
          <w:color w:val="0070C0"/>
          <w:sz w:val="24"/>
          <w:szCs w:val="24"/>
          <w:lang w:val="ro-MD"/>
        </w:rPr>
        <w:t>Recomandări</w:t>
      </w:r>
      <w:bookmarkEnd w:id="139"/>
      <w:bookmarkEnd w:id="140"/>
    </w:p>
    <w:p w14:paraId="5F610A85" w14:textId="77777777" w:rsidR="00036ABD" w:rsidRDefault="004E0BFD" w:rsidP="00036ABD">
      <w:pPr>
        <w:pStyle w:val="msonormalmailrucssattributepostfix"/>
        <w:spacing w:before="0" w:beforeAutospacing="0" w:after="0" w:afterAutospacing="0" w:line="276" w:lineRule="auto"/>
        <w:jc w:val="both"/>
        <w:rPr>
          <w:rFonts w:asciiTheme="majorHAnsi" w:hAnsiTheme="majorHAnsi" w:cstheme="majorHAnsi"/>
          <w:b/>
          <w:i/>
          <w:lang w:val="ro-MD"/>
        </w:rPr>
      </w:pPr>
      <w:r w:rsidRPr="00036ABD">
        <w:rPr>
          <w:rFonts w:asciiTheme="majorHAnsi" w:hAnsiTheme="majorHAnsi" w:cstheme="majorHAnsi"/>
          <w:b/>
          <w:i/>
          <w:lang w:val="ro-MD"/>
        </w:rPr>
        <w:t>Conducerii Ministerului Economiei:</w:t>
      </w:r>
    </w:p>
    <w:p w14:paraId="3B65B5B7" w14:textId="2F987B46" w:rsidR="004E0BFD" w:rsidRDefault="004E0BFD" w:rsidP="007E002D">
      <w:pPr>
        <w:pStyle w:val="msonormalmailrucssattributepostfix"/>
        <w:numPr>
          <w:ilvl w:val="0"/>
          <w:numId w:val="41"/>
        </w:numPr>
        <w:spacing w:before="0" w:beforeAutospacing="0" w:after="0" w:afterAutospacing="0" w:line="276" w:lineRule="auto"/>
        <w:jc w:val="both"/>
        <w:rPr>
          <w:rFonts w:asciiTheme="majorHAnsi" w:hAnsiTheme="majorHAnsi" w:cstheme="majorHAnsi"/>
          <w:color w:val="000000" w:themeColor="text1"/>
          <w:shd w:val="clear" w:color="auto" w:fill="FFFFFF"/>
          <w:lang w:val="ro-MD"/>
        </w:rPr>
      </w:pPr>
      <w:r w:rsidRPr="00B227CB">
        <w:rPr>
          <w:rFonts w:asciiTheme="majorHAnsi" w:hAnsiTheme="majorHAnsi" w:cstheme="majorHAnsi"/>
          <w:color w:val="000000" w:themeColor="text1"/>
          <w:shd w:val="clear" w:color="auto" w:fill="FFFFFF"/>
          <w:lang w:val="ro-MD"/>
        </w:rPr>
        <w:t>să asigure,</w:t>
      </w:r>
      <w:r w:rsidR="000D111F">
        <w:rPr>
          <w:rFonts w:asciiTheme="majorHAnsi" w:hAnsiTheme="majorHAnsi" w:cstheme="majorHAnsi"/>
          <w:color w:val="000000" w:themeColor="text1"/>
          <w:shd w:val="clear" w:color="auto" w:fill="FFFFFF"/>
          <w:lang w:val="ro-MD"/>
        </w:rPr>
        <w:t xml:space="preserve"> </w:t>
      </w:r>
      <w:r w:rsidRPr="00B227CB">
        <w:rPr>
          <w:rFonts w:asciiTheme="majorHAnsi" w:hAnsiTheme="majorHAnsi" w:cstheme="majorHAnsi"/>
          <w:color w:val="000000" w:themeColor="text1"/>
          <w:shd w:val="clear" w:color="auto" w:fill="FFFFFF"/>
          <w:lang w:val="ro-MD"/>
        </w:rPr>
        <w:t xml:space="preserve">de comun acord cu </w:t>
      </w:r>
      <w:r w:rsidR="00833824">
        <w:rPr>
          <w:rFonts w:asciiTheme="majorHAnsi" w:hAnsiTheme="majorHAnsi" w:cstheme="majorHAnsi"/>
          <w:color w:val="000000" w:themeColor="text1"/>
          <w:shd w:val="clear" w:color="auto" w:fill="FFFFFF"/>
          <w:lang w:val="ro-MD"/>
        </w:rPr>
        <w:t>i</w:t>
      </w:r>
      <w:r w:rsidRPr="00B227CB">
        <w:rPr>
          <w:rFonts w:asciiTheme="majorHAnsi" w:hAnsiTheme="majorHAnsi" w:cstheme="majorHAnsi"/>
          <w:color w:val="000000" w:themeColor="text1"/>
          <w:shd w:val="clear" w:color="auto" w:fill="FFFFFF"/>
          <w:lang w:val="ro-MD"/>
        </w:rPr>
        <w:t xml:space="preserve">nstituțiile </w:t>
      </w:r>
      <w:r w:rsidR="00833824">
        <w:rPr>
          <w:rFonts w:asciiTheme="majorHAnsi" w:hAnsiTheme="majorHAnsi" w:cstheme="majorHAnsi"/>
          <w:color w:val="000000" w:themeColor="text1"/>
          <w:shd w:val="clear" w:color="auto" w:fill="FFFFFF"/>
          <w:lang w:val="ro-MD"/>
        </w:rPr>
        <w:t>p</w:t>
      </w:r>
      <w:r w:rsidRPr="00B227CB">
        <w:rPr>
          <w:rFonts w:asciiTheme="majorHAnsi" w:hAnsiTheme="majorHAnsi" w:cstheme="majorHAnsi"/>
          <w:color w:val="000000" w:themeColor="text1"/>
          <w:shd w:val="clear" w:color="auto" w:fill="FFFFFF"/>
          <w:lang w:val="ro-MD"/>
        </w:rPr>
        <w:t>ublice din domeniul infrastructurii calității, revizuirea și aprobarea  nomenclatoarelor serviciilor prestate de către ace</w:t>
      </w:r>
      <w:r w:rsidR="000D111F">
        <w:rPr>
          <w:rFonts w:asciiTheme="majorHAnsi" w:hAnsiTheme="majorHAnsi" w:cstheme="majorHAnsi"/>
          <w:color w:val="000000" w:themeColor="text1"/>
          <w:shd w:val="clear" w:color="auto" w:fill="FFFFFF"/>
          <w:lang w:val="ro-MD"/>
        </w:rPr>
        <w:t>s</w:t>
      </w:r>
      <w:r w:rsidRPr="00B227CB">
        <w:rPr>
          <w:rFonts w:asciiTheme="majorHAnsi" w:hAnsiTheme="majorHAnsi" w:cstheme="majorHAnsi"/>
          <w:color w:val="000000" w:themeColor="text1"/>
          <w:shd w:val="clear" w:color="auto" w:fill="FFFFFF"/>
          <w:lang w:val="ro-MD"/>
        </w:rPr>
        <w:t>tea și a tarifelor aferente (pct. 4.2.)</w:t>
      </w:r>
      <w:r w:rsidR="000D111F">
        <w:rPr>
          <w:rFonts w:asciiTheme="majorHAnsi" w:hAnsiTheme="majorHAnsi" w:cstheme="majorHAnsi"/>
          <w:color w:val="000000" w:themeColor="text1"/>
          <w:shd w:val="clear" w:color="auto" w:fill="FFFFFF"/>
          <w:lang w:val="ro-MD"/>
        </w:rPr>
        <w:t>;</w:t>
      </w:r>
    </w:p>
    <w:p w14:paraId="00F57D52" w14:textId="500FD9D8" w:rsidR="006B528B" w:rsidRPr="006A7D91" w:rsidRDefault="006B528B" w:rsidP="006B528B">
      <w:pPr>
        <w:pStyle w:val="msonormalmailrucssattributepostfix"/>
        <w:numPr>
          <w:ilvl w:val="0"/>
          <w:numId w:val="41"/>
        </w:numPr>
        <w:spacing w:before="0" w:beforeAutospacing="0" w:after="0" w:afterAutospacing="0" w:line="276" w:lineRule="auto"/>
        <w:jc w:val="both"/>
        <w:rPr>
          <w:rFonts w:asciiTheme="majorHAnsi" w:hAnsiTheme="majorHAnsi" w:cstheme="majorHAnsi"/>
          <w:shd w:val="clear" w:color="auto" w:fill="FFFFFF"/>
          <w:lang w:val="ro-MD"/>
        </w:rPr>
      </w:pPr>
      <w:r w:rsidRPr="00BC7C49">
        <w:rPr>
          <w:rFonts w:asciiTheme="majorHAnsi" w:hAnsiTheme="majorHAnsi" w:cstheme="majorHAnsi"/>
          <w:shd w:val="clear" w:color="auto" w:fill="FFFFFF"/>
          <w:lang w:val="ro-MD"/>
        </w:rPr>
        <w:t>să  asigure elaborarea unei Strategii sectoriale</w:t>
      </w:r>
      <w:r w:rsidR="000D111F">
        <w:rPr>
          <w:rFonts w:asciiTheme="majorHAnsi" w:hAnsiTheme="majorHAnsi" w:cstheme="majorHAnsi"/>
          <w:shd w:val="clear" w:color="auto" w:fill="FFFFFF"/>
          <w:lang w:val="ro-MD"/>
        </w:rPr>
        <w:t>,</w:t>
      </w:r>
      <w:r w:rsidRPr="00BC7C49">
        <w:rPr>
          <w:rFonts w:asciiTheme="majorHAnsi" w:hAnsiTheme="majorHAnsi" w:cstheme="majorHAnsi"/>
          <w:shd w:val="clear" w:color="auto" w:fill="FFFFFF"/>
          <w:lang w:val="ro-MD"/>
        </w:rPr>
        <w:t xml:space="preserve"> în vederea dezvoltării </w:t>
      </w:r>
      <w:r w:rsidR="00943F6C" w:rsidRPr="00BC7C49">
        <w:rPr>
          <w:rFonts w:asciiTheme="majorHAnsi" w:hAnsiTheme="majorHAnsi" w:cstheme="majorHAnsi"/>
          <w:shd w:val="clear" w:color="auto" w:fill="FFFFFF"/>
          <w:lang w:val="ro-MD"/>
        </w:rPr>
        <w:t xml:space="preserve">domeniului </w:t>
      </w:r>
      <w:r w:rsidRPr="00BC7C49">
        <w:rPr>
          <w:rFonts w:asciiTheme="majorHAnsi" w:hAnsiTheme="majorHAnsi" w:cstheme="majorHAnsi"/>
          <w:shd w:val="clear" w:color="auto" w:fill="FFFFFF"/>
          <w:lang w:val="ro-MD"/>
        </w:rPr>
        <w:t>infrastructurii calității</w:t>
      </w:r>
      <w:r w:rsidR="00FE0E85">
        <w:rPr>
          <w:rFonts w:asciiTheme="majorHAnsi" w:hAnsiTheme="majorHAnsi" w:cstheme="majorHAnsi"/>
          <w:shd w:val="clear" w:color="auto" w:fill="FFFFFF"/>
          <w:lang w:val="ro-MD"/>
        </w:rPr>
        <w:t xml:space="preserve">, </w:t>
      </w:r>
      <w:r w:rsidR="00FE0E85" w:rsidRPr="006A7D91">
        <w:rPr>
          <w:rFonts w:asciiTheme="majorHAnsi" w:hAnsiTheme="majorHAnsi" w:cstheme="majorHAnsi"/>
          <w:shd w:val="clear" w:color="auto" w:fill="FFFFFF"/>
          <w:lang w:val="ro-MD"/>
        </w:rPr>
        <w:t>cu indicarea surselor și modalităților de finanțare a domeniului respectiv</w:t>
      </w:r>
      <w:r w:rsidRPr="006A7D91">
        <w:rPr>
          <w:rFonts w:asciiTheme="majorHAnsi" w:hAnsiTheme="majorHAnsi" w:cstheme="majorHAnsi"/>
          <w:shd w:val="clear" w:color="auto" w:fill="FFFFFF"/>
          <w:lang w:val="ro-MD"/>
        </w:rPr>
        <w:t xml:space="preserve"> (pct.4.3.1.)</w:t>
      </w:r>
      <w:r w:rsidR="000D111F">
        <w:rPr>
          <w:rFonts w:asciiTheme="majorHAnsi" w:hAnsiTheme="majorHAnsi" w:cstheme="majorHAnsi"/>
          <w:shd w:val="clear" w:color="auto" w:fill="FFFFFF"/>
          <w:lang w:val="ro-MD"/>
        </w:rPr>
        <w:t>;</w:t>
      </w:r>
    </w:p>
    <w:p w14:paraId="401C344B" w14:textId="5BA66F35" w:rsidR="007F2E8B" w:rsidRPr="00082B00" w:rsidRDefault="007F2E8B"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Directorului INM:</w:t>
      </w:r>
    </w:p>
    <w:p w14:paraId="345C0F04" w14:textId="07BDF99C" w:rsidR="007F2E8B" w:rsidRPr="00B227CB" w:rsidRDefault="007F2E8B" w:rsidP="007E002D">
      <w:pPr>
        <w:pStyle w:val="msonormalmailrucssattributepostfix"/>
        <w:numPr>
          <w:ilvl w:val="0"/>
          <w:numId w:val="41"/>
        </w:numPr>
        <w:spacing w:before="0" w:beforeAutospacing="0" w:after="0" w:afterAutospacing="0" w:line="276" w:lineRule="auto"/>
        <w:jc w:val="both"/>
        <w:rPr>
          <w:rFonts w:asciiTheme="majorHAnsi" w:hAnsiTheme="majorHAnsi" w:cstheme="majorHAnsi"/>
          <w:color w:val="000000" w:themeColor="text1"/>
          <w:shd w:val="clear" w:color="auto" w:fill="FFFFFF"/>
          <w:lang w:val="ro-MD"/>
        </w:rPr>
      </w:pPr>
      <w:r w:rsidRPr="00B227CB">
        <w:rPr>
          <w:rFonts w:asciiTheme="majorHAnsi" w:hAnsiTheme="majorHAnsi" w:cstheme="majorHAnsi"/>
          <w:color w:val="000000" w:themeColor="text1"/>
          <w:shd w:val="clear" w:color="auto" w:fill="FFFFFF"/>
          <w:lang w:val="ro-MD"/>
        </w:rPr>
        <w:t xml:space="preserve">să </w:t>
      </w:r>
      <w:r w:rsidR="00D13A57" w:rsidRPr="00B227CB">
        <w:rPr>
          <w:rFonts w:asciiTheme="majorHAnsi" w:hAnsiTheme="majorHAnsi" w:cstheme="majorHAnsi"/>
          <w:color w:val="000000" w:themeColor="text1"/>
          <w:shd w:val="clear" w:color="auto" w:fill="FFFFFF"/>
          <w:lang w:val="ro-MD"/>
        </w:rPr>
        <w:t xml:space="preserve"> stabilească proceduri de control intern managerial</w:t>
      </w:r>
      <w:r w:rsidR="000D111F">
        <w:rPr>
          <w:rFonts w:asciiTheme="majorHAnsi" w:hAnsiTheme="majorHAnsi" w:cstheme="majorHAnsi"/>
          <w:color w:val="000000" w:themeColor="text1"/>
          <w:shd w:val="clear" w:color="auto" w:fill="FFFFFF"/>
          <w:lang w:val="ro-MD"/>
        </w:rPr>
        <w:t>,</w:t>
      </w:r>
      <w:r w:rsidR="00D13A57" w:rsidRPr="00B227CB">
        <w:rPr>
          <w:rFonts w:asciiTheme="majorHAnsi" w:hAnsiTheme="majorHAnsi" w:cstheme="majorHAnsi"/>
          <w:color w:val="000000" w:themeColor="text1"/>
          <w:shd w:val="clear" w:color="auto" w:fill="FFFFFF"/>
          <w:lang w:val="ro-MD"/>
        </w:rPr>
        <w:t xml:space="preserve"> pentru a asigura păstrarea </w:t>
      </w:r>
      <w:r w:rsidRPr="00B227CB">
        <w:rPr>
          <w:rFonts w:asciiTheme="majorHAnsi" w:hAnsiTheme="majorHAnsi" w:cstheme="majorHAnsi"/>
          <w:color w:val="000000" w:themeColor="text1"/>
          <w:shd w:val="clear" w:color="auto" w:fill="FFFFFF"/>
          <w:lang w:val="ro-MD"/>
        </w:rPr>
        <w:t>corespunzătoare a dos</w:t>
      </w:r>
      <w:r w:rsidR="0070114C">
        <w:rPr>
          <w:rFonts w:asciiTheme="majorHAnsi" w:hAnsiTheme="majorHAnsi" w:cstheme="majorHAnsi"/>
          <w:color w:val="000000" w:themeColor="text1"/>
          <w:shd w:val="clear" w:color="auto" w:fill="FFFFFF"/>
          <w:lang w:val="ro-MD"/>
        </w:rPr>
        <w:t>a</w:t>
      </w:r>
      <w:r w:rsidRPr="00B227CB">
        <w:rPr>
          <w:rFonts w:asciiTheme="majorHAnsi" w:hAnsiTheme="majorHAnsi" w:cstheme="majorHAnsi"/>
          <w:color w:val="000000" w:themeColor="text1"/>
          <w:shd w:val="clear" w:color="auto" w:fill="FFFFFF"/>
          <w:lang w:val="ro-MD"/>
        </w:rPr>
        <w:t>relor arhivate (pct.4.1.1.)</w:t>
      </w:r>
      <w:r w:rsidR="000D111F">
        <w:rPr>
          <w:rFonts w:asciiTheme="majorHAnsi" w:hAnsiTheme="majorHAnsi" w:cstheme="majorHAnsi"/>
          <w:color w:val="000000" w:themeColor="text1"/>
          <w:shd w:val="clear" w:color="auto" w:fill="FFFFFF"/>
          <w:lang w:val="ro-MD"/>
        </w:rPr>
        <w:t>;</w:t>
      </w:r>
    </w:p>
    <w:p w14:paraId="24912D13" w14:textId="6EA78286" w:rsidR="00430D23" w:rsidRDefault="00430D23" w:rsidP="007E002D">
      <w:pPr>
        <w:pStyle w:val="msonormalmailrucssattributepostfix"/>
        <w:numPr>
          <w:ilvl w:val="0"/>
          <w:numId w:val="41"/>
        </w:numPr>
        <w:spacing w:before="0" w:beforeAutospacing="0" w:after="0" w:afterAutospacing="0" w:line="276" w:lineRule="auto"/>
        <w:jc w:val="both"/>
        <w:rPr>
          <w:rFonts w:asciiTheme="majorHAnsi" w:hAnsiTheme="majorHAnsi" w:cstheme="majorHAnsi"/>
          <w:color w:val="000000" w:themeColor="text1"/>
          <w:shd w:val="clear" w:color="auto" w:fill="FFFFFF"/>
          <w:lang w:val="ro-MD"/>
        </w:rPr>
      </w:pPr>
      <w:r w:rsidRPr="00B227CB">
        <w:rPr>
          <w:rFonts w:asciiTheme="majorHAnsi" w:hAnsiTheme="majorHAnsi" w:cstheme="majorHAnsi"/>
          <w:color w:val="000000" w:themeColor="text1"/>
          <w:shd w:val="clear" w:color="auto" w:fill="FFFFFF"/>
          <w:lang w:val="ro-MD"/>
        </w:rPr>
        <w:t xml:space="preserve">să asigure adoptarea cadrului regulator intern  aferent salarizării </w:t>
      </w:r>
      <w:r w:rsidRPr="004713BE">
        <w:rPr>
          <w:rFonts w:asciiTheme="majorHAnsi" w:hAnsiTheme="majorHAnsi" w:cstheme="majorHAnsi"/>
          <w:color w:val="000000" w:themeColor="text1"/>
          <w:shd w:val="clear" w:color="auto" w:fill="FFFFFF"/>
          <w:lang w:val="ro-MD"/>
        </w:rPr>
        <w:t xml:space="preserve">personalului încadrat în </w:t>
      </w:r>
      <w:r w:rsidRPr="00B227CB">
        <w:rPr>
          <w:rFonts w:asciiTheme="majorHAnsi" w:hAnsiTheme="majorHAnsi" w:cstheme="majorHAnsi"/>
          <w:color w:val="000000" w:themeColor="text1"/>
          <w:shd w:val="clear" w:color="auto" w:fill="FFFFFF"/>
          <w:lang w:val="ro-MD"/>
        </w:rPr>
        <w:t xml:space="preserve"> proiecte internaționale (</w:t>
      </w:r>
      <w:r w:rsidR="000D111F">
        <w:rPr>
          <w:rFonts w:asciiTheme="majorHAnsi" w:hAnsiTheme="majorHAnsi" w:cstheme="majorHAnsi"/>
          <w:color w:val="000000" w:themeColor="text1"/>
          <w:shd w:val="clear" w:color="auto" w:fill="FFFFFF"/>
          <w:lang w:val="ro-MD"/>
        </w:rPr>
        <w:t>pct.</w:t>
      </w:r>
      <w:r w:rsidRPr="00B227CB">
        <w:rPr>
          <w:rFonts w:asciiTheme="majorHAnsi" w:hAnsiTheme="majorHAnsi" w:cstheme="majorHAnsi"/>
          <w:color w:val="000000" w:themeColor="text1"/>
          <w:shd w:val="clear" w:color="auto" w:fill="FFFFFF"/>
          <w:lang w:val="ro-MD"/>
        </w:rPr>
        <w:t>4.3.2.)</w:t>
      </w:r>
      <w:r w:rsidR="000D111F">
        <w:rPr>
          <w:rFonts w:asciiTheme="majorHAnsi" w:hAnsiTheme="majorHAnsi" w:cstheme="majorHAnsi"/>
          <w:color w:val="000000" w:themeColor="text1"/>
          <w:shd w:val="clear" w:color="auto" w:fill="FFFFFF"/>
          <w:lang w:val="ro-MD"/>
        </w:rPr>
        <w:t>;</w:t>
      </w:r>
    </w:p>
    <w:p w14:paraId="1A97B49E" w14:textId="69EF02BE" w:rsidR="00F63782" w:rsidRPr="00F63782" w:rsidRDefault="00F63782" w:rsidP="007E002D">
      <w:pPr>
        <w:pStyle w:val="msonormalmailrucssattributepostfix"/>
        <w:numPr>
          <w:ilvl w:val="0"/>
          <w:numId w:val="41"/>
        </w:numPr>
        <w:spacing w:before="0" w:beforeAutospacing="0" w:after="0" w:afterAutospacing="0" w:line="276" w:lineRule="auto"/>
        <w:jc w:val="both"/>
        <w:rPr>
          <w:rFonts w:asciiTheme="majorHAnsi" w:hAnsiTheme="majorHAnsi" w:cstheme="majorHAnsi"/>
          <w:shd w:val="clear" w:color="auto" w:fill="FFFFFF"/>
          <w:lang w:val="ro-MD"/>
        </w:rPr>
      </w:pPr>
      <w:r w:rsidRPr="00F63782">
        <w:rPr>
          <w:rFonts w:asciiTheme="majorHAnsi" w:hAnsiTheme="majorHAnsi" w:cstheme="majorHAnsi"/>
          <w:shd w:val="clear" w:color="auto" w:fill="FFFFFF"/>
          <w:lang w:val="ro-MD"/>
        </w:rPr>
        <w:t xml:space="preserve">să asigure elaborarea și aprobarea </w:t>
      </w:r>
      <w:r w:rsidR="000D111F" w:rsidRPr="00F63782">
        <w:rPr>
          <w:rFonts w:asciiTheme="majorHAnsi" w:hAnsiTheme="majorHAnsi" w:cstheme="majorHAnsi"/>
          <w:shd w:val="clear" w:color="auto" w:fill="FFFFFF"/>
          <w:lang w:val="ro-MD"/>
        </w:rPr>
        <w:t xml:space="preserve">conform prevederilor legale </w:t>
      </w:r>
      <w:r w:rsidR="000D111F">
        <w:rPr>
          <w:rFonts w:asciiTheme="majorHAnsi" w:hAnsiTheme="majorHAnsi" w:cstheme="majorHAnsi"/>
          <w:shd w:val="clear" w:color="auto" w:fill="FFFFFF"/>
          <w:lang w:val="ro-MD"/>
        </w:rPr>
        <w:t>a R</w:t>
      </w:r>
      <w:r w:rsidRPr="00F63782">
        <w:rPr>
          <w:rFonts w:asciiTheme="majorHAnsi" w:hAnsiTheme="majorHAnsi" w:cstheme="majorHAnsi"/>
          <w:shd w:val="clear" w:color="auto" w:fill="FFFFFF"/>
          <w:lang w:val="ro-MD"/>
        </w:rPr>
        <w:t>egul</w:t>
      </w:r>
      <w:r w:rsidR="0070114C">
        <w:rPr>
          <w:rFonts w:asciiTheme="majorHAnsi" w:hAnsiTheme="majorHAnsi" w:cstheme="majorHAnsi"/>
          <w:shd w:val="clear" w:color="auto" w:fill="FFFFFF"/>
          <w:lang w:val="ro-MD"/>
        </w:rPr>
        <w:t>a</w:t>
      </w:r>
      <w:r w:rsidRPr="00F63782">
        <w:rPr>
          <w:rFonts w:asciiTheme="majorHAnsi" w:hAnsiTheme="majorHAnsi" w:cstheme="majorHAnsi"/>
          <w:shd w:val="clear" w:color="auto" w:fill="FFFFFF"/>
          <w:lang w:val="ro-MD"/>
        </w:rPr>
        <w:t xml:space="preserve">mentului de constituire și utilizare a veniturilor colectate </w:t>
      </w:r>
      <w:r w:rsidRPr="00255E9C">
        <w:rPr>
          <w:rFonts w:asciiTheme="majorHAnsi" w:hAnsiTheme="majorHAnsi" w:cstheme="majorHAnsi"/>
          <w:shd w:val="clear" w:color="auto" w:fill="FFFFFF"/>
          <w:lang w:val="ro-MD"/>
        </w:rPr>
        <w:t>(pct.4.2.)</w:t>
      </w:r>
      <w:r w:rsidR="000D111F">
        <w:rPr>
          <w:rFonts w:asciiTheme="majorHAnsi" w:hAnsiTheme="majorHAnsi" w:cstheme="majorHAnsi"/>
          <w:shd w:val="clear" w:color="auto" w:fill="FFFFFF"/>
          <w:lang w:val="ro-MD"/>
        </w:rPr>
        <w:t>;</w:t>
      </w:r>
    </w:p>
    <w:p w14:paraId="769D3AFD" w14:textId="6F29B7A7" w:rsidR="00B02AEE" w:rsidRPr="00082B00" w:rsidRDefault="00F66798"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w:t>
      </w:r>
      <w:r w:rsidR="00B02AEE" w:rsidRPr="00082B00">
        <w:rPr>
          <w:rFonts w:asciiTheme="majorHAnsi" w:hAnsiTheme="majorHAnsi" w:cstheme="majorHAnsi"/>
          <w:b/>
          <w:i/>
          <w:lang w:val="ro-MD"/>
        </w:rPr>
        <w:t>irectorului ISM:</w:t>
      </w:r>
    </w:p>
    <w:p w14:paraId="08ECFCCB" w14:textId="11492392" w:rsidR="00B02AEE" w:rsidRPr="000D111F" w:rsidRDefault="00B02AEE"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olor w:val="000000" w:themeColor="text1"/>
          <w:lang w:val="ro-MD"/>
        </w:rPr>
        <w:t xml:space="preserve">să </w:t>
      </w:r>
      <w:r w:rsidRPr="00B227CB">
        <w:rPr>
          <w:rFonts w:asciiTheme="majorHAnsi" w:hAnsiTheme="majorHAnsi" w:cstheme="majorHAnsi"/>
          <w:lang w:val="ro-MD"/>
        </w:rPr>
        <w:t>asigure</w:t>
      </w:r>
      <w:r w:rsidRPr="003A4848">
        <w:rPr>
          <w:rFonts w:asciiTheme="majorHAnsi" w:eastAsia="Times New Roman" w:hAnsiTheme="majorHAnsi"/>
          <w:color w:val="000000" w:themeColor="text1"/>
          <w:lang w:val="ro-MD"/>
        </w:rPr>
        <w:t xml:space="preserve"> înregistrarea în evidența contabilă a </w:t>
      </w:r>
      <w:r w:rsidRPr="005647E7">
        <w:rPr>
          <w:rFonts w:asciiTheme="majorHAnsi" w:eastAsia="Times New Roman" w:hAnsiTheme="majorHAnsi"/>
          <w:color w:val="000000" w:themeColor="text1"/>
          <w:lang w:val="ro-MD"/>
        </w:rPr>
        <w:t xml:space="preserve">sistemului informațional  </w:t>
      </w:r>
      <w:r w:rsidR="007C414F" w:rsidRPr="005647E7">
        <w:rPr>
          <w:rFonts w:asciiTheme="majorHAnsi" w:hAnsiTheme="majorHAnsi" w:cstheme="majorHAnsi"/>
          <w:color w:val="000000" w:themeColor="text1"/>
          <w:shd w:val="clear" w:color="auto" w:fill="FFFFFF"/>
          <w:lang w:val="ro-MD"/>
        </w:rPr>
        <w:t>platforma e-</w:t>
      </w:r>
      <w:r w:rsidR="007C414F">
        <w:rPr>
          <w:rFonts w:asciiTheme="majorHAnsi" w:hAnsiTheme="majorHAnsi" w:cstheme="majorHAnsi"/>
          <w:color w:val="000000" w:themeColor="text1"/>
          <w:shd w:val="clear" w:color="auto" w:fill="FFFFFF"/>
          <w:lang w:val="ro-MD"/>
        </w:rPr>
        <w:t>learn</w:t>
      </w:r>
      <w:r w:rsidRPr="003A4848">
        <w:rPr>
          <w:rFonts w:asciiTheme="majorHAnsi" w:hAnsiTheme="majorHAnsi" w:cstheme="majorHAnsi"/>
          <w:color w:val="000000" w:themeColor="text1"/>
          <w:shd w:val="clear" w:color="auto" w:fill="FFFFFF"/>
          <w:lang w:val="ro-MD"/>
        </w:rPr>
        <w:t>ing www.academia.standard.md</w:t>
      </w:r>
      <w:r w:rsidR="000D111F">
        <w:rPr>
          <w:rFonts w:asciiTheme="majorHAnsi" w:hAnsiTheme="majorHAnsi" w:cstheme="majorHAnsi"/>
          <w:color w:val="000000" w:themeColor="text1"/>
          <w:shd w:val="clear" w:color="auto" w:fill="FFFFFF"/>
          <w:lang w:val="ro-MD"/>
        </w:rPr>
        <w:t>,</w:t>
      </w:r>
      <w:r w:rsidRPr="003A4848">
        <w:rPr>
          <w:rFonts w:asciiTheme="majorHAnsi" w:hAnsiTheme="majorHAnsi" w:cstheme="majorHAnsi"/>
          <w:color w:val="000000" w:themeColor="text1"/>
          <w:shd w:val="clear" w:color="auto" w:fill="FFFFFF"/>
          <w:lang w:val="ro-MD"/>
        </w:rPr>
        <w:t xml:space="preserve"> </w:t>
      </w:r>
      <w:r w:rsidRPr="003A4848">
        <w:rPr>
          <w:rFonts w:asciiTheme="majorHAnsi" w:eastAsia="Times New Roman" w:hAnsiTheme="majorHAnsi"/>
          <w:color w:val="000000" w:themeColor="text1"/>
          <w:lang w:val="ro-MD"/>
        </w:rPr>
        <w:t xml:space="preserve">aflat în gestiune, în conformitate cu actele normative în vigoare </w:t>
      </w:r>
      <w:r w:rsidR="002B2DA8" w:rsidRPr="00255E9C">
        <w:rPr>
          <w:rFonts w:asciiTheme="majorHAnsi" w:hAnsiTheme="majorHAnsi"/>
          <w:color w:val="000000" w:themeColor="text1"/>
          <w:lang w:val="ro-MD" w:eastAsia="ro-MD"/>
        </w:rPr>
        <w:t>(pct.4.1</w:t>
      </w:r>
      <w:r w:rsidR="00275B64" w:rsidRPr="00255E9C">
        <w:rPr>
          <w:rFonts w:asciiTheme="majorHAnsi" w:hAnsiTheme="majorHAnsi"/>
          <w:color w:val="000000" w:themeColor="text1"/>
          <w:lang w:val="ro-MD" w:eastAsia="ro-MD"/>
        </w:rPr>
        <w:t>.2.1.)</w:t>
      </w:r>
      <w:r w:rsidR="004713BE">
        <w:rPr>
          <w:rFonts w:asciiTheme="majorHAnsi" w:hAnsiTheme="majorHAnsi"/>
          <w:color w:val="000000" w:themeColor="text1"/>
          <w:lang w:val="ro-MD" w:eastAsia="ro-MD"/>
        </w:rPr>
        <w:t>;</w:t>
      </w:r>
    </w:p>
    <w:p w14:paraId="06AAAC20" w14:textId="27BE56A7" w:rsidR="00B02AEE" w:rsidRPr="000D111F" w:rsidRDefault="00B02AEE"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olor w:val="000000" w:themeColor="text1"/>
          <w:lang w:val="ro-MD"/>
        </w:rPr>
        <w:t xml:space="preserve">să </w:t>
      </w:r>
      <w:r w:rsidRPr="00B227CB">
        <w:rPr>
          <w:rFonts w:asciiTheme="majorHAnsi" w:hAnsiTheme="majorHAnsi" w:cstheme="majorHAnsi"/>
          <w:lang w:val="ro-MD"/>
        </w:rPr>
        <w:t>asigure</w:t>
      </w:r>
      <w:r w:rsidRPr="003A4848">
        <w:rPr>
          <w:rFonts w:asciiTheme="majorHAnsi" w:eastAsia="Times New Roman" w:hAnsiTheme="majorHAnsi"/>
          <w:color w:val="000000" w:themeColor="text1"/>
          <w:lang w:val="ro-MD"/>
        </w:rPr>
        <w:t xml:space="preserve"> darea în exploatare a imobilizărilor corporale în curs de execuție în conformitate cu actele normative în vigoare</w:t>
      </w:r>
      <w:r w:rsidR="0024488E" w:rsidRPr="003A4848">
        <w:rPr>
          <w:rFonts w:asciiTheme="majorHAnsi" w:eastAsia="Times New Roman" w:hAnsiTheme="majorHAnsi"/>
          <w:color w:val="000000" w:themeColor="text1"/>
          <w:lang w:val="ro-MD"/>
        </w:rPr>
        <w:t xml:space="preserve"> </w:t>
      </w:r>
      <w:r w:rsidRPr="000D111F">
        <w:rPr>
          <w:rFonts w:asciiTheme="majorHAnsi" w:eastAsia="Times New Roman" w:hAnsiTheme="majorHAnsi"/>
          <w:color w:val="000000" w:themeColor="text1"/>
          <w:lang w:val="ro-MD"/>
        </w:rPr>
        <w:t>(</w:t>
      </w:r>
      <w:r w:rsidRPr="00255E9C">
        <w:rPr>
          <w:rFonts w:asciiTheme="majorHAnsi" w:eastAsia="Times New Roman" w:hAnsiTheme="majorHAnsi"/>
          <w:color w:val="000000" w:themeColor="text1"/>
          <w:lang w:val="ro-MD"/>
        </w:rPr>
        <w:t>pct 4.1.2.2</w:t>
      </w:r>
      <w:r w:rsidRPr="000D111F">
        <w:rPr>
          <w:rFonts w:asciiTheme="majorHAnsi" w:eastAsia="Times New Roman" w:hAnsiTheme="majorHAnsi"/>
          <w:color w:val="000000" w:themeColor="text1"/>
          <w:lang w:val="ro-MD"/>
        </w:rPr>
        <w:t>.)</w:t>
      </w:r>
      <w:r w:rsidR="004713BE">
        <w:rPr>
          <w:rFonts w:asciiTheme="majorHAnsi" w:eastAsia="Times New Roman" w:hAnsiTheme="majorHAnsi"/>
          <w:color w:val="000000" w:themeColor="text1"/>
          <w:lang w:val="ro-MD"/>
        </w:rPr>
        <w:t>;</w:t>
      </w:r>
    </w:p>
    <w:p w14:paraId="0E4394C8" w14:textId="3DE644C6" w:rsidR="008368B5" w:rsidRPr="000D111F" w:rsidRDefault="008368B5"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Pr>
          <w:rFonts w:asciiTheme="majorHAnsi" w:eastAsia="Times New Roman" w:hAnsiTheme="majorHAnsi"/>
          <w:color w:val="000000" w:themeColor="text1"/>
          <w:lang w:val="ro-MD"/>
        </w:rPr>
        <w:t xml:space="preserve">să asigure </w:t>
      </w:r>
      <w:r w:rsidR="0070114C">
        <w:rPr>
          <w:rFonts w:asciiTheme="majorHAnsi" w:eastAsia="Times New Roman" w:hAnsiTheme="majorHAnsi"/>
          <w:color w:val="000000" w:themeColor="text1"/>
          <w:lang w:val="ro-MD"/>
        </w:rPr>
        <w:t>î</w:t>
      </w:r>
      <w:r>
        <w:rPr>
          <w:rFonts w:asciiTheme="majorHAnsi" w:eastAsia="Times New Roman" w:hAnsiTheme="majorHAnsi"/>
          <w:color w:val="000000" w:themeColor="text1"/>
          <w:lang w:val="ro-MD"/>
        </w:rPr>
        <w:t>nregistrarea și raportarea corespunzătoare a cheltuielilor aferente serviciilor prestate de către personalul neîncadrat în state</w:t>
      </w:r>
      <w:r w:rsidR="004713BE">
        <w:rPr>
          <w:rFonts w:asciiTheme="majorHAnsi" w:eastAsia="Times New Roman" w:hAnsiTheme="majorHAnsi"/>
          <w:color w:val="000000" w:themeColor="text1"/>
          <w:lang w:val="ro-MD"/>
        </w:rPr>
        <w:t>le de personal</w:t>
      </w:r>
      <w:r>
        <w:rPr>
          <w:rFonts w:asciiTheme="majorHAnsi" w:eastAsia="Times New Roman" w:hAnsiTheme="majorHAnsi"/>
          <w:color w:val="000000" w:themeColor="text1"/>
          <w:lang w:val="ro-MD"/>
        </w:rPr>
        <w:t xml:space="preserve"> </w:t>
      </w:r>
      <w:r w:rsidRPr="00255E9C">
        <w:rPr>
          <w:rFonts w:asciiTheme="majorHAnsi" w:eastAsia="Times New Roman" w:hAnsiTheme="majorHAnsi"/>
          <w:color w:val="000000" w:themeColor="text1"/>
          <w:lang w:val="ro-MD"/>
        </w:rPr>
        <w:t>(pct.4.3.2.)</w:t>
      </w:r>
      <w:r w:rsidR="004713BE">
        <w:rPr>
          <w:rFonts w:asciiTheme="majorHAnsi" w:eastAsia="Times New Roman" w:hAnsiTheme="majorHAnsi"/>
          <w:color w:val="000000" w:themeColor="text1"/>
          <w:lang w:val="ro-MD"/>
        </w:rPr>
        <w:t>;</w:t>
      </w:r>
    </w:p>
    <w:p w14:paraId="30A9CE6F" w14:textId="77777777" w:rsidR="00FE46AB" w:rsidRPr="00082B00" w:rsidRDefault="00FE46AB"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Directorului ISSPNPC (succesor de drepturi al APCSP):</w:t>
      </w:r>
    </w:p>
    <w:p w14:paraId="7D6136BC" w14:textId="7D77D772" w:rsidR="00FE46AB" w:rsidRPr="000D111F" w:rsidRDefault="00FE46AB"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stheme="majorHAnsi"/>
          <w:bCs/>
          <w:color w:val="000000" w:themeColor="text1"/>
          <w:lang w:val="ro-MD"/>
        </w:rPr>
        <w:t xml:space="preserve">să asigure acordarea concediilor anuale în conformitate cu prevederile  cadrului regulator în vigoare </w:t>
      </w:r>
      <w:r w:rsidRPr="000D111F">
        <w:rPr>
          <w:rFonts w:asciiTheme="majorHAnsi" w:eastAsia="Times New Roman" w:hAnsiTheme="majorHAnsi" w:cstheme="majorHAnsi"/>
          <w:bCs/>
          <w:color w:val="000000" w:themeColor="text1"/>
          <w:lang w:val="ro-MD"/>
        </w:rPr>
        <w:t>(</w:t>
      </w:r>
      <w:r w:rsidRPr="00255E9C">
        <w:rPr>
          <w:rFonts w:asciiTheme="majorHAnsi" w:eastAsia="Times New Roman" w:hAnsiTheme="majorHAnsi" w:cstheme="majorHAnsi"/>
          <w:bCs/>
          <w:color w:val="000000" w:themeColor="text1"/>
          <w:lang w:val="ro-MD"/>
        </w:rPr>
        <w:t>pct.4.3.2.)</w:t>
      </w:r>
      <w:r w:rsidR="004713BE">
        <w:rPr>
          <w:rFonts w:asciiTheme="majorHAnsi" w:eastAsia="Times New Roman" w:hAnsiTheme="majorHAnsi" w:cstheme="majorHAnsi"/>
          <w:bCs/>
          <w:color w:val="000000" w:themeColor="text1"/>
          <w:lang w:val="ro-MD"/>
        </w:rPr>
        <w:t>;</w:t>
      </w:r>
    </w:p>
    <w:p w14:paraId="157DD644" w14:textId="45E92444" w:rsidR="00FE46AB" w:rsidRPr="00082B00" w:rsidRDefault="00FE46AB"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Directo</w:t>
      </w:r>
      <w:r w:rsidR="004713BE">
        <w:rPr>
          <w:rFonts w:asciiTheme="majorHAnsi" w:hAnsiTheme="majorHAnsi" w:cstheme="majorHAnsi"/>
          <w:b/>
          <w:i/>
          <w:lang w:val="ro-MD"/>
        </w:rPr>
        <w:t>r</w:t>
      </w:r>
      <w:r w:rsidRPr="00082B00">
        <w:rPr>
          <w:rFonts w:asciiTheme="majorHAnsi" w:hAnsiTheme="majorHAnsi" w:cstheme="majorHAnsi"/>
          <w:b/>
          <w:i/>
          <w:lang w:val="ro-MD"/>
        </w:rPr>
        <w:t>ului MOLDAC:</w:t>
      </w:r>
    </w:p>
    <w:p w14:paraId="1791ADDF" w14:textId="1C21115B" w:rsidR="00FE46AB" w:rsidRPr="000D111F" w:rsidRDefault="00FE46AB"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stheme="majorHAnsi"/>
          <w:bCs/>
          <w:color w:val="000000" w:themeColor="text1"/>
          <w:lang w:val="ro-MD"/>
        </w:rPr>
        <w:t xml:space="preserve">să asigure adoptarea cadrului regulator intern  aferent sistemului de salarizare (modalitatea și criteriile de stabilire a </w:t>
      </w:r>
      <w:r w:rsidR="00BD6C34">
        <w:rPr>
          <w:rFonts w:asciiTheme="majorHAnsi" w:eastAsia="Times New Roman" w:hAnsiTheme="majorHAnsi" w:cstheme="majorHAnsi"/>
          <w:bCs/>
          <w:color w:val="000000" w:themeColor="text1"/>
          <w:lang w:val="ro-MD"/>
        </w:rPr>
        <w:t xml:space="preserve"> suplimentelor lunare stimulatorii, </w:t>
      </w:r>
      <w:r w:rsidRPr="003A4848">
        <w:rPr>
          <w:rFonts w:asciiTheme="majorHAnsi" w:eastAsia="Times New Roman" w:hAnsiTheme="majorHAnsi" w:cstheme="majorHAnsi"/>
          <w:bCs/>
          <w:color w:val="000000" w:themeColor="text1"/>
          <w:lang w:val="ro-MD"/>
        </w:rPr>
        <w:t>sporului pentru cumulare de funcție, ajutoare</w:t>
      </w:r>
      <w:r w:rsidR="004713BE">
        <w:rPr>
          <w:rFonts w:asciiTheme="majorHAnsi" w:eastAsia="Times New Roman" w:hAnsiTheme="majorHAnsi" w:cstheme="majorHAnsi"/>
          <w:bCs/>
          <w:color w:val="000000" w:themeColor="text1"/>
          <w:lang w:val="ro-MD"/>
        </w:rPr>
        <w:t>lor</w:t>
      </w:r>
      <w:r w:rsidRPr="003A4848">
        <w:rPr>
          <w:rFonts w:asciiTheme="majorHAnsi" w:eastAsia="Times New Roman" w:hAnsiTheme="majorHAnsi" w:cstheme="majorHAnsi"/>
          <w:bCs/>
          <w:color w:val="000000" w:themeColor="text1"/>
          <w:lang w:val="ro-MD"/>
        </w:rPr>
        <w:t xml:space="preserve"> materiale și premii</w:t>
      </w:r>
      <w:r w:rsidR="004713BE">
        <w:rPr>
          <w:rFonts w:asciiTheme="majorHAnsi" w:eastAsia="Times New Roman" w:hAnsiTheme="majorHAnsi" w:cstheme="majorHAnsi"/>
          <w:bCs/>
          <w:color w:val="000000" w:themeColor="text1"/>
          <w:lang w:val="ro-MD"/>
        </w:rPr>
        <w:t>lor</w:t>
      </w:r>
      <w:r w:rsidRPr="003A4848">
        <w:rPr>
          <w:rFonts w:asciiTheme="majorHAnsi" w:eastAsia="Times New Roman" w:hAnsiTheme="majorHAnsi" w:cstheme="majorHAnsi"/>
          <w:bCs/>
          <w:color w:val="000000" w:themeColor="text1"/>
          <w:lang w:val="ro-MD"/>
        </w:rPr>
        <w:t xml:space="preserve"> unice</w:t>
      </w:r>
      <w:r w:rsidR="004713BE">
        <w:rPr>
          <w:rFonts w:asciiTheme="majorHAnsi" w:eastAsia="Times New Roman" w:hAnsiTheme="majorHAnsi" w:cstheme="majorHAnsi"/>
          <w:bCs/>
          <w:color w:val="000000" w:themeColor="text1"/>
          <w:lang w:val="ro-MD"/>
        </w:rPr>
        <w:t xml:space="preserve"> </w:t>
      </w:r>
      <w:r w:rsidR="00355056" w:rsidRPr="003A4848">
        <w:rPr>
          <w:rFonts w:asciiTheme="majorHAnsi" w:eastAsia="Times New Roman" w:hAnsiTheme="majorHAnsi" w:cstheme="majorHAnsi"/>
          <w:bCs/>
          <w:color w:val="000000" w:themeColor="text1"/>
          <w:lang w:val="ro-MD"/>
        </w:rPr>
        <w:t>etc.</w:t>
      </w:r>
      <w:r w:rsidRPr="003A4848">
        <w:rPr>
          <w:rFonts w:asciiTheme="majorHAnsi" w:eastAsia="Times New Roman" w:hAnsiTheme="majorHAnsi" w:cstheme="majorHAnsi"/>
          <w:bCs/>
          <w:color w:val="000000" w:themeColor="text1"/>
          <w:lang w:val="ro-MD"/>
        </w:rPr>
        <w:t xml:space="preserve">) </w:t>
      </w:r>
      <w:r w:rsidRPr="000D111F">
        <w:rPr>
          <w:rFonts w:asciiTheme="majorHAnsi" w:eastAsia="Times New Roman" w:hAnsiTheme="majorHAnsi" w:cstheme="majorHAnsi"/>
          <w:bCs/>
          <w:color w:val="000000" w:themeColor="text1"/>
          <w:lang w:val="ro-MD"/>
        </w:rPr>
        <w:t>(</w:t>
      </w:r>
      <w:r w:rsidRPr="00255E9C">
        <w:rPr>
          <w:rFonts w:asciiTheme="majorHAnsi" w:eastAsia="Times New Roman" w:hAnsiTheme="majorHAnsi" w:cstheme="majorHAnsi"/>
          <w:bCs/>
          <w:color w:val="000000" w:themeColor="text1"/>
          <w:lang w:val="ro-MD"/>
        </w:rPr>
        <w:t>pct. 4.3.2</w:t>
      </w:r>
      <w:r w:rsidRPr="000D111F">
        <w:rPr>
          <w:rFonts w:asciiTheme="majorHAnsi" w:eastAsia="Times New Roman" w:hAnsiTheme="majorHAnsi" w:cstheme="majorHAnsi"/>
          <w:bCs/>
          <w:color w:val="000000" w:themeColor="text1"/>
          <w:lang w:val="ro-MD"/>
        </w:rPr>
        <w:t>.)</w:t>
      </w:r>
      <w:r w:rsidR="004713BE">
        <w:rPr>
          <w:rFonts w:asciiTheme="majorHAnsi" w:eastAsia="Times New Roman" w:hAnsiTheme="majorHAnsi" w:cstheme="majorHAnsi"/>
          <w:bCs/>
          <w:color w:val="000000" w:themeColor="text1"/>
          <w:lang w:val="ro-MD"/>
        </w:rPr>
        <w:t>;</w:t>
      </w:r>
    </w:p>
    <w:p w14:paraId="0EF7C5BB" w14:textId="1E7D1D74" w:rsidR="00FE46AB" w:rsidRPr="003A4848" w:rsidRDefault="00FE46AB"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stheme="majorHAnsi"/>
          <w:bCs/>
          <w:color w:val="000000" w:themeColor="text1"/>
          <w:lang w:val="ro-MD"/>
        </w:rPr>
        <w:t>să asigure respectarea cadrului normativ în vigoare prin necontractarea serviciilor suplimentare ac</w:t>
      </w:r>
      <w:r w:rsidR="00355056" w:rsidRPr="003A4848">
        <w:rPr>
          <w:rFonts w:asciiTheme="majorHAnsi" w:eastAsia="Times New Roman" w:hAnsiTheme="majorHAnsi" w:cstheme="majorHAnsi"/>
          <w:bCs/>
          <w:color w:val="000000" w:themeColor="text1"/>
          <w:lang w:val="ro-MD"/>
        </w:rPr>
        <w:t>tivității de bază a instituției</w:t>
      </w:r>
      <w:r w:rsidRPr="003A4848">
        <w:rPr>
          <w:rFonts w:asciiTheme="majorHAnsi" w:eastAsia="Times New Roman" w:hAnsiTheme="majorHAnsi" w:cstheme="majorHAnsi"/>
          <w:bCs/>
          <w:color w:val="000000" w:themeColor="text1"/>
          <w:lang w:val="ro-MD"/>
        </w:rPr>
        <w:t xml:space="preserve"> (pct. 4.3.2.)</w:t>
      </w:r>
      <w:r w:rsidR="004713BE">
        <w:rPr>
          <w:rFonts w:asciiTheme="majorHAnsi" w:eastAsia="Times New Roman" w:hAnsiTheme="majorHAnsi" w:cstheme="majorHAnsi"/>
          <w:bCs/>
          <w:color w:val="000000" w:themeColor="text1"/>
          <w:lang w:val="ro-MD"/>
        </w:rPr>
        <w:t>;</w:t>
      </w:r>
    </w:p>
    <w:p w14:paraId="4B7631B5" w14:textId="0FAE5A42" w:rsidR="007B3F5F" w:rsidRPr="00082B00" w:rsidRDefault="00F66798"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w:t>
      </w:r>
      <w:r w:rsidR="007B3F5F" w:rsidRPr="00082B00">
        <w:rPr>
          <w:rFonts w:asciiTheme="majorHAnsi" w:hAnsiTheme="majorHAnsi" w:cstheme="majorHAnsi"/>
          <w:b/>
          <w:i/>
          <w:lang w:val="ro-MD"/>
        </w:rPr>
        <w:t>irector</w:t>
      </w:r>
      <w:r w:rsidR="004713BE">
        <w:rPr>
          <w:rFonts w:asciiTheme="majorHAnsi" w:hAnsiTheme="majorHAnsi" w:cstheme="majorHAnsi"/>
          <w:b/>
          <w:i/>
          <w:lang w:val="ro-MD"/>
        </w:rPr>
        <w:t>ilor</w:t>
      </w:r>
      <w:r w:rsidR="007B3F5F" w:rsidRPr="00082B00">
        <w:rPr>
          <w:rFonts w:asciiTheme="majorHAnsi" w:hAnsiTheme="majorHAnsi" w:cstheme="majorHAnsi"/>
          <w:b/>
          <w:i/>
          <w:lang w:val="ro-MD"/>
        </w:rPr>
        <w:t xml:space="preserve">  INM, ISM și MOLDAC:</w:t>
      </w:r>
    </w:p>
    <w:p w14:paraId="5C99F9D3" w14:textId="4DC7C90D" w:rsidR="00B02AEE" w:rsidRPr="003A4848" w:rsidRDefault="00B02AEE"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B227CB">
        <w:rPr>
          <w:rFonts w:asciiTheme="majorHAnsi" w:eastAsia="Times New Roman" w:hAnsiTheme="majorHAnsi" w:cstheme="majorHAnsi"/>
          <w:bCs/>
          <w:color w:val="000000" w:themeColor="text1"/>
          <w:lang w:val="ro-MD"/>
        </w:rPr>
        <w:t>să asigure reevaluarea imobilizărilor necorporale și corporale în conformitate cu actele normative în vigoare (pct</w:t>
      </w:r>
      <w:r w:rsidR="004713BE">
        <w:rPr>
          <w:rFonts w:asciiTheme="majorHAnsi" w:eastAsia="Times New Roman" w:hAnsiTheme="majorHAnsi" w:cstheme="majorHAnsi"/>
          <w:bCs/>
          <w:color w:val="000000" w:themeColor="text1"/>
          <w:lang w:val="ro-MD"/>
        </w:rPr>
        <w:t>.</w:t>
      </w:r>
      <w:r w:rsidRPr="00B227CB">
        <w:rPr>
          <w:rFonts w:asciiTheme="majorHAnsi" w:eastAsia="Times New Roman" w:hAnsiTheme="majorHAnsi" w:cstheme="majorHAnsi"/>
          <w:bCs/>
          <w:color w:val="000000" w:themeColor="text1"/>
          <w:lang w:val="ro-MD"/>
        </w:rPr>
        <w:t xml:space="preserve"> 4.1.2.3.)</w:t>
      </w:r>
      <w:r w:rsidR="004713BE">
        <w:rPr>
          <w:rFonts w:asciiTheme="majorHAnsi" w:eastAsia="Times New Roman" w:hAnsiTheme="majorHAnsi" w:cstheme="majorHAnsi"/>
          <w:bCs/>
          <w:color w:val="000000" w:themeColor="text1"/>
          <w:lang w:val="ro-MD"/>
        </w:rPr>
        <w:t>;</w:t>
      </w:r>
    </w:p>
    <w:p w14:paraId="754664A6" w14:textId="4AE635F0" w:rsidR="00E671CC" w:rsidRPr="003A4848" w:rsidRDefault="00E671CC"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B227CB">
        <w:rPr>
          <w:rFonts w:asciiTheme="majorHAnsi" w:eastAsia="Times New Roman" w:hAnsiTheme="majorHAnsi" w:cstheme="majorHAnsi"/>
          <w:bCs/>
          <w:color w:val="000000" w:themeColor="text1"/>
          <w:lang w:val="ro-MD"/>
        </w:rPr>
        <w:t xml:space="preserve">să asigure tratamentul contabil corespunzător aferent constituirii provizionului pentru </w:t>
      </w:r>
      <w:r w:rsidR="00707CBB">
        <w:rPr>
          <w:rFonts w:asciiTheme="majorHAnsi" w:eastAsia="Times New Roman" w:hAnsiTheme="majorHAnsi" w:cstheme="majorHAnsi"/>
          <w:bCs/>
          <w:color w:val="000000" w:themeColor="text1"/>
          <w:lang w:val="ro-MD"/>
        </w:rPr>
        <w:t>datoriile instituț</w:t>
      </w:r>
      <w:r w:rsidRPr="00B227CB">
        <w:rPr>
          <w:rFonts w:asciiTheme="majorHAnsi" w:eastAsia="Times New Roman" w:hAnsiTheme="majorHAnsi" w:cstheme="majorHAnsi"/>
          <w:bCs/>
          <w:color w:val="000000" w:themeColor="text1"/>
          <w:lang w:val="ro-MD"/>
        </w:rPr>
        <w:t>iilor față de personalul încadrat privind concediile de odihnă nefolosite (pct. 4.3.2.)</w:t>
      </w:r>
      <w:r w:rsidR="004713BE">
        <w:rPr>
          <w:rFonts w:asciiTheme="majorHAnsi" w:eastAsia="Times New Roman" w:hAnsiTheme="majorHAnsi" w:cstheme="majorHAnsi"/>
          <w:bCs/>
          <w:color w:val="000000" w:themeColor="text1"/>
          <w:lang w:val="ro-MD"/>
        </w:rPr>
        <w:t>;</w:t>
      </w:r>
    </w:p>
    <w:p w14:paraId="0EE44322" w14:textId="019F5029" w:rsidR="00F66798" w:rsidRPr="00082B00" w:rsidRDefault="00F66798"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Director</w:t>
      </w:r>
      <w:r w:rsidR="004713BE">
        <w:rPr>
          <w:rFonts w:asciiTheme="majorHAnsi" w:hAnsiTheme="majorHAnsi" w:cstheme="majorHAnsi"/>
          <w:b/>
          <w:i/>
          <w:lang w:val="ro-MD"/>
        </w:rPr>
        <w:t>ilor</w:t>
      </w:r>
      <w:r w:rsidRPr="00082B00">
        <w:rPr>
          <w:rFonts w:asciiTheme="majorHAnsi" w:hAnsiTheme="majorHAnsi" w:cstheme="majorHAnsi"/>
          <w:b/>
          <w:i/>
          <w:lang w:val="ro-MD"/>
        </w:rPr>
        <w:t xml:space="preserve">   ISM, MOLDAC</w:t>
      </w:r>
      <w:r w:rsidR="004F3EDB" w:rsidRPr="00082B00">
        <w:rPr>
          <w:rFonts w:asciiTheme="majorHAnsi" w:hAnsiTheme="majorHAnsi" w:cstheme="majorHAnsi"/>
          <w:b/>
          <w:i/>
          <w:lang w:val="ro-MD"/>
        </w:rPr>
        <w:t xml:space="preserve"> și ISSPNPC (succesor de drepturi al APCSP)</w:t>
      </w:r>
      <w:r w:rsidRPr="00082B00">
        <w:rPr>
          <w:rFonts w:asciiTheme="majorHAnsi" w:hAnsiTheme="majorHAnsi" w:cstheme="majorHAnsi"/>
          <w:b/>
          <w:i/>
          <w:lang w:val="ro-MD"/>
        </w:rPr>
        <w:t>:</w:t>
      </w:r>
    </w:p>
    <w:p w14:paraId="0671145E" w14:textId="57D2D8C9" w:rsidR="007F2E8B" w:rsidRPr="003A4848" w:rsidRDefault="00B02AEE"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stheme="majorHAnsi"/>
          <w:bCs/>
          <w:color w:val="000000" w:themeColor="text1"/>
          <w:lang w:val="ro-MD"/>
        </w:rPr>
        <w:t>să asigure casarea mijloacelor fixe uzate și neutilizate în</w:t>
      </w:r>
      <w:r w:rsidR="00FA5A12" w:rsidRPr="003A4848">
        <w:rPr>
          <w:rFonts w:asciiTheme="majorHAnsi" w:eastAsia="Times New Roman" w:hAnsiTheme="majorHAnsi" w:cstheme="majorHAnsi"/>
          <w:bCs/>
          <w:color w:val="000000" w:themeColor="text1"/>
          <w:lang w:val="ro-MD"/>
        </w:rPr>
        <w:t xml:space="preserve"> procesul operațional în </w:t>
      </w:r>
      <w:r w:rsidRPr="003A4848">
        <w:rPr>
          <w:rFonts w:asciiTheme="majorHAnsi" w:eastAsia="Times New Roman" w:hAnsiTheme="majorHAnsi" w:cstheme="majorHAnsi"/>
          <w:bCs/>
          <w:color w:val="000000" w:themeColor="text1"/>
          <w:lang w:val="ro-MD"/>
        </w:rPr>
        <w:t xml:space="preserve"> conformitate cu actele normative în vigoare  </w:t>
      </w:r>
      <w:r w:rsidR="00EB3198" w:rsidRPr="00B227CB">
        <w:rPr>
          <w:rFonts w:asciiTheme="majorHAnsi" w:eastAsia="Times New Roman" w:hAnsiTheme="majorHAnsi" w:cstheme="majorHAnsi"/>
          <w:bCs/>
          <w:color w:val="000000" w:themeColor="text1"/>
          <w:lang w:val="ro-MD"/>
        </w:rPr>
        <w:t>(pct.4.1</w:t>
      </w:r>
      <w:r w:rsidRPr="00B227CB">
        <w:rPr>
          <w:rFonts w:asciiTheme="majorHAnsi" w:eastAsia="Times New Roman" w:hAnsiTheme="majorHAnsi" w:cstheme="majorHAnsi"/>
          <w:bCs/>
          <w:color w:val="000000" w:themeColor="text1"/>
          <w:lang w:val="ro-MD"/>
        </w:rPr>
        <w:t>.2.4.)</w:t>
      </w:r>
      <w:r w:rsidR="004713BE">
        <w:rPr>
          <w:rFonts w:asciiTheme="majorHAnsi" w:eastAsia="Times New Roman" w:hAnsiTheme="majorHAnsi" w:cstheme="majorHAnsi"/>
          <w:bCs/>
          <w:color w:val="000000" w:themeColor="text1"/>
          <w:lang w:val="ro-MD"/>
        </w:rPr>
        <w:t>;</w:t>
      </w:r>
    </w:p>
    <w:p w14:paraId="35047375" w14:textId="20A624AC" w:rsidR="002F5FDD" w:rsidRPr="00082B00" w:rsidRDefault="00BB7DC6" w:rsidP="00082B00">
      <w:pPr>
        <w:pStyle w:val="msonormalmailrucssattributepostfix"/>
        <w:spacing w:before="0" w:beforeAutospacing="0" w:after="0" w:afterAutospacing="0" w:line="276" w:lineRule="auto"/>
        <w:jc w:val="both"/>
        <w:rPr>
          <w:rFonts w:asciiTheme="majorHAnsi" w:hAnsiTheme="majorHAnsi" w:cstheme="majorHAnsi"/>
          <w:b/>
          <w:i/>
          <w:lang w:val="ro-MD"/>
        </w:rPr>
      </w:pPr>
      <w:r w:rsidRPr="00082B00">
        <w:rPr>
          <w:rFonts w:asciiTheme="majorHAnsi" w:hAnsiTheme="majorHAnsi" w:cstheme="majorHAnsi"/>
          <w:b/>
          <w:i/>
          <w:lang w:val="ro-MD"/>
        </w:rPr>
        <w:t>Director</w:t>
      </w:r>
      <w:r w:rsidR="004713BE">
        <w:rPr>
          <w:rFonts w:asciiTheme="majorHAnsi" w:hAnsiTheme="majorHAnsi" w:cstheme="majorHAnsi"/>
          <w:b/>
          <w:i/>
          <w:lang w:val="ro-MD"/>
        </w:rPr>
        <w:t>ilor</w:t>
      </w:r>
      <w:r w:rsidRPr="00082B00">
        <w:rPr>
          <w:rFonts w:asciiTheme="majorHAnsi" w:hAnsiTheme="majorHAnsi" w:cstheme="majorHAnsi"/>
          <w:b/>
          <w:i/>
          <w:lang w:val="ro-MD"/>
        </w:rPr>
        <w:t xml:space="preserve">   ISM, INM, MOLDAC și ISSPNPC (succesor de drepturi al APCSP):</w:t>
      </w:r>
    </w:p>
    <w:p w14:paraId="0111DBB8" w14:textId="1A32367C" w:rsidR="007F2E8B" w:rsidRPr="00B227CB" w:rsidRDefault="00BB7DC6" w:rsidP="007E002D">
      <w:pPr>
        <w:pStyle w:val="msonormalmailrucssattributepostfix"/>
        <w:numPr>
          <w:ilvl w:val="0"/>
          <w:numId w:val="41"/>
        </w:numPr>
        <w:spacing w:before="0" w:beforeAutospacing="0" w:after="0" w:afterAutospacing="0" w:line="276" w:lineRule="auto"/>
        <w:jc w:val="both"/>
        <w:rPr>
          <w:rFonts w:asciiTheme="majorHAnsi" w:eastAsia="Times New Roman" w:hAnsiTheme="majorHAnsi" w:cstheme="majorHAnsi"/>
          <w:bCs/>
          <w:color w:val="000000" w:themeColor="text1"/>
          <w:lang w:val="ro-MD"/>
        </w:rPr>
      </w:pPr>
      <w:r w:rsidRPr="003A4848">
        <w:rPr>
          <w:rFonts w:asciiTheme="majorHAnsi" w:eastAsia="Times New Roman" w:hAnsiTheme="majorHAnsi" w:cstheme="majorHAnsi"/>
          <w:bCs/>
          <w:color w:val="000000" w:themeColor="text1"/>
          <w:lang w:val="ro-MD"/>
        </w:rPr>
        <w:t>să asigure</w:t>
      </w:r>
      <w:r w:rsidR="00B74FFF">
        <w:rPr>
          <w:rFonts w:asciiTheme="majorHAnsi" w:eastAsia="Times New Roman" w:hAnsiTheme="majorHAnsi" w:cstheme="majorHAnsi"/>
          <w:bCs/>
          <w:color w:val="000000" w:themeColor="text1"/>
          <w:lang w:val="ro-MD"/>
        </w:rPr>
        <w:t xml:space="preserve"> </w:t>
      </w:r>
      <w:r w:rsidR="00355056" w:rsidRPr="003A4848">
        <w:rPr>
          <w:rFonts w:asciiTheme="majorHAnsi" w:eastAsia="Times New Roman" w:hAnsiTheme="majorHAnsi" w:cstheme="majorHAnsi"/>
          <w:bCs/>
          <w:color w:val="000000" w:themeColor="text1"/>
          <w:lang w:val="ro-MD"/>
        </w:rPr>
        <w:t>efectuarea regulament</w:t>
      </w:r>
      <w:r w:rsidR="00B74FFF">
        <w:rPr>
          <w:rFonts w:asciiTheme="majorHAnsi" w:eastAsia="Times New Roman" w:hAnsiTheme="majorHAnsi" w:cstheme="majorHAnsi"/>
          <w:bCs/>
          <w:color w:val="000000" w:themeColor="text1"/>
          <w:lang w:val="ro-MD"/>
        </w:rPr>
        <w:t>a</w:t>
      </w:r>
      <w:r w:rsidR="00355056" w:rsidRPr="003A4848">
        <w:rPr>
          <w:rFonts w:asciiTheme="majorHAnsi" w:eastAsia="Times New Roman" w:hAnsiTheme="majorHAnsi" w:cstheme="majorHAnsi"/>
          <w:bCs/>
          <w:color w:val="000000" w:themeColor="text1"/>
          <w:lang w:val="ro-MD"/>
        </w:rPr>
        <w:t xml:space="preserve">ră a inventarierilor anuale și </w:t>
      </w:r>
      <w:r w:rsidRPr="003A4848">
        <w:rPr>
          <w:rFonts w:asciiTheme="majorHAnsi" w:eastAsia="Times New Roman" w:hAnsiTheme="majorHAnsi" w:cstheme="majorHAnsi"/>
          <w:bCs/>
          <w:color w:val="000000" w:themeColor="text1"/>
          <w:lang w:val="ro-MD"/>
        </w:rPr>
        <w:t xml:space="preserve">documentarea </w:t>
      </w:r>
      <w:r w:rsidR="00355056" w:rsidRPr="003A4848">
        <w:rPr>
          <w:rFonts w:asciiTheme="majorHAnsi" w:eastAsia="Times New Roman" w:hAnsiTheme="majorHAnsi" w:cstheme="majorHAnsi"/>
          <w:bCs/>
          <w:color w:val="000000" w:themeColor="text1"/>
          <w:lang w:val="ro-MD"/>
        </w:rPr>
        <w:t>corespunzătoare</w:t>
      </w:r>
      <w:r w:rsidRPr="003A4848">
        <w:rPr>
          <w:rFonts w:asciiTheme="majorHAnsi" w:eastAsia="Times New Roman" w:hAnsiTheme="majorHAnsi" w:cstheme="majorHAnsi"/>
          <w:bCs/>
          <w:color w:val="000000" w:themeColor="text1"/>
          <w:lang w:val="ro-MD"/>
        </w:rPr>
        <w:t xml:space="preserve"> a rezultatelor </w:t>
      </w:r>
      <w:r w:rsidR="00355056" w:rsidRPr="003A4848">
        <w:rPr>
          <w:rFonts w:asciiTheme="majorHAnsi" w:eastAsia="Times New Roman" w:hAnsiTheme="majorHAnsi" w:cstheme="majorHAnsi"/>
          <w:bCs/>
          <w:color w:val="000000" w:themeColor="text1"/>
          <w:lang w:val="ro-MD"/>
        </w:rPr>
        <w:t>acest</w:t>
      </w:r>
      <w:r w:rsidR="00B74FFF">
        <w:rPr>
          <w:rFonts w:asciiTheme="majorHAnsi" w:eastAsia="Times New Roman" w:hAnsiTheme="majorHAnsi" w:cstheme="majorHAnsi"/>
          <w:bCs/>
          <w:color w:val="000000" w:themeColor="text1"/>
          <w:lang w:val="ro-MD"/>
        </w:rPr>
        <w:t>ora</w:t>
      </w:r>
      <w:r w:rsidRPr="003A4848">
        <w:rPr>
          <w:rFonts w:asciiTheme="majorHAnsi" w:eastAsia="Times New Roman" w:hAnsiTheme="majorHAnsi" w:cstheme="majorHAnsi"/>
          <w:bCs/>
          <w:color w:val="000000" w:themeColor="text1"/>
          <w:lang w:val="ro-MD"/>
        </w:rPr>
        <w:t xml:space="preserve"> (întocmirea Declarației pentru fiecare gestionar de bunuri</w:t>
      </w:r>
      <w:r w:rsidR="00B74FFF">
        <w:rPr>
          <w:rFonts w:asciiTheme="majorHAnsi" w:eastAsia="Times New Roman" w:hAnsiTheme="majorHAnsi" w:cstheme="majorHAnsi"/>
          <w:bCs/>
          <w:color w:val="000000" w:themeColor="text1"/>
          <w:lang w:val="ro-MD"/>
        </w:rPr>
        <w:t>;</w:t>
      </w:r>
      <w:r w:rsidRPr="003A4848">
        <w:rPr>
          <w:rFonts w:asciiTheme="majorHAnsi" w:eastAsia="Times New Roman" w:hAnsiTheme="majorHAnsi" w:cstheme="majorHAnsi"/>
          <w:bCs/>
          <w:color w:val="000000" w:themeColor="text1"/>
          <w:lang w:val="ro-MD"/>
        </w:rPr>
        <w:t xml:space="preserve"> întocmirea listelor de inventariere a  creanțelor și datoriilor</w:t>
      </w:r>
      <w:r w:rsidR="00B74FFF">
        <w:rPr>
          <w:rFonts w:asciiTheme="majorHAnsi" w:eastAsia="Times New Roman" w:hAnsiTheme="majorHAnsi" w:cstheme="majorHAnsi"/>
          <w:bCs/>
          <w:color w:val="000000" w:themeColor="text1"/>
          <w:lang w:val="ro-MD"/>
        </w:rPr>
        <w:t>;</w:t>
      </w:r>
      <w:r w:rsidRPr="003A4848">
        <w:rPr>
          <w:rFonts w:asciiTheme="majorHAnsi" w:eastAsia="Times New Roman" w:hAnsiTheme="majorHAnsi" w:cstheme="majorHAnsi"/>
          <w:bCs/>
          <w:color w:val="000000" w:themeColor="text1"/>
          <w:lang w:val="ro-MD"/>
        </w:rPr>
        <w:t xml:space="preserve"> </w:t>
      </w:r>
      <w:r w:rsidR="00B74FFF" w:rsidRPr="005647E7">
        <w:rPr>
          <w:rFonts w:asciiTheme="majorHAnsi" w:eastAsia="Times New Roman" w:hAnsiTheme="majorHAnsi" w:cstheme="majorHAnsi"/>
          <w:bCs/>
          <w:color w:val="000000" w:themeColor="text1"/>
          <w:lang w:val="ro-MD"/>
        </w:rPr>
        <w:t>completa</w:t>
      </w:r>
      <w:r w:rsidRPr="005647E7">
        <w:rPr>
          <w:rFonts w:asciiTheme="majorHAnsi" w:eastAsia="Times New Roman" w:hAnsiTheme="majorHAnsi" w:cstheme="majorHAnsi"/>
          <w:bCs/>
          <w:color w:val="000000" w:themeColor="text1"/>
          <w:lang w:val="ro-MD"/>
        </w:rPr>
        <w:t>rea</w:t>
      </w:r>
      <w:r w:rsidRPr="003A4848">
        <w:rPr>
          <w:rFonts w:asciiTheme="majorHAnsi" w:eastAsia="Times New Roman" w:hAnsiTheme="majorHAnsi" w:cstheme="majorHAnsi"/>
          <w:bCs/>
          <w:color w:val="000000" w:themeColor="text1"/>
          <w:lang w:val="ro-MD"/>
        </w:rPr>
        <w:t xml:space="preserve"> listelor de inventariere cu mențiunile aferente stării bunurilor</w:t>
      </w:r>
      <w:r w:rsidR="00B74FFF">
        <w:rPr>
          <w:rFonts w:asciiTheme="majorHAnsi" w:eastAsia="Times New Roman" w:hAnsiTheme="majorHAnsi" w:cstheme="majorHAnsi"/>
          <w:bCs/>
          <w:color w:val="000000" w:themeColor="text1"/>
          <w:lang w:val="ro-MD"/>
        </w:rPr>
        <w:t>;</w:t>
      </w:r>
      <w:r w:rsidRPr="00B227CB">
        <w:rPr>
          <w:rFonts w:asciiTheme="majorHAnsi" w:eastAsia="Times New Roman" w:hAnsiTheme="majorHAnsi" w:cstheme="majorHAnsi"/>
          <w:bCs/>
          <w:color w:val="000000" w:themeColor="text1"/>
          <w:lang w:val="ro-MD"/>
        </w:rPr>
        <w:t xml:space="preserve"> </w:t>
      </w:r>
      <w:r w:rsidRPr="003A4848">
        <w:rPr>
          <w:rFonts w:asciiTheme="majorHAnsi" w:eastAsia="Times New Roman" w:hAnsiTheme="majorHAnsi" w:cstheme="majorHAnsi"/>
          <w:bCs/>
          <w:color w:val="000000" w:themeColor="text1"/>
          <w:lang w:val="ro-MD"/>
        </w:rPr>
        <w:t>aplicarea semnăturilor pe documentele de inventariere de către persoanele implicate în acest proces)</w:t>
      </w:r>
      <w:r w:rsidRPr="00B227CB">
        <w:rPr>
          <w:rFonts w:asciiTheme="majorHAnsi" w:eastAsia="Times New Roman" w:hAnsiTheme="majorHAnsi" w:cstheme="majorHAnsi"/>
          <w:bCs/>
          <w:color w:val="000000" w:themeColor="text1"/>
          <w:lang w:val="ro-MD"/>
        </w:rPr>
        <w:t xml:space="preserve"> (pct. 4.1.</w:t>
      </w:r>
      <w:r w:rsidR="00AB6293" w:rsidRPr="00B227CB">
        <w:rPr>
          <w:rFonts w:asciiTheme="majorHAnsi" w:eastAsia="Times New Roman" w:hAnsiTheme="majorHAnsi" w:cstheme="majorHAnsi"/>
          <w:bCs/>
          <w:color w:val="000000" w:themeColor="text1"/>
          <w:lang w:val="ro-MD"/>
        </w:rPr>
        <w:t>2.; 4.1.2.1.; 4.1.2.2.; 4.1.2.3.; 4.1.2.4.</w:t>
      </w:r>
      <w:r w:rsidR="00386A21">
        <w:rPr>
          <w:rFonts w:asciiTheme="majorHAnsi" w:eastAsia="Times New Roman" w:hAnsiTheme="majorHAnsi" w:cstheme="majorHAnsi"/>
          <w:bCs/>
          <w:color w:val="000000" w:themeColor="text1"/>
          <w:lang w:val="ro-MD"/>
        </w:rPr>
        <w:t>;</w:t>
      </w:r>
      <w:r w:rsidR="00B74FFF">
        <w:rPr>
          <w:rFonts w:asciiTheme="majorHAnsi" w:eastAsia="Times New Roman" w:hAnsiTheme="majorHAnsi" w:cstheme="majorHAnsi"/>
          <w:bCs/>
          <w:color w:val="000000" w:themeColor="text1"/>
          <w:lang w:val="ro-MD"/>
        </w:rPr>
        <w:t xml:space="preserve"> </w:t>
      </w:r>
      <w:r w:rsidR="00386A21">
        <w:rPr>
          <w:rFonts w:asciiTheme="majorHAnsi" w:eastAsia="Times New Roman" w:hAnsiTheme="majorHAnsi" w:cstheme="majorHAnsi"/>
          <w:bCs/>
          <w:color w:val="000000" w:themeColor="text1"/>
          <w:lang w:val="ro-MD"/>
        </w:rPr>
        <w:t>4.2.</w:t>
      </w:r>
      <w:r w:rsidRPr="00B227CB">
        <w:rPr>
          <w:rFonts w:asciiTheme="majorHAnsi" w:eastAsia="Times New Roman" w:hAnsiTheme="majorHAnsi" w:cstheme="majorHAnsi"/>
          <w:bCs/>
          <w:color w:val="000000" w:themeColor="text1"/>
          <w:lang w:val="ro-MD"/>
        </w:rPr>
        <w:t>)</w:t>
      </w:r>
      <w:r w:rsidR="004713BE">
        <w:rPr>
          <w:rFonts w:asciiTheme="majorHAnsi" w:eastAsia="Times New Roman" w:hAnsiTheme="majorHAnsi" w:cstheme="majorHAnsi"/>
          <w:bCs/>
          <w:color w:val="000000" w:themeColor="text1"/>
          <w:lang w:val="ro-MD"/>
        </w:rPr>
        <w:t>.</w:t>
      </w:r>
    </w:p>
    <w:p w14:paraId="50E97CB2" w14:textId="77777777" w:rsidR="00590945" w:rsidRPr="007917DD" w:rsidRDefault="00590945" w:rsidP="008F302C">
      <w:pPr>
        <w:tabs>
          <w:tab w:val="left" w:pos="810"/>
        </w:tabs>
        <w:spacing w:after="0" w:line="276" w:lineRule="auto"/>
        <w:outlineLvl w:val="0"/>
        <w:rPr>
          <w:rFonts w:asciiTheme="majorHAnsi" w:eastAsia="Times New Roman" w:hAnsiTheme="majorHAnsi" w:cstheme="majorHAnsi"/>
          <w:b/>
          <w:bCs/>
          <w:caps/>
          <w:sz w:val="24"/>
          <w:szCs w:val="24"/>
          <w:lang w:val="ro-MD"/>
        </w:rPr>
      </w:pPr>
    </w:p>
    <w:p w14:paraId="528D545C" w14:textId="00382581" w:rsidR="00B22088" w:rsidRPr="009A6F7E" w:rsidRDefault="00B22088" w:rsidP="009A6F7E">
      <w:pPr>
        <w:pStyle w:val="ListParagraph"/>
        <w:tabs>
          <w:tab w:val="left" w:pos="720"/>
          <w:tab w:val="left" w:pos="1710"/>
        </w:tabs>
        <w:spacing w:after="0" w:line="276" w:lineRule="auto"/>
        <w:ind w:left="0"/>
        <w:outlineLvl w:val="0"/>
        <w:rPr>
          <w:rFonts w:asciiTheme="majorHAnsi" w:eastAsia="Times New Roman" w:hAnsiTheme="majorHAnsi" w:cstheme="majorHAnsi"/>
          <w:b/>
          <w:bCs/>
          <w:caps/>
          <w:color w:val="0070C0"/>
          <w:sz w:val="24"/>
          <w:szCs w:val="24"/>
          <w:lang w:val="ro-MD"/>
        </w:rPr>
      </w:pPr>
      <w:bookmarkStart w:id="141" w:name="_Toc123116720"/>
      <w:r w:rsidRPr="009A6F7E">
        <w:rPr>
          <w:rFonts w:asciiTheme="majorHAnsi" w:eastAsia="Times New Roman" w:hAnsiTheme="majorHAnsi" w:cstheme="majorHAnsi"/>
          <w:b/>
          <w:bCs/>
          <w:caps/>
          <w:color w:val="0070C0"/>
          <w:sz w:val="24"/>
          <w:szCs w:val="24"/>
          <w:lang w:val="ro-MD"/>
        </w:rPr>
        <w:t>SEMNĂTURILE ECHIPEI De AUDIT</w:t>
      </w:r>
      <w:bookmarkEnd w:id="138"/>
      <w:bookmarkEnd w:id="141"/>
    </w:p>
    <w:p w14:paraId="6B7141A6" w14:textId="77777777" w:rsidR="00F8628D" w:rsidRPr="007917DD" w:rsidRDefault="00F8628D" w:rsidP="00F8628D">
      <w:pPr>
        <w:spacing w:after="0" w:line="276" w:lineRule="auto"/>
        <w:jc w:val="both"/>
        <w:rPr>
          <w:rFonts w:asciiTheme="majorHAnsi" w:eastAsia="Times New Roman" w:hAnsiTheme="majorHAnsi" w:cstheme="majorHAnsi"/>
          <w:b/>
          <w:i/>
          <w:sz w:val="24"/>
          <w:szCs w:val="24"/>
          <w:lang w:val="ro-MD" w:eastAsia="ro-MD"/>
        </w:rPr>
      </w:pPr>
      <w:r w:rsidRPr="007917DD">
        <w:rPr>
          <w:rFonts w:asciiTheme="majorHAnsi" w:eastAsia="Times New Roman" w:hAnsiTheme="majorHAnsi" w:cstheme="majorHAnsi"/>
          <w:b/>
          <w:i/>
          <w:sz w:val="24"/>
          <w:szCs w:val="24"/>
          <w:lang w:val="ro-MD" w:eastAsia="ro-MD"/>
        </w:rPr>
        <w:t>Responsabili de întocmirea Raportului de audit:</w:t>
      </w:r>
    </w:p>
    <w:p w14:paraId="72F066CD" w14:textId="19CC1E04" w:rsidR="00F8628D" w:rsidRPr="007917DD" w:rsidRDefault="00D65530" w:rsidP="00F8628D">
      <w:pPr>
        <w:spacing w:after="0" w:line="276" w:lineRule="auto"/>
        <w:jc w:val="both"/>
        <w:rPr>
          <w:rFonts w:asciiTheme="majorHAnsi" w:eastAsia="Times New Roman" w:hAnsiTheme="majorHAnsi" w:cstheme="majorHAnsi"/>
          <w:sz w:val="24"/>
          <w:szCs w:val="24"/>
          <w:lang w:val="ro-MD" w:eastAsia="ro-MD"/>
        </w:rPr>
      </w:pPr>
      <w:r w:rsidRPr="007917DD">
        <w:rPr>
          <w:rFonts w:asciiTheme="majorHAnsi" w:eastAsia="Times New Roman" w:hAnsiTheme="majorHAnsi" w:cstheme="majorHAnsi"/>
          <w:sz w:val="24"/>
          <w:szCs w:val="24"/>
          <w:lang w:val="ro-MD" w:eastAsia="ro-MD"/>
        </w:rPr>
        <w:t xml:space="preserve">Șefa </w:t>
      </w:r>
      <w:r w:rsidR="00F8628D" w:rsidRPr="007917DD">
        <w:rPr>
          <w:rFonts w:asciiTheme="majorHAnsi" w:eastAsia="Times New Roman" w:hAnsiTheme="majorHAnsi" w:cstheme="majorHAnsi"/>
          <w:sz w:val="24"/>
          <w:szCs w:val="24"/>
          <w:lang w:val="ro-MD" w:eastAsia="ro-MD"/>
        </w:rPr>
        <w:t>echipei de audit,</w:t>
      </w:r>
    </w:p>
    <w:p w14:paraId="49F6BD26" w14:textId="6364950B" w:rsidR="00F8628D" w:rsidRPr="007917DD" w:rsidRDefault="00D65530" w:rsidP="00F8628D">
      <w:pPr>
        <w:spacing w:after="0" w:line="276" w:lineRule="auto"/>
        <w:jc w:val="both"/>
        <w:rPr>
          <w:rFonts w:asciiTheme="majorHAnsi" w:hAnsiTheme="majorHAnsi" w:cstheme="majorHAnsi"/>
          <w:sz w:val="24"/>
          <w:szCs w:val="24"/>
          <w:lang w:val="ro-MD"/>
        </w:rPr>
      </w:pPr>
      <w:r w:rsidRPr="007917DD">
        <w:rPr>
          <w:rFonts w:asciiTheme="majorHAnsi" w:eastAsia="Times New Roman" w:hAnsiTheme="majorHAnsi" w:cstheme="majorHAnsi"/>
          <w:sz w:val="24"/>
          <w:szCs w:val="24"/>
          <w:lang w:val="ro-MD" w:eastAsia="ro-MD"/>
        </w:rPr>
        <w:t>auditoare publică principală</w:t>
      </w:r>
      <w:r w:rsidR="00F8628D" w:rsidRPr="007917DD">
        <w:rPr>
          <w:rFonts w:asciiTheme="majorHAnsi" w:hAnsiTheme="majorHAnsi" w:cstheme="majorHAnsi"/>
          <w:sz w:val="24"/>
          <w:szCs w:val="24"/>
          <w:lang w:val="ro-MD"/>
        </w:rPr>
        <w:tab/>
        <w:t xml:space="preserve">                                       </w:t>
      </w:r>
      <w:r w:rsidRPr="007917DD">
        <w:rPr>
          <w:rFonts w:asciiTheme="majorHAnsi" w:hAnsiTheme="majorHAnsi" w:cstheme="majorHAnsi"/>
          <w:sz w:val="24"/>
          <w:szCs w:val="24"/>
          <w:lang w:val="ro-MD"/>
        </w:rPr>
        <w:t xml:space="preserve">                          Elizaveta </w:t>
      </w:r>
      <w:r w:rsidRPr="007917DD">
        <w:rPr>
          <w:rFonts w:asciiTheme="majorHAnsi" w:hAnsiTheme="majorHAnsi" w:cstheme="majorHAnsi"/>
          <w:b/>
          <w:sz w:val="24"/>
          <w:szCs w:val="24"/>
          <w:lang w:val="ro-MD"/>
        </w:rPr>
        <w:t>MUNTEANU</w:t>
      </w:r>
    </w:p>
    <w:p w14:paraId="54C5F3B7" w14:textId="77777777" w:rsidR="006A39E0" w:rsidRPr="007917DD" w:rsidRDefault="006A39E0" w:rsidP="00F8628D">
      <w:pPr>
        <w:spacing w:after="0" w:line="276" w:lineRule="auto"/>
        <w:jc w:val="both"/>
        <w:rPr>
          <w:rFonts w:asciiTheme="majorHAnsi" w:eastAsia="Times New Roman" w:hAnsiTheme="majorHAnsi" w:cstheme="majorHAnsi"/>
          <w:b/>
          <w:i/>
          <w:sz w:val="24"/>
          <w:szCs w:val="24"/>
          <w:lang w:val="ro-MD" w:eastAsia="ro-MD"/>
        </w:rPr>
      </w:pPr>
    </w:p>
    <w:p w14:paraId="04CABDE9" w14:textId="222DC2EC" w:rsidR="00F8628D" w:rsidRPr="007917DD" w:rsidRDefault="00F8628D" w:rsidP="00F8628D">
      <w:pPr>
        <w:spacing w:after="0" w:line="276" w:lineRule="auto"/>
        <w:jc w:val="both"/>
        <w:rPr>
          <w:rFonts w:asciiTheme="majorHAnsi" w:eastAsia="Times New Roman" w:hAnsiTheme="majorHAnsi" w:cstheme="majorHAnsi"/>
          <w:b/>
          <w:i/>
          <w:sz w:val="24"/>
          <w:szCs w:val="24"/>
          <w:lang w:val="ro-MD" w:eastAsia="ro-MD"/>
        </w:rPr>
      </w:pPr>
      <w:r w:rsidRPr="007917DD">
        <w:rPr>
          <w:rFonts w:asciiTheme="majorHAnsi" w:eastAsia="Times New Roman" w:hAnsiTheme="majorHAnsi" w:cstheme="majorHAnsi"/>
          <w:b/>
          <w:i/>
          <w:sz w:val="24"/>
          <w:szCs w:val="24"/>
          <w:lang w:val="ro-MD" w:eastAsia="ro-MD"/>
        </w:rPr>
        <w:t>Membrii echipei de audit:</w:t>
      </w:r>
    </w:p>
    <w:p w14:paraId="70E45282" w14:textId="557404A6" w:rsidR="00F8628D" w:rsidRPr="007917DD" w:rsidRDefault="00355B91" w:rsidP="00F8628D">
      <w:pPr>
        <w:spacing w:after="0" w:line="276" w:lineRule="auto"/>
        <w:jc w:val="both"/>
        <w:rPr>
          <w:rFonts w:asciiTheme="majorHAnsi" w:hAnsiTheme="majorHAnsi" w:cstheme="majorHAnsi"/>
          <w:b/>
          <w:sz w:val="24"/>
          <w:szCs w:val="24"/>
          <w:lang w:val="ro-MD"/>
        </w:rPr>
      </w:pPr>
      <w:r>
        <w:rPr>
          <w:rFonts w:asciiTheme="majorHAnsi" w:eastAsia="Times New Roman" w:hAnsiTheme="majorHAnsi" w:cstheme="majorHAnsi"/>
          <w:sz w:val="24"/>
          <w:szCs w:val="24"/>
          <w:lang w:val="ro-MD" w:eastAsia="ro-MD"/>
        </w:rPr>
        <w:t>a</w:t>
      </w:r>
      <w:r w:rsidR="00D65530" w:rsidRPr="007917DD">
        <w:rPr>
          <w:rFonts w:asciiTheme="majorHAnsi" w:eastAsia="Times New Roman" w:hAnsiTheme="majorHAnsi" w:cstheme="majorHAnsi"/>
          <w:sz w:val="24"/>
          <w:szCs w:val="24"/>
          <w:lang w:val="ro-MD" w:eastAsia="ro-MD"/>
        </w:rPr>
        <w:t>uditoare publică principală</w:t>
      </w:r>
      <w:r w:rsidR="00D65530" w:rsidRPr="007917DD">
        <w:rPr>
          <w:rFonts w:asciiTheme="majorHAnsi" w:hAnsiTheme="majorHAnsi" w:cstheme="majorHAnsi"/>
          <w:sz w:val="24"/>
          <w:szCs w:val="24"/>
          <w:lang w:val="ro-MD"/>
        </w:rPr>
        <w:t xml:space="preserve"> </w:t>
      </w:r>
      <w:r w:rsidR="00D65530" w:rsidRPr="007917DD">
        <w:rPr>
          <w:rFonts w:asciiTheme="majorHAnsi" w:hAnsiTheme="majorHAnsi" w:cstheme="majorHAnsi"/>
          <w:sz w:val="24"/>
          <w:szCs w:val="24"/>
          <w:lang w:val="ro-MD"/>
        </w:rPr>
        <w:tab/>
      </w:r>
      <w:r w:rsidR="00D65530" w:rsidRPr="007917DD">
        <w:rPr>
          <w:rFonts w:asciiTheme="majorHAnsi" w:hAnsiTheme="majorHAnsi" w:cstheme="majorHAnsi"/>
          <w:sz w:val="24"/>
          <w:szCs w:val="24"/>
          <w:lang w:val="ro-MD"/>
        </w:rPr>
        <w:tab/>
      </w:r>
      <w:r w:rsidR="00D65530" w:rsidRPr="007917DD">
        <w:rPr>
          <w:rFonts w:asciiTheme="majorHAnsi" w:hAnsiTheme="majorHAnsi" w:cstheme="majorHAnsi"/>
          <w:sz w:val="24"/>
          <w:szCs w:val="24"/>
          <w:lang w:val="ro-MD"/>
        </w:rPr>
        <w:tab/>
      </w:r>
      <w:r w:rsidR="00D65530" w:rsidRPr="007917DD">
        <w:rPr>
          <w:rFonts w:asciiTheme="majorHAnsi" w:hAnsiTheme="majorHAnsi" w:cstheme="majorHAnsi"/>
          <w:sz w:val="24"/>
          <w:szCs w:val="24"/>
          <w:lang w:val="ro-MD"/>
        </w:rPr>
        <w:tab/>
      </w:r>
      <w:r w:rsidR="00D65530" w:rsidRPr="007917DD">
        <w:rPr>
          <w:rFonts w:asciiTheme="majorHAnsi" w:hAnsiTheme="majorHAnsi" w:cstheme="majorHAnsi"/>
          <w:sz w:val="24"/>
          <w:szCs w:val="24"/>
          <w:lang w:val="ro-MD"/>
        </w:rPr>
        <w:tab/>
      </w:r>
      <w:r w:rsidR="00D65530" w:rsidRPr="007917DD">
        <w:rPr>
          <w:rFonts w:asciiTheme="majorHAnsi" w:hAnsiTheme="majorHAnsi" w:cstheme="majorHAnsi"/>
          <w:sz w:val="24"/>
          <w:szCs w:val="24"/>
          <w:lang w:val="ro-MD"/>
        </w:rPr>
        <w:tab/>
        <w:t xml:space="preserve">Lilia </w:t>
      </w:r>
      <w:r w:rsidR="00D65530" w:rsidRPr="007917DD">
        <w:rPr>
          <w:rFonts w:asciiTheme="majorHAnsi" w:hAnsiTheme="majorHAnsi" w:cstheme="majorHAnsi"/>
          <w:b/>
          <w:sz w:val="24"/>
          <w:szCs w:val="24"/>
          <w:lang w:val="ro-MD"/>
        </w:rPr>
        <w:t>BASARAB</w:t>
      </w:r>
    </w:p>
    <w:p w14:paraId="6A1535C4" w14:textId="55A0F874" w:rsidR="00F8628D" w:rsidRPr="007917DD" w:rsidRDefault="00F8628D" w:rsidP="00F8628D">
      <w:pPr>
        <w:spacing w:after="0" w:line="276" w:lineRule="auto"/>
        <w:jc w:val="both"/>
        <w:rPr>
          <w:rFonts w:asciiTheme="majorHAnsi" w:hAnsiTheme="majorHAnsi" w:cstheme="majorHAnsi"/>
          <w:b/>
          <w:sz w:val="24"/>
          <w:szCs w:val="24"/>
          <w:lang w:val="ro-MD"/>
        </w:rPr>
      </w:pPr>
    </w:p>
    <w:p w14:paraId="5C098AFB" w14:textId="77777777" w:rsidR="006A39E0" w:rsidRPr="007917DD" w:rsidRDefault="006A39E0" w:rsidP="00F8628D">
      <w:pPr>
        <w:spacing w:after="0" w:line="276" w:lineRule="auto"/>
        <w:jc w:val="both"/>
        <w:rPr>
          <w:rFonts w:asciiTheme="majorHAnsi" w:hAnsiTheme="majorHAnsi" w:cstheme="majorHAnsi"/>
          <w:b/>
          <w:sz w:val="24"/>
          <w:szCs w:val="24"/>
          <w:lang w:val="ro-MD"/>
        </w:rPr>
      </w:pPr>
    </w:p>
    <w:p w14:paraId="2887B0B0" w14:textId="77777777" w:rsidR="006010CD" w:rsidRPr="007917DD" w:rsidRDefault="00F8628D" w:rsidP="00F8628D">
      <w:pPr>
        <w:spacing w:after="0" w:line="276" w:lineRule="auto"/>
        <w:jc w:val="both"/>
        <w:rPr>
          <w:rFonts w:asciiTheme="majorHAnsi" w:hAnsiTheme="majorHAnsi" w:cstheme="majorHAnsi"/>
          <w:b/>
          <w:sz w:val="24"/>
          <w:szCs w:val="24"/>
          <w:lang w:val="ro-MD"/>
        </w:rPr>
      </w:pPr>
      <w:r w:rsidRPr="007917DD">
        <w:rPr>
          <w:rFonts w:asciiTheme="majorHAnsi" w:eastAsia="Times New Roman" w:hAnsiTheme="majorHAnsi" w:cstheme="majorHAnsi"/>
          <w:sz w:val="24"/>
          <w:szCs w:val="24"/>
          <w:lang w:val="ro-MD" w:eastAsia="ro-MD"/>
        </w:rPr>
        <w:t>audito</w:t>
      </w:r>
      <w:r w:rsidR="00D65530" w:rsidRPr="007917DD">
        <w:rPr>
          <w:rFonts w:asciiTheme="majorHAnsi" w:eastAsia="Times New Roman" w:hAnsiTheme="majorHAnsi" w:cstheme="majorHAnsi"/>
          <w:sz w:val="24"/>
          <w:szCs w:val="24"/>
          <w:lang w:val="ro-MD" w:eastAsia="ro-MD"/>
        </w:rPr>
        <w:t>a</w:t>
      </w:r>
      <w:r w:rsidRPr="007917DD">
        <w:rPr>
          <w:rFonts w:asciiTheme="majorHAnsi" w:eastAsia="Times New Roman" w:hAnsiTheme="majorHAnsi" w:cstheme="majorHAnsi"/>
          <w:sz w:val="24"/>
          <w:szCs w:val="24"/>
          <w:lang w:val="ro-MD" w:eastAsia="ro-MD"/>
        </w:rPr>
        <w:t>r</w:t>
      </w:r>
      <w:r w:rsidR="00D65530" w:rsidRPr="007917DD">
        <w:rPr>
          <w:rFonts w:asciiTheme="majorHAnsi" w:eastAsia="Times New Roman" w:hAnsiTheme="majorHAnsi" w:cstheme="majorHAnsi"/>
          <w:sz w:val="24"/>
          <w:szCs w:val="24"/>
          <w:lang w:val="ro-MD" w:eastAsia="ro-MD"/>
        </w:rPr>
        <w:t>e</w:t>
      </w:r>
      <w:r w:rsidRPr="007917DD">
        <w:rPr>
          <w:rFonts w:asciiTheme="majorHAnsi" w:eastAsia="Times New Roman" w:hAnsiTheme="majorHAnsi" w:cstheme="majorHAnsi"/>
          <w:sz w:val="24"/>
          <w:szCs w:val="24"/>
          <w:lang w:val="ro-MD" w:eastAsia="ro-MD"/>
        </w:rPr>
        <w:t xml:space="preserve"> public</w:t>
      </w:r>
      <w:r w:rsidR="00D65530" w:rsidRPr="007917DD">
        <w:rPr>
          <w:rFonts w:asciiTheme="majorHAnsi" w:eastAsia="Times New Roman" w:hAnsiTheme="majorHAnsi" w:cstheme="majorHAnsi"/>
          <w:sz w:val="24"/>
          <w:szCs w:val="24"/>
          <w:lang w:val="ro-MD" w:eastAsia="ro-MD"/>
        </w:rPr>
        <w:t>ă</w:t>
      </w:r>
      <w:r w:rsidRPr="007917DD">
        <w:rPr>
          <w:rFonts w:asciiTheme="majorHAnsi" w:eastAsia="Times New Roman" w:hAnsiTheme="majorHAnsi" w:cstheme="majorHAnsi"/>
          <w:sz w:val="24"/>
          <w:szCs w:val="24"/>
          <w:lang w:val="ro-MD" w:eastAsia="ro-MD"/>
        </w:rPr>
        <w:t xml:space="preserve"> superio</w:t>
      </w:r>
      <w:r w:rsidR="00D65530" w:rsidRPr="007917DD">
        <w:rPr>
          <w:rFonts w:asciiTheme="majorHAnsi" w:eastAsia="Times New Roman" w:hAnsiTheme="majorHAnsi" w:cstheme="majorHAnsi"/>
          <w:sz w:val="24"/>
          <w:szCs w:val="24"/>
          <w:lang w:val="ro-MD" w:eastAsia="ro-MD"/>
        </w:rPr>
        <w:t>a</w:t>
      </w:r>
      <w:r w:rsidRPr="007917DD">
        <w:rPr>
          <w:rFonts w:asciiTheme="majorHAnsi" w:eastAsia="Times New Roman" w:hAnsiTheme="majorHAnsi" w:cstheme="majorHAnsi"/>
          <w:sz w:val="24"/>
          <w:szCs w:val="24"/>
          <w:lang w:val="ro-MD" w:eastAsia="ro-MD"/>
        </w:rPr>
        <w:t>r</w:t>
      </w:r>
      <w:r w:rsidR="00D65530" w:rsidRPr="007917DD">
        <w:rPr>
          <w:rFonts w:asciiTheme="majorHAnsi" w:eastAsia="Times New Roman" w:hAnsiTheme="majorHAnsi" w:cstheme="majorHAnsi"/>
          <w:sz w:val="24"/>
          <w:szCs w:val="24"/>
          <w:lang w:val="ro-MD" w:eastAsia="ro-MD"/>
        </w:rPr>
        <w:t>ă</w:t>
      </w:r>
      <w:r w:rsidRPr="007917DD">
        <w:rPr>
          <w:rFonts w:asciiTheme="majorHAnsi" w:hAnsiTheme="majorHAnsi" w:cstheme="majorHAnsi"/>
          <w:sz w:val="24"/>
          <w:szCs w:val="24"/>
          <w:lang w:val="ro-MD"/>
        </w:rPr>
        <w:t xml:space="preserve"> </w:t>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t xml:space="preserve">Tatiana </w:t>
      </w:r>
      <w:r w:rsidRPr="007917DD">
        <w:rPr>
          <w:rFonts w:asciiTheme="majorHAnsi" w:hAnsiTheme="majorHAnsi" w:cstheme="majorHAnsi"/>
          <w:b/>
          <w:sz w:val="24"/>
          <w:szCs w:val="24"/>
          <w:lang w:val="ro-MD"/>
        </w:rPr>
        <w:t>VREDNIC</w:t>
      </w:r>
    </w:p>
    <w:p w14:paraId="2543C326" w14:textId="30DB6320" w:rsidR="00F8628D" w:rsidRPr="007917DD" w:rsidRDefault="00F8628D" w:rsidP="00F8628D">
      <w:pPr>
        <w:spacing w:after="0" w:line="276" w:lineRule="auto"/>
        <w:jc w:val="both"/>
        <w:rPr>
          <w:rFonts w:asciiTheme="majorHAnsi" w:hAnsiTheme="majorHAnsi" w:cstheme="majorHAnsi"/>
          <w:sz w:val="24"/>
          <w:szCs w:val="24"/>
          <w:lang w:val="ro-MD"/>
        </w:rPr>
      </w:pPr>
      <w:r w:rsidRPr="007917DD">
        <w:rPr>
          <w:rFonts w:asciiTheme="majorHAnsi" w:hAnsiTheme="majorHAnsi" w:cstheme="majorHAnsi"/>
          <w:b/>
          <w:sz w:val="24"/>
          <w:szCs w:val="24"/>
          <w:lang w:val="ro-MD"/>
        </w:rPr>
        <w:t xml:space="preserve">    </w:t>
      </w:r>
      <w:r w:rsidRPr="007917DD">
        <w:rPr>
          <w:rFonts w:asciiTheme="majorHAnsi" w:hAnsiTheme="majorHAnsi" w:cstheme="majorHAnsi"/>
          <w:sz w:val="24"/>
          <w:szCs w:val="24"/>
          <w:lang w:val="ro-MD"/>
        </w:rPr>
        <w:t xml:space="preserve"> </w:t>
      </w:r>
    </w:p>
    <w:p w14:paraId="33A246B2" w14:textId="19B6A3BB" w:rsidR="00F8628D" w:rsidRPr="007917DD" w:rsidRDefault="00F8628D" w:rsidP="00F8628D">
      <w:pPr>
        <w:spacing w:after="0" w:line="276" w:lineRule="auto"/>
        <w:jc w:val="both"/>
        <w:rPr>
          <w:rFonts w:asciiTheme="majorHAnsi" w:hAnsiTheme="majorHAnsi" w:cstheme="majorHAnsi"/>
          <w:b/>
          <w:sz w:val="24"/>
          <w:szCs w:val="24"/>
          <w:lang w:val="ro-MD"/>
        </w:rPr>
      </w:pPr>
      <w:r w:rsidRPr="007917DD">
        <w:rPr>
          <w:rFonts w:asciiTheme="majorHAnsi" w:eastAsia="Times New Roman" w:hAnsiTheme="majorHAnsi" w:cstheme="majorHAnsi"/>
          <w:sz w:val="24"/>
          <w:szCs w:val="24"/>
          <w:lang w:val="ro-MD" w:eastAsia="ro-MD"/>
        </w:rPr>
        <w:t>audito</w:t>
      </w:r>
      <w:r w:rsidR="0049193A" w:rsidRPr="007917DD">
        <w:rPr>
          <w:rFonts w:asciiTheme="majorHAnsi" w:eastAsia="Times New Roman" w:hAnsiTheme="majorHAnsi" w:cstheme="majorHAnsi"/>
          <w:sz w:val="24"/>
          <w:szCs w:val="24"/>
          <w:lang w:val="ro-MD" w:eastAsia="ro-MD"/>
        </w:rPr>
        <w:t>a</w:t>
      </w:r>
      <w:r w:rsidRPr="007917DD">
        <w:rPr>
          <w:rFonts w:asciiTheme="majorHAnsi" w:eastAsia="Times New Roman" w:hAnsiTheme="majorHAnsi" w:cstheme="majorHAnsi"/>
          <w:sz w:val="24"/>
          <w:szCs w:val="24"/>
          <w:lang w:val="ro-MD" w:eastAsia="ro-MD"/>
        </w:rPr>
        <w:t>r</w:t>
      </w:r>
      <w:r w:rsidR="0049193A" w:rsidRPr="007917DD">
        <w:rPr>
          <w:rFonts w:asciiTheme="majorHAnsi" w:eastAsia="Times New Roman" w:hAnsiTheme="majorHAnsi" w:cstheme="majorHAnsi"/>
          <w:sz w:val="24"/>
          <w:szCs w:val="24"/>
          <w:lang w:val="ro-MD" w:eastAsia="ro-MD"/>
        </w:rPr>
        <w:t>e</w:t>
      </w:r>
      <w:r w:rsidRPr="007917DD">
        <w:rPr>
          <w:rFonts w:asciiTheme="majorHAnsi" w:eastAsia="Times New Roman" w:hAnsiTheme="majorHAnsi" w:cstheme="majorHAnsi"/>
          <w:sz w:val="24"/>
          <w:szCs w:val="24"/>
          <w:lang w:val="ro-MD" w:eastAsia="ro-MD"/>
        </w:rPr>
        <w:t xml:space="preserve"> public</w:t>
      </w:r>
      <w:r w:rsidR="0049193A" w:rsidRPr="007917DD">
        <w:rPr>
          <w:rFonts w:asciiTheme="majorHAnsi" w:eastAsia="Times New Roman" w:hAnsiTheme="majorHAnsi" w:cstheme="majorHAnsi"/>
          <w:sz w:val="24"/>
          <w:szCs w:val="24"/>
          <w:lang w:val="ro-MD" w:eastAsia="ro-MD"/>
        </w:rPr>
        <w:t>ă</w:t>
      </w:r>
      <w:r w:rsidRPr="007917DD">
        <w:rPr>
          <w:rFonts w:asciiTheme="majorHAnsi" w:hAnsiTheme="majorHAnsi" w:cstheme="majorHAnsi"/>
          <w:sz w:val="24"/>
          <w:szCs w:val="24"/>
          <w:lang w:val="ro-MD"/>
        </w:rPr>
        <w:t xml:space="preserve"> </w:t>
      </w:r>
      <w:r w:rsidR="00936AF4" w:rsidRPr="007917DD">
        <w:rPr>
          <w:rFonts w:asciiTheme="majorHAnsi" w:hAnsiTheme="majorHAnsi" w:cstheme="majorHAnsi"/>
          <w:sz w:val="24"/>
          <w:szCs w:val="24"/>
          <w:lang w:val="ro-MD"/>
        </w:rPr>
        <w:tab/>
      </w:r>
      <w:r w:rsidR="00936AF4" w:rsidRPr="007917DD">
        <w:rPr>
          <w:rFonts w:asciiTheme="majorHAnsi" w:hAnsiTheme="majorHAnsi" w:cstheme="majorHAnsi"/>
          <w:sz w:val="24"/>
          <w:szCs w:val="24"/>
          <w:lang w:val="ro-MD"/>
        </w:rPr>
        <w:tab/>
      </w:r>
      <w:r w:rsidR="00936AF4" w:rsidRPr="007917DD">
        <w:rPr>
          <w:rFonts w:asciiTheme="majorHAnsi" w:hAnsiTheme="majorHAnsi" w:cstheme="majorHAnsi"/>
          <w:sz w:val="24"/>
          <w:szCs w:val="24"/>
          <w:lang w:val="ro-MD"/>
        </w:rPr>
        <w:tab/>
      </w:r>
      <w:r w:rsidR="00936AF4" w:rsidRPr="007917DD">
        <w:rPr>
          <w:rFonts w:asciiTheme="majorHAnsi" w:hAnsiTheme="majorHAnsi" w:cstheme="majorHAnsi"/>
          <w:sz w:val="24"/>
          <w:szCs w:val="24"/>
          <w:lang w:val="ro-MD"/>
        </w:rPr>
        <w:tab/>
      </w:r>
      <w:r w:rsidR="00936AF4" w:rsidRPr="007917DD">
        <w:rPr>
          <w:rFonts w:asciiTheme="majorHAnsi" w:hAnsiTheme="majorHAnsi" w:cstheme="majorHAnsi"/>
          <w:sz w:val="24"/>
          <w:szCs w:val="24"/>
          <w:lang w:val="ro-MD"/>
        </w:rPr>
        <w:tab/>
      </w:r>
      <w:r w:rsidR="00936AF4" w:rsidRPr="007917DD">
        <w:rPr>
          <w:rFonts w:asciiTheme="majorHAnsi" w:hAnsiTheme="majorHAnsi" w:cstheme="majorHAnsi"/>
          <w:sz w:val="24"/>
          <w:szCs w:val="24"/>
          <w:lang w:val="ro-MD"/>
        </w:rPr>
        <w:tab/>
        <w:t xml:space="preserve">             </w:t>
      </w:r>
      <w:r w:rsidRPr="007917DD">
        <w:rPr>
          <w:rFonts w:asciiTheme="majorHAnsi" w:hAnsiTheme="majorHAnsi" w:cstheme="majorHAnsi"/>
          <w:sz w:val="24"/>
          <w:szCs w:val="24"/>
          <w:lang w:val="ro-MD"/>
        </w:rPr>
        <w:t xml:space="preserve">Olga </w:t>
      </w:r>
      <w:r w:rsidRPr="007917DD">
        <w:rPr>
          <w:rFonts w:asciiTheme="majorHAnsi" w:hAnsiTheme="majorHAnsi" w:cstheme="majorHAnsi"/>
          <w:b/>
          <w:sz w:val="24"/>
          <w:szCs w:val="24"/>
          <w:lang w:val="ro-MD"/>
        </w:rPr>
        <w:t xml:space="preserve">CAPAȚINA     </w:t>
      </w:r>
    </w:p>
    <w:p w14:paraId="2F1B8241" w14:textId="02EE4445" w:rsidR="006A39E0" w:rsidRPr="007917DD" w:rsidRDefault="00F8628D" w:rsidP="00F8628D">
      <w:pPr>
        <w:spacing w:after="0" w:line="276" w:lineRule="auto"/>
        <w:jc w:val="both"/>
        <w:rPr>
          <w:rFonts w:asciiTheme="majorHAnsi" w:eastAsia="Times New Roman" w:hAnsiTheme="majorHAnsi" w:cstheme="majorHAnsi"/>
          <w:b/>
          <w:i/>
          <w:sz w:val="24"/>
          <w:szCs w:val="24"/>
          <w:lang w:val="ro-MD"/>
        </w:rPr>
      </w:pPr>
      <w:r w:rsidRPr="007917DD">
        <w:rPr>
          <w:rFonts w:asciiTheme="majorHAnsi" w:hAnsiTheme="majorHAnsi" w:cstheme="majorHAnsi"/>
          <w:sz w:val="24"/>
          <w:szCs w:val="24"/>
          <w:lang w:val="ro-MD"/>
        </w:rPr>
        <w:t xml:space="preserve"> </w:t>
      </w:r>
    </w:p>
    <w:p w14:paraId="5F48F7CE" w14:textId="77777777" w:rsidR="00F8628D" w:rsidRPr="007917DD" w:rsidRDefault="00F8628D" w:rsidP="00F8628D">
      <w:pPr>
        <w:spacing w:after="0" w:line="276" w:lineRule="auto"/>
        <w:jc w:val="both"/>
        <w:rPr>
          <w:rFonts w:asciiTheme="majorHAnsi" w:eastAsia="Times New Roman" w:hAnsiTheme="majorHAnsi" w:cstheme="majorHAnsi"/>
          <w:b/>
          <w:i/>
          <w:sz w:val="24"/>
          <w:szCs w:val="24"/>
          <w:lang w:val="ro-MD"/>
        </w:rPr>
      </w:pPr>
      <w:r w:rsidRPr="007917DD">
        <w:rPr>
          <w:rFonts w:asciiTheme="majorHAnsi" w:eastAsia="Times New Roman" w:hAnsiTheme="majorHAnsi" w:cstheme="majorHAnsi"/>
          <w:b/>
          <w:i/>
          <w:sz w:val="24"/>
          <w:szCs w:val="24"/>
          <w:lang w:val="ro-MD"/>
        </w:rPr>
        <w:t>Responsabil de audit:</w:t>
      </w:r>
    </w:p>
    <w:p w14:paraId="0D57807E" w14:textId="77777777" w:rsidR="00F8628D" w:rsidRPr="007917DD" w:rsidRDefault="00F8628D" w:rsidP="00F8628D">
      <w:pPr>
        <w:spacing w:after="0" w:line="276" w:lineRule="auto"/>
        <w:jc w:val="both"/>
        <w:rPr>
          <w:rFonts w:asciiTheme="majorHAnsi" w:eastAsia="Times New Roman" w:hAnsiTheme="majorHAnsi" w:cstheme="majorHAnsi"/>
          <w:b/>
          <w:bCs/>
          <w:sz w:val="24"/>
          <w:szCs w:val="24"/>
          <w:lang w:val="ro-MD"/>
        </w:rPr>
        <w:sectPr w:rsidR="00F8628D" w:rsidRPr="007917DD" w:rsidSect="00ED4ED6">
          <w:footerReference w:type="default" r:id="rId31"/>
          <w:headerReference w:type="first" r:id="rId32"/>
          <w:pgSz w:w="11906" w:h="16838" w:code="9"/>
          <w:pgMar w:top="1140" w:right="851" w:bottom="1418" w:left="1701" w:header="720" w:footer="720" w:gutter="0"/>
          <w:cols w:space="708"/>
          <w:titlePg/>
          <w:docGrid w:linePitch="360"/>
        </w:sectPr>
      </w:pPr>
      <w:r w:rsidRPr="007917DD">
        <w:rPr>
          <w:rFonts w:asciiTheme="majorHAnsi" w:hAnsiTheme="majorHAnsi" w:cstheme="majorHAnsi"/>
          <w:sz w:val="24"/>
          <w:szCs w:val="24"/>
          <w:lang w:val="ro-MD"/>
        </w:rPr>
        <w:t xml:space="preserve">șeful Direcției generale de audit IV      </w:t>
      </w:r>
      <w:r w:rsidRPr="007917DD">
        <w:rPr>
          <w:rFonts w:asciiTheme="majorHAnsi" w:hAnsiTheme="majorHAnsi" w:cstheme="majorHAnsi"/>
          <w:sz w:val="24"/>
          <w:szCs w:val="24"/>
          <w:lang w:val="ro-MD"/>
        </w:rPr>
        <w:tab/>
      </w:r>
      <w:r w:rsidRPr="007917DD">
        <w:rPr>
          <w:rFonts w:asciiTheme="majorHAnsi" w:hAnsiTheme="majorHAnsi" w:cstheme="majorHAnsi"/>
          <w:sz w:val="24"/>
          <w:szCs w:val="24"/>
          <w:lang w:val="ro-MD"/>
        </w:rPr>
        <w:tab/>
        <w:t xml:space="preserve">              </w:t>
      </w:r>
      <w:r w:rsidRPr="007917DD">
        <w:rPr>
          <w:rFonts w:asciiTheme="majorHAnsi" w:hAnsiTheme="majorHAnsi" w:cstheme="majorHAnsi"/>
          <w:sz w:val="24"/>
          <w:szCs w:val="24"/>
          <w:lang w:val="ro-MD"/>
        </w:rPr>
        <w:tab/>
        <w:t xml:space="preserve"> Vasile </w:t>
      </w:r>
      <w:r w:rsidRPr="007917DD">
        <w:rPr>
          <w:rFonts w:asciiTheme="majorHAnsi" w:hAnsiTheme="majorHAnsi" w:cstheme="majorHAnsi"/>
          <w:b/>
          <w:sz w:val="24"/>
          <w:szCs w:val="24"/>
          <w:lang w:val="ro-MD"/>
        </w:rPr>
        <w:t>MOȘOI</w:t>
      </w:r>
    </w:p>
    <w:p w14:paraId="45186882" w14:textId="77777777" w:rsidR="00361032" w:rsidRPr="007917DD" w:rsidRDefault="00361032" w:rsidP="0070347B">
      <w:pPr>
        <w:pStyle w:val="Heading1"/>
        <w:spacing w:before="0"/>
        <w:jc w:val="center"/>
        <w:rPr>
          <w:rFonts w:eastAsia="Times New Roman" w:cstheme="majorHAnsi"/>
          <w:b/>
          <w:bCs/>
          <w:color w:val="auto"/>
          <w:sz w:val="24"/>
          <w:szCs w:val="24"/>
          <w:lang w:val="ro-MD"/>
        </w:rPr>
      </w:pPr>
      <w:bookmarkStart w:id="142" w:name="_Toc91581316"/>
      <w:bookmarkStart w:id="143" w:name="_Toc123116721"/>
      <w:r w:rsidRPr="007917DD">
        <w:rPr>
          <w:rFonts w:eastAsia="Times New Roman" w:cstheme="majorHAnsi"/>
          <w:b/>
          <w:bCs/>
          <w:color w:val="auto"/>
          <w:sz w:val="24"/>
          <w:szCs w:val="24"/>
          <w:lang w:val="ro-MD"/>
        </w:rPr>
        <w:t>ANEXE</w:t>
      </w:r>
      <w:bookmarkEnd w:id="142"/>
      <w:bookmarkEnd w:id="143"/>
    </w:p>
    <w:p w14:paraId="45186884" w14:textId="6678C000" w:rsidR="00310251" w:rsidRPr="0095125A" w:rsidRDefault="00361032" w:rsidP="005129B8">
      <w:pPr>
        <w:pStyle w:val="Heading2"/>
        <w:spacing w:before="0" w:after="240"/>
        <w:rPr>
          <w:rFonts w:cstheme="majorHAnsi"/>
          <w:b/>
          <w:color w:val="00B0F0"/>
          <w:sz w:val="24"/>
          <w:szCs w:val="24"/>
          <w:lang w:val="ro-MD"/>
        </w:rPr>
      </w:pPr>
      <w:bookmarkStart w:id="144" w:name="_Toc91581317"/>
      <w:bookmarkStart w:id="145" w:name="_Toc123116722"/>
      <w:r w:rsidRPr="0095125A">
        <w:rPr>
          <w:rFonts w:cstheme="majorHAnsi"/>
          <w:b/>
          <w:color w:val="00B0F0"/>
          <w:sz w:val="24"/>
          <w:szCs w:val="24"/>
          <w:lang w:val="ro-MD"/>
        </w:rPr>
        <w:t>Anexa nr.</w:t>
      </w:r>
      <w:r w:rsidR="00B849F5" w:rsidRPr="0095125A">
        <w:rPr>
          <w:rFonts w:cstheme="majorHAnsi"/>
          <w:b/>
          <w:color w:val="00B0F0"/>
          <w:sz w:val="24"/>
          <w:szCs w:val="24"/>
          <w:lang w:val="ro-MD"/>
        </w:rPr>
        <w:t>1</w:t>
      </w:r>
      <w:bookmarkEnd w:id="144"/>
      <w:r w:rsidR="0095125A" w:rsidRPr="0095125A">
        <w:rPr>
          <w:rFonts w:cstheme="majorHAnsi"/>
          <w:b/>
          <w:color w:val="00B0F0"/>
          <w:sz w:val="24"/>
          <w:szCs w:val="24"/>
          <w:lang w:val="ro-MD"/>
        </w:rPr>
        <w:t xml:space="preserve">. </w:t>
      </w:r>
      <w:r w:rsidRPr="0095125A">
        <w:rPr>
          <w:rFonts w:cstheme="majorHAnsi"/>
          <w:b/>
          <w:color w:val="00B0F0"/>
          <w:sz w:val="24"/>
          <w:szCs w:val="24"/>
          <w:lang w:val="ro-MD"/>
        </w:rPr>
        <w:t>Informații aferente domeniului auditat</w:t>
      </w:r>
      <w:bookmarkEnd w:id="145"/>
    </w:p>
    <w:p w14:paraId="6F35FE4A" w14:textId="77777777" w:rsidR="00D62388" w:rsidRPr="007917DD" w:rsidRDefault="00D62388" w:rsidP="00D62388">
      <w:pPr>
        <w:pStyle w:val="NormalWeb"/>
        <w:tabs>
          <w:tab w:val="left" w:pos="5869"/>
        </w:tabs>
        <w:ind w:firstLine="720"/>
        <w:jc w:val="center"/>
        <w:rPr>
          <w:rFonts w:asciiTheme="majorHAnsi" w:eastAsia="Times New Roman" w:hAnsiTheme="majorHAnsi" w:cstheme="majorHAnsi"/>
          <w:b/>
          <w:lang w:val="ro-MD" w:eastAsia="ro-MD"/>
        </w:rPr>
      </w:pPr>
    </w:p>
    <w:p w14:paraId="4518689A" w14:textId="790F051E" w:rsidR="00CC38C4" w:rsidRPr="007917DD" w:rsidRDefault="003158EF" w:rsidP="00D62388">
      <w:pPr>
        <w:pStyle w:val="NormalWeb"/>
        <w:tabs>
          <w:tab w:val="left" w:pos="5869"/>
        </w:tabs>
        <w:ind w:firstLine="720"/>
        <w:jc w:val="center"/>
        <w:rPr>
          <w:rFonts w:asciiTheme="majorHAnsi" w:eastAsia="Times New Roman" w:hAnsiTheme="majorHAnsi" w:cstheme="majorHAnsi"/>
          <w:b/>
          <w:lang w:val="ro-MD" w:eastAsia="ro-MD"/>
        </w:rPr>
      </w:pPr>
      <w:r w:rsidRPr="007917DD">
        <w:rPr>
          <w:rFonts w:asciiTheme="majorHAnsi" w:eastAsia="Times New Roman" w:hAnsiTheme="majorHAnsi" w:cstheme="majorHAnsi"/>
          <w:b/>
          <w:lang w:val="ro-MD" w:eastAsia="ro-MD"/>
        </w:rPr>
        <w:t>Atribuțiile conducerii</w:t>
      </w:r>
      <w:r w:rsidR="00EC0C9B" w:rsidRPr="007917DD">
        <w:rPr>
          <w:rFonts w:asciiTheme="majorHAnsi" w:eastAsia="Times New Roman" w:hAnsiTheme="majorHAnsi" w:cstheme="majorHAnsi"/>
          <w:b/>
          <w:lang w:val="ro-MD" w:eastAsia="ro-MD"/>
        </w:rPr>
        <w:t xml:space="preserve"> </w:t>
      </w:r>
      <w:r w:rsidR="004A252F">
        <w:rPr>
          <w:rFonts w:asciiTheme="majorHAnsi" w:eastAsia="Times New Roman" w:hAnsiTheme="majorHAnsi" w:cstheme="majorHAnsi"/>
          <w:b/>
          <w:lang w:val="ro-MD" w:eastAsia="ro-MD"/>
        </w:rPr>
        <w:t>i</w:t>
      </w:r>
      <w:r w:rsidR="00F35B50" w:rsidRPr="007917DD">
        <w:rPr>
          <w:rFonts w:asciiTheme="majorHAnsi" w:eastAsia="Times New Roman" w:hAnsiTheme="majorHAnsi" w:cstheme="majorHAnsi"/>
          <w:b/>
          <w:lang w:val="ro-MD" w:eastAsia="ro-MD"/>
        </w:rPr>
        <w:t xml:space="preserve">nstituțiilor </w:t>
      </w:r>
      <w:r w:rsidR="004A252F">
        <w:rPr>
          <w:rFonts w:asciiTheme="majorHAnsi" w:eastAsia="Times New Roman" w:hAnsiTheme="majorHAnsi" w:cstheme="majorHAnsi"/>
          <w:b/>
          <w:lang w:val="ro-MD" w:eastAsia="ro-MD"/>
        </w:rPr>
        <w:t>p</w:t>
      </w:r>
      <w:r w:rsidR="00F35B50" w:rsidRPr="007917DD">
        <w:rPr>
          <w:rFonts w:asciiTheme="majorHAnsi" w:eastAsia="Times New Roman" w:hAnsiTheme="majorHAnsi" w:cstheme="majorHAnsi"/>
          <w:b/>
          <w:lang w:val="ro-MD" w:eastAsia="ro-MD"/>
        </w:rPr>
        <w:t>ublice</w:t>
      </w:r>
      <w:r w:rsidR="00DD0BAE" w:rsidRPr="007917DD">
        <w:rPr>
          <w:rFonts w:asciiTheme="majorHAnsi" w:eastAsia="Times New Roman" w:hAnsiTheme="majorHAnsi" w:cstheme="majorHAnsi"/>
          <w:b/>
          <w:lang w:val="ro-MD" w:eastAsia="ro-MD"/>
        </w:rPr>
        <w:t xml:space="preserve"> din domeniul infrastructurii calității</w:t>
      </w:r>
    </w:p>
    <w:tbl>
      <w:tblPr>
        <w:tblStyle w:val="PlainTable2"/>
        <w:tblW w:w="9360" w:type="dxa"/>
        <w:tblLook w:val="04A0" w:firstRow="1" w:lastRow="0" w:firstColumn="1" w:lastColumn="0" w:noHBand="0" w:noVBand="1"/>
      </w:tblPr>
      <w:tblGrid>
        <w:gridCol w:w="2970"/>
        <w:gridCol w:w="6390"/>
      </w:tblGrid>
      <w:tr w:rsidR="0020423F" w:rsidRPr="007917DD" w14:paraId="2403E4FD" w14:textId="77777777" w:rsidTr="00C2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1B96042" w14:textId="7D18AABD" w:rsidR="0020423F" w:rsidRPr="004F784E" w:rsidRDefault="0010280C" w:rsidP="0020423F">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Entitățile implicate</w:t>
            </w:r>
          </w:p>
        </w:tc>
        <w:tc>
          <w:tcPr>
            <w:tcW w:w="6390" w:type="dxa"/>
          </w:tcPr>
          <w:p w14:paraId="3FAE7D26" w14:textId="01428241" w:rsidR="0020423F" w:rsidRPr="004F784E" w:rsidRDefault="0010280C" w:rsidP="0020423F">
            <w:pPr>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Rolul și atribuțiile entității</w:t>
            </w:r>
          </w:p>
        </w:tc>
      </w:tr>
      <w:tr w:rsidR="0020423F" w:rsidRPr="007917DD" w14:paraId="1D42E9EC"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F832A4E" w14:textId="2B6239D2" w:rsidR="0020423F" w:rsidRPr="004F784E" w:rsidRDefault="0020423F" w:rsidP="0020423F">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Fondatorul :</w:t>
            </w:r>
          </w:p>
          <w:p w14:paraId="447481A5" w14:textId="5CC60E91" w:rsidR="0020423F" w:rsidRPr="004F784E" w:rsidRDefault="0020423F" w:rsidP="0020423F">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Ministerul Economiei</w:t>
            </w:r>
          </w:p>
        </w:tc>
        <w:tc>
          <w:tcPr>
            <w:tcW w:w="6390" w:type="dxa"/>
          </w:tcPr>
          <w:p w14:paraId="01D072C5" w14:textId="77777777" w:rsidR="0020423F" w:rsidRPr="004F784E" w:rsidRDefault="0020423F" w:rsidP="0020423F">
            <w:pPr>
              <w:tabs>
                <w:tab w:val="left" w:pos="341"/>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Ministerul are misiunea de a analiza situaţia şi problemele din domeniile de activitate gestionate, de a elabora politici publice eficiente în domeniile prevăzute la punctul 6, de a monitoriza calitatea politicilor şi a actelor normative şi de a propune intervenţii justificate ale statului care urmează să ofere soluţii eficiente în domeniile de activitate, asigurând cel mai bun raport dintre rezultatele scontate şi costurile preconizate.</w:t>
            </w:r>
          </w:p>
          <w:p w14:paraId="724CB01E" w14:textId="47C0D9D6" w:rsidR="0020423F" w:rsidRPr="004F784E" w:rsidRDefault="0020423F" w:rsidP="0020423F">
            <w:pPr>
              <w:pStyle w:val="ListParagraph"/>
              <w:tabs>
                <w:tab w:val="left" w:pos="341"/>
              </w:tab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Funcţiile de bază ale Ministerului sunt:</w:t>
            </w:r>
          </w:p>
          <w:p w14:paraId="3515CE13" w14:textId="2F923C12"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elaborarea analizelor ex ante, a documentelor de politici, proiectelor de acte normative în domeniile prevăzute la punctul 6, inclusiv a celor pentru asigurarea executării actelor normative şi decretelor Preşedintelui Republicii Moldova, după publicarea acestora în Monitorul Oficial al Republicii Moldova, în colaborare cu reprezentanţi relevanţi ai societăţii civile şi ai comunităţii de afaceri;</w:t>
            </w:r>
          </w:p>
          <w:p w14:paraId="39FFD1EB" w14:textId="0DDF0B61"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monitorizarea și analiza evoluției social-economice a Republicii Moldova, elaborarea prognozelor principalilor indicatori macroeconomici pe termen mediu;</w:t>
            </w:r>
          </w:p>
          <w:p w14:paraId="7524E4AE" w14:textId="40666A29"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monitorizarea scorului şi a poziţiei Republicii Moldova în cadrul indicatorilor şi clasamentelor internaţionale care ţin de domeniile sale specifice şi elaborarea propunerilor de îmbunătăţire a acestora;</w:t>
            </w:r>
          </w:p>
          <w:p w14:paraId="1874135C" w14:textId="4A20E152"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monitorizarea percepţiei cetăţenilor şi agenţilor economici cu privire la politicile publice, actele normative şi activitatea statului în domeniile de activitate specifice Ministerului şi elaborarea propunerilor de îmbunătăţire a acesteia;</w:t>
            </w:r>
          </w:p>
          <w:p w14:paraId="7606CD36" w14:textId="3D710489"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monitorizarea calităţii politicilor publice şi actelor normative în domeniile de activitate specifice Ministerului, inclusiv în colaborare cu societatea civilă şi sectorul privat;</w:t>
            </w:r>
          </w:p>
          <w:p w14:paraId="3811ECE6" w14:textId="27EA6F51"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colaborarea, în conformitate cu legislaţia naţională, cu instituţii de profil din străinătate în domeniile prevăzute la punctul 6;</w:t>
            </w:r>
          </w:p>
          <w:p w14:paraId="576FA40D" w14:textId="53D2A625"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realizarea actelor normative şi implementarea tratatelor internaţionale ale Republicii Moldova în domeniile prevăzute la punctul 6, întocmirea rapoartelor privind executarea acestora;</w:t>
            </w:r>
          </w:p>
          <w:p w14:paraId="11FBF52D" w14:textId="13C0F545"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examinarea şi avizarea proiectelor de acte normative elaborate de către alte autorităţi ale administraţiei publice şi remise spre examinare;</w:t>
            </w:r>
          </w:p>
          <w:p w14:paraId="41D958C6" w14:textId="5B78D39D"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elaborarea şi prezentarea propunerilor de buget în domeniile prevăzute la pct. 6, elaborarea planului anual de activitate, precum şi monitorizarea anuală a gradului de implementare prin elaborarea şi publicarea rapoartelor respective;</w:t>
            </w:r>
          </w:p>
          <w:p w14:paraId="193E1428" w14:textId="3FB141F2"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organizarea sistemelor de planificare, executare, evidenţă contabilă şi raportare a bugetului în cadrul Ministerului şi, după caz, în cadrul autorităţilor/instituţiilor bugetare din subordine;</w:t>
            </w:r>
          </w:p>
          <w:p w14:paraId="4C5969F6" w14:textId="2137E9DC" w:rsidR="0020423F" w:rsidRPr="004F784E" w:rsidRDefault="0020423F" w:rsidP="007E002D">
            <w:pPr>
              <w:pStyle w:val="ListParagraph"/>
              <w:numPr>
                <w:ilvl w:val="0"/>
                <w:numId w:val="7"/>
              </w:numPr>
              <w:tabs>
                <w:tab w:val="left" w:pos="341"/>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coordonarea şi monitorizarea activităţii autorităţilor administrative din subordine şi a instituţiilor publice în care are calitatea de fondator;</w:t>
            </w:r>
          </w:p>
        </w:tc>
      </w:tr>
      <w:tr w:rsidR="0020423F" w:rsidRPr="007917DD" w14:paraId="75FDA9D9" w14:textId="77777777" w:rsidTr="00C26454">
        <w:tc>
          <w:tcPr>
            <w:cnfStyle w:val="001000000000" w:firstRow="0" w:lastRow="0" w:firstColumn="1" w:lastColumn="0" w:oddVBand="0" w:evenVBand="0" w:oddHBand="0" w:evenHBand="0" w:firstRowFirstColumn="0" w:firstRowLastColumn="0" w:lastRowFirstColumn="0" w:lastRowLastColumn="0"/>
            <w:tcW w:w="2970" w:type="dxa"/>
          </w:tcPr>
          <w:p w14:paraId="2B14B743" w14:textId="2DD3AF05" w:rsidR="0020423F" w:rsidRPr="004F784E" w:rsidRDefault="00EE7547" w:rsidP="0020423F">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Direcția infrastructura calității și supravegherea pieţei</w:t>
            </w:r>
          </w:p>
        </w:tc>
        <w:tc>
          <w:tcPr>
            <w:tcW w:w="6390" w:type="dxa"/>
          </w:tcPr>
          <w:p w14:paraId="6ED2B34B" w14:textId="2CC83693" w:rsidR="00EE7547" w:rsidRPr="004F784E" w:rsidRDefault="00EE7547" w:rsidP="00EE7547">
            <w:pPr>
              <w:tabs>
                <w:tab w:val="left" w:pos="39"/>
              </w:tabs>
              <w:ind w:left="3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xml:space="preserve">Direcţia infrastructura calităţii și supravegherea pieței este o subdiviziune a Ministerului Economiei, care realizează atribuțiile: </w:t>
            </w:r>
          </w:p>
          <w:p w14:paraId="2ADD5E1C" w14:textId="5044422A" w:rsidR="00EE7547" w:rsidRPr="004F784E" w:rsidRDefault="00EE7547" w:rsidP="007E002D">
            <w:pPr>
              <w:numPr>
                <w:ilvl w:val="0"/>
                <w:numId w:val="6"/>
              </w:numPr>
              <w:tabs>
                <w:tab w:val="left" w:pos="322"/>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organului central de specialitate al administraţiei publice, responsabil de infrastructura calităţii ce ţine de domeniul standardizării, metrologiei, acreditării și evaluării conformităţii;</w:t>
            </w:r>
          </w:p>
          <w:p w14:paraId="2D13B31B" w14:textId="65AB1F3F" w:rsidR="00EE7547" w:rsidRPr="004F784E" w:rsidRDefault="00EE7547" w:rsidP="007E002D">
            <w:pPr>
              <w:numPr>
                <w:ilvl w:val="0"/>
                <w:numId w:val="6"/>
              </w:numPr>
              <w:tabs>
                <w:tab w:val="left" w:pos="322"/>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organului central de specialitate al administraţiei publice, responsabil de infrastructura calităţii ce ţine de domeniul reglementării tehnice în conformitate cu Legea nr.7/2016 privind supravegherea pieţei în ceea ce priveşte comercializarea produselor nealimentare;</w:t>
            </w:r>
          </w:p>
          <w:p w14:paraId="47BF0512" w14:textId="650F814F" w:rsidR="00EE7547" w:rsidRPr="004F784E" w:rsidRDefault="00EE7547" w:rsidP="007E002D">
            <w:pPr>
              <w:numPr>
                <w:ilvl w:val="0"/>
                <w:numId w:val="6"/>
              </w:numPr>
              <w:tabs>
                <w:tab w:val="left" w:pos="330"/>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autorității publice abilitate cu funcții speciale în domeniul securității industriale;</w:t>
            </w:r>
          </w:p>
          <w:p w14:paraId="5EB6168C" w14:textId="650E2797" w:rsidR="00EE7547" w:rsidRPr="004F784E" w:rsidRDefault="00EE7547" w:rsidP="007E002D">
            <w:pPr>
              <w:numPr>
                <w:ilvl w:val="0"/>
                <w:numId w:val="6"/>
              </w:numPr>
              <w:tabs>
                <w:tab w:val="left" w:pos="322"/>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organului central de specialitate responsabil de coordonarea activităţilor de supraveghere a pieţei şi supravegherii metrologice;</w:t>
            </w:r>
          </w:p>
          <w:p w14:paraId="28378BDF" w14:textId="0A8BF458" w:rsidR="0020423F" w:rsidRPr="004F784E" w:rsidRDefault="00EE7547" w:rsidP="007E002D">
            <w:pPr>
              <w:numPr>
                <w:ilvl w:val="0"/>
                <w:numId w:val="6"/>
              </w:numPr>
              <w:tabs>
                <w:tab w:val="left" w:pos="350"/>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4F784E">
              <w:rPr>
                <w:rFonts w:asciiTheme="majorHAnsi" w:hAnsiTheme="majorHAnsi" w:cstheme="majorHAnsi"/>
                <w:sz w:val="20"/>
                <w:szCs w:val="20"/>
                <w:lang w:val="ro-MD"/>
              </w:rPr>
              <w:t>- organului central de specialitate al administraţiei publice responsabil de elaborarea politicii de stat în domeniul protecţiei consumatorilor;</w:t>
            </w:r>
          </w:p>
        </w:tc>
      </w:tr>
      <w:tr w:rsidR="0020423F" w:rsidRPr="007917DD" w14:paraId="7FC9F5C8"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F9A678B" w14:textId="0FBEB860" w:rsidR="0010280C" w:rsidRPr="004F784E" w:rsidRDefault="0010280C" w:rsidP="0010280C">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Agenția pentru Protecția Consumatorilor</w:t>
            </w:r>
          </w:p>
          <w:p w14:paraId="1F69E0BF" w14:textId="218326C0" w:rsidR="0020423F" w:rsidRPr="004F784E" w:rsidRDefault="0010280C" w:rsidP="0010280C">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și Supravegherea Pieței</w:t>
            </w:r>
          </w:p>
        </w:tc>
        <w:tc>
          <w:tcPr>
            <w:tcW w:w="6390" w:type="dxa"/>
          </w:tcPr>
          <w:p w14:paraId="62DC47FB" w14:textId="4ABCFEB0"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Agenția realizează funcțiile stabilite în următoarele domenii:</w:t>
            </w:r>
          </w:p>
          <w:p w14:paraId="307CE15A" w14:textId="26248A59" w:rsidR="00D20217" w:rsidRPr="004F784E" w:rsidRDefault="00D20217" w:rsidP="007E002D">
            <w:pPr>
              <w:pStyle w:val="ListParagraph"/>
              <w:numPr>
                <w:ilvl w:val="0"/>
                <w:numId w:val="8"/>
              </w:numPr>
              <w:tabs>
                <w:tab w:val="left" w:pos="322"/>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supravegherea pieţei privind produsele nealimentare şi conformitatea serviciilor (inclusiv turistice);</w:t>
            </w:r>
          </w:p>
          <w:p w14:paraId="0007BBCA" w14:textId="70EB6A84" w:rsidR="00D20217" w:rsidRPr="004F784E" w:rsidRDefault="00D20217" w:rsidP="007E002D">
            <w:pPr>
              <w:pStyle w:val="ListParagraph"/>
              <w:numPr>
                <w:ilvl w:val="0"/>
                <w:numId w:val="8"/>
              </w:numPr>
              <w:tabs>
                <w:tab w:val="left" w:pos="341"/>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protecţia consumatorilor;</w:t>
            </w:r>
          </w:p>
          <w:p w14:paraId="1B6CEC94" w14:textId="3DFDE5A9" w:rsidR="00D20217" w:rsidRPr="004F784E" w:rsidRDefault="00D20217" w:rsidP="007E002D">
            <w:pPr>
              <w:pStyle w:val="ListParagraph"/>
              <w:numPr>
                <w:ilvl w:val="0"/>
                <w:numId w:val="8"/>
              </w:numPr>
              <w:tabs>
                <w:tab w:val="left" w:pos="341"/>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metrologie;</w:t>
            </w:r>
          </w:p>
          <w:p w14:paraId="2ED737EF" w14:textId="3096313B" w:rsidR="00D20217" w:rsidRPr="004F784E" w:rsidRDefault="00D20217" w:rsidP="007E002D">
            <w:pPr>
              <w:pStyle w:val="ListParagraph"/>
              <w:numPr>
                <w:ilvl w:val="0"/>
                <w:numId w:val="8"/>
              </w:numPr>
              <w:tabs>
                <w:tab w:val="left" w:pos="341"/>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supravegherea și controlul de stat al activităților în domeniul jocurilor de noroc;</w:t>
            </w:r>
          </w:p>
          <w:p w14:paraId="06322DB7" w14:textId="59DC79FE" w:rsidR="00D20217" w:rsidRPr="004F784E" w:rsidRDefault="00D20217" w:rsidP="007E002D">
            <w:pPr>
              <w:pStyle w:val="ListParagraph"/>
              <w:numPr>
                <w:ilvl w:val="0"/>
                <w:numId w:val="8"/>
              </w:numPr>
              <w:tabs>
                <w:tab w:val="left" w:pos="341"/>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respectarea condiţiilor de licenţiere conform domeniului de competenţă.</w:t>
            </w:r>
          </w:p>
          <w:p w14:paraId="7A40E8A0" w14:textId="77777777" w:rsidR="00D20217" w:rsidRPr="004F784E" w:rsidRDefault="00D20217" w:rsidP="00D20217">
            <w:pPr>
              <w:pStyle w:val="ListParagraph"/>
              <w:tabs>
                <w:tab w:val="left" w:pos="341"/>
              </w:tabs>
              <w:ind w:left="39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p>
          <w:p w14:paraId="3995795C" w14:textId="0BA913D4"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Agenția realizează următoarele funcții:</w:t>
            </w:r>
          </w:p>
          <w:p w14:paraId="40E625A8" w14:textId="0FB4B554" w:rsidR="00D20217" w:rsidRPr="004F784E" w:rsidRDefault="00D20217" w:rsidP="00D20217">
            <w:pPr>
              <w:pStyle w:val="ListParagraph"/>
              <w:tabs>
                <w:tab w:val="left" w:pos="341"/>
              </w:tabs>
              <w:ind w:left="3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i/>
                <w:sz w:val="20"/>
                <w:szCs w:val="20"/>
                <w:lang w:val="ro-MD"/>
              </w:rPr>
              <w:t>în domeniul supravegherii pieţei privind produsele nealimentare şi conformitatea serviciilor (inclusiv turistice):</w:t>
            </w:r>
          </w:p>
          <w:p w14:paraId="7C9DF45A" w14:textId="22AF0ADB" w:rsidR="00D20217" w:rsidRPr="004F784E" w:rsidRDefault="00D20217" w:rsidP="007E002D">
            <w:pPr>
              <w:pStyle w:val="ListParagraph"/>
              <w:numPr>
                <w:ilvl w:val="0"/>
                <w:numId w:val="9"/>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funcțiile stabilite în art.7 alin.(4) din Legea nr.7 din 26 februarie 2016 privind supravegherea pieței</w:t>
            </w:r>
            <w:r w:rsidR="00D842B1">
              <w:rPr>
                <w:rFonts w:asciiTheme="majorHAnsi" w:eastAsia="Times New Roman" w:hAnsiTheme="majorHAnsi" w:cstheme="majorHAnsi"/>
                <w:sz w:val="20"/>
                <w:szCs w:val="20"/>
                <w:lang w:val="ro-MD"/>
              </w:rPr>
              <w:t xml:space="preserve"> în ceea ce privește</w:t>
            </w:r>
            <w:r w:rsidRPr="004F784E">
              <w:rPr>
                <w:rFonts w:asciiTheme="majorHAnsi" w:eastAsia="Times New Roman" w:hAnsiTheme="majorHAnsi" w:cstheme="majorHAnsi"/>
                <w:sz w:val="20"/>
                <w:szCs w:val="20"/>
                <w:lang w:val="ro-MD"/>
              </w:rPr>
              <w:t xml:space="preserve"> comercializarea produselor nealimentare;</w:t>
            </w:r>
          </w:p>
          <w:p w14:paraId="637BA802" w14:textId="79F69CCD" w:rsidR="00D20217" w:rsidRPr="004F784E" w:rsidRDefault="00D20217" w:rsidP="007E002D">
            <w:pPr>
              <w:pStyle w:val="ListParagraph"/>
              <w:numPr>
                <w:ilvl w:val="0"/>
                <w:numId w:val="9"/>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efectuarea controlului respectării cerinţelor privind siguranţa produselor nealimentare, introduse sau puse la dispoziție pe piaţă</w:t>
            </w:r>
            <w:r w:rsidR="00F9758C">
              <w:rPr>
                <w:rFonts w:asciiTheme="majorHAnsi" w:eastAsia="Times New Roman" w:hAnsiTheme="majorHAnsi" w:cstheme="majorHAnsi"/>
                <w:sz w:val="20"/>
                <w:szCs w:val="20"/>
                <w:lang w:val="ro-MD"/>
              </w:rPr>
              <w:t>,</w:t>
            </w:r>
            <w:r w:rsidRPr="004F784E">
              <w:rPr>
                <w:rFonts w:asciiTheme="majorHAnsi" w:eastAsia="Times New Roman" w:hAnsiTheme="majorHAnsi" w:cstheme="majorHAnsi"/>
                <w:sz w:val="20"/>
                <w:szCs w:val="20"/>
                <w:lang w:val="ro-MD"/>
              </w:rPr>
              <w:t xml:space="preserve"> destinate consumatorilor, în conformitate cu prevederile Legii nr.131 din 8 iunie 2012 privind controlul de stat asupra activităţii de întreprinzător;</w:t>
            </w:r>
          </w:p>
          <w:p w14:paraId="22391C03" w14:textId="1CC96ED1" w:rsidR="00D20217" w:rsidRPr="004F784E" w:rsidRDefault="00D20217" w:rsidP="007E002D">
            <w:pPr>
              <w:pStyle w:val="ListParagraph"/>
              <w:numPr>
                <w:ilvl w:val="0"/>
                <w:numId w:val="9"/>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efectuarea controlului calităţii serviciilor turistice prestate în conformitate cu prevederile Legii nr.131 din 8 iunie 2012;</w:t>
            </w:r>
          </w:p>
          <w:p w14:paraId="533AC65E" w14:textId="5DEB0821"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i/>
                <w:sz w:val="20"/>
                <w:szCs w:val="20"/>
                <w:lang w:val="ro-MD"/>
              </w:rPr>
              <w:t>în domeniul protecţiei consumatorilor</w:t>
            </w:r>
            <w:r w:rsidRPr="004F784E">
              <w:rPr>
                <w:rFonts w:asciiTheme="majorHAnsi" w:eastAsia="Times New Roman" w:hAnsiTheme="majorHAnsi" w:cstheme="majorHAnsi"/>
                <w:sz w:val="20"/>
                <w:szCs w:val="20"/>
                <w:lang w:val="ro-MD"/>
              </w:rPr>
              <w:t>:</w:t>
            </w:r>
          </w:p>
          <w:p w14:paraId="6B8F5BA8" w14:textId="2F750B5E" w:rsidR="00D20217" w:rsidRPr="004F784E" w:rsidRDefault="00D20217" w:rsidP="007E002D">
            <w:pPr>
              <w:pStyle w:val="ListParagraph"/>
              <w:numPr>
                <w:ilvl w:val="0"/>
                <w:numId w:val="10"/>
              </w:numPr>
              <w:tabs>
                <w:tab w:val="left" w:pos="322"/>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funcțiile stabilite în art.27 alin. (3) din Legea nr. 105-XV  din  13 martie 2003 privind protecţia consumatorilor;</w:t>
            </w:r>
          </w:p>
          <w:p w14:paraId="4EEFD7AF" w14:textId="3FC8FD4B" w:rsidR="00D20217" w:rsidRPr="004F784E" w:rsidRDefault="00D20217" w:rsidP="007E002D">
            <w:pPr>
              <w:pStyle w:val="ListParagraph"/>
              <w:numPr>
                <w:ilvl w:val="0"/>
                <w:numId w:val="10"/>
              </w:numPr>
              <w:tabs>
                <w:tab w:val="left" w:pos="322"/>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funcțiile stabilite în art.5 alin. (3) din Legea nr. 231 din 23 septembrie 2010 cu privire la comerţul interior;</w:t>
            </w:r>
          </w:p>
          <w:p w14:paraId="383D006D" w14:textId="1A346314" w:rsidR="00D20217" w:rsidRPr="004F784E" w:rsidRDefault="00E61595"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i/>
                <w:sz w:val="20"/>
                <w:szCs w:val="20"/>
                <w:lang w:val="ro-MD"/>
              </w:rPr>
              <w:t>în domeniul metrologiei:</w:t>
            </w:r>
          </w:p>
          <w:p w14:paraId="2D4F9447" w14:textId="547F767D" w:rsidR="00E61595" w:rsidRPr="004F784E" w:rsidRDefault="00D20217" w:rsidP="007E002D">
            <w:pPr>
              <w:pStyle w:val="ListParagraph"/>
              <w:numPr>
                <w:ilvl w:val="0"/>
                <w:numId w:val="11"/>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efectuarea supravegherii metrologice în conformitate cu art.5 alin.(8) din Legea metro</w:t>
            </w:r>
            <w:r w:rsidR="00E61595" w:rsidRPr="004F784E">
              <w:rPr>
                <w:rFonts w:asciiTheme="majorHAnsi" w:eastAsia="Times New Roman" w:hAnsiTheme="majorHAnsi" w:cstheme="majorHAnsi"/>
                <w:sz w:val="20"/>
                <w:szCs w:val="20"/>
                <w:lang w:val="ro-MD"/>
              </w:rPr>
              <w:t>logiei nr.19 din 4 martie 2016;</w:t>
            </w:r>
          </w:p>
          <w:p w14:paraId="713DD14D" w14:textId="48528C4B"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i/>
                <w:sz w:val="20"/>
                <w:szCs w:val="20"/>
                <w:lang w:val="ro-MD"/>
              </w:rPr>
              <w:t xml:space="preserve">în domeniul supravegherii și controlului de stat al activităților </w:t>
            </w:r>
            <w:r w:rsidR="00E61595" w:rsidRPr="004F784E">
              <w:rPr>
                <w:rFonts w:asciiTheme="majorHAnsi" w:eastAsia="Times New Roman" w:hAnsiTheme="majorHAnsi" w:cstheme="majorHAnsi"/>
                <w:i/>
                <w:sz w:val="20"/>
                <w:szCs w:val="20"/>
                <w:lang w:val="ro-MD"/>
              </w:rPr>
              <w:t>în domeniul jocurilor de noroc:</w:t>
            </w:r>
          </w:p>
          <w:p w14:paraId="1A6C0DAE" w14:textId="7C491014" w:rsidR="00E61595" w:rsidRPr="004F784E" w:rsidRDefault="00D20217" w:rsidP="007E002D">
            <w:pPr>
              <w:pStyle w:val="ListParagraph"/>
              <w:numPr>
                <w:ilvl w:val="0"/>
                <w:numId w:val="12"/>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efectuarea supravegherii și controlului de stat în domeniul jocurilor de noroc, în limitele prevederilor Legii nr.131 din 8 iunie 2012;</w:t>
            </w:r>
          </w:p>
          <w:p w14:paraId="253EB40F" w14:textId="342BF988" w:rsidR="00E61595"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i/>
                <w:sz w:val="20"/>
                <w:szCs w:val="20"/>
                <w:lang w:val="ro-MD"/>
              </w:rPr>
              <w:t xml:space="preserve"> în domeniul respectării condiţiilor de licenţiere conform domeniului de competenţă:</w:t>
            </w:r>
          </w:p>
          <w:p w14:paraId="622A5371" w14:textId="2EAFF20E" w:rsidR="00D20217" w:rsidRPr="004F784E" w:rsidRDefault="00D20217" w:rsidP="007E002D">
            <w:pPr>
              <w:pStyle w:val="ListParagraph"/>
              <w:numPr>
                <w:ilvl w:val="0"/>
                <w:numId w:val="13"/>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funcțiile stabilite de Legea nr.131 din 8 iunie 2012.</w:t>
            </w:r>
          </w:p>
          <w:p w14:paraId="0CD00B64" w14:textId="77777777"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p>
          <w:p w14:paraId="6F4108C3" w14:textId="2AF08E85" w:rsidR="00D20217" w:rsidRPr="004F784E" w:rsidRDefault="00D20217" w:rsidP="00D20217">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sz w:val="20"/>
                <w:szCs w:val="20"/>
                <w:lang w:val="ro-MD"/>
              </w:rPr>
            </w:pPr>
            <w:r w:rsidRPr="004F784E">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b/>
                <w:i/>
                <w:sz w:val="20"/>
                <w:szCs w:val="20"/>
                <w:lang w:val="ro-MD"/>
              </w:rPr>
              <w:t>Agenția este înv</w:t>
            </w:r>
            <w:r w:rsidR="00E61595" w:rsidRPr="004F784E">
              <w:rPr>
                <w:rFonts w:asciiTheme="majorHAnsi" w:eastAsia="Times New Roman" w:hAnsiTheme="majorHAnsi" w:cstheme="majorHAnsi"/>
                <w:b/>
                <w:i/>
                <w:sz w:val="20"/>
                <w:szCs w:val="20"/>
                <w:lang w:val="ro-MD"/>
              </w:rPr>
              <w:t>estită cu următoarele drepturi:</w:t>
            </w:r>
          </w:p>
          <w:p w14:paraId="0EB0A457" w14:textId="0B0217D7" w:rsidR="00D20217"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constate contravenții, să întocmească procese-verbale cu privire la contravenții și să aplice sancţiuni potrivit Codului contra</w:t>
            </w:r>
            <w:r w:rsidR="00E61595" w:rsidRPr="004F784E">
              <w:rPr>
                <w:rFonts w:asciiTheme="majorHAnsi" w:eastAsia="Times New Roman" w:hAnsiTheme="majorHAnsi" w:cstheme="majorHAnsi"/>
                <w:sz w:val="20"/>
                <w:szCs w:val="20"/>
                <w:lang w:val="ro-MD"/>
              </w:rPr>
              <w:t>vențional</w:t>
            </w:r>
            <w:r w:rsidR="001034C5">
              <w:rPr>
                <w:rFonts w:asciiTheme="majorHAnsi" w:eastAsia="Times New Roman" w:hAnsiTheme="majorHAnsi" w:cstheme="majorHAnsi"/>
                <w:sz w:val="20"/>
                <w:szCs w:val="20"/>
                <w:lang w:val="ro-MD"/>
              </w:rPr>
              <w:t xml:space="preserve"> </w:t>
            </w:r>
            <w:r w:rsidR="00E61595" w:rsidRPr="004F784E">
              <w:rPr>
                <w:rFonts w:asciiTheme="majorHAnsi" w:eastAsia="Times New Roman" w:hAnsiTheme="majorHAnsi" w:cstheme="majorHAnsi"/>
                <w:sz w:val="20"/>
                <w:szCs w:val="20"/>
                <w:lang w:val="ro-MD"/>
              </w:rPr>
              <w:t>al Republicii Moldova;</w:t>
            </w:r>
          </w:p>
          <w:p w14:paraId="11849817" w14:textId="7CF1C811" w:rsidR="00D20217"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elibereze prescripții şi să aplice sancţiuni în temeiul procesului-verbal de control, conform prevederilor Legii nr.131 din 8 iunie 2012;</w:t>
            </w:r>
          </w:p>
          <w:p w14:paraId="6A350D78" w14:textId="440BD36C" w:rsidR="00E61595"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aplice măsuri restrictive în conformitate cu Legea nr.7 din 26 februarie 2016;</w:t>
            </w:r>
          </w:p>
          <w:p w14:paraId="55AF0B0B" w14:textId="28EE4AE4" w:rsidR="00E61595"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solicite şi să primească, în condiţiile legii şi în scopul exercitării atribuţiilor sale, informaţii de la autoritățile publice centrale, autorităţile</w:t>
            </w:r>
            <w:r w:rsidR="00F9758C">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sz w:val="20"/>
                <w:szCs w:val="20"/>
                <w:lang w:val="ro-MD"/>
              </w:rPr>
              <w:t>administraţiei publice locale, organizaţii</w:t>
            </w:r>
            <w:r w:rsidR="00F9758C">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sz w:val="20"/>
                <w:szCs w:val="20"/>
                <w:lang w:val="ro-MD"/>
              </w:rPr>
              <w:t>şi</w:t>
            </w:r>
            <w:r w:rsidR="00F9758C">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sz w:val="20"/>
                <w:szCs w:val="20"/>
                <w:lang w:val="ro-MD"/>
              </w:rPr>
              <w:t>instituţii, agenți economici care activează în domenii ce ţin de competenţa sa;</w:t>
            </w:r>
          </w:p>
          <w:p w14:paraId="2F60D278" w14:textId="77777777" w:rsidR="00E61595"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beneficieze de acces la bazele de date oficiale publice în domeniul informației statistice, financiare, fiscale, economice, juridice, metrologice etc. conform procedurii stipulate în Legea nr.71-XVI din 22 martie 2007 cu privire la registre;</w:t>
            </w:r>
          </w:p>
          <w:p w14:paraId="385AFDC1" w14:textId="77777777" w:rsidR="00E61595"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sesizeze autorităţile competente referitor la produsele, serviciile, mijloacele de măsurare neconforme depistate în cadrul activităților de supraveghere a pieţei;</w:t>
            </w:r>
          </w:p>
          <w:p w14:paraId="76504091" w14:textId="1AD6AA96" w:rsidR="0020423F" w:rsidRPr="004F784E" w:rsidRDefault="00D20217" w:rsidP="007E002D">
            <w:pPr>
              <w:pStyle w:val="ListParagraph"/>
              <w:numPr>
                <w:ilvl w:val="0"/>
                <w:numId w:val="14"/>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să organizeze şi să efectueze vizite de consultanţă în vederea familiarizării agenţilor economici și consumatorilor cu cerinţele actelor normative ce ţin de protecţia consumatorilor.</w:t>
            </w:r>
          </w:p>
        </w:tc>
      </w:tr>
      <w:tr w:rsidR="0065082A" w:rsidRPr="007917DD" w14:paraId="1C4265AB" w14:textId="77777777" w:rsidTr="00C26454">
        <w:tc>
          <w:tcPr>
            <w:cnfStyle w:val="001000000000" w:firstRow="0" w:lastRow="0" w:firstColumn="1" w:lastColumn="0" w:oddVBand="0" w:evenVBand="0" w:oddHBand="0" w:evenHBand="0" w:firstRowFirstColumn="0" w:firstRowLastColumn="0" w:lastRowFirstColumn="0" w:lastRowLastColumn="0"/>
            <w:tcW w:w="2970" w:type="dxa"/>
          </w:tcPr>
          <w:p w14:paraId="22ABA258" w14:textId="30403233" w:rsidR="0065082A" w:rsidRPr="004F784E" w:rsidRDefault="0065082A" w:rsidP="0010280C">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Institutul</w:t>
            </w:r>
            <w:r w:rsidR="004A252F">
              <w:rPr>
                <w:rFonts w:asciiTheme="majorHAnsi" w:hAnsiTheme="majorHAnsi" w:cstheme="majorHAnsi"/>
                <w:sz w:val="20"/>
                <w:szCs w:val="20"/>
                <w:lang w:val="ro-MD"/>
              </w:rPr>
              <w:t xml:space="preserve"> </w:t>
            </w:r>
            <w:r w:rsidRPr="004F784E">
              <w:rPr>
                <w:rFonts w:asciiTheme="majorHAnsi" w:hAnsiTheme="majorHAnsi" w:cstheme="majorHAnsi"/>
                <w:sz w:val="20"/>
                <w:szCs w:val="20"/>
                <w:lang w:val="ro-MD"/>
              </w:rPr>
              <w:t>de Standardizare din Moldova</w:t>
            </w:r>
          </w:p>
        </w:tc>
        <w:tc>
          <w:tcPr>
            <w:tcW w:w="6390" w:type="dxa"/>
          </w:tcPr>
          <w:p w14:paraId="417D941F" w14:textId="5FD2A97D" w:rsidR="0065082A" w:rsidRPr="004F784E" w:rsidRDefault="0065082A" w:rsidP="0065082A">
            <w:pPr>
              <w:tabs>
                <w:tab w:val="left" w:pos="341"/>
              </w:tabs>
              <w:ind w:left="39"/>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Institutul are următoarele funcţii de bază:</w:t>
            </w:r>
          </w:p>
          <w:p w14:paraId="1531C47E" w14:textId="34C0AB6E" w:rsidR="0065082A" w:rsidRPr="004F784E" w:rsidRDefault="0065082A" w:rsidP="007E002D">
            <w:pPr>
              <w:pStyle w:val="ListParagraph"/>
              <w:numPr>
                <w:ilvl w:val="0"/>
                <w:numId w:val="15"/>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asigurarea disponibilităţii publice a documentelor de standardizare;</w:t>
            </w:r>
          </w:p>
          <w:p w14:paraId="46BEA807" w14:textId="7B790F7B" w:rsidR="0065082A" w:rsidRPr="004F784E" w:rsidRDefault="0065082A" w:rsidP="007E002D">
            <w:pPr>
              <w:pStyle w:val="ListParagraph"/>
              <w:numPr>
                <w:ilvl w:val="0"/>
                <w:numId w:val="15"/>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promovarea standardelor şi a standardizării;</w:t>
            </w:r>
          </w:p>
          <w:p w14:paraId="27F9F543" w14:textId="5CDB3347" w:rsidR="0065082A" w:rsidRPr="004F784E" w:rsidRDefault="0065082A" w:rsidP="007E002D">
            <w:pPr>
              <w:pStyle w:val="ListParagraph"/>
              <w:numPr>
                <w:ilvl w:val="0"/>
                <w:numId w:val="15"/>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organizarea instruirilor şi perfecţionării continue în domeniul standardizării;</w:t>
            </w:r>
          </w:p>
          <w:p w14:paraId="2D350C4D" w14:textId="77777777" w:rsidR="0065082A" w:rsidRPr="004F784E" w:rsidRDefault="0065082A" w:rsidP="007E002D">
            <w:pPr>
              <w:pStyle w:val="ListParagraph"/>
              <w:numPr>
                <w:ilvl w:val="0"/>
                <w:numId w:val="15"/>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4) consolidarea continuă a sistemului naţional de standardizare.</w:t>
            </w:r>
          </w:p>
          <w:p w14:paraId="16AD7F2E" w14:textId="29D2A2AC" w:rsidR="00F27F12" w:rsidRPr="004F784E" w:rsidRDefault="00F27F12" w:rsidP="00F27F12">
            <w:pPr>
              <w:pStyle w:val="ListParagraph"/>
              <w:tabs>
                <w:tab w:val="left" w:pos="341"/>
              </w:tabs>
              <w:ind w:left="39"/>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i/>
                <w:sz w:val="20"/>
                <w:szCs w:val="20"/>
                <w:lang w:val="ro-MD"/>
              </w:rPr>
              <w:t>Principalele atribuţii ale Institutului s</w:t>
            </w:r>
            <w:r w:rsidR="001034C5">
              <w:rPr>
                <w:rFonts w:asciiTheme="majorHAnsi" w:eastAsia="Times New Roman" w:hAnsiTheme="majorHAnsi" w:cstheme="majorHAnsi"/>
                <w:i/>
                <w:sz w:val="20"/>
                <w:szCs w:val="20"/>
                <w:lang w:val="ro-MD"/>
              </w:rPr>
              <w:t>u</w:t>
            </w:r>
            <w:r w:rsidRPr="004F784E">
              <w:rPr>
                <w:rFonts w:asciiTheme="majorHAnsi" w:eastAsia="Times New Roman" w:hAnsiTheme="majorHAnsi" w:cstheme="majorHAnsi"/>
                <w:i/>
                <w:sz w:val="20"/>
                <w:szCs w:val="20"/>
                <w:lang w:val="ro-MD"/>
              </w:rPr>
              <w:t>nt:</w:t>
            </w:r>
          </w:p>
          <w:p w14:paraId="026FD313" w14:textId="1144AC59"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stabilirea regulilor de standardizare naţională;</w:t>
            </w:r>
          </w:p>
          <w:p w14:paraId="254D9435" w14:textId="74FF7ECD"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elaborarea, aprobarea şi realizarea programului de standardizare naţională;</w:t>
            </w:r>
          </w:p>
          <w:p w14:paraId="7F55B248" w14:textId="08B06CB2"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elaborarea şi aprobarea standardelor moldoveneşti;</w:t>
            </w:r>
          </w:p>
          <w:p w14:paraId="06FDA424" w14:textId="7346A3A1"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adoptarea standardelor europene, internaţionale, interstatale şi ale altor ţări, precum şi adoptarea altor documente de standardizare în calitate de standarde moldoveneşti;</w:t>
            </w:r>
          </w:p>
          <w:p w14:paraId="3C84297D" w14:textId="780055D0"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examinarea periodică, modificarea, revizuirea, reconfirmarea şi anularea standardelor moldoveneşti;</w:t>
            </w:r>
          </w:p>
          <w:p w14:paraId="53F00CD3" w14:textId="3FE9165B"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evidenţa standardelor moldoveneşti;</w:t>
            </w:r>
          </w:p>
          <w:p w14:paraId="2A07C4F4" w14:textId="6C0B7C65"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asigurarea disponibilităţii publice a informaţiilor referitoare la standardele moldoveneşti şi a altor publicaţii relevante privind standardizarea naţională;</w:t>
            </w:r>
          </w:p>
          <w:p w14:paraId="47769F0E" w14:textId="0FB018A5"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comercializarea standardelor;</w:t>
            </w:r>
          </w:p>
          <w:p w14:paraId="7AF89545" w14:textId="71AE1F6C"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constituirea, înregistrarea şi coordonarea activităţii comitetelor tehnice de standardizare;</w:t>
            </w:r>
          </w:p>
          <w:p w14:paraId="289E15BF" w14:textId="3FF855E4"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elaborarea şi publicarea Buletinului de standardizare şi a altor publicaţii din domeniul standardizării naţionale;</w:t>
            </w:r>
          </w:p>
          <w:p w14:paraId="64EA1E2E" w14:textId="3503D5C9"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participarea la activitatea de standardizare europeană, internaţională şi interstatală;</w:t>
            </w:r>
          </w:p>
          <w:p w14:paraId="451EA41D" w14:textId="6F2D3E35"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reprezentarea Republicii Moldova ca membru în organizaţiile europene, internaţionale şi interstatale de standardizare şi îndeplinirea obligaţiilor ce îi revin în calitate de membru al organizaţ</w:t>
            </w:r>
            <w:r w:rsidR="004153A9" w:rsidRPr="004F784E">
              <w:rPr>
                <w:rFonts w:asciiTheme="majorHAnsi" w:eastAsia="Times New Roman" w:hAnsiTheme="majorHAnsi" w:cstheme="majorHAnsi"/>
                <w:sz w:val="20"/>
                <w:szCs w:val="20"/>
                <w:lang w:val="ro-MD"/>
              </w:rPr>
              <w:t>iilor corespunzătoare;</w:t>
            </w:r>
          </w:p>
          <w:p w14:paraId="3D08ECA2" w14:textId="35B86E51"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colaborarea în domeniul standardizării cu organismele de standardizare din</w:t>
            </w:r>
            <w:r w:rsidR="004153A9" w:rsidRPr="004F784E">
              <w:rPr>
                <w:rFonts w:asciiTheme="majorHAnsi" w:eastAsia="Times New Roman" w:hAnsiTheme="majorHAnsi" w:cstheme="majorHAnsi"/>
                <w:sz w:val="20"/>
                <w:szCs w:val="20"/>
                <w:lang w:val="ro-MD"/>
              </w:rPr>
              <w:t xml:space="preserve"> alte ţări şi alte organizaţii;</w:t>
            </w:r>
          </w:p>
          <w:p w14:paraId="12BDABAA" w14:textId="7F6CE506"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participarea la schimbul de informaţii privind standardele şi activitatea de standardizare în cadrul sistemelor de standardizare european</w:t>
            </w:r>
            <w:r w:rsidR="004153A9" w:rsidRPr="004F784E">
              <w:rPr>
                <w:rFonts w:asciiTheme="majorHAnsi" w:eastAsia="Times New Roman" w:hAnsiTheme="majorHAnsi" w:cstheme="majorHAnsi"/>
                <w:sz w:val="20"/>
                <w:szCs w:val="20"/>
                <w:lang w:val="ro-MD"/>
              </w:rPr>
              <w:t>, internaţional şi interstatal;</w:t>
            </w:r>
          </w:p>
          <w:p w14:paraId="749BB92D" w14:textId="0F9B21F3"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 xml:space="preserve">dezvoltarea şi gestionarea </w:t>
            </w:r>
            <w:r w:rsidR="004153A9" w:rsidRPr="004F784E">
              <w:rPr>
                <w:rFonts w:asciiTheme="majorHAnsi" w:eastAsia="Times New Roman" w:hAnsiTheme="majorHAnsi" w:cstheme="majorHAnsi"/>
                <w:sz w:val="20"/>
                <w:szCs w:val="20"/>
                <w:lang w:val="ro-MD"/>
              </w:rPr>
              <w:t>Fondului naţional de standarde;</w:t>
            </w:r>
          </w:p>
          <w:p w14:paraId="68C3635A" w14:textId="4D722A0A"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asigurarea lucrărilor de secretariat al</w:t>
            </w:r>
            <w:r w:rsidR="004153A9" w:rsidRPr="004F784E">
              <w:rPr>
                <w:rFonts w:asciiTheme="majorHAnsi" w:eastAsia="Times New Roman" w:hAnsiTheme="majorHAnsi" w:cstheme="majorHAnsi"/>
                <w:sz w:val="20"/>
                <w:szCs w:val="20"/>
                <w:lang w:val="ro-MD"/>
              </w:rPr>
              <w:t>e Consiliului de standardizare;</w:t>
            </w:r>
          </w:p>
          <w:p w14:paraId="3E184E5C" w14:textId="2FC39567"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prestarea servicii</w:t>
            </w:r>
            <w:r w:rsidR="004153A9" w:rsidRPr="004F784E">
              <w:rPr>
                <w:rFonts w:asciiTheme="majorHAnsi" w:eastAsia="Times New Roman" w:hAnsiTheme="majorHAnsi" w:cstheme="majorHAnsi"/>
                <w:sz w:val="20"/>
                <w:szCs w:val="20"/>
                <w:lang w:val="ro-MD"/>
              </w:rPr>
              <w:t>lor în domeniul standardizării;</w:t>
            </w:r>
          </w:p>
          <w:p w14:paraId="4CBB2FD9" w14:textId="7D476D1A"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avizarea, la solicitarea autorităţilor publice, a proiectelor de acte legislative şi normative care au legătură cu standardele şi standardizarea, inclusiv a proiectelor de liste cu standarde moldoveneşti care adoptă standardele europene armonizate sau de liste cu alte standarde moldoveneşti la care se face referinţă în a</w:t>
            </w:r>
            <w:r w:rsidR="004153A9" w:rsidRPr="004F784E">
              <w:rPr>
                <w:rFonts w:asciiTheme="majorHAnsi" w:eastAsia="Times New Roman" w:hAnsiTheme="majorHAnsi" w:cstheme="majorHAnsi"/>
                <w:sz w:val="20"/>
                <w:szCs w:val="20"/>
                <w:lang w:val="ro-MD"/>
              </w:rPr>
              <w:t>ctele legislative şi normative;</w:t>
            </w:r>
          </w:p>
          <w:p w14:paraId="386043BC" w14:textId="383172BC"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participarea la programe şi proiecte în standardizare cu finanţare naţională, europeană, i</w:t>
            </w:r>
            <w:r w:rsidR="004153A9" w:rsidRPr="004F784E">
              <w:rPr>
                <w:rFonts w:asciiTheme="majorHAnsi" w:eastAsia="Times New Roman" w:hAnsiTheme="majorHAnsi" w:cstheme="majorHAnsi"/>
                <w:sz w:val="20"/>
                <w:szCs w:val="20"/>
                <w:lang w:val="ro-MD"/>
              </w:rPr>
              <w:t>nternaţională sau interstatală;</w:t>
            </w:r>
          </w:p>
          <w:p w14:paraId="60CC4630" w14:textId="5C0B6C8A" w:rsidR="00F27F12"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promovarea aplicării s</w:t>
            </w:r>
            <w:r w:rsidR="004153A9" w:rsidRPr="004F784E">
              <w:rPr>
                <w:rFonts w:asciiTheme="majorHAnsi" w:eastAsia="Times New Roman" w:hAnsiTheme="majorHAnsi" w:cstheme="majorHAnsi"/>
                <w:sz w:val="20"/>
                <w:szCs w:val="20"/>
                <w:lang w:val="ro-MD"/>
              </w:rPr>
              <w:t>tandardelor şi standardizării;</w:t>
            </w:r>
          </w:p>
          <w:p w14:paraId="2D7FD606" w14:textId="17AD912E" w:rsidR="0065082A" w:rsidRPr="004F784E" w:rsidRDefault="00F27F12" w:rsidP="007E002D">
            <w:pPr>
              <w:pStyle w:val="ListParagraph"/>
              <w:numPr>
                <w:ilvl w:val="0"/>
                <w:numId w:val="16"/>
              </w:numPr>
              <w:tabs>
                <w:tab w:val="left" w:pos="464"/>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21) exercitarea, în legătură cu scopul său principal, a altor atribuţii prevăzute de Legea nr. 20 din 4 martie 2016 cu privire la standardizarea naţională şi de alte acte normative.</w:t>
            </w:r>
          </w:p>
        </w:tc>
      </w:tr>
      <w:tr w:rsidR="006F086F" w:rsidRPr="007917DD" w14:paraId="05EFCC19"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129F57F6" w14:textId="5E08DE8F" w:rsidR="006F086F" w:rsidRPr="004F784E" w:rsidRDefault="006F086F" w:rsidP="0010280C">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Institutul Naţional de Metrologie</w:t>
            </w:r>
          </w:p>
        </w:tc>
        <w:tc>
          <w:tcPr>
            <w:tcW w:w="6390" w:type="dxa"/>
          </w:tcPr>
          <w:p w14:paraId="113EC9AA" w14:textId="10B779A7" w:rsidR="00D874E7" w:rsidRPr="004F784E" w:rsidRDefault="00160719" w:rsidP="00160719">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 xml:space="preserve">Funcţiile de bază ale Institutului, prevăzute în art.5 alin. (4) din Legea metrologiei </w:t>
            </w:r>
            <w:r w:rsidR="00D874E7" w:rsidRPr="004F784E">
              <w:rPr>
                <w:rFonts w:asciiTheme="majorHAnsi" w:eastAsia="Times New Roman" w:hAnsiTheme="majorHAnsi" w:cstheme="majorHAnsi"/>
                <w:sz w:val="20"/>
                <w:szCs w:val="20"/>
                <w:lang w:val="ro-MD"/>
              </w:rPr>
              <w:t>nr. 19 din 4 martie 2016, s</w:t>
            </w:r>
            <w:r w:rsidR="001034C5">
              <w:rPr>
                <w:rFonts w:asciiTheme="majorHAnsi" w:eastAsia="Times New Roman" w:hAnsiTheme="majorHAnsi" w:cstheme="majorHAnsi"/>
                <w:sz w:val="20"/>
                <w:szCs w:val="20"/>
                <w:lang w:val="ro-MD"/>
              </w:rPr>
              <w:t>u</w:t>
            </w:r>
            <w:r w:rsidR="00D874E7" w:rsidRPr="004F784E">
              <w:rPr>
                <w:rFonts w:asciiTheme="majorHAnsi" w:eastAsia="Times New Roman" w:hAnsiTheme="majorHAnsi" w:cstheme="majorHAnsi"/>
                <w:sz w:val="20"/>
                <w:szCs w:val="20"/>
                <w:lang w:val="ro-MD"/>
              </w:rPr>
              <w:t>nt:</w:t>
            </w:r>
          </w:p>
          <w:p w14:paraId="7EF9BA15" w14:textId="29789026" w:rsidR="00160719" w:rsidRPr="004F784E" w:rsidRDefault="00160719" w:rsidP="00160719">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sz w:val="20"/>
                <w:szCs w:val="20"/>
                <w:lang w:val="ro-MD"/>
              </w:rPr>
            </w:pPr>
            <w:r w:rsidRPr="004F784E">
              <w:rPr>
                <w:rFonts w:asciiTheme="majorHAnsi" w:eastAsia="Times New Roman" w:hAnsiTheme="majorHAnsi" w:cstheme="majorHAnsi"/>
                <w:sz w:val="20"/>
                <w:szCs w:val="20"/>
                <w:lang w:val="ro-MD"/>
              </w:rPr>
              <w:t xml:space="preserve"> </w:t>
            </w:r>
            <w:r w:rsidRPr="004F784E">
              <w:rPr>
                <w:rFonts w:asciiTheme="majorHAnsi" w:eastAsia="Times New Roman" w:hAnsiTheme="majorHAnsi" w:cstheme="majorHAnsi"/>
                <w:i/>
                <w:sz w:val="20"/>
                <w:szCs w:val="20"/>
                <w:lang w:val="ro-MD"/>
              </w:rPr>
              <w:t>funcţii de metrologie generală:</w:t>
            </w:r>
          </w:p>
          <w:p w14:paraId="2ADF0449" w14:textId="077F1C61" w:rsidR="00160719" w:rsidRPr="004F784E" w:rsidRDefault="00160719" w:rsidP="007E002D">
            <w:pPr>
              <w:pStyle w:val="ListParagraph"/>
              <w:numPr>
                <w:ilvl w:val="0"/>
                <w:numId w:val="17"/>
              </w:numPr>
              <w:tabs>
                <w:tab w:val="left" w:pos="341"/>
              </w:tabs>
              <w:ind w:left="39" w:hanging="3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implementează, la nivel naţional, politica de stat în domeniul metrologiei;</w:t>
            </w:r>
          </w:p>
          <w:p w14:paraId="41933197" w14:textId="69C2B4FC" w:rsidR="00160719" w:rsidRPr="004F784E" w:rsidRDefault="00160719" w:rsidP="007E002D">
            <w:pPr>
              <w:pStyle w:val="ListParagraph"/>
              <w:numPr>
                <w:ilvl w:val="0"/>
                <w:numId w:val="17"/>
              </w:numPr>
              <w:tabs>
                <w:tab w:val="left" w:pos="341"/>
              </w:tabs>
              <w:ind w:left="39" w:hanging="3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asigură trasabilitatea metrologică a rezultatelor măsurărilor, efectuate în Republica Moldova, la Sistemul Internaţional de Unităţi (SI) prin elaborarea, cercetarea, dezvoltarea, menţinerea şi păstrarea etaloanelor naţionale, realizează comparările etaloanelor naţionale la nivel regional şi internaţional, precum şi conservarea şi diseminarea unităţilor de măsură legale de la etaloanele naţionale la etaloanele de nivel ierarhic inferior p</w:t>
            </w:r>
            <w:r w:rsidR="001034C5">
              <w:rPr>
                <w:rFonts w:asciiTheme="majorHAnsi" w:eastAsia="Times New Roman" w:hAnsiTheme="majorHAnsi" w:cstheme="majorHAnsi"/>
                <w:sz w:val="20"/>
                <w:szCs w:val="20"/>
                <w:lang w:val="ro-MD"/>
              </w:rPr>
              <w:t>â</w:t>
            </w:r>
            <w:r w:rsidRPr="004F784E">
              <w:rPr>
                <w:rFonts w:asciiTheme="majorHAnsi" w:eastAsia="Times New Roman" w:hAnsiTheme="majorHAnsi" w:cstheme="majorHAnsi"/>
                <w:sz w:val="20"/>
                <w:szCs w:val="20"/>
                <w:lang w:val="ro-MD"/>
              </w:rPr>
              <w:t>nă la etaloanele de lucru;</w:t>
            </w:r>
          </w:p>
          <w:p w14:paraId="7374D75B" w14:textId="56A4717F" w:rsidR="00160719" w:rsidRPr="004F784E" w:rsidRDefault="00160719" w:rsidP="007E002D">
            <w:pPr>
              <w:pStyle w:val="ListParagraph"/>
              <w:numPr>
                <w:ilvl w:val="0"/>
                <w:numId w:val="17"/>
              </w:numPr>
              <w:tabs>
                <w:tab w:val="left" w:pos="341"/>
              </w:tabs>
              <w:ind w:left="39" w:hanging="39"/>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încheie şi realizează acordurile de recunoaştere mutuală a etaloanelor naţionale şi a certificatelor de etalonare emise de către institutele naţionale de metrologie, în conformitate cu cerinţele Comitetului Internaţional de Măsuri şi Greutăţi (Aranjamentul CIMP MRA);</w:t>
            </w:r>
          </w:p>
          <w:p w14:paraId="3AC13E43" w14:textId="46CDC851" w:rsidR="00160719" w:rsidRPr="004F784E" w:rsidRDefault="00160719" w:rsidP="007E002D">
            <w:pPr>
              <w:pStyle w:val="ListParagraph"/>
              <w:numPr>
                <w:ilvl w:val="0"/>
                <w:numId w:val="17"/>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reprezintă referinţa naţională pentru determinarea competenţei tehnice în domeniul metrologiei, inclusiv la etaloane;</w:t>
            </w:r>
          </w:p>
          <w:p w14:paraId="660160C9" w14:textId="526D284A" w:rsidR="00160719" w:rsidRPr="004F784E" w:rsidRDefault="00160719" w:rsidP="007E002D">
            <w:pPr>
              <w:pStyle w:val="ListParagraph"/>
              <w:numPr>
                <w:ilvl w:val="0"/>
                <w:numId w:val="17"/>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consultă organele centrale de specialitate ale administraţiei publice şi persoanele fizice şi juridice pe probleme tehnice în domeniul metrologiei;</w:t>
            </w:r>
          </w:p>
          <w:p w14:paraId="1B22E152" w14:textId="343383EF" w:rsidR="00160719" w:rsidRPr="004F784E" w:rsidRDefault="00160719" w:rsidP="007E002D">
            <w:pPr>
              <w:pStyle w:val="ListParagraph"/>
              <w:numPr>
                <w:ilvl w:val="0"/>
                <w:numId w:val="17"/>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participă, conform competenţelor, la forurile şi organizaţiile internaţionale şi regionale în domeniul metrologiei, de asemenea</w:t>
            </w:r>
            <w:r w:rsidR="001034C5">
              <w:rPr>
                <w:rFonts w:asciiTheme="majorHAnsi" w:eastAsia="Times New Roman" w:hAnsiTheme="majorHAnsi" w:cstheme="majorHAnsi"/>
                <w:sz w:val="20"/>
                <w:szCs w:val="20"/>
                <w:lang w:val="ro-MD"/>
              </w:rPr>
              <w:t>,</w:t>
            </w:r>
            <w:r w:rsidRPr="004F784E">
              <w:rPr>
                <w:rFonts w:asciiTheme="majorHAnsi" w:eastAsia="Times New Roman" w:hAnsiTheme="majorHAnsi" w:cstheme="majorHAnsi"/>
                <w:sz w:val="20"/>
                <w:szCs w:val="20"/>
                <w:lang w:val="ro-MD"/>
              </w:rPr>
              <w:t xml:space="preserve"> exercită alte funcţii de colaborare internaţională în domeniul metrologiei, delegate de autoritatea centrală de metrologie;</w:t>
            </w:r>
          </w:p>
          <w:p w14:paraId="19AB0CAD" w14:textId="68FA00D7" w:rsidR="00160719" w:rsidRPr="004F784E" w:rsidRDefault="00D874E7" w:rsidP="007E002D">
            <w:pPr>
              <w:pStyle w:val="ListParagraph"/>
              <w:numPr>
                <w:ilvl w:val="0"/>
                <w:numId w:val="17"/>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 xml:space="preserve"> </w:t>
            </w:r>
            <w:r w:rsidR="00160719" w:rsidRPr="004F784E">
              <w:rPr>
                <w:rFonts w:asciiTheme="majorHAnsi" w:eastAsia="Times New Roman" w:hAnsiTheme="majorHAnsi" w:cstheme="majorHAnsi"/>
                <w:sz w:val="20"/>
                <w:szCs w:val="20"/>
                <w:lang w:val="ro-MD"/>
              </w:rPr>
              <w:t>instruieşte şi perfecţionează verificatorii metrologi;</w:t>
            </w:r>
          </w:p>
          <w:p w14:paraId="17182D2E" w14:textId="0FD57846" w:rsidR="00160719" w:rsidRPr="004F784E" w:rsidRDefault="00160719" w:rsidP="007E002D">
            <w:pPr>
              <w:pStyle w:val="ListParagraph"/>
              <w:numPr>
                <w:ilvl w:val="0"/>
                <w:numId w:val="17"/>
              </w:numPr>
              <w:tabs>
                <w:tab w:val="left" w:pos="464"/>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organizează comparările interlaboratoare la nivel naţional;</w:t>
            </w:r>
          </w:p>
          <w:p w14:paraId="6A8E923C" w14:textId="0C9F3C95" w:rsidR="00160719" w:rsidRPr="004F784E" w:rsidRDefault="00160719" w:rsidP="00160719">
            <w:pPr>
              <w:tabs>
                <w:tab w:val="left" w:pos="341"/>
              </w:tabs>
              <w:ind w:left="39"/>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i/>
                <w:sz w:val="20"/>
                <w:szCs w:val="20"/>
                <w:lang w:val="ro-MD"/>
              </w:rPr>
              <w:t>funcţii de metrologie legală:</w:t>
            </w:r>
          </w:p>
          <w:p w14:paraId="0AB8D061" w14:textId="0B0F5DE4" w:rsidR="00160719"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exercită controlul metrologic legal prin aprobări de model, verificări metrologice ale mijloacelor de măsurare în situaţii speciale, în cazul în care doar Institutul este dotat tehnic pentru efectuarea acestora, prin expertize metrologice şi expertize ale proiectelor de documente normative din domeniul metrologiei legale;</w:t>
            </w:r>
          </w:p>
          <w:p w14:paraId="5271AA1E"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înaintează propuneri către autoritatea centrală de metrologie privind cerinţele de reglementare a mijloacelor de măsurare;</w:t>
            </w:r>
          </w:p>
          <w:p w14:paraId="6B242185"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realizează acordurile încheiate cu alte ţări privind recunoaşterea rezultatelor încercărilor în scopul aprobării de model, a rezultatelor verificărilor metrologice;</w:t>
            </w:r>
          </w:p>
          <w:p w14:paraId="535F1DDD"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elaborează proiecte de programe de instruire în domeniul metrologiei;</w:t>
            </w:r>
          </w:p>
          <w:p w14:paraId="7D6A9034"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consultă organele centrale de specialitate ale administraţiei publice şi persoanele fizice şi juridice pe probleme tehnice în domeniul metrologiei legale;</w:t>
            </w:r>
          </w:p>
          <w:p w14:paraId="60450180"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ţine Registrul de stat al mijloacelor de măsurare, gestionează baza de date a entităţilor deţinătoare de avize tehnice de înregistrare;</w:t>
            </w:r>
          </w:p>
          <w:p w14:paraId="12C2FB81"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eliberează avize tehnice de înregistrare în scopul evidenţei persoanelor fizice sau juridice care repară, pun în funcţiune şi montează mijloace de măsurare, precum şi a celor care produc preambalate şi sticle utilizate ca recipiente de măsură;</w:t>
            </w:r>
          </w:p>
          <w:p w14:paraId="5CB6DACB" w14:textId="77777777" w:rsidR="00876797" w:rsidRPr="004F784E" w:rsidRDefault="00160719" w:rsidP="007E002D">
            <w:pPr>
              <w:pStyle w:val="ListParagraph"/>
              <w:numPr>
                <w:ilvl w:val="0"/>
                <w:numId w:val="18"/>
              </w:numPr>
              <w:tabs>
                <w:tab w:val="left" w:pos="464"/>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elaborează proiecte de documente normative în domeniul metrologiei legale, armonizate cu practica internaţională şi cea regională;</w:t>
            </w:r>
          </w:p>
          <w:p w14:paraId="21D84F27"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acordă suport metodologic la elaborarea procedurilor de măsurare legale de către autorităţile responsabile în domeniu, precum şi de către persoane juridice interesate;</w:t>
            </w:r>
          </w:p>
          <w:p w14:paraId="071CD41E" w14:textId="77777777" w:rsidR="00876797"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acordă suportul tehnic necesar pentru supravegherea metrologică;</w:t>
            </w:r>
          </w:p>
          <w:p w14:paraId="05FE4027" w14:textId="4670F657" w:rsidR="006F086F" w:rsidRPr="004F784E" w:rsidRDefault="00160719" w:rsidP="007E002D">
            <w:pPr>
              <w:pStyle w:val="ListParagraph"/>
              <w:numPr>
                <w:ilvl w:val="0"/>
                <w:numId w:val="18"/>
              </w:numPr>
              <w:tabs>
                <w:tab w:val="left" w:pos="341"/>
              </w:tabs>
              <w:ind w:left="39" w:firstLine="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4F784E">
              <w:rPr>
                <w:rFonts w:asciiTheme="majorHAnsi" w:eastAsia="Times New Roman" w:hAnsiTheme="majorHAnsi" w:cstheme="majorHAnsi"/>
                <w:sz w:val="20"/>
                <w:szCs w:val="20"/>
                <w:lang w:val="ro-MD"/>
              </w:rPr>
              <w:t>formează şi gestionează fondul naţional de documente normative în domeniul metrologiei legale, de asemenea</w:t>
            </w:r>
            <w:r w:rsidR="001034C5">
              <w:rPr>
                <w:rFonts w:asciiTheme="majorHAnsi" w:eastAsia="Times New Roman" w:hAnsiTheme="majorHAnsi" w:cstheme="majorHAnsi"/>
                <w:sz w:val="20"/>
                <w:szCs w:val="20"/>
                <w:lang w:val="ro-MD"/>
              </w:rPr>
              <w:t>,</w:t>
            </w:r>
            <w:r w:rsidRPr="004F784E">
              <w:rPr>
                <w:rFonts w:asciiTheme="majorHAnsi" w:eastAsia="Times New Roman" w:hAnsiTheme="majorHAnsi" w:cstheme="majorHAnsi"/>
                <w:sz w:val="20"/>
                <w:szCs w:val="20"/>
                <w:lang w:val="ro-MD"/>
              </w:rPr>
              <w:t xml:space="preserve"> stabileşte modul de utilizare a acestui fond.</w:t>
            </w:r>
          </w:p>
        </w:tc>
      </w:tr>
      <w:tr w:rsidR="00473F06" w:rsidRPr="008B1639" w14:paraId="54A2AF34" w14:textId="77777777" w:rsidTr="00C26454">
        <w:tc>
          <w:tcPr>
            <w:cnfStyle w:val="001000000000" w:firstRow="0" w:lastRow="0" w:firstColumn="1" w:lastColumn="0" w:oddVBand="0" w:evenVBand="0" w:oddHBand="0" w:evenHBand="0" w:firstRowFirstColumn="0" w:firstRowLastColumn="0" w:lastRowFirstColumn="0" w:lastRowLastColumn="0"/>
            <w:tcW w:w="2970" w:type="dxa"/>
          </w:tcPr>
          <w:p w14:paraId="0BC532AD" w14:textId="1A0DA566" w:rsidR="00473F06" w:rsidRPr="004F784E" w:rsidRDefault="003B59C0" w:rsidP="0010280C">
            <w:pPr>
              <w:tabs>
                <w:tab w:val="left" w:pos="5869"/>
              </w:tabs>
              <w:jc w:val="center"/>
              <w:rPr>
                <w:rFonts w:asciiTheme="majorHAnsi" w:hAnsiTheme="majorHAnsi" w:cstheme="majorHAnsi"/>
                <w:sz w:val="20"/>
                <w:szCs w:val="20"/>
                <w:lang w:val="ro-MD"/>
              </w:rPr>
            </w:pPr>
            <w:r w:rsidRPr="004F784E">
              <w:rPr>
                <w:rFonts w:asciiTheme="majorHAnsi" w:hAnsiTheme="majorHAnsi" w:cstheme="majorHAnsi"/>
                <w:sz w:val="20"/>
                <w:szCs w:val="20"/>
                <w:lang w:val="ro-MD"/>
              </w:rPr>
              <w:t>Centrul Național de Acreditare din Republica Moldova</w:t>
            </w:r>
            <w:r w:rsidR="004A252F">
              <w:rPr>
                <w:rFonts w:asciiTheme="majorHAnsi" w:hAnsiTheme="majorHAnsi" w:cstheme="majorHAnsi"/>
                <w:sz w:val="20"/>
                <w:szCs w:val="20"/>
                <w:lang w:val="ro-MD"/>
              </w:rPr>
              <w:t xml:space="preserve"> (MOLDAC)</w:t>
            </w:r>
          </w:p>
        </w:tc>
        <w:tc>
          <w:tcPr>
            <w:tcW w:w="6390" w:type="dxa"/>
          </w:tcPr>
          <w:p w14:paraId="6077E161" w14:textId="40E1AD8F" w:rsidR="003B59C0" w:rsidRPr="008B1639" w:rsidRDefault="003B59C0" w:rsidP="003B59C0">
            <w:pPr>
              <w:tabs>
                <w:tab w:val="left" w:pos="341"/>
              </w:tabs>
              <w:ind w:left="39"/>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Funcţiile de baz</w:t>
            </w:r>
            <w:r w:rsidR="001034C5" w:rsidRPr="008B1639">
              <w:rPr>
                <w:rFonts w:asciiTheme="majorHAnsi" w:eastAsia="Times New Roman" w:hAnsiTheme="majorHAnsi" w:cstheme="majorHAnsi"/>
                <w:sz w:val="20"/>
                <w:szCs w:val="20"/>
                <w:lang w:val="ro-MD"/>
              </w:rPr>
              <w:t>ă</w:t>
            </w:r>
            <w:r w:rsidRPr="008B1639">
              <w:rPr>
                <w:rFonts w:asciiTheme="majorHAnsi" w:eastAsia="Times New Roman" w:hAnsiTheme="majorHAnsi" w:cstheme="majorHAnsi"/>
                <w:sz w:val="20"/>
                <w:szCs w:val="20"/>
                <w:lang w:val="ro-MD"/>
              </w:rPr>
              <w:t xml:space="preserve"> ale MOLDAC s</w:t>
            </w:r>
            <w:r w:rsidR="001034C5" w:rsidRPr="008B1639">
              <w:rPr>
                <w:rFonts w:asciiTheme="majorHAnsi" w:eastAsia="Times New Roman" w:hAnsiTheme="majorHAnsi" w:cstheme="majorHAnsi"/>
                <w:sz w:val="20"/>
                <w:szCs w:val="20"/>
                <w:lang w:val="ro-MD"/>
              </w:rPr>
              <w:t>u</w:t>
            </w:r>
            <w:r w:rsidRPr="008B1639">
              <w:rPr>
                <w:rFonts w:asciiTheme="majorHAnsi" w:eastAsia="Times New Roman" w:hAnsiTheme="majorHAnsi" w:cstheme="majorHAnsi"/>
                <w:sz w:val="20"/>
                <w:szCs w:val="20"/>
                <w:lang w:val="ro-MD"/>
              </w:rPr>
              <w:t>nt:</w:t>
            </w:r>
          </w:p>
          <w:p w14:paraId="24A09D8A" w14:textId="556F9660" w:rsidR="003B59C0" w:rsidRPr="008B1639" w:rsidRDefault="003B59C0" w:rsidP="007E002D">
            <w:pPr>
              <w:pStyle w:val="ListParagraph"/>
              <w:numPr>
                <w:ilvl w:val="2"/>
                <w:numId w:val="19"/>
              </w:numPr>
              <w:tabs>
                <w:tab w:val="left" w:pos="341"/>
              </w:tabs>
              <w:ind w:left="39" w:hanging="39"/>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crearea premiselor pentru recunoaşterea rezultatelor activităţilor de evaluare a conformităţii prin semnarea acordurilor de recunoaştere multilaterală cu Cooperarea Europeană pentru Acreditare şi cu organizaţiile</w:t>
            </w:r>
            <w:r w:rsidR="00CE64F8" w:rsidRPr="008B1639">
              <w:rPr>
                <w:rFonts w:asciiTheme="majorHAnsi" w:eastAsia="Times New Roman" w:hAnsiTheme="majorHAnsi" w:cstheme="majorHAnsi"/>
                <w:sz w:val="20"/>
                <w:szCs w:val="20"/>
                <w:lang w:val="ro-MD"/>
              </w:rPr>
              <w:t xml:space="preserve"> </w:t>
            </w:r>
            <w:r w:rsidRPr="008B1639">
              <w:rPr>
                <w:rFonts w:asciiTheme="majorHAnsi" w:eastAsia="Times New Roman" w:hAnsiTheme="majorHAnsi" w:cstheme="majorHAnsi"/>
                <w:sz w:val="20"/>
                <w:szCs w:val="20"/>
                <w:lang w:val="ro-MD"/>
              </w:rPr>
              <w:t>internaţionale şi regionale de acreditare şi pentru asigurarea menţinerii statutului de membru;</w:t>
            </w:r>
          </w:p>
          <w:p w14:paraId="68B67A67" w14:textId="43C76974" w:rsidR="003B59C0" w:rsidRPr="008B1639" w:rsidRDefault="003B59C0" w:rsidP="007E002D">
            <w:pPr>
              <w:pStyle w:val="ListParagraph"/>
              <w:numPr>
                <w:ilvl w:val="2"/>
                <w:numId w:val="19"/>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 xml:space="preserve">conferirea încrederii autorităţilor şi consumatorilor în competenţa, imparţialitatea şi integritatea organismelor de evaluare a conformităţii </w:t>
            </w:r>
            <w:r w:rsidR="00D842B1" w:rsidRPr="008B1639">
              <w:rPr>
                <w:rFonts w:asciiTheme="majorHAnsi" w:eastAsia="Times New Roman" w:hAnsiTheme="majorHAnsi" w:cstheme="majorHAnsi"/>
                <w:sz w:val="20"/>
                <w:szCs w:val="20"/>
                <w:lang w:val="ro-MD"/>
              </w:rPr>
              <w:t xml:space="preserve">(OEC) </w:t>
            </w:r>
            <w:r w:rsidRPr="008B1639">
              <w:rPr>
                <w:rFonts w:asciiTheme="majorHAnsi" w:eastAsia="Times New Roman" w:hAnsiTheme="majorHAnsi" w:cstheme="majorHAnsi"/>
                <w:sz w:val="20"/>
                <w:szCs w:val="20"/>
                <w:lang w:val="ro-MD"/>
              </w:rPr>
              <w:t>acreditate;</w:t>
            </w:r>
          </w:p>
          <w:p w14:paraId="21818B7D" w14:textId="04BE3F4A" w:rsidR="003B59C0" w:rsidRPr="008B1639" w:rsidRDefault="003B59C0" w:rsidP="007E002D">
            <w:pPr>
              <w:pStyle w:val="ListParagraph"/>
              <w:numPr>
                <w:ilvl w:val="2"/>
                <w:numId w:val="19"/>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identificarea activităţilor de evaluare a conformităţii pentru care este competent să realizeze acreditarea OEC şi atestarea laboratoarelor de încercări faţă de cerinţele naţionale;</w:t>
            </w:r>
          </w:p>
          <w:p w14:paraId="4A2E4D83" w14:textId="1E5254CB" w:rsidR="003B59C0" w:rsidRPr="008B1639" w:rsidRDefault="003B59C0" w:rsidP="007E002D">
            <w:pPr>
              <w:pStyle w:val="ListParagraph"/>
              <w:numPr>
                <w:ilvl w:val="2"/>
                <w:numId w:val="19"/>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prestarea serviciilor de instruire şi de transfer de cunoştinţe în domeniul acreditării şi testării, fără a se constitui în servicii de consultanţă pentru obţinerea/ menţinerea acreditării sau atestării competenţei tehnice;</w:t>
            </w:r>
          </w:p>
          <w:p w14:paraId="28B5C4C2" w14:textId="2CCC12DA" w:rsidR="003B59C0" w:rsidRPr="008B1639" w:rsidRDefault="003B59C0" w:rsidP="007E002D">
            <w:pPr>
              <w:pStyle w:val="ListParagraph"/>
              <w:numPr>
                <w:ilvl w:val="2"/>
                <w:numId w:val="19"/>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evaluarea OEC</w:t>
            </w:r>
            <w:r w:rsidR="00370043" w:rsidRPr="008B1639">
              <w:rPr>
                <w:rFonts w:asciiTheme="majorHAnsi" w:eastAsia="Times New Roman" w:hAnsiTheme="majorHAnsi" w:cstheme="majorHAnsi"/>
                <w:sz w:val="20"/>
                <w:szCs w:val="20"/>
                <w:lang w:val="ro-MD"/>
              </w:rPr>
              <w:t>,</w:t>
            </w:r>
            <w:r w:rsidRPr="008B1639">
              <w:rPr>
                <w:rFonts w:asciiTheme="majorHAnsi" w:eastAsia="Times New Roman" w:hAnsiTheme="majorHAnsi" w:cstheme="majorHAnsi"/>
                <w:sz w:val="20"/>
                <w:szCs w:val="20"/>
                <w:lang w:val="ro-MD"/>
              </w:rPr>
              <w:t xml:space="preserve"> care solicită dreptul de a activa în domeniile reglementate, în scopul recunoaşterii ulterioare </w:t>
            </w:r>
            <w:r w:rsidR="00370043" w:rsidRPr="008B1639">
              <w:rPr>
                <w:rFonts w:asciiTheme="majorHAnsi" w:eastAsia="Times New Roman" w:hAnsiTheme="majorHAnsi" w:cstheme="majorHAnsi"/>
                <w:sz w:val="20"/>
                <w:szCs w:val="20"/>
                <w:lang w:val="ro-MD"/>
              </w:rPr>
              <w:t xml:space="preserve">a </w:t>
            </w:r>
            <w:r w:rsidRPr="008B1639">
              <w:rPr>
                <w:rFonts w:asciiTheme="majorHAnsi" w:eastAsia="Times New Roman" w:hAnsiTheme="majorHAnsi" w:cstheme="majorHAnsi"/>
                <w:sz w:val="20"/>
                <w:szCs w:val="20"/>
                <w:lang w:val="ro-MD"/>
              </w:rPr>
              <w:t>acestora de către autorităţile de reglementare. Modul de colaborare, precum şi obligaţiile părţilor s</w:t>
            </w:r>
            <w:r w:rsidR="00370043" w:rsidRPr="008B1639">
              <w:rPr>
                <w:rFonts w:asciiTheme="majorHAnsi" w:eastAsia="Times New Roman" w:hAnsiTheme="majorHAnsi" w:cstheme="majorHAnsi"/>
                <w:sz w:val="20"/>
                <w:szCs w:val="20"/>
                <w:lang w:val="ro-MD"/>
              </w:rPr>
              <w:t>u</w:t>
            </w:r>
            <w:r w:rsidRPr="008B1639">
              <w:rPr>
                <w:rFonts w:asciiTheme="majorHAnsi" w:eastAsia="Times New Roman" w:hAnsiTheme="majorHAnsi" w:cstheme="majorHAnsi"/>
                <w:sz w:val="20"/>
                <w:szCs w:val="20"/>
                <w:lang w:val="ro-MD"/>
              </w:rPr>
              <w:t>nt stipulate în convenţia care este prezentată ca anexă la prezentul Regulament si face parte integrantă din acesta;</w:t>
            </w:r>
          </w:p>
          <w:p w14:paraId="2735C3BB" w14:textId="437C63AE" w:rsidR="00473F06" w:rsidRPr="008B1639" w:rsidRDefault="003B59C0" w:rsidP="007E002D">
            <w:pPr>
              <w:pStyle w:val="ListParagraph"/>
              <w:numPr>
                <w:ilvl w:val="0"/>
                <w:numId w:val="19"/>
              </w:numPr>
              <w:tabs>
                <w:tab w:val="left" w:pos="341"/>
              </w:tabs>
              <w:ind w:left="39" w:firstLine="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8B1639">
              <w:rPr>
                <w:rFonts w:asciiTheme="majorHAnsi" w:eastAsia="Times New Roman" w:hAnsiTheme="majorHAnsi" w:cstheme="majorHAnsi"/>
                <w:sz w:val="20"/>
                <w:szCs w:val="20"/>
                <w:lang w:val="ro-MD"/>
              </w:rPr>
              <w:t>luarea deciziei de acreditare a OEC, care solicită recunoaşterea în domeniul reglementat, în cazul în care OEC solicitant îndeplineşte criteriile de acreditare din standardele de referinţă, documentele organizaţiilor europene şi internaţionale de acreditare adoptate la nivel naţional, din reglementările tehnice relevante, precum şi respectarea cerinţelor autorităţilor de reglementare aplicabile OEC recunoscute pentru domeniul lor de competenţă.</w:t>
            </w:r>
          </w:p>
        </w:tc>
      </w:tr>
    </w:tbl>
    <w:p w14:paraId="1EDDD126" w14:textId="2BFC0F1C" w:rsidR="0020423F" w:rsidRPr="00474425" w:rsidRDefault="007A64EA" w:rsidP="0020423F">
      <w:pPr>
        <w:pStyle w:val="NormalWeb"/>
        <w:tabs>
          <w:tab w:val="left" w:pos="5869"/>
        </w:tabs>
        <w:rPr>
          <w:rFonts w:asciiTheme="majorHAnsi" w:eastAsia="Times New Roman" w:hAnsiTheme="majorHAnsi" w:cstheme="majorHAnsi"/>
          <w:i/>
          <w:sz w:val="20"/>
          <w:szCs w:val="20"/>
          <w:lang w:val="ro-MD" w:eastAsia="ro-MD"/>
        </w:rPr>
      </w:pPr>
      <w:r w:rsidRPr="00474425">
        <w:rPr>
          <w:rFonts w:asciiTheme="majorHAnsi" w:eastAsia="Times New Roman" w:hAnsiTheme="majorHAnsi" w:cstheme="majorHAnsi"/>
          <w:b/>
          <w:i/>
          <w:sz w:val="20"/>
          <w:szCs w:val="20"/>
          <w:lang w:val="ro-MD" w:eastAsia="ro-MD"/>
        </w:rPr>
        <w:t>Sursă:</w:t>
      </w:r>
      <w:r w:rsidRPr="00474425">
        <w:rPr>
          <w:rFonts w:asciiTheme="majorHAnsi" w:eastAsia="Times New Roman" w:hAnsiTheme="majorHAnsi" w:cstheme="majorHAnsi"/>
          <w:i/>
          <w:sz w:val="20"/>
          <w:szCs w:val="20"/>
          <w:lang w:val="ro-MD" w:eastAsia="ro-MD"/>
        </w:rPr>
        <w:t xml:space="preserve"> Elaborată în baza  prevederilor normative respective</w:t>
      </w:r>
      <w:r w:rsidR="0057713D">
        <w:rPr>
          <w:rFonts w:asciiTheme="majorHAnsi" w:eastAsia="Times New Roman" w:hAnsiTheme="majorHAnsi" w:cstheme="majorHAnsi"/>
          <w:i/>
          <w:sz w:val="20"/>
          <w:szCs w:val="20"/>
          <w:lang w:val="ro-MD" w:eastAsia="ro-MD"/>
        </w:rPr>
        <w:t>.</w:t>
      </w:r>
    </w:p>
    <w:p w14:paraId="7AE476FB" w14:textId="3461B2B5" w:rsidR="007A64EA" w:rsidRPr="007917DD" w:rsidRDefault="007A64EA" w:rsidP="0020423F">
      <w:pPr>
        <w:pStyle w:val="NormalWeb"/>
        <w:tabs>
          <w:tab w:val="left" w:pos="5869"/>
        </w:tabs>
        <w:rPr>
          <w:rFonts w:asciiTheme="majorHAnsi" w:eastAsia="Times New Roman" w:hAnsiTheme="majorHAnsi" w:cstheme="majorHAnsi"/>
          <w:b/>
          <w:lang w:val="ro-MD" w:eastAsia="ro-MD"/>
        </w:rPr>
      </w:pPr>
    </w:p>
    <w:p w14:paraId="0766A14C" w14:textId="77777777" w:rsidR="004F784E" w:rsidRDefault="004F784E" w:rsidP="00FE6161">
      <w:pPr>
        <w:pStyle w:val="NormalWeb"/>
        <w:ind w:firstLine="720"/>
        <w:rPr>
          <w:rFonts w:asciiTheme="majorHAnsi" w:hAnsiTheme="majorHAnsi" w:cstheme="majorHAnsi"/>
          <w:b/>
          <w:lang w:val="ro-MD"/>
        </w:rPr>
      </w:pPr>
    </w:p>
    <w:p w14:paraId="1FE26DCD" w14:textId="7FDC7DCF" w:rsidR="007A64EA" w:rsidRPr="00255E9C" w:rsidRDefault="008E3B8F" w:rsidP="00FE6161">
      <w:pPr>
        <w:pStyle w:val="NormalWeb"/>
        <w:ind w:firstLine="720"/>
        <w:rPr>
          <w:rFonts w:asciiTheme="majorHAnsi" w:hAnsiTheme="majorHAnsi" w:cstheme="majorHAnsi"/>
          <w:b/>
          <w:lang w:val="ro-MD"/>
        </w:rPr>
      </w:pPr>
      <w:r>
        <w:rPr>
          <w:rFonts w:asciiTheme="majorHAnsi" w:hAnsiTheme="majorHAnsi" w:cstheme="majorHAnsi"/>
          <w:b/>
          <w:sz w:val="20"/>
          <w:szCs w:val="20"/>
          <w:lang w:val="ro-MD"/>
        </w:rPr>
        <w:t xml:space="preserve">                                                  </w:t>
      </w:r>
      <w:r w:rsidR="007A64EA" w:rsidRPr="00255E9C">
        <w:rPr>
          <w:rFonts w:asciiTheme="majorHAnsi" w:hAnsiTheme="majorHAnsi" w:cstheme="majorHAnsi"/>
          <w:b/>
          <w:lang w:val="ro-MD"/>
        </w:rPr>
        <w:t>Efectivul</w:t>
      </w:r>
      <w:r w:rsidR="00D20414" w:rsidRPr="00255E9C">
        <w:rPr>
          <w:rFonts w:asciiTheme="majorHAnsi" w:hAnsiTheme="majorHAnsi" w:cstheme="majorHAnsi"/>
          <w:b/>
          <w:lang w:val="ro-MD"/>
        </w:rPr>
        <w:t>-limită al APCSP pe anii  2020-</w:t>
      </w:r>
      <w:r w:rsidR="007A64EA" w:rsidRPr="00255E9C">
        <w:rPr>
          <w:rFonts w:asciiTheme="majorHAnsi" w:hAnsiTheme="majorHAnsi" w:cstheme="majorHAnsi"/>
          <w:b/>
          <w:lang w:val="ro-MD"/>
        </w:rPr>
        <w:t>2021</w:t>
      </w:r>
    </w:p>
    <w:tbl>
      <w:tblPr>
        <w:tblStyle w:val="PlainTable2"/>
        <w:tblW w:w="9214" w:type="dxa"/>
        <w:tblLook w:val="04A0" w:firstRow="1" w:lastRow="0" w:firstColumn="1" w:lastColumn="0" w:noHBand="0" w:noVBand="1"/>
      </w:tblPr>
      <w:tblGrid>
        <w:gridCol w:w="2272"/>
        <w:gridCol w:w="1038"/>
        <w:gridCol w:w="1169"/>
        <w:gridCol w:w="1248"/>
        <w:gridCol w:w="1177"/>
        <w:gridCol w:w="1184"/>
        <w:gridCol w:w="1126"/>
      </w:tblGrid>
      <w:tr w:rsidR="007A64EA" w:rsidRPr="0027343B" w14:paraId="7C4A5E24" w14:textId="77777777" w:rsidTr="00C2645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61" w:type="dxa"/>
            <w:vMerge w:val="restart"/>
            <w:hideMark/>
          </w:tcPr>
          <w:p w14:paraId="4C9B10C9" w14:textId="77777777" w:rsidR="007A64EA" w:rsidRPr="0027343B" w:rsidRDefault="007A64EA" w:rsidP="00FE6161">
            <w:pPr>
              <w:jc w:val="cente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INDICI</w:t>
            </w:r>
          </w:p>
        </w:tc>
        <w:tc>
          <w:tcPr>
            <w:tcW w:w="1063" w:type="dxa"/>
            <w:vMerge w:val="restart"/>
            <w:hideMark/>
          </w:tcPr>
          <w:p w14:paraId="73DFDB83"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Aprobat, unități</w:t>
            </w:r>
          </w:p>
          <w:p w14:paraId="6DF53164"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p>
        </w:tc>
        <w:tc>
          <w:tcPr>
            <w:tcW w:w="2452" w:type="dxa"/>
            <w:gridSpan w:val="2"/>
            <w:hideMark/>
          </w:tcPr>
          <w:p w14:paraId="7274AC75"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Numărul scriptic al personalului la </w:t>
            </w:r>
          </w:p>
        </w:tc>
        <w:tc>
          <w:tcPr>
            <w:tcW w:w="1188" w:type="dxa"/>
            <w:vMerge w:val="restart"/>
            <w:hideMark/>
          </w:tcPr>
          <w:p w14:paraId="0108EA56"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Posturi vacante</w:t>
            </w:r>
          </w:p>
          <w:p w14:paraId="4E129306"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 la 31.12.2020</w:t>
            </w:r>
          </w:p>
        </w:tc>
        <w:tc>
          <w:tcPr>
            <w:tcW w:w="1196" w:type="dxa"/>
            <w:vMerge w:val="restart"/>
          </w:tcPr>
          <w:p w14:paraId="399F2659"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Nr. scriptic al perso-nalului </w:t>
            </w:r>
            <w:r w:rsidRPr="0027343B">
              <w:rPr>
                <w:rFonts w:asciiTheme="majorHAnsi" w:hAnsiTheme="majorHAnsi" w:cstheme="majorHAnsi"/>
                <w:bCs w:val="0"/>
                <w:color w:val="000000"/>
                <w:sz w:val="20"/>
                <w:szCs w:val="20"/>
                <w:lang w:val="ro-MD"/>
              </w:rPr>
              <w:t>la 31.12.2021</w:t>
            </w:r>
          </w:p>
        </w:tc>
        <w:tc>
          <w:tcPr>
            <w:tcW w:w="854" w:type="dxa"/>
            <w:vMerge w:val="restart"/>
          </w:tcPr>
          <w:p w14:paraId="298EE91E"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Funcții vacante </w:t>
            </w:r>
          </w:p>
          <w:p w14:paraId="6A91F3FF"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la 31.12.2021</w:t>
            </w:r>
          </w:p>
        </w:tc>
      </w:tr>
      <w:tr w:rsidR="007A64EA" w:rsidRPr="0027343B" w14:paraId="75655C4F" w14:textId="77777777" w:rsidTr="00C264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61" w:type="dxa"/>
            <w:vMerge/>
            <w:hideMark/>
          </w:tcPr>
          <w:p w14:paraId="4C0A897B" w14:textId="77777777" w:rsidR="007A64EA" w:rsidRPr="0027343B" w:rsidRDefault="007A64EA" w:rsidP="00FE6161">
            <w:pPr>
              <w:rPr>
                <w:rFonts w:asciiTheme="majorHAnsi" w:hAnsiTheme="majorHAnsi" w:cstheme="majorHAnsi"/>
                <w:b w:val="0"/>
                <w:bCs w:val="0"/>
                <w:color w:val="000000"/>
                <w:sz w:val="20"/>
                <w:szCs w:val="20"/>
                <w:lang w:val="ro-MD"/>
              </w:rPr>
            </w:pPr>
          </w:p>
        </w:tc>
        <w:tc>
          <w:tcPr>
            <w:tcW w:w="1063" w:type="dxa"/>
            <w:vMerge/>
            <w:hideMark/>
          </w:tcPr>
          <w:p w14:paraId="4B491E02"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178" w:type="dxa"/>
            <w:hideMark/>
          </w:tcPr>
          <w:p w14:paraId="4F1102E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01.01.2020</w:t>
            </w:r>
          </w:p>
        </w:tc>
        <w:tc>
          <w:tcPr>
            <w:tcW w:w="1274" w:type="dxa"/>
            <w:hideMark/>
          </w:tcPr>
          <w:p w14:paraId="5AA9190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31.12.2020</w:t>
            </w:r>
          </w:p>
        </w:tc>
        <w:tc>
          <w:tcPr>
            <w:tcW w:w="1188" w:type="dxa"/>
            <w:vMerge/>
            <w:hideMark/>
          </w:tcPr>
          <w:p w14:paraId="24321BD4"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196" w:type="dxa"/>
            <w:vMerge/>
          </w:tcPr>
          <w:p w14:paraId="31625847"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854" w:type="dxa"/>
            <w:vMerge/>
          </w:tcPr>
          <w:p w14:paraId="24E1617A"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r>
      <w:tr w:rsidR="007A64EA" w:rsidRPr="0027343B" w14:paraId="398D18E5" w14:textId="77777777" w:rsidTr="00C26454">
        <w:trPr>
          <w:trHeight w:val="155"/>
        </w:trPr>
        <w:tc>
          <w:tcPr>
            <w:cnfStyle w:val="001000000000" w:firstRow="0" w:lastRow="0" w:firstColumn="1" w:lastColumn="0" w:oddVBand="0" w:evenVBand="0" w:oddHBand="0" w:evenHBand="0" w:firstRowFirstColumn="0" w:firstRowLastColumn="0" w:lastRowFirstColumn="0" w:lastRowLastColumn="0"/>
            <w:tcW w:w="2461" w:type="dxa"/>
            <w:hideMark/>
          </w:tcPr>
          <w:p w14:paraId="4C933E7B" w14:textId="77777777" w:rsidR="007A64EA" w:rsidRPr="0027343B" w:rsidRDefault="007A64EA" w:rsidP="00FE6161">
            <w:pP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Personal, total:</w:t>
            </w:r>
          </w:p>
        </w:tc>
        <w:tc>
          <w:tcPr>
            <w:tcW w:w="1063" w:type="dxa"/>
          </w:tcPr>
          <w:p w14:paraId="47D0D13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67</w:t>
            </w:r>
          </w:p>
        </w:tc>
        <w:tc>
          <w:tcPr>
            <w:tcW w:w="1178" w:type="dxa"/>
          </w:tcPr>
          <w:p w14:paraId="30F737B2"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44</w:t>
            </w:r>
          </w:p>
        </w:tc>
        <w:tc>
          <w:tcPr>
            <w:tcW w:w="1274" w:type="dxa"/>
          </w:tcPr>
          <w:p w14:paraId="1720862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44</w:t>
            </w:r>
          </w:p>
        </w:tc>
        <w:tc>
          <w:tcPr>
            <w:tcW w:w="1188" w:type="dxa"/>
          </w:tcPr>
          <w:p w14:paraId="55C73B8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23</w:t>
            </w:r>
          </w:p>
        </w:tc>
        <w:tc>
          <w:tcPr>
            <w:tcW w:w="1196" w:type="dxa"/>
          </w:tcPr>
          <w:p w14:paraId="57431D6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39</w:t>
            </w:r>
          </w:p>
        </w:tc>
        <w:tc>
          <w:tcPr>
            <w:tcW w:w="854" w:type="dxa"/>
          </w:tcPr>
          <w:p w14:paraId="44CAF7B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28</w:t>
            </w:r>
          </w:p>
        </w:tc>
      </w:tr>
      <w:tr w:rsidR="007A64EA" w:rsidRPr="0027343B" w14:paraId="55FCF4ED" w14:textId="77777777" w:rsidTr="00C2645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461" w:type="dxa"/>
          </w:tcPr>
          <w:p w14:paraId="7500C9A0"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Funcție publică de conducere</w:t>
            </w:r>
          </w:p>
        </w:tc>
        <w:tc>
          <w:tcPr>
            <w:tcW w:w="1063" w:type="dxa"/>
          </w:tcPr>
          <w:p w14:paraId="3A44076C"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14</w:t>
            </w:r>
          </w:p>
        </w:tc>
        <w:tc>
          <w:tcPr>
            <w:tcW w:w="1178" w:type="dxa"/>
          </w:tcPr>
          <w:p w14:paraId="5EDD7D4B"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12</w:t>
            </w:r>
          </w:p>
        </w:tc>
        <w:tc>
          <w:tcPr>
            <w:tcW w:w="1274" w:type="dxa"/>
          </w:tcPr>
          <w:p w14:paraId="721C95E3"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13</w:t>
            </w:r>
          </w:p>
        </w:tc>
        <w:tc>
          <w:tcPr>
            <w:tcW w:w="1188" w:type="dxa"/>
          </w:tcPr>
          <w:p w14:paraId="4DAF180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96" w:type="dxa"/>
          </w:tcPr>
          <w:p w14:paraId="5139BA6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12</w:t>
            </w:r>
          </w:p>
        </w:tc>
        <w:tc>
          <w:tcPr>
            <w:tcW w:w="854" w:type="dxa"/>
          </w:tcPr>
          <w:p w14:paraId="2EB0F6E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r>
      <w:tr w:rsidR="007A64EA" w:rsidRPr="0027343B" w14:paraId="3BD04F54" w14:textId="77777777" w:rsidTr="00C26454">
        <w:trPr>
          <w:trHeight w:val="238"/>
        </w:trPr>
        <w:tc>
          <w:tcPr>
            <w:cnfStyle w:val="001000000000" w:firstRow="0" w:lastRow="0" w:firstColumn="1" w:lastColumn="0" w:oddVBand="0" w:evenVBand="0" w:oddHBand="0" w:evenHBand="0" w:firstRowFirstColumn="0" w:firstRowLastColumn="0" w:lastRowFirstColumn="0" w:lastRowLastColumn="0"/>
            <w:tcW w:w="2461" w:type="dxa"/>
          </w:tcPr>
          <w:p w14:paraId="644D0F59" w14:textId="77777777" w:rsidR="007A64EA" w:rsidRPr="0027343B" w:rsidRDefault="007A64EA" w:rsidP="00FE6161">
            <w:pPr>
              <w:ind w:left="159"/>
              <w:jc w:val="both"/>
              <w:rPr>
                <w:rFonts w:asciiTheme="majorHAnsi" w:hAnsiTheme="majorHAnsi" w:cstheme="majorHAnsi"/>
                <w:i/>
                <w:iCs/>
                <w:color w:val="000000"/>
                <w:sz w:val="20"/>
                <w:szCs w:val="20"/>
                <w:lang w:val="ro-MD"/>
              </w:rPr>
            </w:pPr>
            <w:r w:rsidRPr="0027343B">
              <w:rPr>
                <w:rFonts w:asciiTheme="majorHAnsi" w:hAnsiTheme="majorHAnsi" w:cstheme="majorHAnsi"/>
                <w:b w:val="0"/>
                <w:bCs w:val="0"/>
                <w:i/>
                <w:iCs/>
                <w:color w:val="000000"/>
                <w:sz w:val="20"/>
                <w:szCs w:val="20"/>
                <w:lang w:val="ro-MD"/>
              </w:rPr>
              <w:t>Funcții publice de execuție</w:t>
            </w:r>
          </w:p>
        </w:tc>
        <w:tc>
          <w:tcPr>
            <w:tcW w:w="1063" w:type="dxa"/>
          </w:tcPr>
          <w:p w14:paraId="7B52AEB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51</w:t>
            </w:r>
          </w:p>
        </w:tc>
        <w:tc>
          <w:tcPr>
            <w:tcW w:w="1178" w:type="dxa"/>
          </w:tcPr>
          <w:p w14:paraId="2E054CBE"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31</w:t>
            </w:r>
          </w:p>
        </w:tc>
        <w:tc>
          <w:tcPr>
            <w:tcW w:w="1274" w:type="dxa"/>
          </w:tcPr>
          <w:p w14:paraId="1C5DD996"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29</w:t>
            </w:r>
          </w:p>
        </w:tc>
        <w:tc>
          <w:tcPr>
            <w:tcW w:w="1188" w:type="dxa"/>
          </w:tcPr>
          <w:p w14:paraId="57710AA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22</w:t>
            </w:r>
          </w:p>
        </w:tc>
        <w:tc>
          <w:tcPr>
            <w:tcW w:w="1196" w:type="dxa"/>
          </w:tcPr>
          <w:p w14:paraId="26B3C872"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27</w:t>
            </w:r>
          </w:p>
        </w:tc>
        <w:tc>
          <w:tcPr>
            <w:tcW w:w="854" w:type="dxa"/>
          </w:tcPr>
          <w:p w14:paraId="5A1D945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24</w:t>
            </w:r>
          </w:p>
        </w:tc>
      </w:tr>
      <w:tr w:rsidR="007A64EA" w:rsidRPr="0027343B" w14:paraId="49F84F5F" w14:textId="77777777" w:rsidTr="00C2645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461" w:type="dxa"/>
          </w:tcPr>
          <w:p w14:paraId="41802A2C" w14:textId="77777777" w:rsidR="007A64EA" w:rsidRPr="0027343B" w:rsidRDefault="007A64EA" w:rsidP="00FE6161">
            <w:pPr>
              <w:ind w:left="159"/>
              <w:jc w:val="both"/>
              <w:rPr>
                <w:rFonts w:asciiTheme="majorHAnsi" w:hAnsiTheme="majorHAnsi" w:cstheme="majorHAnsi"/>
                <w:i/>
                <w:iCs/>
                <w:color w:val="000000"/>
                <w:sz w:val="20"/>
                <w:szCs w:val="20"/>
                <w:lang w:val="ro-MD"/>
              </w:rPr>
            </w:pPr>
            <w:r w:rsidRPr="0027343B">
              <w:rPr>
                <w:rFonts w:asciiTheme="majorHAnsi" w:hAnsiTheme="majorHAnsi" w:cstheme="majorHAnsi"/>
                <w:b w:val="0"/>
                <w:bCs w:val="0"/>
                <w:i/>
                <w:iCs/>
                <w:color w:val="000000"/>
                <w:sz w:val="20"/>
                <w:szCs w:val="20"/>
                <w:lang w:val="ro-MD"/>
              </w:rPr>
              <w:t>Post de deservire tehnică ce asigură funcționarea autorității publice</w:t>
            </w:r>
          </w:p>
        </w:tc>
        <w:tc>
          <w:tcPr>
            <w:tcW w:w="1063" w:type="dxa"/>
          </w:tcPr>
          <w:p w14:paraId="6CDEBFF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78" w:type="dxa"/>
          </w:tcPr>
          <w:p w14:paraId="3877226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274" w:type="dxa"/>
          </w:tcPr>
          <w:p w14:paraId="4D6E86D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88" w:type="dxa"/>
          </w:tcPr>
          <w:p w14:paraId="2437579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96" w:type="dxa"/>
          </w:tcPr>
          <w:p w14:paraId="7A274CBC"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p>
          <w:p w14:paraId="50B7BA3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854" w:type="dxa"/>
          </w:tcPr>
          <w:p w14:paraId="336EA0E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p>
          <w:p w14:paraId="361E784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r>
      <w:tr w:rsidR="007A64EA" w:rsidRPr="0027343B" w14:paraId="7114E266" w14:textId="77777777" w:rsidTr="00C26454">
        <w:trPr>
          <w:trHeight w:val="221"/>
        </w:trPr>
        <w:tc>
          <w:tcPr>
            <w:cnfStyle w:val="001000000000" w:firstRow="0" w:lastRow="0" w:firstColumn="1" w:lastColumn="0" w:oddVBand="0" w:evenVBand="0" w:oddHBand="0" w:evenHBand="0" w:firstRowFirstColumn="0" w:firstRowLastColumn="0" w:lastRowFirstColumn="0" w:lastRowLastColumn="0"/>
            <w:tcW w:w="2461" w:type="dxa"/>
          </w:tcPr>
          <w:p w14:paraId="5609CFB8" w14:textId="77777777" w:rsidR="007A64EA" w:rsidRPr="0027343B" w:rsidRDefault="007A64EA" w:rsidP="00FE6161">
            <w:pPr>
              <w:ind w:left="159"/>
              <w:jc w:val="both"/>
              <w:rPr>
                <w:rFonts w:asciiTheme="majorHAnsi" w:hAnsiTheme="majorHAnsi" w:cstheme="majorHAnsi"/>
                <w:i/>
                <w:iCs/>
                <w:color w:val="000000"/>
                <w:sz w:val="20"/>
                <w:szCs w:val="20"/>
                <w:lang w:val="ro-MD"/>
              </w:rPr>
            </w:pPr>
            <w:r w:rsidRPr="0027343B">
              <w:rPr>
                <w:rFonts w:asciiTheme="majorHAnsi" w:hAnsiTheme="majorHAnsi" w:cstheme="majorHAnsi"/>
                <w:b w:val="0"/>
                <w:bCs w:val="0"/>
                <w:i/>
                <w:iCs/>
                <w:color w:val="000000"/>
                <w:sz w:val="20"/>
                <w:szCs w:val="20"/>
                <w:lang w:val="ro-MD"/>
              </w:rPr>
              <w:t>Post auxiliar</w:t>
            </w:r>
          </w:p>
        </w:tc>
        <w:tc>
          <w:tcPr>
            <w:tcW w:w="1063" w:type="dxa"/>
          </w:tcPr>
          <w:p w14:paraId="5172A86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78" w:type="dxa"/>
          </w:tcPr>
          <w:p w14:paraId="36B23F3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274" w:type="dxa"/>
          </w:tcPr>
          <w:p w14:paraId="6F311B9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88" w:type="dxa"/>
          </w:tcPr>
          <w:p w14:paraId="49FC698A"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96" w:type="dxa"/>
          </w:tcPr>
          <w:p w14:paraId="7369AC5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854" w:type="dxa"/>
          </w:tcPr>
          <w:p w14:paraId="38069F2A"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r>
    </w:tbl>
    <w:p w14:paraId="493E6295" w14:textId="376FCB28" w:rsidR="007A64EA" w:rsidRPr="0027343B" w:rsidRDefault="007A64EA" w:rsidP="00FE6161">
      <w:pPr>
        <w:rPr>
          <w:rFonts w:asciiTheme="majorHAnsi" w:hAnsiTheme="majorHAnsi" w:cstheme="majorHAnsi"/>
          <w:sz w:val="20"/>
          <w:szCs w:val="20"/>
          <w:lang w:val="ro-MD"/>
        </w:rPr>
      </w:pPr>
      <w:r w:rsidRPr="00255E9C">
        <w:rPr>
          <w:rFonts w:asciiTheme="majorHAnsi" w:hAnsiTheme="majorHAnsi" w:cstheme="majorHAnsi"/>
          <w:b/>
          <w:i/>
          <w:sz w:val="20"/>
          <w:szCs w:val="20"/>
          <w:lang w:val="ro-MD"/>
        </w:rPr>
        <w:t>Surs</w:t>
      </w:r>
      <w:r w:rsidR="008E3B8F" w:rsidRPr="00255E9C">
        <w:rPr>
          <w:rFonts w:asciiTheme="majorHAnsi" w:hAnsiTheme="majorHAnsi" w:cstheme="majorHAnsi"/>
          <w:b/>
          <w:i/>
          <w:sz w:val="20"/>
          <w:szCs w:val="20"/>
          <w:lang w:val="ro-MD"/>
        </w:rPr>
        <w:t>ă</w:t>
      </w:r>
      <w:r w:rsidRPr="0027343B">
        <w:rPr>
          <w:rFonts w:asciiTheme="majorHAnsi" w:hAnsiTheme="majorHAnsi" w:cstheme="majorHAnsi"/>
          <w:i/>
          <w:sz w:val="20"/>
          <w:szCs w:val="20"/>
          <w:lang w:val="ro-MD"/>
        </w:rPr>
        <w:t>: Statele de personal; Date generale despre personal în an</w:t>
      </w:r>
      <w:r w:rsidR="008E3B8F">
        <w:rPr>
          <w:rFonts w:asciiTheme="majorHAnsi" w:hAnsiTheme="majorHAnsi" w:cstheme="majorHAnsi"/>
          <w:i/>
          <w:sz w:val="20"/>
          <w:szCs w:val="20"/>
          <w:lang w:val="ro-MD"/>
        </w:rPr>
        <w:t>ii</w:t>
      </w:r>
      <w:r w:rsidRPr="0027343B">
        <w:rPr>
          <w:rFonts w:asciiTheme="majorHAnsi" w:hAnsiTheme="majorHAnsi" w:cstheme="majorHAnsi"/>
          <w:i/>
          <w:sz w:val="20"/>
          <w:szCs w:val="20"/>
          <w:lang w:val="ro-MD"/>
        </w:rPr>
        <w:t xml:space="preserve"> 2020</w:t>
      </w:r>
      <w:r w:rsidR="008E3B8F">
        <w:rPr>
          <w:rFonts w:asciiTheme="majorHAnsi" w:hAnsiTheme="majorHAnsi" w:cstheme="majorHAnsi"/>
          <w:i/>
          <w:sz w:val="20"/>
          <w:szCs w:val="20"/>
          <w:lang w:val="ro-MD"/>
        </w:rPr>
        <w:t xml:space="preserve"> și</w:t>
      </w:r>
      <w:r w:rsidRPr="0027343B">
        <w:rPr>
          <w:rFonts w:asciiTheme="majorHAnsi" w:hAnsiTheme="majorHAnsi" w:cstheme="majorHAnsi"/>
          <w:i/>
          <w:sz w:val="20"/>
          <w:szCs w:val="20"/>
          <w:lang w:val="ro-MD"/>
        </w:rPr>
        <w:t xml:space="preserve"> 2021</w:t>
      </w:r>
      <w:r w:rsidR="008E3B8F">
        <w:rPr>
          <w:rFonts w:asciiTheme="majorHAnsi" w:hAnsiTheme="majorHAnsi" w:cstheme="majorHAnsi"/>
          <w:i/>
          <w:sz w:val="20"/>
          <w:szCs w:val="20"/>
          <w:lang w:val="ro-MD"/>
        </w:rPr>
        <w:t>,</w:t>
      </w:r>
      <w:r w:rsidRPr="0027343B">
        <w:rPr>
          <w:rFonts w:asciiTheme="majorHAnsi" w:hAnsiTheme="majorHAnsi" w:cstheme="majorHAnsi"/>
          <w:i/>
          <w:sz w:val="20"/>
          <w:szCs w:val="20"/>
          <w:lang w:val="ro-MD"/>
        </w:rPr>
        <w:t xml:space="preserve"> prezentate de APCSP</w:t>
      </w:r>
      <w:r w:rsidR="008E3B8F">
        <w:rPr>
          <w:rFonts w:asciiTheme="majorHAnsi" w:hAnsiTheme="majorHAnsi" w:cstheme="majorHAnsi"/>
          <w:i/>
          <w:sz w:val="20"/>
          <w:szCs w:val="20"/>
          <w:lang w:val="ro-MD"/>
        </w:rPr>
        <w:t>.</w:t>
      </w:r>
    </w:p>
    <w:p w14:paraId="7958CDF6" w14:textId="77777777" w:rsidR="007A64EA" w:rsidRPr="0027343B" w:rsidRDefault="007A64EA" w:rsidP="00FE6161">
      <w:pPr>
        <w:rPr>
          <w:rFonts w:asciiTheme="majorHAnsi" w:hAnsiTheme="majorHAnsi" w:cstheme="majorHAnsi"/>
          <w:sz w:val="20"/>
          <w:szCs w:val="20"/>
          <w:lang w:val="ro-MD"/>
        </w:rPr>
      </w:pPr>
    </w:p>
    <w:p w14:paraId="2834BDFF" w14:textId="56D1932C" w:rsidR="007A64EA" w:rsidRPr="00045553" w:rsidRDefault="007A64EA" w:rsidP="00045553">
      <w:pPr>
        <w:pStyle w:val="NormalWeb"/>
        <w:ind w:firstLine="720"/>
        <w:jc w:val="center"/>
        <w:rPr>
          <w:rFonts w:asciiTheme="majorHAnsi" w:hAnsiTheme="majorHAnsi" w:cstheme="majorHAnsi"/>
          <w:b/>
          <w:lang w:val="ro-MD"/>
        </w:rPr>
      </w:pPr>
      <w:r w:rsidRPr="00045553">
        <w:rPr>
          <w:rFonts w:asciiTheme="majorHAnsi" w:hAnsiTheme="majorHAnsi" w:cstheme="majorHAnsi"/>
          <w:b/>
          <w:lang w:val="ro-MD"/>
        </w:rPr>
        <w:t>Efectiv</w:t>
      </w:r>
      <w:r w:rsidR="00D20414" w:rsidRPr="00045553">
        <w:rPr>
          <w:rFonts w:asciiTheme="majorHAnsi" w:hAnsiTheme="majorHAnsi" w:cstheme="majorHAnsi"/>
          <w:b/>
          <w:lang w:val="ro-MD"/>
        </w:rPr>
        <w:t>ul-limită al ISM pe anii  2020-</w:t>
      </w:r>
      <w:r w:rsidRPr="00045553">
        <w:rPr>
          <w:rFonts w:asciiTheme="majorHAnsi" w:hAnsiTheme="majorHAnsi" w:cstheme="majorHAnsi"/>
          <w:b/>
          <w:lang w:val="ro-MD"/>
        </w:rPr>
        <w:t>2021</w:t>
      </w:r>
    </w:p>
    <w:tbl>
      <w:tblPr>
        <w:tblStyle w:val="PlainTable2"/>
        <w:tblW w:w="9072" w:type="dxa"/>
        <w:tblLayout w:type="fixed"/>
        <w:tblLook w:val="04A0" w:firstRow="1" w:lastRow="0" w:firstColumn="1" w:lastColumn="0" w:noHBand="0" w:noVBand="1"/>
      </w:tblPr>
      <w:tblGrid>
        <w:gridCol w:w="1985"/>
        <w:gridCol w:w="142"/>
        <w:gridCol w:w="625"/>
        <w:gridCol w:w="295"/>
        <w:gridCol w:w="476"/>
        <w:gridCol w:w="295"/>
        <w:gridCol w:w="831"/>
        <w:gridCol w:w="295"/>
        <w:gridCol w:w="847"/>
        <w:gridCol w:w="295"/>
        <w:gridCol w:w="839"/>
        <w:gridCol w:w="295"/>
        <w:gridCol w:w="698"/>
        <w:gridCol w:w="446"/>
        <w:gridCol w:w="676"/>
        <w:gridCol w:w="32"/>
      </w:tblGrid>
      <w:tr w:rsidR="007A64EA" w:rsidRPr="0027343B" w14:paraId="4A844805" w14:textId="77777777" w:rsidTr="00C2645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0A69B369" w14:textId="77777777" w:rsidR="007A64EA" w:rsidRPr="0027343B" w:rsidRDefault="007A64EA" w:rsidP="00FE6161">
            <w:pPr>
              <w:jc w:val="center"/>
              <w:rPr>
                <w:rFonts w:asciiTheme="majorHAnsi" w:hAnsiTheme="majorHAnsi" w:cstheme="majorHAnsi"/>
                <w:color w:val="000000"/>
                <w:sz w:val="20"/>
                <w:szCs w:val="20"/>
                <w:lang w:val="ro-MD"/>
              </w:rPr>
            </w:pPr>
          </w:p>
          <w:p w14:paraId="14147978" w14:textId="77777777" w:rsidR="007A64EA" w:rsidRPr="0027343B" w:rsidRDefault="007A64EA" w:rsidP="00FE6161">
            <w:pPr>
              <w:jc w:val="cente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INDICI</w:t>
            </w:r>
          </w:p>
        </w:tc>
        <w:tc>
          <w:tcPr>
            <w:tcW w:w="767" w:type="dxa"/>
            <w:gridSpan w:val="2"/>
            <w:vMerge w:val="restart"/>
            <w:hideMark/>
          </w:tcPr>
          <w:p w14:paraId="7084BE84" w14:textId="4107F06D" w:rsidR="007A64EA" w:rsidRPr="0027343B" w:rsidRDefault="007A64EA" w:rsidP="00FE6161">
            <w:pPr>
              <w:ind w:left="-98" w:right="-171" w:firstLine="9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Aproba</w:t>
            </w:r>
            <w:r w:rsidR="008E3B8F">
              <w:rPr>
                <w:rFonts w:asciiTheme="majorHAnsi" w:hAnsiTheme="majorHAnsi" w:cstheme="majorHAnsi"/>
                <w:color w:val="000000"/>
                <w:sz w:val="20"/>
                <w:szCs w:val="20"/>
                <w:lang w:val="ro-MD"/>
              </w:rPr>
              <w:t xml:space="preserve">t, </w:t>
            </w:r>
            <w:r w:rsidRPr="0027343B">
              <w:rPr>
                <w:rFonts w:asciiTheme="majorHAnsi" w:hAnsiTheme="majorHAnsi" w:cstheme="majorHAnsi"/>
                <w:color w:val="000000"/>
                <w:sz w:val="20"/>
                <w:szCs w:val="20"/>
                <w:lang w:val="ro-MD"/>
              </w:rPr>
              <w:t>2020</w:t>
            </w:r>
          </w:p>
        </w:tc>
        <w:tc>
          <w:tcPr>
            <w:tcW w:w="771" w:type="dxa"/>
            <w:gridSpan w:val="2"/>
            <w:vMerge w:val="restart"/>
          </w:tcPr>
          <w:p w14:paraId="2F8DCA8F"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p>
          <w:p w14:paraId="6DA0AC7C"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Aprobat, 2021</w:t>
            </w:r>
          </w:p>
        </w:tc>
        <w:tc>
          <w:tcPr>
            <w:tcW w:w="2268" w:type="dxa"/>
            <w:gridSpan w:val="4"/>
            <w:hideMark/>
          </w:tcPr>
          <w:p w14:paraId="4805F766"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Numărul scriptic al personalului la </w:t>
            </w:r>
          </w:p>
        </w:tc>
        <w:tc>
          <w:tcPr>
            <w:tcW w:w="1134" w:type="dxa"/>
            <w:gridSpan w:val="2"/>
            <w:vMerge w:val="restart"/>
            <w:hideMark/>
          </w:tcPr>
          <w:p w14:paraId="27F0E2B1"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Posturi vacante</w:t>
            </w:r>
          </w:p>
          <w:p w14:paraId="5F356396"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 la 31.12.2020</w:t>
            </w:r>
          </w:p>
        </w:tc>
        <w:tc>
          <w:tcPr>
            <w:tcW w:w="993" w:type="dxa"/>
            <w:gridSpan w:val="2"/>
            <w:vMerge w:val="restart"/>
          </w:tcPr>
          <w:p w14:paraId="1E3A4FAE"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Nr. scriptic al perso-nalului </w:t>
            </w:r>
            <w:r w:rsidRPr="0027343B">
              <w:rPr>
                <w:rFonts w:asciiTheme="majorHAnsi" w:hAnsiTheme="majorHAnsi" w:cstheme="majorHAnsi"/>
                <w:bCs w:val="0"/>
                <w:color w:val="000000"/>
                <w:sz w:val="20"/>
                <w:szCs w:val="20"/>
                <w:lang w:val="ro-MD"/>
              </w:rPr>
              <w:t>la 31.12.2021</w:t>
            </w:r>
          </w:p>
        </w:tc>
        <w:tc>
          <w:tcPr>
            <w:tcW w:w="1154" w:type="dxa"/>
            <w:gridSpan w:val="3"/>
            <w:vMerge w:val="restart"/>
          </w:tcPr>
          <w:p w14:paraId="3E0F860D"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Funcții vacante </w:t>
            </w:r>
          </w:p>
          <w:p w14:paraId="74967145"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la 31.12.2021</w:t>
            </w:r>
          </w:p>
        </w:tc>
      </w:tr>
      <w:tr w:rsidR="007A64EA" w:rsidRPr="0027343B" w14:paraId="6E0CEEBB" w14:textId="77777777" w:rsidTr="00C2645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FCBCDA5" w14:textId="77777777" w:rsidR="007A64EA" w:rsidRPr="0027343B" w:rsidRDefault="007A64EA" w:rsidP="00FE6161">
            <w:pPr>
              <w:rPr>
                <w:rFonts w:asciiTheme="majorHAnsi" w:hAnsiTheme="majorHAnsi" w:cstheme="majorHAnsi"/>
                <w:b w:val="0"/>
                <w:bCs w:val="0"/>
                <w:color w:val="000000"/>
                <w:sz w:val="20"/>
                <w:szCs w:val="20"/>
                <w:lang w:val="ro-MD"/>
              </w:rPr>
            </w:pPr>
          </w:p>
        </w:tc>
        <w:tc>
          <w:tcPr>
            <w:tcW w:w="767" w:type="dxa"/>
            <w:gridSpan w:val="2"/>
            <w:vMerge/>
            <w:hideMark/>
          </w:tcPr>
          <w:p w14:paraId="589D0703"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771" w:type="dxa"/>
            <w:gridSpan w:val="2"/>
            <w:vMerge/>
          </w:tcPr>
          <w:p w14:paraId="1B22D04A"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126" w:type="dxa"/>
            <w:gridSpan w:val="2"/>
            <w:hideMark/>
          </w:tcPr>
          <w:p w14:paraId="219D645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01.01.2020</w:t>
            </w:r>
          </w:p>
        </w:tc>
        <w:tc>
          <w:tcPr>
            <w:tcW w:w="1142" w:type="dxa"/>
            <w:gridSpan w:val="2"/>
            <w:hideMark/>
          </w:tcPr>
          <w:p w14:paraId="2E1E9BE5"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31.12.2020</w:t>
            </w:r>
          </w:p>
        </w:tc>
        <w:tc>
          <w:tcPr>
            <w:tcW w:w="1134" w:type="dxa"/>
            <w:gridSpan w:val="2"/>
            <w:vMerge/>
            <w:hideMark/>
          </w:tcPr>
          <w:p w14:paraId="674F6E90"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993" w:type="dxa"/>
            <w:gridSpan w:val="2"/>
            <w:vMerge/>
          </w:tcPr>
          <w:p w14:paraId="6D518A5D"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154" w:type="dxa"/>
            <w:gridSpan w:val="3"/>
            <w:vMerge/>
          </w:tcPr>
          <w:p w14:paraId="6C35FBE2"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r>
      <w:tr w:rsidR="007A64EA" w:rsidRPr="0027343B" w14:paraId="459F35B5" w14:textId="77777777" w:rsidTr="00C26454">
        <w:trPr>
          <w:gridAfter w:val="1"/>
          <w:wAfter w:w="32" w:type="dxa"/>
          <w:trHeight w:val="155"/>
        </w:trPr>
        <w:tc>
          <w:tcPr>
            <w:cnfStyle w:val="001000000000" w:firstRow="0" w:lastRow="0" w:firstColumn="1" w:lastColumn="0" w:oddVBand="0" w:evenVBand="0" w:oddHBand="0" w:evenHBand="0" w:firstRowFirstColumn="0" w:firstRowLastColumn="0" w:lastRowFirstColumn="0" w:lastRowLastColumn="0"/>
            <w:tcW w:w="2127" w:type="dxa"/>
            <w:gridSpan w:val="2"/>
            <w:hideMark/>
          </w:tcPr>
          <w:p w14:paraId="012F6FDA" w14:textId="77777777" w:rsidR="007A64EA" w:rsidRPr="0027343B" w:rsidRDefault="007A64EA" w:rsidP="00FE6161">
            <w:pP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Personal, total:</w:t>
            </w:r>
          </w:p>
        </w:tc>
        <w:tc>
          <w:tcPr>
            <w:tcW w:w="920" w:type="dxa"/>
            <w:gridSpan w:val="2"/>
          </w:tcPr>
          <w:p w14:paraId="13E2B1AD"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rPr>
            </w:pPr>
            <w:r w:rsidRPr="0027343B">
              <w:rPr>
                <w:rFonts w:asciiTheme="majorHAnsi" w:hAnsiTheme="majorHAnsi" w:cstheme="majorHAnsi"/>
                <w:bCs/>
                <w:color w:val="000000"/>
                <w:sz w:val="20"/>
                <w:szCs w:val="20"/>
                <w:lang w:val="ro-MD"/>
              </w:rPr>
              <w:t>29</w:t>
            </w:r>
          </w:p>
        </w:tc>
        <w:tc>
          <w:tcPr>
            <w:tcW w:w="771" w:type="dxa"/>
            <w:gridSpan w:val="2"/>
          </w:tcPr>
          <w:p w14:paraId="7AC6E52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MD"/>
              </w:rPr>
            </w:pPr>
            <w:r w:rsidRPr="0027343B">
              <w:rPr>
                <w:rFonts w:asciiTheme="majorHAnsi" w:hAnsiTheme="majorHAnsi" w:cstheme="majorHAnsi"/>
                <w:bCs/>
                <w:color w:val="000000"/>
                <w:sz w:val="20"/>
                <w:szCs w:val="20"/>
                <w:lang w:val="ro-MD"/>
              </w:rPr>
              <w:t>29</w:t>
            </w:r>
          </w:p>
        </w:tc>
        <w:tc>
          <w:tcPr>
            <w:tcW w:w="1126" w:type="dxa"/>
            <w:gridSpan w:val="2"/>
          </w:tcPr>
          <w:p w14:paraId="3B52146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20</w:t>
            </w:r>
          </w:p>
        </w:tc>
        <w:tc>
          <w:tcPr>
            <w:tcW w:w="1142" w:type="dxa"/>
            <w:gridSpan w:val="2"/>
          </w:tcPr>
          <w:p w14:paraId="56E6503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22</w:t>
            </w:r>
          </w:p>
        </w:tc>
        <w:tc>
          <w:tcPr>
            <w:tcW w:w="1134" w:type="dxa"/>
            <w:gridSpan w:val="2"/>
          </w:tcPr>
          <w:p w14:paraId="5CA05E2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7</w:t>
            </w:r>
          </w:p>
        </w:tc>
        <w:tc>
          <w:tcPr>
            <w:tcW w:w="1144" w:type="dxa"/>
            <w:gridSpan w:val="2"/>
          </w:tcPr>
          <w:p w14:paraId="0F48773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23</w:t>
            </w:r>
          </w:p>
        </w:tc>
        <w:tc>
          <w:tcPr>
            <w:tcW w:w="676" w:type="dxa"/>
          </w:tcPr>
          <w:p w14:paraId="6A11BD7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6</w:t>
            </w:r>
          </w:p>
        </w:tc>
      </w:tr>
      <w:tr w:rsidR="007A64EA" w:rsidRPr="0027343B" w14:paraId="68A1D34C" w14:textId="77777777" w:rsidTr="00C26454">
        <w:trPr>
          <w:gridAfter w:val="1"/>
          <w:cnfStyle w:val="000000100000" w:firstRow="0" w:lastRow="0" w:firstColumn="0" w:lastColumn="0" w:oddVBand="0" w:evenVBand="0" w:oddHBand="1" w:evenHBand="0" w:firstRowFirstColumn="0" w:firstRowLastColumn="0" w:lastRowFirstColumn="0" w:lastRowLastColumn="0"/>
          <w:wAfter w:w="32" w:type="dxa"/>
          <w:trHeight w:val="238"/>
        </w:trPr>
        <w:tc>
          <w:tcPr>
            <w:cnfStyle w:val="001000000000" w:firstRow="0" w:lastRow="0" w:firstColumn="1" w:lastColumn="0" w:oddVBand="0" w:evenVBand="0" w:oddHBand="0" w:evenHBand="0" w:firstRowFirstColumn="0" w:firstRowLastColumn="0" w:lastRowFirstColumn="0" w:lastRowLastColumn="0"/>
            <w:tcW w:w="2127" w:type="dxa"/>
            <w:gridSpan w:val="2"/>
          </w:tcPr>
          <w:p w14:paraId="07DC3DAB"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Director general</w:t>
            </w:r>
          </w:p>
        </w:tc>
        <w:tc>
          <w:tcPr>
            <w:tcW w:w="920" w:type="dxa"/>
            <w:gridSpan w:val="2"/>
          </w:tcPr>
          <w:p w14:paraId="2736859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771" w:type="dxa"/>
            <w:gridSpan w:val="2"/>
          </w:tcPr>
          <w:p w14:paraId="71AFBBBB"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26" w:type="dxa"/>
            <w:gridSpan w:val="2"/>
          </w:tcPr>
          <w:p w14:paraId="7DC1F8E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42" w:type="dxa"/>
            <w:gridSpan w:val="2"/>
          </w:tcPr>
          <w:p w14:paraId="1575CB0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34" w:type="dxa"/>
            <w:gridSpan w:val="2"/>
          </w:tcPr>
          <w:p w14:paraId="62F96AD5"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4" w:type="dxa"/>
            <w:gridSpan w:val="2"/>
          </w:tcPr>
          <w:p w14:paraId="1584513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676" w:type="dxa"/>
          </w:tcPr>
          <w:p w14:paraId="102B4FD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r>
      <w:tr w:rsidR="007A64EA" w:rsidRPr="0027343B" w14:paraId="3FEDBDF0" w14:textId="77777777" w:rsidTr="00C26454">
        <w:trPr>
          <w:gridAfter w:val="1"/>
          <w:wAfter w:w="32" w:type="dxa"/>
          <w:trHeight w:val="238"/>
        </w:trPr>
        <w:tc>
          <w:tcPr>
            <w:cnfStyle w:val="001000000000" w:firstRow="0" w:lastRow="0" w:firstColumn="1" w:lastColumn="0" w:oddVBand="0" w:evenVBand="0" w:oddHBand="0" w:evenHBand="0" w:firstRowFirstColumn="0" w:firstRowLastColumn="0" w:lastRowFirstColumn="0" w:lastRowLastColumn="0"/>
            <w:tcW w:w="2127" w:type="dxa"/>
            <w:gridSpan w:val="2"/>
          </w:tcPr>
          <w:p w14:paraId="23340AAA"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Vicedirectori</w:t>
            </w:r>
          </w:p>
        </w:tc>
        <w:tc>
          <w:tcPr>
            <w:tcW w:w="920" w:type="dxa"/>
            <w:gridSpan w:val="2"/>
          </w:tcPr>
          <w:p w14:paraId="1E89DF7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c>
          <w:tcPr>
            <w:tcW w:w="771" w:type="dxa"/>
            <w:gridSpan w:val="2"/>
          </w:tcPr>
          <w:p w14:paraId="2A4FC66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c>
          <w:tcPr>
            <w:tcW w:w="1126" w:type="dxa"/>
            <w:gridSpan w:val="2"/>
          </w:tcPr>
          <w:p w14:paraId="517B5142"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2" w:type="dxa"/>
            <w:gridSpan w:val="2"/>
          </w:tcPr>
          <w:p w14:paraId="02E923C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c>
          <w:tcPr>
            <w:tcW w:w="1134" w:type="dxa"/>
            <w:gridSpan w:val="2"/>
          </w:tcPr>
          <w:p w14:paraId="450E31C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4" w:type="dxa"/>
            <w:gridSpan w:val="2"/>
          </w:tcPr>
          <w:p w14:paraId="4C97964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676" w:type="dxa"/>
          </w:tcPr>
          <w:p w14:paraId="6E6BFD9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r>
      <w:tr w:rsidR="007A64EA" w:rsidRPr="0027343B" w14:paraId="6D195042" w14:textId="77777777" w:rsidTr="00C26454">
        <w:trPr>
          <w:gridAfter w:val="1"/>
          <w:cnfStyle w:val="000000100000" w:firstRow="0" w:lastRow="0" w:firstColumn="0" w:lastColumn="0" w:oddVBand="0" w:evenVBand="0" w:oddHBand="1" w:evenHBand="0" w:firstRowFirstColumn="0" w:firstRowLastColumn="0" w:lastRowFirstColumn="0" w:lastRowLastColumn="0"/>
          <w:wAfter w:w="32" w:type="dxa"/>
          <w:trHeight w:val="316"/>
        </w:trPr>
        <w:tc>
          <w:tcPr>
            <w:cnfStyle w:val="001000000000" w:firstRow="0" w:lastRow="0" w:firstColumn="1" w:lastColumn="0" w:oddVBand="0" w:evenVBand="0" w:oddHBand="0" w:evenHBand="0" w:firstRowFirstColumn="0" w:firstRowLastColumn="0" w:lastRowFirstColumn="0" w:lastRowLastColumn="0"/>
            <w:tcW w:w="2127" w:type="dxa"/>
            <w:gridSpan w:val="2"/>
          </w:tcPr>
          <w:p w14:paraId="1E9C7FB9"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Organismul de certiicare a personalului</w:t>
            </w:r>
          </w:p>
        </w:tc>
        <w:tc>
          <w:tcPr>
            <w:tcW w:w="920" w:type="dxa"/>
            <w:gridSpan w:val="2"/>
          </w:tcPr>
          <w:p w14:paraId="74DCA66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771" w:type="dxa"/>
            <w:gridSpan w:val="2"/>
          </w:tcPr>
          <w:p w14:paraId="4FE7F70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c>
          <w:tcPr>
            <w:tcW w:w="1126" w:type="dxa"/>
            <w:gridSpan w:val="2"/>
          </w:tcPr>
          <w:p w14:paraId="10FDE53A"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2" w:type="dxa"/>
            <w:gridSpan w:val="2"/>
          </w:tcPr>
          <w:p w14:paraId="774F8F53"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34" w:type="dxa"/>
            <w:gridSpan w:val="2"/>
          </w:tcPr>
          <w:p w14:paraId="423A584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1144" w:type="dxa"/>
            <w:gridSpan w:val="2"/>
          </w:tcPr>
          <w:p w14:paraId="5358FEF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676" w:type="dxa"/>
          </w:tcPr>
          <w:p w14:paraId="1839666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r>
      <w:tr w:rsidR="007A64EA" w:rsidRPr="0027343B" w14:paraId="4E8F5384" w14:textId="77777777" w:rsidTr="00C26454">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7F28D694"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Departamentul standardizare</w:t>
            </w:r>
          </w:p>
        </w:tc>
        <w:tc>
          <w:tcPr>
            <w:tcW w:w="920" w:type="dxa"/>
            <w:gridSpan w:val="2"/>
          </w:tcPr>
          <w:p w14:paraId="5CBCED7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12</w:t>
            </w:r>
          </w:p>
        </w:tc>
        <w:tc>
          <w:tcPr>
            <w:tcW w:w="771" w:type="dxa"/>
            <w:gridSpan w:val="2"/>
          </w:tcPr>
          <w:p w14:paraId="56EED84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12</w:t>
            </w:r>
          </w:p>
        </w:tc>
        <w:tc>
          <w:tcPr>
            <w:tcW w:w="1126" w:type="dxa"/>
            <w:gridSpan w:val="2"/>
          </w:tcPr>
          <w:p w14:paraId="23EB104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10</w:t>
            </w:r>
          </w:p>
        </w:tc>
        <w:tc>
          <w:tcPr>
            <w:tcW w:w="1142" w:type="dxa"/>
            <w:gridSpan w:val="2"/>
          </w:tcPr>
          <w:p w14:paraId="0BDC456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10</w:t>
            </w:r>
          </w:p>
        </w:tc>
        <w:tc>
          <w:tcPr>
            <w:tcW w:w="1134" w:type="dxa"/>
            <w:gridSpan w:val="2"/>
          </w:tcPr>
          <w:p w14:paraId="1C5EDFC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2</w:t>
            </w:r>
          </w:p>
        </w:tc>
        <w:tc>
          <w:tcPr>
            <w:tcW w:w="1144" w:type="dxa"/>
            <w:gridSpan w:val="2"/>
          </w:tcPr>
          <w:p w14:paraId="7EBA9B1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11</w:t>
            </w:r>
          </w:p>
        </w:tc>
        <w:tc>
          <w:tcPr>
            <w:tcW w:w="676" w:type="dxa"/>
          </w:tcPr>
          <w:p w14:paraId="57DCD97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r>
      <w:tr w:rsidR="007A64EA" w:rsidRPr="0027343B" w14:paraId="252C67A6" w14:textId="77777777" w:rsidTr="00C26454">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6B83CC03" w14:textId="653F4016" w:rsidR="007A64EA" w:rsidRPr="0027343B" w:rsidRDefault="007A64EA" w:rsidP="00FE6161">
            <w:pPr>
              <w:ind w:left="159"/>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Departament</w:t>
            </w:r>
            <w:r w:rsidR="00906DD0">
              <w:rPr>
                <w:rFonts w:asciiTheme="majorHAnsi" w:hAnsiTheme="majorHAnsi" w:cstheme="majorHAnsi"/>
                <w:b w:val="0"/>
                <w:bCs w:val="0"/>
                <w:i/>
                <w:iCs/>
                <w:color w:val="000000"/>
                <w:sz w:val="20"/>
                <w:szCs w:val="20"/>
                <w:lang w:val="ro-MD"/>
              </w:rPr>
              <w:t xml:space="preserve">ul </w:t>
            </w:r>
            <w:r w:rsidRPr="0027343B">
              <w:rPr>
                <w:rFonts w:asciiTheme="majorHAnsi" w:hAnsiTheme="majorHAnsi" w:cstheme="majorHAnsi"/>
                <w:b w:val="0"/>
                <w:bCs w:val="0"/>
                <w:i/>
                <w:iCs/>
                <w:color w:val="000000"/>
                <w:sz w:val="20"/>
                <w:szCs w:val="20"/>
                <w:lang w:val="ro-MD"/>
              </w:rPr>
              <w:t xml:space="preserve"> comunicare și relații externe</w:t>
            </w:r>
          </w:p>
        </w:tc>
        <w:tc>
          <w:tcPr>
            <w:tcW w:w="920" w:type="dxa"/>
            <w:gridSpan w:val="2"/>
          </w:tcPr>
          <w:p w14:paraId="3A367FDC"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5</w:t>
            </w:r>
          </w:p>
        </w:tc>
        <w:tc>
          <w:tcPr>
            <w:tcW w:w="771" w:type="dxa"/>
            <w:gridSpan w:val="2"/>
          </w:tcPr>
          <w:p w14:paraId="57D3DCA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5</w:t>
            </w:r>
          </w:p>
        </w:tc>
        <w:tc>
          <w:tcPr>
            <w:tcW w:w="1126" w:type="dxa"/>
            <w:gridSpan w:val="2"/>
          </w:tcPr>
          <w:p w14:paraId="75C4182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4</w:t>
            </w:r>
          </w:p>
        </w:tc>
        <w:tc>
          <w:tcPr>
            <w:tcW w:w="1142" w:type="dxa"/>
            <w:gridSpan w:val="2"/>
          </w:tcPr>
          <w:p w14:paraId="7EDF802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4</w:t>
            </w:r>
          </w:p>
        </w:tc>
        <w:tc>
          <w:tcPr>
            <w:tcW w:w="1134" w:type="dxa"/>
            <w:gridSpan w:val="2"/>
          </w:tcPr>
          <w:p w14:paraId="5F457A3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44" w:type="dxa"/>
            <w:gridSpan w:val="2"/>
          </w:tcPr>
          <w:p w14:paraId="076D920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4</w:t>
            </w:r>
          </w:p>
        </w:tc>
        <w:tc>
          <w:tcPr>
            <w:tcW w:w="676" w:type="dxa"/>
          </w:tcPr>
          <w:p w14:paraId="1187E36C"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r>
      <w:tr w:rsidR="007A64EA" w:rsidRPr="0027343B" w14:paraId="610EC2F8" w14:textId="77777777" w:rsidTr="00C26454">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339114BC"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Centrul Business suport și standardizare</w:t>
            </w:r>
          </w:p>
        </w:tc>
        <w:tc>
          <w:tcPr>
            <w:tcW w:w="920" w:type="dxa"/>
            <w:gridSpan w:val="2"/>
          </w:tcPr>
          <w:p w14:paraId="5FD54A6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771" w:type="dxa"/>
            <w:gridSpan w:val="2"/>
          </w:tcPr>
          <w:p w14:paraId="149571D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1126" w:type="dxa"/>
            <w:gridSpan w:val="2"/>
          </w:tcPr>
          <w:p w14:paraId="443E40EB"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1142" w:type="dxa"/>
            <w:gridSpan w:val="2"/>
          </w:tcPr>
          <w:p w14:paraId="234D4719"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1134" w:type="dxa"/>
            <w:gridSpan w:val="2"/>
          </w:tcPr>
          <w:p w14:paraId="66AD47B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4" w:type="dxa"/>
            <w:gridSpan w:val="2"/>
          </w:tcPr>
          <w:p w14:paraId="20A65709"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3</w:t>
            </w:r>
          </w:p>
        </w:tc>
        <w:tc>
          <w:tcPr>
            <w:tcW w:w="676" w:type="dxa"/>
          </w:tcPr>
          <w:p w14:paraId="2865B64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r>
      <w:tr w:rsidR="007A64EA" w:rsidRPr="0027343B" w14:paraId="43E0D85E" w14:textId="77777777" w:rsidTr="00C26454">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0E5A83A1"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Manager sisteme integrate</w:t>
            </w:r>
          </w:p>
        </w:tc>
        <w:tc>
          <w:tcPr>
            <w:tcW w:w="920" w:type="dxa"/>
            <w:gridSpan w:val="2"/>
          </w:tcPr>
          <w:p w14:paraId="417881AB"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771" w:type="dxa"/>
            <w:gridSpan w:val="2"/>
          </w:tcPr>
          <w:p w14:paraId="4713503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26" w:type="dxa"/>
            <w:gridSpan w:val="2"/>
          </w:tcPr>
          <w:p w14:paraId="4AF938AE"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2" w:type="dxa"/>
            <w:gridSpan w:val="2"/>
          </w:tcPr>
          <w:p w14:paraId="560037DD"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34" w:type="dxa"/>
            <w:gridSpan w:val="2"/>
          </w:tcPr>
          <w:p w14:paraId="616BEC2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4" w:type="dxa"/>
            <w:gridSpan w:val="2"/>
          </w:tcPr>
          <w:p w14:paraId="044F905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676" w:type="dxa"/>
          </w:tcPr>
          <w:p w14:paraId="7B60992A"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r>
      <w:tr w:rsidR="007A64EA" w:rsidRPr="0027343B" w14:paraId="1366A0C0" w14:textId="77777777" w:rsidTr="00C26454">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23D96E95" w14:textId="689F5F96"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Contabil</w:t>
            </w:r>
            <w:r w:rsidR="00236026">
              <w:rPr>
                <w:rFonts w:asciiTheme="majorHAnsi" w:hAnsiTheme="majorHAnsi" w:cstheme="majorHAnsi"/>
                <w:b w:val="0"/>
                <w:bCs w:val="0"/>
                <w:i/>
                <w:iCs/>
                <w:color w:val="000000"/>
                <w:sz w:val="20"/>
                <w:szCs w:val="20"/>
                <w:lang w:val="ro-MD"/>
              </w:rPr>
              <w:t>-</w:t>
            </w:r>
            <w:r w:rsidRPr="0027343B">
              <w:rPr>
                <w:rFonts w:asciiTheme="majorHAnsi" w:hAnsiTheme="majorHAnsi" w:cstheme="majorHAnsi"/>
                <w:b w:val="0"/>
                <w:bCs w:val="0"/>
                <w:i/>
                <w:iCs/>
                <w:color w:val="000000"/>
                <w:sz w:val="20"/>
                <w:szCs w:val="20"/>
                <w:lang w:val="ro-MD"/>
              </w:rPr>
              <w:t>șef</w:t>
            </w:r>
          </w:p>
        </w:tc>
        <w:tc>
          <w:tcPr>
            <w:tcW w:w="920" w:type="dxa"/>
            <w:gridSpan w:val="2"/>
          </w:tcPr>
          <w:p w14:paraId="67741B33"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771" w:type="dxa"/>
            <w:gridSpan w:val="2"/>
          </w:tcPr>
          <w:p w14:paraId="6C4461E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26" w:type="dxa"/>
            <w:gridSpan w:val="2"/>
          </w:tcPr>
          <w:p w14:paraId="166C7D63"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42" w:type="dxa"/>
            <w:gridSpan w:val="2"/>
          </w:tcPr>
          <w:p w14:paraId="5B1307B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1134" w:type="dxa"/>
            <w:gridSpan w:val="2"/>
          </w:tcPr>
          <w:p w14:paraId="041C060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c>
          <w:tcPr>
            <w:tcW w:w="1144" w:type="dxa"/>
            <w:gridSpan w:val="2"/>
          </w:tcPr>
          <w:p w14:paraId="421ECD8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1</w:t>
            </w:r>
          </w:p>
        </w:tc>
        <w:tc>
          <w:tcPr>
            <w:tcW w:w="676" w:type="dxa"/>
          </w:tcPr>
          <w:p w14:paraId="32C0396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0</w:t>
            </w:r>
          </w:p>
        </w:tc>
      </w:tr>
      <w:tr w:rsidR="007A64EA" w:rsidRPr="0027343B" w14:paraId="455470EB" w14:textId="77777777" w:rsidTr="00C26454">
        <w:trPr>
          <w:gridAfter w:val="1"/>
          <w:cnfStyle w:val="000000100000" w:firstRow="0" w:lastRow="0" w:firstColumn="0" w:lastColumn="0" w:oddVBand="0" w:evenVBand="0" w:oddHBand="1" w:evenHBand="0" w:firstRowFirstColumn="0" w:firstRowLastColumn="0" w:lastRowFirstColumn="0" w:lastRowLastColumn="0"/>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63319D0C"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Manager oficiu</w:t>
            </w:r>
          </w:p>
        </w:tc>
        <w:tc>
          <w:tcPr>
            <w:tcW w:w="920" w:type="dxa"/>
            <w:gridSpan w:val="2"/>
          </w:tcPr>
          <w:p w14:paraId="0162B12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771" w:type="dxa"/>
            <w:gridSpan w:val="2"/>
          </w:tcPr>
          <w:p w14:paraId="4232C5D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1126" w:type="dxa"/>
            <w:gridSpan w:val="2"/>
          </w:tcPr>
          <w:p w14:paraId="30DC841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0</w:t>
            </w:r>
          </w:p>
        </w:tc>
        <w:tc>
          <w:tcPr>
            <w:tcW w:w="1142" w:type="dxa"/>
            <w:gridSpan w:val="2"/>
          </w:tcPr>
          <w:p w14:paraId="16C3B05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0</w:t>
            </w:r>
          </w:p>
        </w:tc>
        <w:tc>
          <w:tcPr>
            <w:tcW w:w="1134" w:type="dxa"/>
            <w:gridSpan w:val="2"/>
          </w:tcPr>
          <w:p w14:paraId="6C50882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1144" w:type="dxa"/>
            <w:gridSpan w:val="2"/>
          </w:tcPr>
          <w:p w14:paraId="6883B00E"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676" w:type="dxa"/>
          </w:tcPr>
          <w:p w14:paraId="1F06075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0</w:t>
            </w:r>
          </w:p>
        </w:tc>
      </w:tr>
      <w:tr w:rsidR="007A64EA" w:rsidRPr="0027343B" w14:paraId="0EAE684F" w14:textId="77777777" w:rsidTr="00C26454">
        <w:trPr>
          <w:gridAfter w:val="1"/>
          <w:wAfter w:w="32" w:type="dxa"/>
          <w:trHeight w:val="221"/>
        </w:trPr>
        <w:tc>
          <w:tcPr>
            <w:cnfStyle w:val="001000000000" w:firstRow="0" w:lastRow="0" w:firstColumn="1" w:lastColumn="0" w:oddVBand="0" w:evenVBand="0" w:oddHBand="0" w:evenHBand="0" w:firstRowFirstColumn="0" w:firstRowLastColumn="0" w:lastRowFirstColumn="0" w:lastRowLastColumn="0"/>
            <w:tcW w:w="2127" w:type="dxa"/>
            <w:gridSpan w:val="2"/>
          </w:tcPr>
          <w:p w14:paraId="537CB8D1"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Administrator clădire</w:t>
            </w:r>
          </w:p>
        </w:tc>
        <w:tc>
          <w:tcPr>
            <w:tcW w:w="920" w:type="dxa"/>
            <w:gridSpan w:val="2"/>
          </w:tcPr>
          <w:p w14:paraId="72CB14C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771" w:type="dxa"/>
            <w:gridSpan w:val="2"/>
          </w:tcPr>
          <w:p w14:paraId="73E8CA8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1126" w:type="dxa"/>
            <w:gridSpan w:val="2"/>
          </w:tcPr>
          <w:p w14:paraId="44AE1B0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1142" w:type="dxa"/>
            <w:gridSpan w:val="2"/>
          </w:tcPr>
          <w:p w14:paraId="664F6C66"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1134" w:type="dxa"/>
            <w:gridSpan w:val="2"/>
          </w:tcPr>
          <w:p w14:paraId="0FFE803D"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0</w:t>
            </w:r>
          </w:p>
        </w:tc>
        <w:tc>
          <w:tcPr>
            <w:tcW w:w="1144" w:type="dxa"/>
            <w:gridSpan w:val="2"/>
          </w:tcPr>
          <w:p w14:paraId="318A6F5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sz w:val="20"/>
                <w:szCs w:val="20"/>
                <w:lang w:val="ro-MD"/>
              </w:rPr>
            </w:pPr>
            <w:r w:rsidRPr="0027343B">
              <w:rPr>
                <w:rFonts w:asciiTheme="majorHAnsi" w:hAnsiTheme="majorHAnsi" w:cstheme="majorHAnsi"/>
                <w:i/>
                <w:iCs/>
                <w:color w:val="000000"/>
                <w:sz w:val="20"/>
                <w:szCs w:val="20"/>
                <w:lang w:val="ro-MD"/>
              </w:rPr>
              <w:t>1</w:t>
            </w:r>
          </w:p>
        </w:tc>
        <w:tc>
          <w:tcPr>
            <w:tcW w:w="676" w:type="dxa"/>
          </w:tcPr>
          <w:p w14:paraId="26DD3106"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i/>
                <w:iCs/>
                <w:color w:val="000000"/>
                <w:sz w:val="20"/>
                <w:szCs w:val="20"/>
                <w:lang w:val="ro-MD"/>
              </w:rPr>
              <w:t>0</w:t>
            </w:r>
          </w:p>
        </w:tc>
      </w:tr>
    </w:tbl>
    <w:p w14:paraId="73E0E5D4" w14:textId="53C23931" w:rsidR="007A64EA" w:rsidRPr="0027343B" w:rsidRDefault="007A64EA" w:rsidP="00FE6161">
      <w:pPr>
        <w:rPr>
          <w:rFonts w:asciiTheme="majorHAnsi" w:hAnsiTheme="majorHAnsi" w:cstheme="majorHAnsi"/>
          <w:i/>
          <w:sz w:val="20"/>
          <w:szCs w:val="20"/>
          <w:lang w:val="ro-MD"/>
        </w:rPr>
      </w:pPr>
      <w:r w:rsidRPr="00255E9C">
        <w:rPr>
          <w:rFonts w:asciiTheme="majorHAnsi" w:hAnsiTheme="majorHAnsi" w:cstheme="majorHAnsi"/>
          <w:b/>
          <w:i/>
          <w:sz w:val="20"/>
          <w:szCs w:val="20"/>
          <w:lang w:val="ro-MD"/>
        </w:rPr>
        <w:t>Surs</w:t>
      </w:r>
      <w:r w:rsidR="008E3B8F" w:rsidRPr="00255E9C">
        <w:rPr>
          <w:rFonts w:asciiTheme="majorHAnsi" w:hAnsiTheme="majorHAnsi" w:cstheme="majorHAnsi"/>
          <w:b/>
          <w:i/>
          <w:sz w:val="20"/>
          <w:szCs w:val="20"/>
          <w:lang w:val="ro-MD"/>
        </w:rPr>
        <w:t>ă</w:t>
      </w:r>
      <w:r w:rsidRPr="00255E9C">
        <w:rPr>
          <w:rFonts w:asciiTheme="majorHAnsi" w:hAnsiTheme="majorHAnsi" w:cstheme="majorHAnsi"/>
          <w:b/>
          <w:i/>
          <w:sz w:val="20"/>
          <w:szCs w:val="20"/>
          <w:lang w:val="ro-MD"/>
        </w:rPr>
        <w:t>:</w:t>
      </w:r>
      <w:r w:rsidRPr="0027343B">
        <w:rPr>
          <w:rFonts w:asciiTheme="majorHAnsi" w:hAnsiTheme="majorHAnsi" w:cstheme="majorHAnsi"/>
          <w:i/>
          <w:sz w:val="20"/>
          <w:szCs w:val="20"/>
          <w:lang w:val="ro-MD"/>
        </w:rPr>
        <w:t xml:space="preserve"> Statele de personal; Date generale despre personal în an</w:t>
      </w:r>
      <w:r w:rsidR="008E3B8F">
        <w:rPr>
          <w:rFonts w:asciiTheme="majorHAnsi" w:hAnsiTheme="majorHAnsi" w:cstheme="majorHAnsi"/>
          <w:i/>
          <w:sz w:val="20"/>
          <w:szCs w:val="20"/>
          <w:lang w:val="ro-MD"/>
        </w:rPr>
        <w:t>ii</w:t>
      </w:r>
      <w:r w:rsidRPr="0027343B">
        <w:rPr>
          <w:rFonts w:asciiTheme="majorHAnsi" w:hAnsiTheme="majorHAnsi" w:cstheme="majorHAnsi"/>
          <w:i/>
          <w:sz w:val="20"/>
          <w:szCs w:val="20"/>
          <w:lang w:val="ro-MD"/>
        </w:rPr>
        <w:t xml:space="preserve"> 2020</w:t>
      </w:r>
      <w:r w:rsidR="008E3B8F">
        <w:rPr>
          <w:rFonts w:asciiTheme="majorHAnsi" w:hAnsiTheme="majorHAnsi" w:cstheme="majorHAnsi"/>
          <w:i/>
          <w:sz w:val="20"/>
          <w:szCs w:val="20"/>
          <w:lang w:val="ro-MD"/>
        </w:rPr>
        <w:t xml:space="preserve"> și</w:t>
      </w:r>
      <w:r w:rsidRPr="0027343B">
        <w:rPr>
          <w:rFonts w:asciiTheme="majorHAnsi" w:hAnsiTheme="majorHAnsi" w:cstheme="majorHAnsi"/>
          <w:i/>
          <w:sz w:val="20"/>
          <w:szCs w:val="20"/>
          <w:lang w:val="ro-MD"/>
        </w:rPr>
        <w:t xml:space="preserve"> 2021</w:t>
      </w:r>
      <w:r w:rsidR="008E3B8F">
        <w:rPr>
          <w:rFonts w:asciiTheme="majorHAnsi" w:hAnsiTheme="majorHAnsi" w:cstheme="majorHAnsi"/>
          <w:i/>
          <w:sz w:val="20"/>
          <w:szCs w:val="20"/>
          <w:lang w:val="ro-MD"/>
        </w:rPr>
        <w:t>,</w:t>
      </w:r>
      <w:r w:rsidRPr="0027343B">
        <w:rPr>
          <w:rFonts w:asciiTheme="majorHAnsi" w:hAnsiTheme="majorHAnsi" w:cstheme="majorHAnsi"/>
          <w:i/>
          <w:sz w:val="20"/>
          <w:szCs w:val="20"/>
          <w:lang w:val="ro-MD"/>
        </w:rPr>
        <w:t xml:space="preserve"> prezentate de ISM</w:t>
      </w:r>
      <w:r w:rsidR="008E3B8F">
        <w:rPr>
          <w:rFonts w:asciiTheme="majorHAnsi" w:hAnsiTheme="majorHAnsi" w:cstheme="majorHAnsi"/>
          <w:i/>
          <w:sz w:val="20"/>
          <w:szCs w:val="20"/>
          <w:lang w:val="ro-MD"/>
        </w:rPr>
        <w:t>.</w:t>
      </w:r>
    </w:p>
    <w:p w14:paraId="6B951AD6" w14:textId="77777777" w:rsidR="00DD46D4" w:rsidRPr="0027343B" w:rsidRDefault="00DD46D4" w:rsidP="00FE6161">
      <w:pPr>
        <w:rPr>
          <w:rFonts w:asciiTheme="majorHAnsi" w:hAnsiTheme="majorHAnsi" w:cstheme="majorHAnsi"/>
          <w:sz w:val="20"/>
          <w:szCs w:val="20"/>
          <w:lang w:val="ro-MD"/>
        </w:rPr>
      </w:pPr>
    </w:p>
    <w:p w14:paraId="7DFC825E" w14:textId="5D18F7DF" w:rsidR="007A64EA" w:rsidRPr="00045553" w:rsidRDefault="007A64EA" w:rsidP="00045553">
      <w:pPr>
        <w:pStyle w:val="NormalWeb"/>
        <w:ind w:firstLine="720"/>
        <w:jc w:val="center"/>
        <w:rPr>
          <w:rFonts w:asciiTheme="majorHAnsi" w:hAnsiTheme="majorHAnsi" w:cstheme="majorHAnsi"/>
          <w:b/>
          <w:lang w:val="ro-MD"/>
        </w:rPr>
      </w:pPr>
      <w:r w:rsidRPr="00045553">
        <w:rPr>
          <w:rFonts w:asciiTheme="majorHAnsi" w:hAnsiTheme="majorHAnsi" w:cstheme="majorHAnsi"/>
          <w:b/>
          <w:lang w:val="ro-MD"/>
        </w:rPr>
        <w:t>Efectivul-</w:t>
      </w:r>
      <w:r w:rsidR="00D20414" w:rsidRPr="00045553">
        <w:rPr>
          <w:rFonts w:asciiTheme="majorHAnsi" w:hAnsiTheme="majorHAnsi" w:cstheme="majorHAnsi"/>
          <w:b/>
          <w:lang w:val="ro-MD"/>
        </w:rPr>
        <w:t>limită al MOLDAC pe anii  2020-</w:t>
      </w:r>
      <w:r w:rsidRPr="00045553">
        <w:rPr>
          <w:rFonts w:asciiTheme="majorHAnsi" w:hAnsiTheme="majorHAnsi" w:cstheme="majorHAnsi"/>
          <w:b/>
          <w:lang w:val="ro-MD"/>
        </w:rPr>
        <w:t>2021</w:t>
      </w:r>
    </w:p>
    <w:tbl>
      <w:tblPr>
        <w:tblStyle w:val="PlainTable2"/>
        <w:tblW w:w="9214" w:type="dxa"/>
        <w:tblLook w:val="04A0" w:firstRow="1" w:lastRow="0" w:firstColumn="1" w:lastColumn="0" w:noHBand="0" w:noVBand="1"/>
      </w:tblPr>
      <w:tblGrid>
        <w:gridCol w:w="2194"/>
        <w:gridCol w:w="972"/>
        <w:gridCol w:w="1189"/>
        <w:gridCol w:w="1277"/>
        <w:gridCol w:w="1225"/>
        <w:gridCol w:w="1231"/>
        <w:gridCol w:w="1126"/>
      </w:tblGrid>
      <w:tr w:rsidR="007A64EA" w:rsidRPr="0027343B" w14:paraId="3209DAD3" w14:textId="77777777" w:rsidTr="00C26454">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44" w:type="dxa"/>
            <w:vMerge w:val="restart"/>
            <w:hideMark/>
          </w:tcPr>
          <w:p w14:paraId="5B224CFA" w14:textId="77777777" w:rsidR="007A64EA" w:rsidRPr="0027343B" w:rsidRDefault="007A64EA" w:rsidP="00FE6161">
            <w:pPr>
              <w:jc w:val="center"/>
              <w:rPr>
                <w:rFonts w:asciiTheme="majorHAnsi" w:hAnsiTheme="majorHAnsi" w:cstheme="majorHAnsi"/>
                <w:color w:val="000000"/>
                <w:sz w:val="20"/>
                <w:szCs w:val="20"/>
                <w:lang w:val="ro-MD"/>
              </w:rPr>
            </w:pPr>
          </w:p>
          <w:p w14:paraId="4DF00456" w14:textId="77777777" w:rsidR="007A64EA" w:rsidRPr="0027343B" w:rsidRDefault="007A64EA" w:rsidP="00FE6161">
            <w:pPr>
              <w:jc w:val="cente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INDICI</w:t>
            </w:r>
          </w:p>
        </w:tc>
        <w:tc>
          <w:tcPr>
            <w:tcW w:w="987" w:type="dxa"/>
            <w:vMerge w:val="restart"/>
            <w:hideMark/>
          </w:tcPr>
          <w:p w14:paraId="0BE33834" w14:textId="77777777" w:rsidR="007A64EA" w:rsidRPr="0027343B" w:rsidRDefault="007A64EA" w:rsidP="00FE6161">
            <w:pPr>
              <w:ind w:left="-98" w:firstLine="98"/>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Aprobat, unități</w:t>
            </w:r>
          </w:p>
        </w:tc>
        <w:tc>
          <w:tcPr>
            <w:tcW w:w="2530" w:type="dxa"/>
            <w:gridSpan w:val="2"/>
            <w:hideMark/>
          </w:tcPr>
          <w:p w14:paraId="26EFD804"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Numărul scriptic al personalului la </w:t>
            </w:r>
          </w:p>
        </w:tc>
        <w:tc>
          <w:tcPr>
            <w:tcW w:w="1255" w:type="dxa"/>
            <w:vMerge w:val="restart"/>
            <w:hideMark/>
          </w:tcPr>
          <w:p w14:paraId="5A3EE2F9"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Posturi vacante</w:t>
            </w:r>
          </w:p>
          <w:p w14:paraId="39965C46"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 xml:space="preserve"> la 31.12.2020</w:t>
            </w:r>
          </w:p>
        </w:tc>
        <w:tc>
          <w:tcPr>
            <w:tcW w:w="1262" w:type="dxa"/>
            <w:vMerge w:val="restart"/>
          </w:tcPr>
          <w:p w14:paraId="585EBFE5"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Nr. scriptic al perso-nalului </w:t>
            </w:r>
            <w:r w:rsidRPr="0027343B">
              <w:rPr>
                <w:rFonts w:asciiTheme="majorHAnsi" w:hAnsiTheme="majorHAnsi" w:cstheme="majorHAnsi"/>
                <w:bCs w:val="0"/>
                <w:color w:val="000000"/>
                <w:sz w:val="20"/>
                <w:szCs w:val="20"/>
                <w:lang w:val="ro-MD"/>
              </w:rPr>
              <w:t>la 31.12.2021</w:t>
            </w:r>
          </w:p>
        </w:tc>
        <w:tc>
          <w:tcPr>
            <w:tcW w:w="736" w:type="dxa"/>
            <w:vMerge w:val="restart"/>
          </w:tcPr>
          <w:p w14:paraId="45F4A58F"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 xml:space="preserve">Funcții vacante </w:t>
            </w:r>
          </w:p>
          <w:p w14:paraId="558031F8" w14:textId="77777777" w:rsidR="007A64EA" w:rsidRPr="0027343B" w:rsidRDefault="007A64EA" w:rsidP="00FE616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27343B">
              <w:rPr>
                <w:rFonts w:asciiTheme="majorHAnsi" w:hAnsiTheme="majorHAnsi" w:cstheme="majorHAnsi"/>
                <w:color w:val="000000"/>
                <w:sz w:val="20"/>
                <w:szCs w:val="20"/>
                <w:lang w:val="ro-MD"/>
              </w:rPr>
              <w:t>la 31.12.2021</w:t>
            </w:r>
          </w:p>
        </w:tc>
      </w:tr>
      <w:tr w:rsidR="007A64EA" w:rsidRPr="0027343B" w14:paraId="52812FFE" w14:textId="77777777" w:rsidTr="00C2645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444" w:type="dxa"/>
            <w:vMerge/>
            <w:hideMark/>
          </w:tcPr>
          <w:p w14:paraId="3F1CA16D" w14:textId="77777777" w:rsidR="007A64EA" w:rsidRPr="0027343B" w:rsidRDefault="007A64EA" w:rsidP="00FE6161">
            <w:pPr>
              <w:rPr>
                <w:rFonts w:asciiTheme="majorHAnsi" w:hAnsiTheme="majorHAnsi" w:cstheme="majorHAnsi"/>
                <w:b w:val="0"/>
                <w:bCs w:val="0"/>
                <w:color w:val="000000"/>
                <w:sz w:val="20"/>
                <w:szCs w:val="20"/>
                <w:lang w:val="ro-MD"/>
              </w:rPr>
            </w:pPr>
          </w:p>
        </w:tc>
        <w:tc>
          <w:tcPr>
            <w:tcW w:w="987" w:type="dxa"/>
            <w:vMerge/>
            <w:hideMark/>
          </w:tcPr>
          <w:p w14:paraId="4869A518"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208" w:type="dxa"/>
            <w:hideMark/>
          </w:tcPr>
          <w:p w14:paraId="17EF6309"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01.01.2020</w:t>
            </w:r>
          </w:p>
        </w:tc>
        <w:tc>
          <w:tcPr>
            <w:tcW w:w="1322" w:type="dxa"/>
            <w:hideMark/>
          </w:tcPr>
          <w:p w14:paraId="55B7178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r w:rsidRPr="0027343B">
              <w:rPr>
                <w:rFonts w:asciiTheme="majorHAnsi" w:hAnsiTheme="majorHAnsi" w:cstheme="majorHAnsi"/>
                <w:b/>
                <w:bCs/>
                <w:color w:val="000000"/>
                <w:sz w:val="20"/>
                <w:szCs w:val="20"/>
                <w:lang w:val="ro-MD"/>
              </w:rPr>
              <w:t>31.12.2020</w:t>
            </w:r>
          </w:p>
        </w:tc>
        <w:tc>
          <w:tcPr>
            <w:tcW w:w="1255" w:type="dxa"/>
            <w:vMerge/>
            <w:hideMark/>
          </w:tcPr>
          <w:p w14:paraId="6C0E65EA"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1262" w:type="dxa"/>
            <w:vMerge/>
          </w:tcPr>
          <w:p w14:paraId="7F68B3F8"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c>
          <w:tcPr>
            <w:tcW w:w="736" w:type="dxa"/>
            <w:vMerge/>
          </w:tcPr>
          <w:p w14:paraId="6ECD3BEF" w14:textId="77777777" w:rsidR="007A64EA" w:rsidRPr="0027343B" w:rsidRDefault="007A64EA" w:rsidP="00FE616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MD"/>
              </w:rPr>
            </w:pPr>
          </w:p>
        </w:tc>
      </w:tr>
      <w:tr w:rsidR="007A64EA" w:rsidRPr="0027343B" w14:paraId="68308516" w14:textId="77777777" w:rsidTr="00C26454">
        <w:trPr>
          <w:trHeight w:val="137"/>
        </w:trPr>
        <w:tc>
          <w:tcPr>
            <w:cnfStyle w:val="001000000000" w:firstRow="0" w:lastRow="0" w:firstColumn="1" w:lastColumn="0" w:oddVBand="0" w:evenVBand="0" w:oddHBand="0" w:evenHBand="0" w:firstRowFirstColumn="0" w:firstRowLastColumn="0" w:lastRowFirstColumn="0" w:lastRowLastColumn="0"/>
            <w:tcW w:w="2444" w:type="dxa"/>
            <w:hideMark/>
          </w:tcPr>
          <w:p w14:paraId="411AF9F7" w14:textId="77777777" w:rsidR="007A64EA" w:rsidRPr="0027343B" w:rsidRDefault="007A64EA" w:rsidP="00FE6161">
            <w:pPr>
              <w:rPr>
                <w:rFonts w:asciiTheme="majorHAnsi" w:hAnsiTheme="majorHAnsi" w:cstheme="majorHAnsi"/>
                <w:b w:val="0"/>
                <w:bCs w:val="0"/>
                <w:color w:val="000000"/>
                <w:sz w:val="20"/>
                <w:szCs w:val="20"/>
                <w:lang w:val="ro-MD"/>
              </w:rPr>
            </w:pPr>
            <w:r w:rsidRPr="0027343B">
              <w:rPr>
                <w:rFonts w:asciiTheme="majorHAnsi" w:hAnsiTheme="majorHAnsi" w:cstheme="majorHAnsi"/>
                <w:color w:val="000000"/>
                <w:sz w:val="20"/>
                <w:szCs w:val="20"/>
                <w:lang w:val="ro-MD"/>
              </w:rPr>
              <w:t>Personal, total:</w:t>
            </w:r>
          </w:p>
        </w:tc>
        <w:tc>
          <w:tcPr>
            <w:tcW w:w="987" w:type="dxa"/>
          </w:tcPr>
          <w:p w14:paraId="42F458A4"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25</w:t>
            </w:r>
          </w:p>
        </w:tc>
        <w:tc>
          <w:tcPr>
            <w:tcW w:w="1208" w:type="dxa"/>
          </w:tcPr>
          <w:p w14:paraId="32F9523D"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19</w:t>
            </w:r>
          </w:p>
        </w:tc>
        <w:tc>
          <w:tcPr>
            <w:tcW w:w="1322" w:type="dxa"/>
          </w:tcPr>
          <w:p w14:paraId="21D4ACA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21</w:t>
            </w:r>
          </w:p>
        </w:tc>
        <w:tc>
          <w:tcPr>
            <w:tcW w:w="1255" w:type="dxa"/>
          </w:tcPr>
          <w:p w14:paraId="76F048D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4</w:t>
            </w:r>
          </w:p>
        </w:tc>
        <w:tc>
          <w:tcPr>
            <w:tcW w:w="1262" w:type="dxa"/>
          </w:tcPr>
          <w:p w14:paraId="7B289AC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21</w:t>
            </w:r>
          </w:p>
        </w:tc>
        <w:tc>
          <w:tcPr>
            <w:tcW w:w="736" w:type="dxa"/>
          </w:tcPr>
          <w:p w14:paraId="5FC6C99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7343B">
              <w:rPr>
                <w:rFonts w:asciiTheme="majorHAnsi" w:eastAsia="Times New Roman" w:hAnsiTheme="majorHAnsi" w:cstheme="majorHAnsi"/>
                <w:b/>
                <w:bCs/>
                <w:color w:val="000000"/>
                <w:sz w:val="20"/>
                <w:szCs w:val="20"/>
                <w:lang w:val="ro-MD"/>
              </w:rPr>
              <w:t>4</w:t>
            </w:r>
          </w:p>
        </w:tc>
      </w:tr>
      <w:tr w:rsidR="007A64EA" w:rsidRPr="0027343B" w14:paraId="2D4BE4D1" w14:textId="77777777" w:rsidTr="00C2645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444" w:type="dxa"/>
          </w:tcPr>
          <w:p w14:paraId="286E9807"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 xml:space="preserve">Director </w:t>
            </w:r>
          </w:p>
        </w:tc>
        <w:tc>
          <w:tcPr>
            <w:tcW w:w="987" w:type="dxa"/>
          </w:tcPr>
          <w:p w14:paraId="35CB01C3"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08" w:type="dxa"/>
          </w:tcPr>
          <w:p w14:paraId="480F58AD"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322" w:type="dxa"/>
          </w:tcPr>
          <w:p w14:paraId="0FC9BF97"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55" w:type="dxa"/>
          </w:tcPr>
          <w:p w14:paraId="49C7B60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0DA02BC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736" w:type="dxa"/>
          </w:tcPr>
          <w:p w14:paraId="54BB377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r w:rsidR="007A64EA" w:rsidRPr="0027343B" w14:paraId="302DFB72" w14:textId="77777777" w:rsidTr="00C26454">
        <w:trPr>
          <w:trHeight w:val="210"/>
        </w:trPr>
        <w:tc>
          <w:tcPr>
            <w:cnfStyle w:val="001000000000" w:firstRow="0" w:lastRow="0" w:firstColumn="1" w:lastColumn="0" w:oddVBand="0" w:evenVBand="0" w:oddHBand="0" w:evenHBand="0" w:firstRowFirstColumn="0" w:firstRowLastColumn="0" w:lastRowFirstColumn="0" w:lastRowLastColumn="0"/>
            <w:tcW w:w="2444" w:type="dxa"/>
          </w:tcPr>
          <w:p w14:paraId="5395E0D2" w14:textId="77777777"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Vicedirector</w:t>
            </w:r>
          </w:p>
        </w:tc>
        <w:tc>
          <w:tcPr>
            <w:tcW w:w="987" w:type="dxa"/>
          </w:tcPr>
          <w:p w14:paraId="37DEA94A"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08" w:type="dxa"/>
          </w:tcPr>
          <w:p w14:paraId="74113CEB"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322" w:type="dxa"/>
          </w:tcPr>
          <w:p w14:paraId="545AF6A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55" w:type="dxa"/>
          </w:tcPr>
          <w:p w14:paraId="40B6866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354E9CF8"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736" w:type="dxa"/>
          </w:tcPr>
          <w:p w14:paraId="23E8AC7D"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r w:rsidR="007A64EA" w:rsidRPr="0027343B" w14:paraId="3EA5C3B0" w14:textId="77777777" w:rsidTr="00C2645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44" w:type="dxa"/>
          </w:tcPr>
          <w:p w14:paraId="6F141B8E" w14:textId="21EA1582" w:rsidR="007A64EA" w:rsidRPr="0027343B" w:rsidRDefault="007A64EA" w:rsidP="00FE6161">
            <w:pPr>
              <w:ind w:left="159"/>
              <w:jc w:val="both"/>
              <w:rPr>
                <w:rFonts w:asciiTheme="majorHAnsi" w:hAnsiTheme="majorHAnsi" w:cstheme="majorHAnsi"/>
                <w:b w:val="0"/>
                <w:bCs w:val="0"/>
                <w:i/>
                <w:iCs/>
                <w:color w:val="000000"/>
                <w:sz w:val="20"/>
                <w:szCs w:val="20"/>
                <w:lang w:val="ro-MD"/>
              </w:rPr>
            </w:pPr>
            <w:r w:rsidRPr="0027343B">
              <w:rPr>
                <w:rFonts w:asciiTheme="majorHAnsi" w:hAnsiTheme="majorHAnsi" w:cstheme="majorHAnsi"/>
                <w:b w:val="0"/>
                <w:bCs w:val="0"/>
                <w:i/>
                <w:iCs/>
                <w:color w:val="000000"/>
                <w:sz w:val="20"/>
                <w:szCs w:val="20"/>
                <w:lang w:val="ro-MD"/>
              </w:rPr>
              <w:t>Secretar</w:t>
            </w:r>
            <w:r w:rsidR="000971CD">
              <w:rPr>
                <w:rFonts w:asciiTheme="majorHAnsi" w:hAnsiTheme="majorHAnsi" w:cstheme="majorHAnsi"/>
                <w:b w:val="0"/>
                <w:bCs w:val="0"/>
                <w:i/>
                <w:iCs/>
                <w:color w:val="000000"/>
                <w:sz w:val="20"/>
                <w:szCs w:val="20"/>
                <w:lang w:val="ro-MD"/>
              </w:rPr>
              <w:t xml:space="preserve"> </w:t>
            </w:r>
            <w:r w:rsidRPr="0027343B">
              <w:rPr>
                <w:rFonts w:asciiTheme="majorHAnsi" w:hAnsiTheme="majorHAnsi" w:cstheme="majorHAnsi"/>
                <w:b w:val="0"/>
                <w:bCs w:val="0"/>
                <w:i/>
                <w:iCs/>
                <w:color w:val="000000"/>
                <w:sz w:val="20"/>
                <w:szCs w:val="20"/>
                <w:lang w:val="ro-MD"/>
              </w:rPr>
              <w:t>asistent director</w:t>
            </w:r>
          </w:p>
        </w:tc>
        <w:tc>
          <w:tcPr>
            <w:tcW w:w="987" w:type="dxa"/>
          </w:tcPr>
          <w:p w14:paraId="7171F9F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08" w:type="dxa"/>
          </w:tcPr>
          <w:p w14:paraId="3C8E66F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322" w:type="dxa"/>
          </w:tcPr>
          <w:p w14:paraId="3E121363"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55" w:type="dxa"/>
          </w:tcPr>
          <w:p w14:paraId="567E9322"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50DF54D8"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736" w:type="dxa"/>
          </w:tcPr>
          <w:p w14:paraId="22C6C5FA"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r w:rsidR="007A64EA" w:rsidRPr="0027343B" w14:paraId="6CC47B7B" w14:textId="77777777" w:rsidTr="00C26454">
        <w:trPr>
          <w:trHeight w:val="195"/>
        </w:trPr>
        <w:tc>
          <w:tcPr>
            <w:cnfStyle w:val="001000000000" w:firstRow="0" w:lastRow="0" w:firstColumn="1" w:lastColumn="0" w:oddVBand="0" w:evenVBand="0" w:oddHBand="0" w:evenHBand="0" w:firstRowFirstColumn="0" w:firstRowLastColumn="0" w:lastRowFirstColumn="0" w:lastRowLastColumn="0"/>
            <w:tcW w:w="2444" w:type="dxa"/>
          </w:tcPr>
          <w:p w14:paraId="785115CB" w14:textId="77777777" w:rsidR="007A64EA" w:rsidRPr="0027343B" w:rsidRDefault="007A64EA" w:rsidP="00FE6161">
            <w:pPr>
              <w:jc w:val="both"/>
              <w:rPr>
                <w:rFonts w:asciiTheme="majorHAnsi" w:eastAsia="Times New Roman" w:hAnsiTheme="majorHAnsi" w:cstheme="majorHAnsi"/>
                <w:b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Sistemul de management</w:t>
            </w:r>
          </w:p>
        </w:tc>
        <w:tc>
          <w:tcPr>
            <w:tcW w:w="987" w:type="dxa"/>
          </w:tcPr>
          <w:p w14:paraId="59BE0B4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1208" w:type="dxa"/>
          </w:tcPr>
          <w:p w14:paraId="6AC45ADE"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322" w:type="dxa"/>
          </w:tcPr>
          <w:p w14:paraId="09DEE4F2"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55" w:type="dxa"/>
          </w:tcPr>
          <w:p w14:paraId="4701D9C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62" w:type="dxa"/>
          </w:tcPr>
          <w:p w14:paraId="2D0C742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736" w:type="dxa"/>
          </w:tcPr>
          <w:p w14:paraId="51D17D65"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r>
      <w:tr w:rsidR="007A64EA" w:rsidRPr="0027343B" w14:paraId="2CE921E0" w14:textId="77777777" w:rsidTr="00C2645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44" w:type="dxa"/>
          </w:tcPr>
          <w:p w14:paraId="48C21E2F" w14:textId="77777777" w:rsidR="007A64EA" w:rsidRPr="0027343B" w:rsidRDefault="007A64EA" w:rsidP="00FE6161">
            <w:pPr>
              <w:ind w:left="159"/>
              <w:rPr>
                <w:rFonts w:asciiTheme="majorHAnsi" w:hAnsiTheme="majorHAnsi" w:cstheme="majorHAnsi"/>
                <w:b w:val="0"/>
                <w:bCs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Direcția Acreditare Organisme de Certificare și Organisme de Inspecție</w:t>
            </w:r>
          </w:p>
        </w:tc>
        <w:tc>
          <w:tcPr>
            <w:tcW w:w="987" w:type="dxa"/>
          </w:tcPr>
          <w:p w14:paraId="5A0CDEB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1208" w:type="dxa"/>
          </w:tcPr>
          <w:p w14:paraId="3AC8228A"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4</w:t>
            </w:r>
          </w:p>
        </w:tc>
        <w:tc>
          <w:tcPr>
            <w:tcW w:w="1322" w:type="dxa"/>
          </w:tcPr>
          <w:p w14:paraId="2AE1D3BD"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4</w:t>
            </w:r>
          </w:p>
        </w:tc>
        <w:tc>
          <w:tcPr>
            <w:tcW w:w="1255" w:type="dxa"/>
          </w:tcPr>
          <w:p w14:paraId="3484B7B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62" w:type="dxa"/>
          </w:tcPr>
          <w:p w14:paraId="62883726"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3</w:t>
            </w:r>
          </w:p>
        </w:tc>
        <w:tc>
          <w:tcPr>
            <w:tcW w:w="736" w:type="dxa"/>
          </w:tcPr>
          <w:p w14:paraId="1EB8A6F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r>
      <w:tr w:rsidR="007A64EA" w:rsidRPr="0027343B" w14:paraId="1F0E4C4C" w14:textId="77777777" w:rsidTr="00C26454">
        <w:trPr>
          <w:trHeight w:val="195"/>
        </w:trPr>
        <w:tc>
          <w:tcPr>
            <w:cnfStyle w:val="001000000000" w:firstRow="0" w:lastRow="0" w:firstColumn="1" w:lastColumn="0" w:oddVBand="0" w:evenVBand="0" w:oddHBand="0" w:evenHBand="0" w:firstRowFirstColumn="0" w:firstRowLastColumn="0" w:lastRowFirstColumn="0" w:lastRowLastColumn="0"/>
            <w:tcW w:w="2444" w:type="dxa"/>
          </w:tcPr>
          <w:p w14:paraId="06C55C4E" w14:textId="77777777" w:rsidR="007A64EA" w:rsidRPr="0027343B" w:rsidRDefault="007A64EA" w:rsidP="00FE6161">
            <w:pPr>
              <w:jc w:val="both"/>
              <w:rPr>
                <w:rFonts w:asciiTheme="majorHAnsi" w:eastAsia="Times New Roman" w:hAnsiTheme="majorHAnsi" w:cstheme="majorHAnsi"/>
                <w:b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Direcția Acreditare Laboratoare</w:t>
            </w:r>
          </w:p>
        </w:tc>
        <w:tc>
          <w:tcPr>
            <w:tcW w:w="987" w:type="dxa"/>
          </w:tcPr>
          <w:p w14:paraId="5C72CC37"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7</w:t>
            </w:r>
          </w:p>
        </w:tc>
        <w:tc>
          <w:tcPr>
            <w:tcW w:w="1208" w:type="dxa"/>
          </w:tcPr>
          <w:p w14:paraId="3B11367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1322" w:type="dxa"/>
          </w:tcPr>
          <w:p w14:paraId="1E626C7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1255" w:type="dxa"/>
          </w:tcPr>
          <w:p w14:paraId="40E6C0EE"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1262" w:type="dxa"/>
          </w:tcPr>
          <w:p w14:paraId="6F8445C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6</w:t>
            </w:r>
          </w:p>
        </w:tc>
        <w:tc>
          <w:tcPr>
            <w:tcW w:w="736" w:type="dxa"/>
          </w:tcPr>
          <w:p w14:paraId="40768D0F"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r>
      <w:tr w:rsidR="007A64EA" w:rsidRPr="0027343B" w14:paraId="730F6B6A" w14:textId="77777777" w:rsidTr="00C2645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44" w:type="dxa"/>
          </w:tcPr>
          <w:p w14:paraId="0291BCE8" w14:textId="77777777" w:rsidR="007A64EA" w:rsidRPr="0027343B" w:rsidRDefault="007A64EA" w:rsidP="00FE6161">
            <w:pPr>
              <w:jc w:val="both"/>
              <w:rPr>
                <w:rFonts w:asciiTheme="majorHAnsi" w:eastAsia="Times New Roman" w:hAnsiTheme="majorHAnsi" w:cstheme="majorHAnsi"/>
                <w:b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Direcția Dezvoltarea Acreditării</w:t>
            </w:r>
          </w:p>
        </w:tc>
        <w:tc>
          <w:tcPr>
            <w:tcW w:w="987" w:type="dxa"/>
          </w:tcPr>
          <w:p w14:paraId="2C08B3B9"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1208" w:type="dxa"/>
          </w:tcPr>
          <w:p w14:paraId="64E396D3"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4</w:t>
            </w:r>
          </w:p>
        </w:tc>
        <w:tc>
          <w:tcPr>
            <w:tcW w:w="1322" w:type="dxa"/>
          </w:tcPr>
          <w:p w14:paraId="0A1E0C99"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1255" w:type="dxa"/>
          </w:tcPr>
          <w:p w14:paraId="3DD60B4B"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577C218C"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5</w:t>
            </w:r>
          </w:p>
        </w:tc>
        <w:tc>
          <w:tcPr>
            <w:tcW w:w="736" w:type="dxa"/>
          </w:tcPr>
          <w:p w14:paraId="501FE7E0"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r w:rsidR="007A64EA" w:rsidRPr="0027343B" w14:paraId="47542DF4" w14:textId="77777777" w:rsidTr="00C26454">
        <w:trPr>
          <w:trHeight w:val="195"/>
        </w:trPr>
        <w:tc>
          <w:tcPr>
            <w:cnfStyle w:val="001000000000" w:firstRow="0" w:lastRow="0" w:firstColumn="1" w:lastColumn="0" w:oddVBand="0" w:evenVBand="0" w:oddHBand="0" w:evenHBand="0" w:firstRowFirstColumn="0" w:firstRowLastColumn="0" w:lastRowFirstColumn="0" w:lastRowLastColumn="0"/>
            <w:tcW w:w="2444" w:type="dxa"/>
          </w:tcPr>
          <w:p w14:paraId="3198C90E" w14:textId="77777777" w:rsidR="007A64EA" w:rsidRPr="0027343B" w:rsidRDefault="007A64EA" w:rsidP="00FE6161">
            <w:pPr>
              <w:jc w:val="both"/>
              <w:rPr>
                <w:rFonts w:asciiTheme="majorHAnsi" w:eastAsia="Times New Roman" w:hAnsiTheme="majorHAnsi" w:cstheme="majorHAnsi"/>
                <w:b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Contabilitatea</w:t>
            </w:r>
          </w:p>
        </w:tc>
        <w:tc>
          <w:tcPr>
            <w:tcW w:w="987" w:type="dxa"/>
          </w:tcPr>
          <w:p w14:paraId="4D65E831"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1208" w:type="dxa"/>
          </w:tcPr>
          <w:p w14:paraId="59896BED"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1322" w:type="dxa"/>
          </w:tcPr>
          <w:p w14:paraId="07FE51EC"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1255" w:type="dxa"/>
          </w:tcPr>
          <w:p w14:paraId="429970A6"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138366B3"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2</w:t>
            </w:r>
          </w:p>
        </w:tc>
        <w:tc>
          <w:tcPr>
            <w:tcW w:w="736" w:type="dxa"/>
          </w:tcPr>
          <w:p w14:paraId="3307A510" w14:textId="77777777" w:rsidR="007A64EA" w:rsidRPr="0027343B" w:rsidRDefault="007A64EA" w:rsidP="00FE61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r w:rsidR="007A64EA" w:rsidRPr="0027343B" w14:paraId="0C5544F0" w14:textId="77777777" w:rsidTr="00C2645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44" w:type="dxa"/>
          </w:tcPr>
          <w:p w14:paraId="0373CD00" w14:textId="77777777" w:rsidR="007A64EA" w:rsidRPr="0027343B" w:rsidRDefault="007A64EA" w:rsidP="00FE6161">
            <w:pPr>
              <w:jc w:val="both"/>
              <w:rPr>
                <w:rFonts w:asciiTheme="majorHAnsi" w:eastAsia="Times New Roman" w:hAnsiTheme="majorHAnsi" w:cstheme="majorHAnsi"/>
                <w:b w:val="0"/>
                <w:i/>
                <w:iCs/>
                <w:color w:val="000000"/>
                <w:sz w:val="20"/>
                <w:szCs w:val="20"/>
                <w:lang w:val="ro-MD"/>
              </w:rPr>
            </w:pPr>
            <w:r w:rsidRPr="0027343B">
              <w:rPr>
                <w:rFonts w:asciiTheme="majorHAnsi" w:eastAsia="Times New Roman" w:hAnsiTheme="majorHAnsi" w:cstheme="majorHAnsi"/>
                <w:b w:val="0"/>
                <w:i/>
                <w:iCs/>
                <w:color w:val="000000"/>
                <w:sz w:val="20"/>
                <w:szCs w:val="20"/>
                <w:lang w:val="ro-MD"/>
              </w:rPr>
              <w:t>Personal auxiliar</w:t>
            </w:r>
          </w:p>
        </w:tc>
        <w:tc>
          <w:tcPr>
            <w:tcW w:w="987" w:type="dxa"/>
          </w:tcPr>
          <w:p w14:paraId="0C8C26E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08" w:type="dxa"/>
          </w:tcPr>
          <w:p w14:paraId="77BE5F8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322" w:type="dxa"/>
          </w:tcPr>
          <w:p w14:paraId="5D64EEC1"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1255" w:type="dxa"/>
          </w:tcPr>
          <w:p w14:paraId="04283B0F"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c>
          <w:tcPr>
            <w:tcW w:w="1262" w:type="dxa"/>
          </w:tcPr>
          <w:p w14:paraId="166E52DE"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1</w:t>
            </w:r>
          </w:p>
        </w:tc>
        <w:tc>
          <w:tcPr>
            <w:tcW w:w="736" w:type="dxa"/>
          </w:tcPr>
          <w:p w14:paraId="216DCCC4" w14:textId="77777777" w:rsidR="007A64EA" w:rsidRPr="0027343B" w:rsidRDefault="007A64EA" w:rsidP="00FE616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7343B">
              <w:rPr>
                <w:rFonts w:asciiTheme="majorHAnsi" w:eastAsia="Times New Roman" w:hAnsiTheme="majorHAnsi" w:cstheme="majorHAnsi"/>
                <w:color w:val="000000"/>
                <w:sz w:val="20"/>
                <w:szCs w:val="20"/>
                <w:lang w:val="ro-MD"/>
              </w:rPr>
              <w:t>0</w:t>
            </w:r>
          </w:p>
        </w:tc>
      </w:tr>
    </w:tbl>
    <w:p w14:paraId="3E425479" w14:textId="21761576" w:rsidR="007A64EA" w:rsidRPr="0027343B" w:rsidRDefault="007A64EA" w:rsidP="00FE6161">
      <w:pPr>
        <w:rPr>
          <w:rFonts w:asciiTheme="majorHAnsi" w:hAnsiTheme="majorHAnsi" w:cstheme="majorHAnsi"/>
          <w:sz w:val="20"/>
          <w:szCs w:val="20"/>
          <w:lang w:val="ro-MD"/>
        </w:rPr>
      </w:pPr>
      <w:r w:rsidRPr="00255E9C">
        <w:rPr>
          <w:rFonts w:asciiTheme="majorHAnsi" w:hAnsiTheme="majorHAnsi" w:cstheme="majorHAnsi"/>
          <w:b/>
          <w:i/>
          <w:sz w:val="20"/>
          <w:szCs w:val="20"/>
          <w:lang w:val="ro-MD"/>
        </w:rPr>
        <w:t>Surs</w:t>
      </w:r>
      <w:r w:rsidR="008E3B8F" w:rsidRPr="00255E9C">
        <w:rPr>
          <w:rFonts w:asciiTheme="majorHAnsi" w:hAnsiTheme="majorHAnsi" w:cstheme="majorHAnsi"/>
          <w:b/>
          <w:i/>
          <w:sz w:val="20"/>
          <w:szCs w:val="20"/>
          <w:lang w:val="ro-MD"/>
        </w:rPr>
        <w:t>ă</w:t>
      </w:r>
      <w:r w:rsidRPr="0027343B">
        <w:rPr>
          <w:rFonts w:asciiTheme="majorHAnsi" w:hAnsiTheme="majorHAnsi" w:cstheme="majorHAnsi"/>
          <w:i/>
          <w:sz w:val="20"/>
          <w:szCs w:val="20"/>
          <w:lang w:val="ro-MD"/>
        </w:rPr>
        <w:t>: Statele de personal; Date generale despre personal în an</w:t>
      </w:r>
      <w:r w:rsidR="008E3B8F">
        <w:rPr>
          <w:rFonts w:asciiTheme="majorHAnsi" w:hAnsiTheme="majorHAnsi" w:cstheme="majorHAnsi"/>
          <w:i/>
          <w:sz w:val="20"/>
          <w:szCs w:val="20"/>
          <w:lang w:val="ro-MD"/>
        </w:rPr>
        <w:t>ii</w:t>
      </w:r>
      <w:r w:rsidRPr="0027343B">
        <w:rPr>
          <w:rFonts w:asciiTheme="majorHAnsi" w:hAnsiTheme="majorHAnsi" w:cstheme="majorHAnsi"/>
          <w:i/>
          <w:sz w:val="20"/>
          <w:szCs w:val="20"/>
          <w:lang w:val="ro-MD"/>
        </w:rPr>
        <w:t xml:space="preserve"> 2020</w:t>
      </w:r>
      <w:r w:rsidR="008E3B8F">
        <w:rPr>
          <w:rFonts w:asciiTheme="majorHAnsi" w:hAnsiTheme="majorHAnsi" w:cstheme="majorHAnsi"/>
          <w:i/>
          <w:sz w:val="20"/>
          <w:szCs w:val="20"/>
          <w:lang w:val="ro-MD"/>
        </w:rPr>
        <w:t xml:space="preserve"> și</w:t>
      </w:r>
      <w:r w:rsidRPr="0027343B">
        <w:rPr>
          <w:rFonts w:asciiTheme="majorHAnsi" w:hAnsiTheme="majorHAnsi" w:cstheme="majorHAnsi"/>
          <w:i/>
          <w:sz w:val="20"/>
          <w:szCs w:val="20"/>
          <w:lang w:val="ro-MD"/>
        </w:rPr>
        <w:t xml:space="preserve"> 2021</w:t>
      </w:r>
      <w:r w:rsidR="008E3B8F">
        <w:rPr>
          <w:rFonts w:asciiTheme="majorHAnsi" w:hAnsiTheme="majorHAnsi" w:cstheme="majorHAnsi"/>
          <w:i/>
          <w:sz w:val="20"/>
          <w:szCs w:val="20"/>
          <w:lang w:val="ro-MD"/>
        </w:rPr>
        <w:t>,</w:t>
      </w:r>
      <w:r w:rsidRPr="0027343B">
        <w:rPr>
          <w:rFonts w:asciiTheme="majorHAnsi" w:hAnsiTheme="majorHAnsi" w:cstheme="majorHAnsi"/>
          <w:i/>
          <w:sz w:val="20"/>
          <w:szCs w:val="20"/>
          <w:lang w:val="ro-MD"/>
        </w:rPr>
        <w:t xml:space="preserve"> prezentate de MOLDAC</w:t>
      </w:r>
      <w:r w:rsidR="008E3B8F">
        <w:rPr>
          <w:rFonts w:asciiTheme="majorHAnsi" w:hAnsiTheme="majorHAnsi" w:cstheme="majorHAnsi"/>
          <w:i/>
          <w:sz w:val="20"/>
          <w:szCs w:val="20"/>
          <w:lang w:val="ro-MD"/>
        </w:rPr>
        <w:t>.</w:t>
      </w:r>
    </w:p>
    <w:tbl>
      <w:tblPr>
        <w:tblW w:w="5812" w:type="dxa"/>
        <w:tblLook w:val="04A0" w:firstRow="1" w:lastRow="0" w:firstColumn="1" w:lastColumn="0" w:noHBand="0" w:noVBand="1"/>
      </w:tblPr>
      <w:tblGrid>
        <w:gridCol w:w="1134"/>
        <w:gridCol w:w="1207"/>
        <w:gridCol w:w="1126"/>
        <w:gridCol w:w="1180"/>
        <w:gridCol w:w="1165"/>
      </w:tblGrid>
      <w:tr w:rsidR="00D20414" w:rsidRPr="00BB7D45" w14:paraId="512D7B78" w14:textId="77777777" w:rsidTr="00D20414">
        <w:trPr>
          <w:trHeight w:val="372"/>
        </w:trPr>
        <w:tc>
          <w:tcPr>
            <w:tcW w:w="1134" w:type="dxa"/>
            <w:tcBorders>
              <w:top w:val="nil"/>
              <w:left w:val="nil"/>
              <w:bottom w:val="nil"/>
              <w:right w:val="nil"/>
            </w:tcBorders>
            <w:shd w:val="clear" w:color="auto" w:fill="auto"/>
            <w:noWrap/>
            <w:vAlign w:val="bottom"/>
            <w:hideMark/>
          </w:tcPr>
          <w:p w14:paraId="2CF31024" w14:textId="77777777" w:rsidR="00D20414" w:rsidRPr="00BB7D45" w:rsidRDefault="00D20414" w:rsidP="00BB7D45">
            <w:pPr>
              <w:spacing w:after="0" w:line="240" w:lineRule="auto"/>
              <w:rPr>
                <w:rFonts w:ascii="Calibri Light" w:eastAsia="Times New Roman" w:hAnsi="Calibri Light" w:cs="Calibri Light"/>
                <w:b/>
                <w:bCs/>
                <w:color w:val="000000"/>
                <w:sz w:val="20"/>
                <w:szCs w:val="20"/>
              </w:rPr>
            </w:pPr>
          </w:p>
        </w:tc>
        <w:tc>
          <w:tcPr>
            <w:tcW w:w="1207" w:type="dxa"/>
            <w:tcBorders>
              <w:top w:val="nil"/>
              <w:left w:val="nil"/>
              <w:bottom w:val="nil"/>
              <w:right w:val="nil"/>
            </w:tcBorders>
            <w:shd w:val="clear" w:color="auto" w:fill="auto"/>
            <w:noWrap/>
            <w:vAlign w:val="bottom"/>
            <w:hideMark/>
          </w:tcPr>
          <w:p w14:paraId="03BF118B" w14:textId="77777777" w:rsidR="00D20414" w:rsidRPr="00BB7D45" w:rsidRDefault="00D20414" w:rsidP="00BB7D45">
            <w:pPr>
              <w:spacing w:after="0" w:line="240" w:lineRule="auto"/>
              <w:rPr>
                <w:rFonts w:ascii="Times New Roman" w:eastAsia="Times New Roman" w:hAnsi="Times New Roman" w:cs="Times New Roman"/>
                <w:sz w:val="20"/>
                <w:szCs w:val="20"/>
              </w:rPr>
            </w:pPr>
          </w:p>
        </w:tc>
        <w:tc>
          <w:tcPr>
            <w:tcW w:w="1126" w:type="dxa"/>
            <w:tcBorders>
              <w:top w:val="nil"/>
              <w:left w:val="nil"/>
              <w:bottom w:val="nil"/>
              <w:right w:val="nil"/>
            </w:tcBorders>
            <w:shd w:val="clear" w:color="auto" w:fill="auto"/>
            <w:noWrap/>
            <w:vAlign w:val="bottom"/>
            <w:hideMark/>
          </w:tcPr>
          <w:p w14:paraId="5410BA84" w14:textId="77777777" w:rsidR="00D20414" w:rsidRPr="00BB7D45" w:rsidRDefault="00D20414" w:rsidP="00BB7D45">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20D03C90" w14:textId="77777777" w:rsidR="00D20414" w:rsidRPr="00BB7D45" w:rsidRDefault="00D20414" w:rsidP="00BB7D45">
            <w:pPr>
              <w:spacing w:after="0" w:line="240" w:lineRule="auto"/>
              <w:rPr>
                <w:rFonts w:ascii="Times New Roman" w:eastAsia="Times New Roman" w:hAnsi="Times New Roman" w:cs="Times New Roman"/>
                <w:sz w:val="20"/>
                <w:szCs w:val="20"/>
              </w:rPr>
            </w:pPr>
          </w:p>
        </w:tc>
        <w:tc>
          <w:tcPr>
            <w:tcW w:w="1165" w:type="dxa"/>
            <w:tcBorders>
              <w:top w:val="nil"/>
              <w:left w:val="nil"/>
              <w:bottom w:val="nil"/>
              <w:right w:val="nil"/>
            </w:tcBorders>
            <w:shd w:val="clear" w:color="auto" w:fill="auto"/>
            <w:noWrap/>
            <w:vAlign w:val="bottom"/>
            <w:hideMark/>
          </w:tcPr>
          <w:p w14:paraId="6FB01549" w14:textId="77777777" w:rsidR="00D20414" w:rsidRPr="00BB7D45" w:rsidRDefault="00D20414" w:rsidP="00BB7D45">
            <w:pPr>
              <w:spacing w:after="0" w:line="240" w:lineRule="auto"/>
              <w:rPr>
                <w:rFonts w:ascii="Times New Roman" w:eastAsia="Times New Roman" w:hAnsi="Times New Roman" w:cs="Times New Roman"/>
                <w:sz w:val="20"/>
                <w:szCs w:val="20"/>
              </w:rPr>
            </w:pPr>
          </w:p>
        </w:tc>
      </w:tr>
    </w:tbl>
    <w:p w14:paraId="62B67B09" w14:textId="4A220750" w:rsidR="00D20414" w:rsidRPr="00045553" w:rsidRDefault="00D20414" w:rsidP="00D20414">
      <w:pPr>
        <w:jc w:val="center"/>
        <w:rPr>
          <w:rFonts w:ascii="Calibri Light" w:hAnsi="Calibri Light" w:cs="Calibri Light"/>
          <w:b/>
          <w:bCs/>
          <w:color w:val="000000"/>
          <w:sz w:val="24"/>
          <w:szCs w:val="24"/>
        </w:rPr>
      </w:pPr>
      <w:r w:rsidRPr="00045553">
        <w:rPr>
          <w:rFonts w:ascii="Calibri Light" w:hAnsi="Calibri Light" w:cs="Calibri Light"/>
          <w:b/>
          <w:bCs/>
          <w:color w:val="000000"/>
          <w:sz w:val="24"/>
          <w:szCs w:val="24"/>
        </w:rPr>
        <w:t>Efectivul-limită al INM pe anii  2020-2021</w:t>
      </w:r>
    </w:p>
    <w:tbl>
      <w:tblPr>
        <w:tblStyle w:val="PlainTable2"/>
        <w:tblW w:w="8931" w:type="dxa"/>
        <w:tblLook w:val="04A0" w:firstRow="1" w:lastRow="0" w:firstColumn="1" w:lastColumn="0" w:noHBand="0" w:noVBand="1"/>
      </w:tblPr>
      <w:tblGrid>
        <w:gridCol w:w="1843"/>
        <w:gridCol w:w="1276"/>
        <w:gridCol w:w="1134"/>
        <w:gridCol w:w="1207"/>
        <w:gridCol w:w="1126"/>
        <w:gridCol w:w="1180"/>
        <w:gridCol w:w="1165"/>
      </w:tblGrid>
      <w:tr w:rsidR="00BB7D45" w:rsidRPr="00BB7D45" w14:paraId="7121FA99" w14:textId="77777777" w:rsidTr="00C26454">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843" w:type="dxa"/>
            <w:hideMark/>
          </w:tcPr>
          <w:p w14:paraId="58E67E70" w14:textId="77777777" w:rsidR="00BB7D45" w:rsidRPr="00255E9C" w:rsidRDefault="00BB7D45" w:rsidP="00BB7D45">
            <w:pPr>
              <w:jc w:val="center"/>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 </w:t>
            </w:r>
          </w:p>
        </w:tc>
        <w:tc>
          <w:tcPr>
            <w:tcW w:w="1276" w:type="dxa"/>
            <w:vMerge w:val="restart"/>
            <w:hideMark/>
          </w:tcPr>
          <w:p w14:paraId="1D8D7258" w14:textId="77777777" w:rsidR="00BB7D45" w:rsidRPr="00255E9C" w:rsidRDefault="00BB7D45" w:rsidP="00BB7D4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Aprobat, unități</w:t>
            </w:r>
          </w:p>
        </w:tc>
        <w:tc>
          <w:tcPr>
            <w:tcW w:w="2341" w:type="dxa"/>
            <w:gridSpan w:val="2"/>
            <w:hideMark/>
          </w:tcPr>
          <w:p w14:paraId="566863C6" w14:textId="77777777" w:rsidR="00BB7D45" w:rsidRPr="00255E9C" w:rsidRDefault="00BB7D45" w:rsidP="00BB7D4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 xml:space="preserve">Numărul scriptic al personalului la </w:t>
            </w:r>
          </w:p>
        </w:tc>
        <w:tc>
          <w:tcPr>
            <w:tcW w:w="1126" w:type="dxa"/>
            <w:hideMark/>
          </w:tcPr>
          <w:p w14:paraId="7DC8798B" w14:textId="77777777" w:rsidR="00BB7D45" w:rsidRPr="00255E9C" w:rsidRDefault="00BB7D45" w:rsidP="00BB7D4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Posturi vacante</w:t>
            </w:r>
          </w:p>
        </w:tc>
        <w:tc>
          <w:tcPr>
            <w:tcW w:w="1180" w:type="dxa"/>
            <w:vMerge w:val="restart"/>
            <w:hideMark/>
          </w:tcPr>
          <w:p w14:paraId="0EEBC8CD" w14:textId="77777777" w:rsidR="00BB7D45" w:rsidRPr="00255E9C" w:rsidRDefault="00BB7D45" w:rsidP="00BB7D4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Nr. scriptic al perso-nalului la 31.12.2021</w:t>
            </w:r>
          </w:p>
        </w:tc>
        <w:tc>
          <w:tcPr>
            <w:tcW w:w="1165" w:type="dxa"/>
            <w:hideMark/>
          </w:tcPr>
          <w:p w14:paraId="06832B54" w14:textId="77777777" w:rsidR="00BB7D45" w:rsidRPr="00255E9C" w:rsidRDefault="00BB7D45" w:rsidP="00BB7D45">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 xml:space="preserve">Funcții vacante </w:t>
            </w:r>
          </w:p>
        </w:tc>
      </w:tr>
      <w:tr w:rsidR="00BB7D45" w:rsidRPr="00BB7D45" w14:paraId="0A0F4B3F" w14:textId="77777777" w:rsidTr="00C2645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43" w:type="dxa"/>
            <w:hideMark/>
          </w:tcPr>
          <w:p w14:paraId="3F97AB8E" w14:textId="77777777" w:rsidR="00BB7D45" w:rsidRPr="00255E9C" w:rsidRDefault="00BB7D45" w:rsidP="00BB7D45">
            <w:pPr>
              <w:jc w:val="center"/>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INDICI</w:t>
            </w:r>
          </w:p>
        </w:tc>
        <w:tc>
          <w:tcPr>
            <w:tcW w:w="1276" w:type="dxa"/>
            <w:vMerge/>
            <w:hideMark/>
          </w:tcPr>
          <w:p w14:paraId="389D36AF" w14:textId="77777777" w:rsidR="00BB7D45" w:rsidRPr="00BB7D45" w:rsidRDefault="00BB7D45" w:rsidP="00BB7D45">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c>
          <w:tcPr>
            <w:tcW w:w="1134" w:type="dxa"/>
            <w:hideMark/>
          </w:tcPr>
          <w:p w14:paraId="0247B816"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01.01.2020</w:t>
            </w:r>
          </w:p>
        </w:tc>
        <w:tc>
          <w:tcPr>
            <w:tcW w:w="1207" w:type="dxa"/>
            <w:hideMark/>
          </w:tcPr>
          <w:p w14:paraId="146DD5AC"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31.12.2020</w:t>
            </w:r>
          </w:p>
        </w:tc>
        <w:tc>
          <w:tcPr>
            <w:tcW w:w="1126" w:type="dxa"/>
            <w:hideMark/>
          </w:tcPr>
          <w:p w14:paraId="54AAEB5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 xml:space="preserve"> la 31.12.2020</w:t>
            </w:r>
          </w:p>
        </w:tc>
        <w:tc>
          <w:tcPr>
            <w:tcW w:w="1180" w:type="dxa"/>
            <w:vMerge/>
            <w:hideMark/>
          </w:tcPr>
          <w:p w14:paraId="3C147BB8" w14:textId="77777777" w:rsidR="00BB7D45" w:rsidRPr="00BB7D45" w:rsidRDefault="00BB7D45" w:rsidP="00BB7D45">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c>
          <w:tcPr>
            <w:tcW w:w="1165" w:type="dxa"/>
            <w:hideMark/>
          </w:tcPr>
          <w:p w14:paraId="78DB245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la 31.12.2021</w:t>
            </w:r>
          </w:p>
        </w:tc>
      </w:tr>
      <w:tr w:rsidR="00BB7D45" w:rsidRPr="00BB7D45" w14:paraId="0A07C21F" w14:textId="77777777" w:rsidTr="00C26454">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07C677BF" w14:textId="77777777" w:rsidR="00BB7D45" w:rsidRPr="00255E9C" w:rsidRDefault="00BB7D45" w:rsidP="00BB7D45">
            <w:pPr>
              <w:rPr>
                <w:rFonts w:ascii="Calibri Light" w:eastAsia="Times New Roman" w:hAnsi="Calibri Light" w:cs="Calibri Light"/>
                <w:bCs w:val="0"/>
                <w:color w:val="000000"/>
                <w:sz w:val="20"/>
                <w:szCs w:val="20"/>
              </w:rPr>
            </w:pPr>
            <w:r w:rsidRPr="008E3B8F">
              <w:rPr>
                <w:rFonts w:ascii="Calibri Light" w:eastAsia="Times New Roman" w:hAnsi="Calibri Light" w:cs="Calibri Light"/>
                <w:color w:val="000000"/>
                <w:sz w:val="20"/>
                <w:szCs w:val="20"/>
              </w:rPr>
              <w:t>Personal, total:</w:t>
            </w:r>
          </w:p>
        </w:tc>
        <w:tc>
          <w:tcPr>
            <w:tcW w:w="1276" w:type="dxa"/>
            <w:hideMark/>
          </w:tcPr>
          <w:p w14:paraId="63EC954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59</w:t>
            </w:r>
          </w:p>
        </w:tc>
        <w:tc>
          <w:tcPr>
            <w:tcW w:w="1134" w:type="dxa"/>
            <w:hideMark/>
          </w:tcPr>
          <w:p w14:paraId="0627BC2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59</w:t>
            </w:r>
          </w:p>
        </w:tc>
        <w:tc>
          <w:tcPr>
            <w:tcW w:w="1207" w:type="dxa"/>
            <w:hideMark/>
          </w:tcPr>
          <w:p w14:paraId="3D6A0B9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56</w:t>
            </w:r>
          </w:p>
        </w:tc>
        <w:tc>
          <w:tcPr>
            <w:tcW w:w="1126" w:type="dxa"/>
            <w:hideMark/>
          </w:tcPr>
          <w:p w14:paraId="284AACFE"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0</w:t>
            </w:r>
          </w:p>
        </w:tc>
        <w:tc>
          <w:tcPr>
            <w:tcW w:w="1180" w:type="dxa"/>
            <w:hideMark/>
          </w:tcPr>
          <w:p w14:paraId="53DB54A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53</w:t>
            </w:r>
          </w:p>
        </w:tc>
        <w:tc>
          <w:tcPr>
            <w:tcW w:w="1165" w:type="dxa"/>
            <w:hideMark/>
          </w:tcPr>
          <w:p w14:paraId="204B765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BB7D45">
              <w:rPr>
                <w:rFonts w:ascii="Calibri Light" w:eastAsia="Times New Roman" w:hAnsi="Calibri Light" w:cs="Calibri Light"/>
                <w:b/>
                <w:bCs/>
                <w:color w:val="000000"/>
                <w:sz w:val="20"/>
                <w:szCs w:val="20"/>
              </w:rPr>
              <w:t>6</w:t>
            </w:r>
          </w:p>
        </w:tc>
      </w:tr>
      <w:tr w:rsidR="00BB7D45" w:rsidRPr="00BB7D45" w14:paraId="3209B14D" w14:textId="77777777" w:rsidTr="00C2645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66AEE2EC" w14:textId="6B7421A8"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Aparat</w:t>
            </w:r>
            <w:r w:rsidR="00236026">
              <w:rPr>
                <w:rFonts w:ascii="Calibri Light" w:eastAsia="Times New Roman" w:hAnsi="Calibri Light" w:cs="Calibri Light"/>
                <w:i/>
                <w:iCs/>
                <w:color w:val="000000"/>
                <w:sz w:val="20"/>
                <w:szCs w:val="20"/>
              </w:rPr>
              <w:t>ul</w:t>
            </w:r>
            <w:r w:rsidRPr="00BB7D45">
              <w:rPr>
                <w:rFonts w:ascii="Calibri Light" w:eastAsia="Times New Roman" w:hAnsi="Calibri Light" w:cs="Calibri Light"/>
                <w:i/>
                <w:iCs/>
                <w:color w:val="000000"/>
                <w:sz w:val="20"/>
                <w:szCs w:val="20"/>
              </w:rPr>
              <w:t xml:space="preserve"> de conducere </w:t>
            </w:r>
          </w:p>
        </w:tc>
        <w:tc>
          <w:tcPr>
            <w:tcW w:w="1276" w:type="dxa"/>
            <w:hideMark/>
          </w:tcPr>
          <w:p w14:paraId="5E445265"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134" w:type="dxa"/>
            <w:hideMark/>
          </w:tcPr>
          <w:p w14:paraId="7E19E4A6"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207" w:type="dxa"/>
            <w:hideMark/>
          </w:tcPr>
          <w:p w14:paraId="4265AD17"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126" w:type="dxa"/>
            <w:hideMark/>
          </w:tcPr>
          <w:p w14:paraId="51AE1DB3"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1FB64DC5"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2FD24E1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5A4D05D9" w14:textId="77777777" w:rsidTr="00C26454">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38E3A99F"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Direcția Metrologia Legală</w:t>
            </w:r>
          </w:p>
        </w:tc>
        <w:tc>
          <w:tcPr>
            <w:tcW w:w="1276" w:type="dxa"/>
            <w:hideMark/>
          </w:tcPr>
          <w:p w14:paraId="10EEF9A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3AEC3AAF"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13941C33"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340A9516"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15064E8D"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2E003DBB"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089356D6" w14:textId="77777777" w:rsidTr="00C2645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57E64AA5"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Secția Documente Normative</w:t>
            </w:r>
          </w:p>
        </w:tc>
        <w:tc>
          <w:tcPr>
            <w:tcW w:w="1276" w:type="dxa"/>
            <w:hideMark/>
          </w:tcPr>
          <w:p w14:paraId="38CA7C9A"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4B1ADF8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60FF52F4"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3E1E4AF5"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2B2E7D8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3193A7A6"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27A22563" w14:textId="77777777" w:rsidTr="00C26454">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177706D1"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Secția Metrologia Interdisciplinară</w:t>
            </w:r>
          </w:p>
        </w:tc>
        <w:tc>
          <w:tcPr>
            <w:tcW w:w="1276" w:type="dxa"/>
            <w:hideMark/>
          </w:tcPr>
          <w:p w14:paraId="4C4D46CF"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4BA2469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2B7B156E"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2BF1D921"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78239B5B"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090BE02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76C690BF" w14:textId="77777777" w:rsidTr="00C2645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43" w:type="dxa"/>
            <w:hideMark/>
          </w:tcPr>
          <w:p w14:paraId="128100D0" w14:textId="6D36BF1C" w:rsidR="00BB7D45" w:rsidRPr="00BB7D45" w:rsidRDefault="00BB7D45" w:rsidP="00255E9C">
            <w:pPr>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Secția Aprobări de Model a</w:t>
            </w:r>
            <w:r w:rsidR="00236026">
              <w:rPr>
                <w:rFonts w:ascii="Calibri Light" w:eastAsia="Times New Roman" w:hAnsi="Calibri Light" w:cs="Calibri Light"/>
                <w:i/>
                <w:iCs/>
                <w:color w:val="000000"/>
                <w:sz w:val="20"/>
                <w:szCs w:val="20"/>
              </w:rPr>
              <w:t xml:space="preserve">le </w:t>
            </w:r>
            <w:r w:rsidRPr="00BB7D45">
              <w:rPr>
                <w:rFonts w:ascii="Calibri Light" w:eastAsia="Times New Roman" w:hAnsi="Calibri Light" w:cs="Calibri Light"/>
                <w:i/>
                <w:iCs/>
                <w:color w:val="000000"/>
                <w:sz w:val="20"/>
                <w:szCs w:val="20"/>
              </w:rPr>
              <w:t xml:space="preserve"> Mijloacelor de Măsurare</w:t>
            </w:r>
          </w:p>
        </w:tc>
        <w:tc>
          <w:tcPr>
            <w:tcW w:w="1276" w:type="dxa"/>
            <w:hideMark/>
          </w:tcPr>
          <w:p w14:paraId="7A08E7BA"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42AEC54E"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45D4093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72717E0E"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06FDD673"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5318BAE4"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4D7AA309" w14:textId="77777777" w:rsidTr="00C26454">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3AABDA03"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Direcția Metrologia Aplicată</w:t>
            </w:r>
          </w:p>
        </w:tc>
        <w:tc>
          <w:tcPr>
            <w:tcW w:w="1276" w:type="dxa"/>
            <w:hideMark/>
          </w:tcPr>
          <w:p w14:paraId="6DD76AD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7C2AE4CA"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1498113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28D86FBA"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1242EDC4"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2CA83EB6"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629F0DFE" w14:textId="77777777" w:rsidTr="00C2645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74CD5EB7"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Laborator Radiații Ionizate</w:t>
            </w:r>
          </w:p>
        </w:tc>
        <w:tc>
          <w:tcPr>
            <w:tcW w:w="1276" w:type="dxa"/>
            <w:hideMark/>
          </w:tcPr>
          <w:p w14:paraId="05B7998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6F88A9A0"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68E04F1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00462768"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1E62674C"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40219006"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32D21CCA" w14:textId="77777777" w:rsidTr="00C26454">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14:paraId="0AE8C4FC"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Laborator Mase și Mărimi Derivate</w:t>
            </w:r>
          </w:p>
        </w:tc>
        <w:tc>
          <w:tcPr>
            <w:tcW w:w="1276" w:type="dxa"/>
            <w:hideMark/>
          </w:tcPr>
          <w:p w14:paraId="1ED9A6C1"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7</w:t>
            </w:r>
          </w:p>
        </w:tc>
        <w:tc>
          <w:tcPr>
            <w:tcW w:w="1134" w:type="dxa"/>
            <w:hideMark/>
          </w:tcPr>
          <w:p w14:paraId="1EDEFE3A"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7</w:t>
            </w:r>
          </w:p>
        </w:tc>
        <w:tc>
          <w:tcPr>
            <w:tcW w:w="1207" w:type="dxa"/>
            <w:hideMark/>
          </w:tcPr>
          <w:p w14:paraId="6BCBAED1"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7</w:t>
            </w:r>
          </w:p>
        </w:tc>
        <w:tc>
          <w:tcPr>
            <w:tcW w:w="1126" w:type="dxa"/>
            <w:hideMark/>
          </w:tcPr>
          <w:p w14:paraId="7FFE672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5DC864A3"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7</w:t>
            </w:r>
          </w:p>
        </w:tc>
        <w:tc>
          <w:tcPr>
            <w:tcW w:w="1165" w:type="dxa"/>
            <w:hideMark/>
          </w:tcPr>
          <w:p w14:paraId="6BC9ABD6"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0C315EAB" w14:textId="77777777" w:rsidTr="00C2645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14:paraId="41A74886" w14:textId="6BC8A710"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 xml:space="preserve">Laborator Mărimi Electromagnetice, </w:t>
            </w:r>
            <w:r w:rsidR="00DC277E">
              <w:rPr>
                <w:rFonts w:ascii="Calibri Light" w:eastAsia="Times New Roman" w:hAnsi="Calibri Light" w:cs="Calibri Light"/>
                <w:i/>
                <w:iCs/>
                <w:color w:val="000000"/>
                <w:sz w:val="20"/>
                <w:szCs w:val="20"/>
              </w:rPr>
              <w:t>F</w:t>
            </w:r>
            <w:r w:rsidRPr="00BB7D45">
              <w:rPr>
                <w:rFonts w:ascii="Calibri Light" w:eastAsia="Times New Roman" w:hAnsi="Calibri Light" w:cs="Calibri Light"/>
                <w:i/>
                <w:iCs/>
                <w:color w:val="000000"/>
                <w:sz w:val="20"/>
                <w:szCs w:val="20"/>
              </w:rPr>
              <w:t>re</w:t>
            </w:r>
            <w:r w:rsidR="00236026">
              <w:rPr>
                <w:rFonts w:ascii="Calibri Light" w:eastAsia="Times New Roman" w:hAnsi="Calibri Light" w:cs="Calibri Light"/>
                <w:i/>
                <w:iCs/>
                <w:color w:val="000000"/>
                <w:sz w:val="20"/>
                <w:szCs w:val="20"/>
              </w:rPr>
              <w:t>c</w:t>
            </w:r>
            <w:r w:rsidRPr="00BB7D45">
              <w:rPr>
                <w:rFonts w:ascii="Calibri Light" w:eastAsia="Times New Roman" w:hAnsi="Calibri Light" w:cs="Calibri Light"/>
                <w:i/>
                <w:iCs/>
                <w:color w:val="000000"/>
                <w:sz w:val="20"/>
                <w:szCs w:val="20"/>
              </w:rPr>
              <w:t xml:space="preserve">vență și </w:t>
            </w:r>
            <w:r w:rsidR="00DC277E">
              <w:rPr>
                <w:rFonts w:ascii="Calibri Light" w:eastAsia="Times New Roman" w:hAnsi="Calibri Light" w:cs="Calibri Light"/>
                <w:i/>
                <w:iCs/>
                <w:color w:val="000000"/>
                <w:sz w:val="20"/>
                <w:szCs w:val="20"/>
              </w:rPr>
              <w:t>T</w:t>
            </w:r>
            <w:r w:rsidRPr="00BB7D45">
              <w:rPr>
                <w:rFonts w:ascii="Calibri Light" w:eastAsia="Times New Roman" w:hAnsi="Calibri Light" w:cs="Calibri Light"/>
                <w:i/>
                <w:iCs/>
                <w:color w:val="000000"/>
                <w:sz w:val="20"/>
                <w:szCs w:val="20"/>
              </w:rPr>
              <w:t>imp</w:t>
            </w:r>
          </w:p>
        </w:tc>
        <w:tc>
          <w:tcPr>
            <w:tcW w:w="1276" w:type="dxa"/>
            <w:hideMark/>
          </w:tcPr>
          <w:p w14:paraId="49962009"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134" w:type="dxa"/>
            <w:hideMark/>
          </w:tcPr>
          <w:p w14:paraId="1F57CD9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207" w:type="dxa"/>
            <w:hideMark/>
          </w:tcPr>
          <w:p w14:paraId="0675F46B"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126" w:type="dxa"/>
            <w:hideMark/>
          </w:tcPr>
          <w:p w14:paraId="762E5DF2"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6BD70C24"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165" w:type="dxa"/>
            <w:hideMark/>
          </w:tcPr>
          <w:p w14:paraId="33F9AB67"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3420F398" w14:textId="77777777" w:rsidTr="00C26454">
        <w:trPr>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14:paraId="5D098E33" w14:textId="14498785"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 xml:space="preserve">Laborator Mărimi </w:t>
            </w:r>
            <w:r w:rsidR="00DC277E">
              <w:rPr>
                <w:rFonts w:ascii="Calibri Light" w:eastAsia="Times New Roman" w:hAnsi="Calibri Light" w:cs="Calibri Light"/>
                <w:i/>
                <w:iCs/>
                <w:color w:val="000000"/>
                <w:sz w:val="20"/>
                <w:szCs w:val="20"/>
              </w:rPr>
              <w:t>T</w:t>
            </w:r>
            <w:r w:rsidRPr="00BB7D45">
              <w:rPr>
                <w:rFonts w:ascii="Calibri Light" w:eastAsia="Times New Roman" w:hAnsi="Calibri Light" w:cs="Calibri Light"/>
                <w:i/>
                <w:iCs/>
                <w:color w:val="000000"/>
                <w:sz w:val="20"/>
                <w:szCs w:val="20"/>
              </w:rPr>
              <w:t>ermice și Um</w:t>
            </w:r>
            <w:r w:rsidR="00DC277E">
              <w:rPr>
                <w:rFonts w:ascii="Calibri Light" w:eastAsia="Times New Roman" w:hAnsi="Calibri Light" w:cs="Calibri Light"/>
                <w:i/>
                <w:iCs/>
                <w:color w:val="000000"/>
                <w:sz w:val="20"/>
                <w:szCs w:val="20"/>
              </w:rPr>
              <w:t>i</w:t>
            </w:r>
            <w:r w:rsidRPr="00BB7D45">
              <w:rPr>
                <w:rFonts w:ascii="Calibri Light" w:eastAsia="Times New Roman" w:hAnsi="Calibri Light" w:cs="Calibri Light"/>
                <w:i/>
                <w:iCs/>
                <w:color w:val="000000"/>
                <w:sz w:val="20"/>
                <w:szCs w:val="20"/>
              </w:rPr>
              <w:t>ditate</w:t>
            </w:r>
          </w:p>
        </w:tc>
        <w:tc>
          <w:tcPr>
            <w:tcW w:w="1276" w:type="dxa"/>
            <w:hideMark/>
          </w:tcPr>
          <w:p w14:paraId="52A130B0"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134" w:type="dxa"/>
            <w:hideMark/>
          </w:tcPr>
          <w:p w14:paraId="0CD5BAF0"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207" w:type="dxa"/>
            <w:hideMark/>
          </w:tcPr>
          <w:p w14:paraId="7E714B5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126" w:type="dxa"/>
            <w:hideMark/>
          </w:tcPr>
          <w:p w14:paraId="5B647E15"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3945C31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165" w:type="dxa"/>
            <w:hideMark/>
          </w:tcPr>
          <w:p w14:paraId="4459626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7DED53D6" w14:textId="77777777" w:rsidTr="00C2645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14:paraId="6F2DD074"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Laborator Mărimi Dimensionale</w:t>
            </w:r>
          </w:p>
        </w:tc>
        <w:tc>
          <w:tcPr>
            <w:tcW w:w="1276" w:type="dxa"/>
            <w:hideMark/>
          </w:tcPr>
          <w:p w14:paraId="4BA2E1DC"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134" w:type="dxa"/>
            <w:hideMark/>
          </w:tcPr>
          <w:p w14:paraId="42BF882B"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5</w:t>
            </w:r>
          </w:p>
        </w:tc>
        <w:tc>
          <w:tcPr>
            <w:tcW w:w="1207" w:type="dxa"/>
            <w:hideMark/>
          </w:tcPr>
          <w:p w14:paraId="48D7ABE4"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4</w:t>
            </w:r>
          </w:p>
        </w:tc>
        <w:tc>
          <w:tcPr>
            <w:tcW w:w="1126" w:type="dxa"/>
            <w:hideMark/>
          </w:tcPr>
          <w:p w14:paraId="14EA349B"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77F0CB90"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65" w:type="dxa"/>
            <w:hideMark/>
          </w:tcPr>
          <w:p w14:paraId="6BBE486C"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0CBE98A6" w14:textId="77777777" w:rsidTr="00C26454">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14:paraId="14B63BA5"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Laborator Debite și Volum</w:t>
            </w:r>
          </w:p>
        </w:tc>
        <w:tc>
          <w:tcPr>
            <w:tcW w:w="1276" w:type="dxa"/>
            <w:hideMark/>
          </w:tcPr>
          <w:p w14:paraId="2E1AE90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34" w:type="dxa"/>
            <w:hideMark/>
          </w:tcPr>
          <w:p w14:paraId="5969B0D1"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207" w:type="dxa"/>
            <w:hideMark/>
          </w:tcPr>
          <w:p w14:paraId="46B11984"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26" w:type="dxa"/>
            <w:hideMark/>
          </w:tcPr>
          <w:p w14:paraId="132CC3C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375EA50C"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65" w:type="dxa"/>
            <w:hideMark/>
          </w:tcPr>
          <w:p w14:paraId="44EE8058"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07F6D3BB" w14:textId="77777777" w:rsidTr="00C2645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14:paraId="06F2C245"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Laborator Mărimi Fizico-Chimice</w:t>
            </w:r>
          </w:p>
        </w:tc>
        <w:tc>
          <w:tcPr>
            <w:tcW w:w="1276" w:type="dxa"/>
            <w:hideMark/>
          </w:tcPr>
          <w:p w14:paraId="2A1379C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4832ACCA"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5B1BACC1"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4FBF4D1E"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78FE4C0A"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4EB81B29"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153C977D" w14:textId="77777777" w:rsidTr="00C26454">
        <w:trPr>
          <w:trHeight w:val="312"/>
        </w:trPr>
        <w:tc>
          <w:tcPr>
            <w:cnfStyle w:val="001000000000" w:firstRow="0" w:lastRow="0" w:firstColumn="1" w:lastColumn="0" w:oddVBand="0" w:evenVBand="0" w:oddHBand="0" w:evenHBand="0" w:firstRowFirstColumn="0" w:firstRowLastColumn="0" w:lastRowFirstColumn="0" w:lastRowLastColumn="0"/>
            <w:tcW w:w="1843" w:type="dxa"/>
            <w:hideMark/>
          </w:tcPr>
          <w:p w14:paraId="23256CA0"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Direcția Administrativă</w:t>
            </w:r>
          </w:p>
        </w:tc>
        <w:tc>
          <w:tcPr>
            <w:tcW w:w="1276" w:type="dxa"/>
            <w:hideMark/>
          </w:tcPr>
          <w:p w14:paraId="6DC4F8BC"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11</w:t>
            </w:r>
          </w:p>
        </w:tc>
        <w:tc>
          <w:tcPr>
            <w:tcW w:w="1134" w:type="dxa"/>
            <w:hideMark/>
          </w:tcPr>
          <w:p w14:paraId="3887307E"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11</w:t>
            </w:r>
          </w:p>
        </w:tc>
        <w:tc>
          <w:tcPr>
            <w:tcW w:w="1207" w:type="dxa"/>
            <w:hideMark/>
          </w:tcPr>
          <w:p w14:paraId="355C36B4"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10</w:t>
            </w:r>
          </w:p>
        </w:tc>
        <w:tc>
          <w:tcPr>
            <w:tcW w:w="1126" w:type="dxa"/>
            <w:hideMark/>
          </w:tcPr>
          <w:p w14:paraId="2DAB6491"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233DEBF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10</w:t>
            </w:r>
          </w:p>
        </w:tc>
        <w:tc>
          <w:tcPr>
            <w:tcW w:w="1165" w:type="dxa"/>
            <w:hideMark/>
          </w:tcPr>
          <w:p w14:paraId="19921BAE"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r w:rsidR="00BB7D45" w:rsidRPr="00BB7D45" w14:paraId="0A56F343" w14:textId="77777777" w:rsidTr="00C2645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3" w:type="dxa"/>
            <w:hideMark/>
          </w:tcPr>
          <w:p w14:paraId="508C4F81"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Secția Juridică, Resurse Umane și Cancelarie</w:t>
            </w:r>
          </w:p>
        </w:tc>
        <w:tc>
          <w:tcPr>
            <w:tcW w:w="1276" w:type="dxa"/>
            <w:hideMark/>
          </w:tcPr>
          <w:p w14:paraId="31D2F170"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34" w:type="dxa"/>
            <w:hideMark/>
          </w:tcPr>
          <w:p w14:paraId="04852CE8"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207" w:type="dxa"/>
            <w:hideMark/>
          </w:tcPr>
          <w:p w14:paraId="0418843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26" w:type="dxa"/>
            <w:hideMark/>
          </w:tcPr>
          <w:p w14:paraId="3B960EB3"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06BEAA25"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3</w:t>
            </w:r>
          </w:p>
        </w:tc>
        <w:tc>
          <w:tcPr>
            <w:tcW w:w="1165" w:type="dxa"/>
            <w:hideMark/>
          </w:tcPr>
          <w:p w14:paraId="5B91FAFF" w14:textId="77777777" w:rsidR="00BB7D45" w:rsidRPr="00BB7D45" w:rsidRDefault="00BB7D45" w:rsidP="00BB7D45">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1</w:t>
            </w:r>
          </w:p>
        </w:tc>
      </w:tr>
      <w:tr w:rsidR="00BB7D45" w:rsidRPr="00BB7D45" w14:paraId="11794155" w14:textId="77777777" w:rsidTr="00C26454">
        <w:trPr>
          <w:trHeight w:val="324"/>
        </w:trPr>
        <w:tc>
          <w:tcPr>
            <w:cnfStyle w:val="001000000000" w:firstRow="0" w:lastRow="0" w:firstColumn="1" w:lastColumn="0" w:oddVBand="0" w:evenVBand="0" w:oddHBand="0" w:evenHBand="0" w:firstRowFirstColumn="0" w:firstRowLastColumn="0" w:lastRowFirstColumn="0" w:lastRowLastColumn="0"/>
            <w:tcW w:w="1843" w:type="dxa"/>
            <w:hideMark/>
          </w:tcPr>
          <w:p w14:paraId="44BF1706" w14:textId="77777777" w:rsidR="00BB7D45" w:rsidRPr="00BB7D45" w:rsidRDefault="00BB7D45" w:rsidP="00BB7D45">
            <w:pPr>
              <w:jc w:val="both"/>
              <w:rPr>
                <w:rFonts w:ascii="Calibri Light" w:eastAsia="Times New Roman" w:hAnsi="Calibri Light" w:cs="Calibri Light"/>
                <w:i/>
                <w:iCs/>
                <w:color w:val="000000"/>
                <w:sz w:val="20"/>
                <w:szCs w:val="20"/>
              </w:rPr>
            </w:pPr>
            <w:r w:rsidRPr="00BB7D45">
              <w:rPr>
                <w:rFonts w:ascii="Calibri Light" w:eastAsia="Times New Roman" w:hAnsi="Calibri Light" w:cs="Calibri Light"/>
                <w:i/>
                <w:iCs/>
                <w:color w:val="000000"/>
                <w:sz w:val="20"/>
                <w:szCs w:val="20"/>
              </w:rPr>
              <w:t>Serviciul IT și relații externe</w:t>
            </w:r>
          </w:p>
        </w:tc>
        <w:tc>
          <w:tcPr>
            <w:tcW w:w="1276" w:type="dxa"/>
            <w:hideMark/>
          </w:tcPr>
          <w:p w14:paraId="71E3182B"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34" w:type="dxa"/>
            <w:hideMark/>
          </w:tcPr>
          <w:p w14:paraId="30232567"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207" w:type="dxa"/>
            <w:hideMark/>
          </w:tcPr>
          <w:p w14:paraId="4F5EBCF4"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26" w:type="dxa"/>
            <w:hideMark/>
          </w:tcPr>
          <w:p w14:paraId="0083C2FF"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c>
          <w:tcPr>
            <w:tcW w:w="1180" w:type="dxa"/>
            <w:hideMark/>
          </w:tcPr>
          <w:p w14:paraId="59DC68C2"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2</w:t>
            </w:r>
          </w:p>
        </w:tc>
        <w:tc>
          <w:tcPr>
            <w:tcW w:w="1165" w:type="dxa"/>
            <w:hideMark/>
          </w:tcPr>
          <w:p w14:paraId="77ABB630" w14:textId="77777777" w:rsidR="00BB7D45" w:rsidRPr="00BB7D45" w:rsidRDefault="00BB7D45" w:rsidP="00BB7D45">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BB7D45">
              <w:rPr>
                <w:rFonts w:ascii="Calibri Light" w:eastAsia="Times New Roman" w:hAnsi="Calibri Light" w:cs="Calibri Light"/>
                <w:color w:val="000000"/>
                <w:sz w:val="20"/>
                <w:szCs w:val="20"/>
              </w:rPr>
              <w:t>0</w:t>
            </w:r>
          </w:p>
        </w:tc>
      </w:tr>
    </w:tbl>
    <w:p w14:paraId="194903A4" w14:textId="1D14B20E" w:rsidR="002B54A9" w:rsidRPr="002B54A9" w:rsidRDefault="002B54A9" w:rsidP="002B54A9">
      <w:pPr>
        <w:spacing w:after="0" w:line="240" w:lineRule="auto"/>
        <w:rPr>
          <w:rFonts w:ascii="Calibri Light" w:eastAsia="Times New Roman" w:hAnsi="Calibri Light" w:cs="Calibri Light"/>
          <w:i/>
          <w:iCs/>
          <w:color w:val="000000"/>
          <w:sz w:val="18"/>
          <w:szCs w:val="18"/>
        </w:rPr>
      </w:pPr>
      <w:r w:rsidRPr="00255E9C">
        <w:rPr>
          <w:rFonts w:ascii="Calibri Light" w:eastAsia="Times New Roman" w:hAnsi="Calibri Light" w:cs="Calibri Light"/>
          <w:b/>
          <w:i/>
          <w:iCs/>
          <w:color w:val="000000"/>
          <w:sz w:val="18"/>
          <w:szCs w:val="18"/>
        </w:rPr>
        <w:t>Surs</w:t>
      </w:r>
      <w:r w:rsidR="008E3B8F" w:rsidRPr="00255E9C">
        <w:rPr>
          <w:rFonts w:ascii="Calibri Light" w:eastAsia="Times New Roman" w:hAnsi="Calibri Light" w:cs="Calibri Light"/>
          <w:b/>
          <w:i/>
          <w:iCs/>
          <w:color w:val="000000"/>
          <w:sz w:val="18"/>
          <w:szCs w:val="18"/>
        </w:rPr>
        <w:t>ă</w:t>
      </w:r>
      <w:r w:rsidRPr="002B54A9">
        <w:rPr>
          <w:rFonts w:ascii="Calibri Light" w:eastAsia="Times New Roman" w:hAnsi="Calibri Light" w:cs="Calibri Light"/>
          <w:i/>
          <w:iCs/>
          <w:color w:val="000000"/>
          <w:sz w:val="18"/>
          <w:szCs w:val="18"/>
        </w:rPr>
        <w:t>: Statele de personal; Date generale despre personal în an</w:t>
      </w:r>
      <w:r w:rsidR="008E3B8F">
        <w:rPr>
          <w:rFonts w:ascii="Calibri Light" w:eastAsia="Times New Roman" w:hAnsi="Calibri Light" w:cs="Calibri Light"/>
          <w:i/>
          <w:iCs/>
          <w:color w:val="000000"/>
          <w:sz w:val="18"/>
          <w:szCs w:val="18"/>
        </w:rPr>
        <w:t>ii</w:t>
      </w:r>
      <w:r w:rsidRPr="002B54A9">
        <w:rPr>
          <w:rFonts w:ascii="Calibri Light" w:eastAsia="Times New Roman" w:hAnsi="Calibri Light" w:cs="Calibri Light"/>
          <w:i/>
          <w:iCs/>
          <w:color w:val="000000"/>
          <w:sz w:val="18"/>
          <w:szCs w:val="18"/>
        </w:rPr>
        <w:t xml:space="preserve"> 2020</w:t>
      </w:r>
      <w:r w:rsidR="008E3B8F">
        <w:rPr>
          <w:rFonts w:ascii="Calibri Light" w:eastAsia="Times New Roman" w:hAnsi="Calibri Light" w:cs="Calibri Light"/>
          <w:i/>
          <w:iCs/>
          <w:color w:val="000000"/>
          <w:sz w:val="18"/>
          <w:szCs w:val="18"/>
        </w:rPr>
        <w:t xml:space="preserve"> și</w:t>
      </w:r>
      <w:r w:rsidRPr="002B54A9">
        <w:rPr>
          <w:rFonts w:ascii="Calibri Light" w:eastAsia="Times New Roman" w:hAnsi="Calibri Light" w:cs="Calibri Light"/>
          <w:i/>
          <w:iCs/>
          <w:color w:val="000000"/>
          <w:sz w:val="18"/>
          <w:szCs w:val="18"/>
        </w:rPr>
        <w:t xml:space="preserve"> 2021</w:t>
      </w:r>
      <w:r w:rsidR="008E3B8F">
        <w:rPr>
          <w:rFonts w:ascii="Calibri Light" w:eastAsia="Times New Roman" w:hAnsi="Calibri Light" w:cs="Calibri Light"/>
          <w:i/>
          <w:iCs/>
          <w:color w:val="000000"/>
          <w:sz w:val="18"/>
          <w:szCs w:val="18"/>
        </w:rPr>
        <w:t>,</w:t>
      </w:r>
      <w:r w:rsidRPr="002B54A9">
        <w:rPr>
          <w:rFonts w:ascii="Calibri Light" w:eastAsia="Times New Roman" w:hAnsi="Calibri Light" w:cs="Calibri Light"/>
          <w:i/>
          <w:iCs/>
          <w:color w:val="000000"/>
          <w:sz w:val="18"/>
          <w:szCs w:val="18"/>
        </w:rPr>
        <w:t xml:space="preserve"> prezentate de INM</w:t>
      </w:r>
      <w:r w:rsidR="008E3B8F">
        <w:rPr>
          <w:rFonts w:ascii="Calibri Light" w:eastAsia="Times New Roman" w:hAnsi="Calibri Light" w:cs="Calibri Light"/>
          <w:i/>
          <w:iCs/>
          <w:color w:val="000000"/>
          <w:sz w:val="18"/>
          <w:szCs w:val="18"/>
        </w:rPr>
        <w:t>.</w:t>
      </w:r>
    </w:p>
    <w:p w14:paraId="1DEA3CFE" w14:textId="757587D8" w:rsidR="00CA6BDE" w:rsidRPr="00BB7D45" w:rsidRDefault="00CA6BDE" w:rsidP="00FC2698">
      <w:pPr>
        <w:tabs>
          <w:tab w:val="left" w:pos="910"/>
        </w:tabs>
        <w:rPr>
          <w:rFonts w:asciiTheme="majorHAnsi" w:hAnsiTheme="majorHAnsi" w:cstheme="majorHAnsi"/>
          <w:color w:val="FF0000"/>
          <w:sz w:val="20"/>
          <w:szCs w:val="20"/>
          <w:lang w:eastAsia="ro-MD"/>
        </w:rPr>
      </w:pPr>
    </w:p>
    <w:p w14:paraId="756B796A" w14:textId="77777777" w:rsidR="000802DA" w:rsidRPr="00255E9C" w:rsidRDefault="000802DA" w:rsidP="000802DA">
      <w:pPr>
        <w:pStyle w:val="NormalWeb"/>
        <w:ind w:firstLine="709"/>
        <w:rPr>
          <w:rFonts w:asciiTheme="majorHAnsi" w:hAnsiTheme="majorHAnsi" w:cstheme="majorHAnsi"/>
          <w:b/>
          <w:lang w:val="ro-RO"/>
        </w:rPr>
      </w:pPr>
      <w:r w:rsidRPr="00255E9C">
        <w:rPr>
          <w:rFonts w:asciiTheme="majorHAnsi" w:hAnsiTheme="majorHAnsi" w:cstheme="majorHAnsi"/>
          <w:b/>
          <w:lang w:val="ro-RO"/>
        </w:rPr>
        <w:t xml:space="preserve">Cadrul de reglementare </w:t>
      </w:r>
    </w:p>
    <w:p w14:paraId="371DDB15" w14:textId="77777777" w:rsidR="000802DA" w:rsidRPr="0027343B" w:rsidRDefault="000802DA" w:rsidP="00C26454">
      <w:pPr>
        <w:spacing w:after="0" w:line="276" w:lineRule="auto"/>
        <w:jc w:val="both"/>
        <w:rPr>
          <w:rFonts w:asciiTheme="majorHAnsi" w:eastAsia="Times New Roman" w:hAnsiTheme="majorHAnsi" w:cstheme="majorHAnsi"/>
          <w:iCs/>
          <w:sz w:val="20"/>
          <w:szCs w:val="20"/>
          <w:lang w:val="ro-MD" w:eastAsia="ro-MD"/>
        </w:rPr>
      </w:pPr>
      <w:r w:rsidRPr="0027343B">
        <w:rPr>
          <w:rFonts w:asciiTheme="majorHAnsi" w:eastAsia="Times New Roman" w:hAnsiTheme="majorHAnsi" w:cstheme="majorHAnsi"/>
          <w:iCs/>
          <w:sz w:val="20"/>
          <w:szCs w:val="20"/>
          <w:lang w:val="ro-MD" w:eastAsia="ro-MD"/>
        </w:rPr>
        <w:t xml:space="preserve">Bazele juridice, organizatorice și </w:t>
      </w:r>
      <w:r w:rsidRPr="0027343B">
        <w:rPr>
          <w:rFonts w:asciiTheme="majorHAnsi" w:eastAsia="Times New Roman" w:hAnsiTheme="majorHAnsi" w:cstheme="majorHAnsi"/>
          <w:iCs/>
          <w:sz w:val="20"/>
          <w:szCs w:val="20"/>
          <w:lang w:val="ro-RO" w:eastAsia="ro-MD"/>
        </w:rPr>
        <w:t xml:space="preserve">financiare de constituire și utilizare a </w:t>
      </w:r>
      <w:r w:rsidRPr="0027343B">
        <w:rPr>
          <w:rFonts w:asciiTheme="majorHAnsi" w:eastAsia="Times New Roman" w:hAnsiTheme="majorHAnsi" w:cstheme="majorHAnsi"/>
          <w:iCs/>
          <w:sz w:val="20"/>
          <w:szCs w:val="20"/>
          <w:lang w:val="ro-MD" w:eastAsia="ro-MD"/>
        </w:rPr>
        <w:t xml:space="preserve"> resurselor financiare publice, în perioada auditată, au fost reglementate de:</w:t>
      </w:r>
    </w:p>
    <w:tbl>
      <w:tblPr>
        <w:tblStyle w:val="PlainTable2"/>
        <w:tblW w:w="0" w:type="auto"/>
        <w:tblLook w:val="04A0" w:firstRow="1" w:lastRow="0" w:firstColumn="1" w:lastColumn="0" w:noHBand="0" w:noVBand="1"/>
      </w:tblPr>
      <w:tblGrid>
        <w:gridCol w:w="9344"/>
      </w:tblGrid>
      <w:tr w:rsidR="000802DA" w:rsidRPr="0027343B" w14:paraId="05AEE5DB" w14:textId="77777777" w:rsidTr="00C2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F6A8CF9" w14:textId="77777777" w:rsidR="000802DA" w:rsidRPr="0027343B" w:rsidRDefault="000802DA" w:rsidP="007E002D">
            <w:pPr>
              <w:pStyle w:val="ListParagraph"/>
              <w:numPr>
                <w:ilvl w:val="0"/>
                <w:numId w:val="20"/>
              </w:numPr>
              <w:rPr>
                <w:rFonts w:asciiTheme="majorHAnsi" w:eastAsia="Times New Roman" w:hAnsiTheme="majorHAnsi" w:cstheme="majorHAnsi"/>
                <w:iCs/>
                <w:sz w:val="20"/>
                <w:szCs w:val="20"/>
                <w:lang w:val="ro-MD" w:eastAsia="ro-MD"/>
              </w:rPr>
            </w:pPr>
            <w:r w:rsidRPr="0027343B">
              <w:rPr>
                <w:rFonts w:asciiTheme="majorHAnsi" w:eastAsia="Times New Roman" w:hAnsiTheme="majorHAnsi" w:cstheme="majorHAnsi"/>
                <w:iCs/>
                <w:sz w:val="20"/>
                <w:szCs w:val="20"/>
                <w:lang w:val="ro-MD" w:eastAsia="ro-MD"/>
              </w:rPr>
              <w:t>LEGISLAȚIA PRIMARĂ:</w:t>
            </w:r>
          </w:p>
        </w:tc>
      </w:tr>
      <w:tr w:rsidR="000802DA" w:rsidRPr="0027343B" w14:paraId="2D817FE4"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21B4BB48" w14:textId="0A868DD5" w:rsidR="000802DA" w:rsidRPr="0027343B" w:rsidRDefault="000802DA" w:rsidP="000802DA">
            <w:pPr>
              <w:jc w:val="both"/>
              <w:rPr>
                <w:rFonts w:asciiTheme="majorHAnsi" w:hAnsiTheme="majorHAnsi" w:cstheme="majorHAnsi"/>
                <w:b w:val="0"/>
                <w:sz w:val="20"/>
                <w:szCs w:val="20"/>
                <w:lang w:val="ro-MD"/>
              </w:rPr>
            </w:pPr>
            <w:r w:rsidRPr="0027343B">
              <w:rPr>
                <w:rFonts w:asciiTheme="majorHAnsi" w:hAnsiTheme="majorHAnsi" w:cstheme="majorHAnsi"/>
                <w:b w:val="0"/>
                <w:color w:val="000000"/>
                <w:sz w:val="20"/>
                <w:szCs w:val="20"/>
                <w:shd w:val="clear" w:color="auto" w:fill="FFFFFF"/>
                <w:lang w:val="ro-MD"/>
              </w:rPr>
              <w:t>Legea</w:t>
            </w:r>
            <w:r w:rsidRPr="0027343B">
              <w:rPr>
                <w:rFonts w:asciiTheme="majorHAnsi" w:hAnsiTheme="majorHAnsi" w:cstheme="majorHAnsi"/>
                <w:b w:val="0"/>
                <w:sz w:val="20"/>
                <w:szCs w:val="20"/>
                <w:lang w:val="ro-MD"/>
              </w:rPr>
              <w:t xml:space="preserve"> privind activitățile de acreditare și de evaluare a conformității nr. 235  din  01.12.2011; </w:t>
            </w:r>
          </w:p>
        </w:tc>
      </w:tr>
      <w:tr w:rsidR="000802DA" w:rsidRPr="0027343B" w14:paraId="0934BFF9"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5C141349" w14:textId="1AFCAB74" w:rsidR="000802DA" w:rsidRPr="0027343B" w:rsidRDefault="000802DA" w:rsidP="000802DA">
            <w:pPr>
              <w:jc w:val="both"/>
              <w:rPr>
                <w:rFonts w:asciiTheme="majorHAnsi" w:hAnsiTheme="majorHAnsi" w:cstheme="majorHAnsi"/>
                <w:b w:val="0"/>
                <w:sz w:val="20"/>
                <w:szCs w:val="20"/>
                <w:lang w:val="ro-MD"/>
              </w:rPr>
            </w:pPr>
            <w:r w:rsidRPr="0027343B">
              <w:rPr>
                <w:rFonts w:asciiTheme="majorHAnsi" w:hAnsiTheme="majorHAnsi" w:cstheme="majorHAnsi"/>
                <w:b w:val="0"/>
                <w:color w:val="333333"/>
                <w:sz w:val="20"/>
                <w:szCs w:val="20"/>
                <w:shd w:val="clear" w:color="auto" w:fill="FFFFFF"/>
                <w:lang w:val="ro-MD"/>
              </w:rPr>
              <w:t xml:space="preserve">Legea nr. 590-XIII din 22 septembrie 1995 cu privire la standardizare; </w:t>
            </w:r>
          </w:p>
        </w:tc>
      </w:tr>
      <w:tr w:rsidR="000802DA" w:rsidRPr="0027343B" w14:paraId="166B62CA"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7B56EE0" w14:textId="06D413E5" w:rsidR="000802DA" w:rsidRPr="0027343B" w:rsidRDefault="000802DA" w:rsidP="000802DA">
            <w:pPr>
              <w:jc w:val="both"/>
              <w:rPr>
                <w:rFonts w:asciiTheme="majorHAnsi" w:hAnsiTheme="majorHAnsi" w:cstheme="majorHAnsi"/>
                <w:b w:val="0"/>
                <w:sz w:val="20"/>
                <w:szCs w:val="20"/>
                <w:lang w:val="ro-MD"/>
              </w:rPr>
            </w:pPr>
            <w:r w:rsidRPr="0027343B">
              <w:rPr>
                <w:rFonts w:asciiTheme="majorHAnsi" w:hAnsiTheme="majorHAnsi" w:cstheme="majorHAnsi"/>
                <w:b w:val="0"/>
                <w:color w:val="333333"/>
                <w:sz w:val="20"/>
                <w:szCs w:val="20"/>
                <w:shd w:val="clear" w:color="auto" w:fill="FFFFFF"/>
                <w:lang w:val="ro-MD"/>
              </w:rPr>
              <w:t xml:space="preserve">Legea </w:t>
            </w:r>
            <w:r w:rsidRPr="0027343B">
              <w:rPr>
                <w:rFonts w:asciiTheme="majorHAnsi" w:eastAsia="Times New Roman" w:hAnsiTheme="majorHAnsi" w:cstheme="majorHAnsi"/>
                <w:b w:val="0"/>
                <w:sz w:val="20"/>
                <w:szCs w:val="20"/>
                <w:lang w:val="ro-MD"/>
              </w:rPr>
              <w:t>nr. 20  din  04.03.2016 cu privire la standardizarea națională;</w:t>
            </w:r>
          </w:p>
        </w:tc>
      </w:tr>
      <w:tr w:rsidR="000802DA" w:rsidRPr="0027343B" w14:paraId="17AD785A"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23D0ADEF" w14:textId="16AF1C15" w:rsidR="000802DA" w:rsidRPr="001C1A69" w:rsidRDefault="000802DA" w:rsidP="000802DA">
            <w:pPr>
              <w:jc w:val="both"/>
              <w:rPr>
                <w:rFonts w:asciiTheme="majorHAnsi" w:hAnsiTheme="majorHAnsi" w:cstheme="majorHAnsi"/>
                <w:b w:val="0"/>
                <w:sz w:val="20"/>
                <w:szCs w:val="20"/>
                <w:lang w:val="ro-MD"/>
              </w:rPr>
            </w:pPr>
            <w:r w:rsidRPr="00B52EC6">
              <w:rPr>
                <w:rFonts w:asciiTheme="majorHAnsi" w:hAnsiTheme="majorHAnsi" w:cstheme="majorHAnsi"/>
                <w:b w:val="0"/>
                <w:color w:val="333333"/>
                <w:sz w:val="20"/>
                <w:szCs w:val="20"/>
                <w:shd w:val="clear" w:color="auto" w:fill="FFFFFF"/>
                <w:lang w:val="ro-MD"/>
              </w:rPr>
              <w:t xml:space="preserve">Legea metrologiei </w:t>
            </w:r>
            <w:r w:rsidRPr="001C1A69">
              <w:rPr>
                <w:rFonts w:asciiTheme="majorHAnsi" w:eastAsia="Times New Roman" w:hAnsiTheme="majorHAnsi" w:cstheme="majorHAnsi"/>
                <w:b w:val="0"/>
                <w:sz w:val="20"/>
                <w:szCs w:val="20"/>
                <w:lang w:val="ro-MD"/>
              </w:rPr>
              <w:t xml:space="preserve">nr. 19  din  04.03.2016; </w:t>
            </w:r>
          </w:p>
        </w:tc>
      </w:tr>
      <w:tr w:rsidR="000802DA" w:rsidRPr="0027343B" w14:paraId="0992F9DD"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74EED5F4" w14:textId="44FB10F0" w:rsidR="000802DA" w:rsidRPr="001C1A69" w:rsidRDefault="000802DA" w:rsidP="000802DA">
            <w:pPr>
              <w:jc w:val="both"/>
              <w:rPr>
                <w:rFonts w:asciiTheme="majorHAnsi" w:hAnsiTheme="majorHAnsi" w:cstheme="majorHAnsi"/>
                <w:b w:val="0"/>
                <w:sz w:val="20"/>
                <w:szCs w:val="20"/>
                <w:lang w:val="ro-MD"/>
              </w:rPr>
            </w:pPr>
            <w:r w:rsidRPr="00B52EC6">
              <w:rPr>
                <w:rFonts w:asciiTheme="majorHAnsi" w:hAnsiTheme="majorHAnsi" w:cstheme="majorHAnsi"/>
                <w:b w:val="0"/>
                <w:color w:val="333333"/>
                <w:sz w:val="20"/>
                <w:szCs w:val="20"/>
                <w:shd w:val="clear" w:color="auto" w:fill="FFFFFF"/>
                <w:lang w:val="ro-MD"/>
              </w:rPr>
              <w:t xml:space="preserve">Legea </w:t>
            </w:r>
            <w:r w:rsidRPr="001C1A69">
              <w:rPr>
                <w:rFonts w:asciiTheme="majorHAnsi" w:eastAsia="Times New Roman" w:hAnsiTheme="majorHAnsi" w:cstheme="majorHAnsi"/>
                <w:b w:val="0"/>
                <w:sz w:val="20"/>
                <w:szCs w:val="20"/>
                <w:lang w:val="ro-MD"/>
              </w:rPr>
              <w:t xml:space="preserve">nr. 7  din  26.02.2016 privind supravegherea pieței </w:t>
            </w:r>
            <w:r w:rsidRPr="00C13D7F">
              <w:rPr>
                <w:rFonts w:asciiTheme="majorHAnsi" w:eastAsia="Times New Roman" w:hAnsiTheme="majorHAnsi" w:cstheme="majorHAnsi"/>
                <w:sz w:val="20"/>
                <w:szCs w:val="20"/>
                <w:lang w:val="ro-MD"/>
              </w:rPr>
              <w:t>în ceea ce privește</w:t>
            </w:r>
            <w:r w:rsidRPr="00B52EC6">
              <w:rPr>
                <w:rFonts w:asciiTheme="majorHAnsi" w:eastAsia="Times New Roman" w:hAnsiTheme="majorHAnsi" w:cstheme="majorHAnsi"/>
                <w:b w:val="0"/>
                <w:sz w:val="20"/>
                <w:szCs w:val="20"/>
                <w:lang w:val="ro-MD"/>
              </w:rPr>
              <w:t xml:space="preserve"> comercializarea produselor nealimentare; </w:t>
            </w:r>
          </w:p>
        </w:tc>
      </w:tr>
      <w:tr w:rsidR="000802DA" w:rsidRPr="0027343B" w14:paraId="165CE983"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66884F73" w14:textId="2EEA7947" w:rsidR="000802DA" w:rsidRPr="0027343B" w:rsidRDefault="000802DA" w:rsidP="000802DA">
            <w:pPr>
              <w:jc w:val="both"/>
              <w:rPr>
                <w:rFonts w:asciiTheme="majorHAnsi" w:hAnsiTheme="majorHAnsi" w:cstheme="majorHAnsi"/>
                <w:b w:val="0"/>
                <w:sz w:val="20"/>
                <w:szCs w:val="20"/>
                <w:lang w:val="ro-MD"/>
              </w:rPr>
            </w:pPr>
            <w:r w:rsidRPr="0027343B">
              <w:rPr>
                <w:rFonts w:asciiTheme="majorHAnsi" w:eastAsia="Times New Roman" w:hAnsiTheme="majorHAnsi" w:cstheme="majorHAnsi"/>
                <w:b w:val="0"/>
                <w:sz w:val="20"/>
                <w:szCs w:val="20"/>
                <w:lang w:val="ro-MD"/>
              </w:rPr>
              <w:t>Legea privind protecția consumatorului nr.105-XV din 13.03.2003;</w:t>
            </w:r>
          </w:p>
        </w:tc>
      </w:tr>
      <w:tr w:rsidR="000802DA" w:rsidRPr="0027343B" w14:paraId="436C4CEE"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5770E4D" w14:textId="24176BA7" w:rsidR="000802DA" w:rsidRPr="0027343B" w:rsidRDefault="000802DA" w:rsidP="000802DA">
            <w:pPr>
              <w:jc w:val="both"/>
              <w:rPr>
                <w:rFonts w:asciiTheme="majorHAnsi" w:hAnsiTheme="majorHAnsi" w:cstheme="majorHAnsi"/>
                <w:b w:val="0"/>
                <w:sz w:val="20"/>
                <w:szCs w:val="20"/>
                <w:lang w:val="ro-MD"/>
              </w:rPr>
            </w:pPr>
            <w:r w:rsidRPr="0027343B">
              <w:rPr>
                <w:rFonts w:asciiTheme="majorHAnsi" w:hAnsiTheme="majorHAnsi" w:cstheme="majorHAnsi"/>
                <w:b w:val="0"/>
                <w:sz w:val="20"/>
                <w:szCs w:val="20"/>
                <w:shd w:val="clear" w:color="auto" w:fill="FFFFFF"/>
                <w:lang w:val="ro-MD"/>
              </w:rPr>
              <w:t xml:space="preserve">Legea </w:t>
            </w:r>
            <w:r w:rsidRPr="0027343B">
              <w:rPr>
                <w:rFonts w:asciiTheme="majorHAnsi" w:hAnsiTheme="majorHAnsi" w:cstheme="majorHAnsi"/>
                <w:b w:val="0"/>
                <w:sz w:val="20"/>
                <w:szCs w:val="20"/>
                <w:lang w:val="ro-MD"/>
              </w:rPr>
              <w:t xml:space="preserve">nr. 131  din  08.06.2012 </w:t>
            </w:r>
            <w:r w:rsidRPr="0027343B">
              <w:rPr>
                <w:rFonts w:asciiTheme="majorHAnsi" w:eastAsia="Times New Roman" w:hAnsiTheme="majorHAnsi" w:cstheme="majorHAnsi"/>
                <w:b w:val="0"/>
                <w:sz w:val="20"/>
                <w:szCs w:val="20"/>
                <w:lang w:val="ro-MD"/>
              </w:rPr>
              <w:t xml:space="preserve">privind controlul de stat asupra </w:t>
            </w:r>
            <w:r w:rsidRPr="0027343B">
              <w:rPr>
                <w:rFonts w:asciiTheme="majorHAnsi" w:hAnsiTheme="majorHAnsi" w:cstheme="majorHAnsi"/>
                <w:b w:val="0"/>
                <w:sz w:val="20"/>
                <w:szCs w:val="20"/>
                <w:lang w:val="ro-MD"/>
              </w:rPr>
              <w:t>activității</w:t>
            </w:r>
            <w:r w:rsidRPr="0027343B">
              <w:rPr>
                <w:rFonts w:asciiTheme="majorHAnsi" w:eastAsia="Times New Roman" w:hAnsiTheme="majorHAnsi" w:cstheme="majorHAnsi"/>
                <w:b w:val="0"/>
                <w:sz w:val="20"/>
                <w:szCs w:val="20"/>
                <w:lang w:val="ro-MD"/>
              </w:rPr>
              <w:t xml:space="preserve"> de întreprinzător</w:t>
            </w:r>
            <w:r w:rsidRPr="0027343B">
              <w:rPr>
                <w:rFonts w:asciiTheme="majorHAnsi" w:hAnsiTheme="majorHAnsi" w:cstheme="majorHAnsi"/>
                <w:b w:val="0"/>
                <w:sz w:val="20"/>
                <w:szCs w:val="20"/>
                <w:lang w:val="ro-MD"/>
              </w:rPr>
              <w:t>;</w:t>
            </w:r>
          </w:p>
        </w:tc>
      </w:tr>
      <w:tr w:rsidR="000802DA" w:rsidRPr="0027343B" w14:paraId="6FE6511C"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2656ED9C" w14:textId="40B7C526" w:rsidR="000802DA" w:rsidRPr="0027343B" w:rsidRDefault="000802DA" w:rsidP="000802DA">
            <w:pPr>
              <w:jc w:val="both"/>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Legea contabilității și raportării financiare nr.287 din 15.12.2017;</w:t>
            </w:r>
          </w:p>
        </w:tc>
      </w:tr>
      <w:tr w:rsidR="00027CF7" w:rsidRPr="0027343B" w14:paraId="1CB05B85"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5D8A461B" w14:textId="1C29E85B" w:rsidR="00027CF7" w:rsidRPr="0027343B" w:rsidRDefault="00027CF7" w:rsidP="00255E9C">
            <w:pPr>
              <w:pStyle w:val="tt"/>
              <w:jc w:val="both"/>
              <w:rPr>
                <w:rFonts w:asciiTheme="majorHAnsi" w:hAnsiTheme="majorHAnsi" w:cstheme="majorHAnsi"/>
                <w:color w:val="FF0000"/>
                <w:sz w:val="20"/>
                <w:szCs w:val="20"/>
              </w:rPr>
            </w:pPr>
            <w:r w:rsidRPr="0027343B">
              <w:rPr>
                <w:rFonts w:asciiTheme="majorHAnsi" w:hAnsiTheme="majorHAnsi" w:cstheme="majorHAnsi"/>
                <w:sz w:val="20"/>
                <w:szCs w:val="20"/>
              </w:rPr>
              <w:t>Legea bugetului de stat pentru anul 2020 nr. 172 din 19.12.2019;</w:t>
            </w:r>
          </w:p>
        </w:tc>
      </w:tr>
      <w:tr w:rsidR="000802DA" w:rsidRPr="0027343B" w14:paraId="2E467972"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76336F6C" w14:textId="683F6A43" w:rsidR="000802DA" w:rsidRPr="0027343B" w:rsidRDefault="000802DA" w:rsidP="00255E9C">
            <w:pPr>
              <w:pStyle w:val="tt"/>
              <w:jc w:val="both"/>
              <w:rPr>
                <w:rFonts w:asciiTheme="majorHAnsi" w:hAnsiTheme="majorHAnsi" w:cstheme="majorHAnsi"/>
                <w:sz w:val="20"/>
                <w:szCs w:val="20"/>
              </w:rPr>
            </w:pPr>
            <w:r w:rsidRPr="0027343B">
              <w:rPr>
                <w:rFonts w:asciiTheme="majorHAnsi" w:hAnsiTheme="majorHAnsi" w:cstheme="majorHAnsi"/>
                <w:sz w:val="20"/>
                <w:szCs w:val="20"/>
              </w:rPr>
              <w:t>Legea bugetului de stat pentru anul 2021 nr. 258 din 16.12.2020;</w:t>
            </w:r>
          </w:p>
        </w:tc>
      </w:tr>
      <w:tr w:rsidR="000802DA" w:rsidRPr="0027343B" w14:paraId="263954E6"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7B2DC707" w14:textId="4FF91032" w:rsidR="000802DA" w:rsidRPr="0027343B" w:rsidRDefault="000802DA" w:rsidP="000802DA">
            <w:pPr>
              <w:jc w:val="both"/>
              <w:rPr>
                <w:rFonts w:asciiTheme="majorHAnsi" w:eastAsia="Times New Roman" w:hAnsiTheme="majorHAnsi" w:cstheme="majorHAnsi"/>
                <w:b w:val="0"/>
                <w:bCs w:val="0"/>
                <w:sz w:val="20"/>
                <w:szCs w:val="20"/>
                <w:lang w:val="ro-MD"/>
              </w:rPr>
            </w:pPr>
            <w:r w:rsidRPr="0027343B">
              <w:rPr>
                <w:rFonts w:asciiTheme="majorHAnsi" w:eastAsia="Times New Roman" w:hAnsiTheme="majorHAnsi" w:cstheme="majorHAnsi"/>
                <w:b w:val="0"/>
                <w:sz w:val="20"/>
                <w:szCs w:val="20"/>
                <w:lang w:val="ro-MD"/>
              </w:rPr>
              <w:t>Legea nr.121-XVI din 4 mai 2007 privind administrarea și deetatizarea proprietății publice;</w:t>
            </w:r>
          </w:p>
        </w:tc>
      </w:tr>
      <w:tr w:rsidR="000802DA" w:rsidRPr="0027343B" w14:paraId="294CF97E"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065FEE7E" w14:textId="77777777" w:rsidR="000802DA" w:rsidRPr="0027343B" w:rsidRDefault="000802DA" w:rsidP="007E002D">
            <w:pPr>
              <w:pStyle w:val="ListParagraph"/>
              <w:numPr>
                <w:ilvl w:val="0"/>
                <w:numId w:val="20"/>
              </w:numPr>
              <w:rPr>
                <w:rFonts w:asciiTheme="majorHAnsi" w:hAnsiTheme="majorHAnsi" w:cstheme="majorHAnsi"/>
                <w:sz w:val="20"/>
                <w:szCs w:val="20"/>
                <w:lang w:val="ro-MD"/>
              </w:rPr>
            </w:pPr>
            <w:r w:rsidRPr="0027343B">
              <w:rPr>
                <w:rFonts w:asciiTheme="majorHAnsi" w:hAnsiTheme="majorHAnsi" w:cstheme="majorHAnsi"/>
                <w:sz w:val="20"/>
                <w:szCs w:val="20"/>
                <w:lang w:val="ro-MD"/>
              </w:rPr>
              <w:t>CADRUL NORMATIV:</w:t>
            </w:r>
          </w:p>
        </w:tc>
      </w:tr>
      <w:tr w:rsidR="00E615D1" w:rsidRPr="0027343B" w14:paraId="32309A0A"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90C2693" w14:textId="616DA19E" w:rsidR="00E615D1" w:rsidRPr="0027343B" w:rsidRDefault="00E615D1" w:rsidP="00E615D1">
            <w:pPr>
              <w:pStyle w:val="tt"/>
              <w:jc w:val="both"/>
              <w:rPr>
                <w:rFonts w:asciiTheme="majorHAnsi" w:hAnsiTheme="majorHAnsi" w:cstheme="majorHAnsi"/>
                <w:sz w:val="20"/>
                <w:szCs w:val="20"/>
              </w:rPr>
            </w:pPr>
            <w:r w:rsidRPr="0027343B">
              <w:rPr>
                <w:rFonts w:asciiTheme="majorHAnsi" w:hAnsiTheme="majorHAnsi" w:cstheme="majorHAnsi"/>
                <w:sz w:val="20"/>
                <w:szCs w:val="20"/>
                <w:shd w:val="clear" w:color="auto" w:fill="FFFFFF"/>
              </w:rPr>
              <w:t xml:space="preserve">Hotărârea Guvernului </w:t>
            </w:r>
            <w:r w:rsidRPr="0027343B">
              <w:rPr>
                <w:rFonts w:asciiTheme="majorHAnsi" w:hAnsiTheme="majorHAnsi" w:cstheme="majorHAnsi"/>
                <w:bCs/>
                <w:sz w:val="20"/>
                <w:szCs w:val="20"/>
              </w:rPr>
              <w:t>privind unele măsuri de reformare a sistemului infrastructurii calității nr.996 din 27.12.2012;</w:t>
            </w:r>
          </w:p>
        </w:tc>
      </w:tr>
      <w:tr w:rsidR="00E615D1" w:rsidRPr="0027343B" w14:paraId="3CD9DB7F"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0D9233CC" w14:textId="3DFF8BD7" w:rsidR="00E615D1" w:rsidRPr="0027343B" w:rsidRDefault="00E615D1" w:rsidP="00E615D1">
            <w:pPr>
              <w:pStyle w:val="tt"/>
              <w:jc w:val="left"/>
              <w:rPr>
                <w:rFonts w:asciiTheme="majorHAnsi" w:hAnsiTheme="majorHAnsi" w:cstheme="majorHAnsi"/>
                <w:sz w:val="20"/>
                <w:szCs w:val="20"/>
              </w:rPr>
            </w:pPr>
            <w:r w:rsidRPr="0027343B">
              <w:rPr>
                <w:rFonts w:asciiTheme="majorHAnsi" w:hAnsiTheme="majorHAnsi" w:cstheme="majorHAnsi"/>
                <w:sz w:val="20"/>
                <w:szCs w:val="20"/>
                <w:shd w:val="clear" w:color="auto" w:fill="FFFFFF"/>
              </w:rPr>
              <w:t xml:space="preserve">Hotărârea Guvernului </w:t>
            </w:r>
            <w:r w:rsidRPr="0027343B">
              <w:rPr>
                <w:rFonts w:asciiTheme="majorHAnsi" w:hAnsiTheme="majorHAnsi" w:cstheme="majorHAnsi"/>
                <w:bCs/>
                <w:sz w:val="20"/>
                <w:szCs w:val="20"/>
              </w:rPr>
              <w:t xml:space="preserve">privind reorganizarea Întreprinderii de Stat </w:t>
            </w:r>
            <w:r w:rsidR="00DC277E">
              <w:rPr>
                <w:rFonts w:asciiTheme="majorHAnsi" w:hAnsiTheme="majorHAnsi" w:cstheme="majorHAnsi"/>
                <w:bCs/>
                <w:sz w:val="20"/>
                <w:szCs w:val="20"/>
              </w:rPr>
              <w:t>„</w:t>
            </w:r>
            <w:r w:rsidRPr="0027343B">
              <w:rPr>
                <w:rFonts w:asciiTheme="majorHAnsi" w:hAnsiTheme="majorHAnsi" w:cstheme="majorHAnsi"/>
                <w:bCs/>
                <w:sz w:val="20"/>
                <w:szCs w:val="20"/>
              </w:rPr>
              <w:t xml:space="preserve">Centrul de Acreditare în domeniul Evaluării Conformității Produselor” nr. 77  din  25.01.2013; </w:t>
            </w:r>
          </w:p>
        </w:tc>
      </w:tr>
      <w:tr w:rsidR="00E615D1" w:rsidRPr="0027343B" w14:paraId="33873CE4"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CC66E6E" w14:textId="04CF8A46" w:rsidR="00E615D1" w:rsidRPr="0027343B" w:rsidRDefault="00E615D1" w:rsidP="00E615D1">
            <w:pPr>
              <w:pStyle w:val="cb"/>
              <w:jc w:val="both"/>
              <w:rPr>
                <w:rFonts w:asciiTheme="majorHAnsi" w:hAnsiTheme="majorHAnsi" w:cstheme="majorHAnsi"/>
                <w:sz w:val="20"/>
                <w:szCs w:val="20"/>
              </w:rPr>
            </w:pPr>
            <w:r w:rsidRPr="0027343B">
              <w:rPr>
                <w:rFonts w:asciiTheme="majorHAnsi" w:hAnsiTheme="majorHAnsi" w:cstheme="majorHAnsi"/>
                <w:sz w:val="20"/>
                <w:szCs w:val="20"/>
                <w:shd w:val="clear" w:color="auto" w:fill="FFFFFF"/>
              </w:rPr>
              <w:t xml:space="preserve">Hotărârea Guvernului </w:t>
            </w:r>
            <w:r w:rsidRPr="0027343B">
              <w:rPr>
                <w:rFonts w:asciiTheme="majorHAnsi" w:hAnsiTheme="majorHAnsi" w:cstheme="majorHAnsi"/>
                <w:bCs/>
                <w:sz w:val="20"/>
                <w:szCs w:val="20"/>
              </w:rPr>
              <w:t>cu privire la Regulamentul pentru organizarea și funcționarea Institutului de Standardizare din Moldova nr. 969  din  10.08.2016;</w:t>
            </w:r>
          </w:p>
        </w:tc>
      </w:tr>
      <w:tr w:rsidR="00E615D1" w:rsidRPr="0027343B" w14:paraId="126141A2"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10AE8642" w14:textId="2E7AEB36" w:rsidR="00E615D1" w:rsidRPr="0027343B" w:rsidRDefault="00E615D1" w:rsidP="00E615D1">
            <w:pPr>
              <w:pStyle w:val="cb"/>
              <w:jc w:val="both"/>
              <w:rPr>
                <w:rFonts w:asciiTheme="majorHAnsi" w:hAnsiTheme="majorHAnsi" w:cstheme="majorHAnsi"/>
                <w:sz w:val="20"/>
                <w:szCs w:val="20"/>
              </w:rPr>
            </w:pPr>
            <w:r w:rsidRPr="0027343B">
              <w:rPr>
                <w:rFonts w:asciiTheme="majorHAnsi" w:hAnsiTheme="majorHAnsi" w:cstheme="majorHAnsi"/>
                <w:sz w:val="20"/>
                <w:szCs w:val="20"/>
                <w:shd w:val="clear" w:color="auto" w:fill="FFFFFF"/>
              </w:rPr>
              <w:t xml:space="preserve">Hotărârea Guvernului </w:t>
            </w:r>
            <w:r w:rsidRPr="0027343B">
              <w:rPr>
                <w:rFonts w:asciiTheme="majorHAnsi" w:hAnsiTheme="majorHAnsi" w:cstheme="majorHAnsi"/>
                <w:bCs/>
                <w:sz w:val="20"/>
                <w:szCs w:val="20"/>
              </w:rPr>
              <w:t xml:space="preserve">cu privire la serviciile în domeniul standardizării prestate contra plată de către Institutul de Standardizare din Moldova </w:t>
            </w:r>
            <w:r w:rsidRPr="0027343B">
              <w:rPr>
                <w:rFonts w:asciiTheme="majorHAnsi" w:hAnsiTheme="majorHAnsi" w:cstheme="majorHAnsi"/>
                <w:sz w:val="20"/>
                <w:szCs w:val="20"/>
              </w:rPr>
              <w:t xml:space="preserve">nr. 1213  din  04.11.2016; </w:t>
            </w:r>
          </w:p>
        </w:tc>
      </w:tr>
      <w:tr w:rsidR="00E615D1" w:rsidRPr="0027343B" w14:paraId="31FFA088"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381FAB69" w14:textId="3C9E3C9A" w:rsidR="00E615D1" w:rsidRPr="0027343B" w:rsidRDefault="00E615D1" w:rsidP="00E615D1">
            <w:pPr>
              <w:jc w:val="both"/>
              <w:rPr>
                <w:rFonts w:asciiTheme="majorHAnsi" w:hAnsiTheme="majorHAnsi" w:cstheme="majorHAnsi"/>
                <w:b w:val="0"/>
                <w:sz w:val="20"/>
                <w:szCs w:val="20"/>
                <w:lang w:val="ro-MD"/>
              </w:rPr>
            </w:pPr>
            <w:r w:rsidRPr="0027343B">
              <w:rPr>
                <w:rFonts w:asciiTheme="majorHAnsi" w:eastAsia="Times New Roman" w:hAnsiTheme="majorHAnsi" w:cstheme="majorHAnsi"/>
                <w:b w:val="0"/>
                <w:sz w:val="20"/>
                <w:szCs w:val="20"/>
                <w:lang w:val="ro-MD"/>
              </w:rPr>
              <w:t xml:space="preserve"> </w:t>
            </w:r>
            <w:r w:rsidRPr="0027343B">
              <w:rPr>
                <w:rFonts w:asciiTheme="majorHAnsi" w:hAnsiTheme="majorHAnsi" w:cstheme="majorHAnsi"/>
                <w:b w:val="0"/>
                <w:sz w:val="20"/>
                <w:szCs w:val="20"/>
                <w:shd w:val="clear" w:color="auto" w:fill="FFFFFF"/>
                <w:lang w:val="ro-MD"/>
              </w:rPr>
              <w:t xml:space="preserve">Hotărârea Guvernului </w:t>
            </w:r>
            <w:r w:rsidRPr="0027343B">
              <w:rPr>
                <w:rFonts w:asciiTheme="majorHAnsi" w:eastAsia="Times New Roman" w:hAnsiTheme="majorHAnsi" w:cstheme="majorHAnsi"/>
                <w:b w:val="0"/>
                <w:sz w:val="20"/>
                <w:szCs w:val="20"/>
                <w:lang w:val="ro-MD"/>
              </w:rPr>
              <w:t xml:space="preserve">cu privire la aprobarea Regulamentului de organizare și funcționare a Institutului Național de Metrologie nr. 976  din  16.08.2016; </w:t>
            </w:r>
          </w:p>
        </w:tc>
      </w:tr>
      <w:tr w:rsidR="00E615D1" w:rsidRPr="0027343B" w14:paraId="3B24C695"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36BE3C87" w14:textId="1D87AC73" w:rsidR="00E615D1" w:rsidRPr="0027343B" w:rsidRDefault="00E615D1" w:rsidP="00E615D1">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27343B">
              <w:rPr>
                <w:rFonts w:asciiTheme="majorHAnsi" w:hAnsiTheme="majorHAnsi" w:cstheme="majorHAnsi"/>
                <w:b w:val="0"/>
                <w:sz w:val="20"/>
                <w:szCs w:val="20"/>
                <w:shd w:val="clear" w:color="auto" w:fill="FFFFFF"/>
                <w:lang w:val="ro-MD"/>
              </w:rPr>
              <w:t>Hotărârea Guvernului c</w:t>
            </w:r>
            <w:r w:rsidRPr="0027343B">
              <w:rPr>
                <w:rFonts w:asciiTheme="majorHAnsi" w:eastAsia="Times New Roman" w:hAnsiTheme="majorHAnsi" w:cstheme="majorHAnsi"/>
                <w:b w:val="0"/>
                <w:sz w:val="20"/>
                <w:szCs w:val="20"/>
                <w:lang w:val="ro-MD"/>
              </w:rPr>
              <w:t>u privire la aprobarea Nomenclatorului serviciilor prestate în domeniul metrologiei de către Institutul Național de Metrologie nr. 1074  din  22.09.2016;</w:t>
            </w:r>
          </w:p>
        </w:tc>
      </w:tr>
      <w:tr w:rsidR="00E615D1" w:rsidRPr="0027343B" w14:paraId="69CEA6E3"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512A9623" w14:textId="307C91B7" w:rsidR="00E615D1" w:rsidRPr="0027343B" w:rsidRDefault="00CA6233" w:rsidP="00CA6233">
            <w:pPr>
              <w:pStyle w:val="ListParagraph"/>
              <w:tabs>
                <w:tab w:val="left" w:pos="284"/>
              </w:tabs>
              <w:ind w:left="0"/>
              <w:jc w:val="both"/>
              <w:rPr>
                <w:rFonts w:asciiTheme="majorHAnsi" w:hAnsiTheme="majorHAnsi" w:cstheme="majorHAnsi"/>
                <w:b w:val="0"/>
                <w:spacing w:val="12"/>
                <w:sz w:val="20"/>
                <w:szCs w:val="20"/>
                <w:shd w:val="clear" w:color="auto" w:fill="FFFFFF"/>
                <w:lang w:val="ro-MD"/>
              </w:rPr>
            </w:pPr>
            <w:r w:rsidRPr="0027343B">
              <w:rPr>
                <w:rFonts w:asciiTheme="majorHAnsi" w:hAnsiTheme="majorHAnsi" w:cstheme="majorHAnsi"/>
                <w:b w:val="0"/>
                <w:sz w:val="20"/>
                <w:szCs w:val="20"/>
                <w:shd w:val="clear" w:color="auto" w:fill="FFFFFF"/>
                <w:lang w:val="ro-MD"/>
              </w:rPr>
              <w:t xml:space="preserve">Hotărârea Guvernului </w:t>
            </w:r>
            <w:r w:rsidRPr="0027343B">
              <w:rPr>
                <w:rFonts w:asciiTheme="majorHAnsi" w:eastAsia="Times New Roman" w:hAnsiTheme="majorHAnsi" w:cstheme="majorHAnsi"/>
                <w:b w:val="0"/>
                <w:sz w:val="20"/>
                <w:szCs w:val="20"/>
                <w:lang w:val="ro-MD"/>
              </w:rPr>
              <w:t xml:space="preserve">cu privire la organizarea și funcționarea Agenției Naționale pentru Protecția Consumatorului și Supravegherea Pieței nr. 1089  din  18.12.2017; </w:t>
            </w:r>
          </w:p>
        </w:tc>
      </w:tr>
      <w:tr w:rsidR="00CA6233" w:rsidRPr="0027343B" w14:paraId="3513C0AF"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61AFEC93" w14:textId="28B3AB82" w:rsidR="00CA6233" w:rsidRPr="00182E12" w:rsidRDefault="00CA6233" w:rsidP="00941193">
            <w:pPr>
              <w:pStyle w:val="ListParagraph"/>
              <w:tabs>
                <w:tab w:val="left" w:pos="284"/>
              </w:tabs>
              <w:ind w:left="0"/>
              <w:jc w:val="both"/>
              <w:rPr>
                <w:rFonts w:asciiTheme="majorHAnsi" w:hAnsiTheme="majorHAnsi" w:cstheme="majorHAnsi"/>
                <w:b w:val="0"/>
                <w:sz w:val="20"/>
                <w:szCs w:val="20"/>
                <w:shd w:val="clear" w:color="auto" w:fill="FFFFFF"/>
                <w:lang w:val="ro-MD"/>
              </w:rPr>
            </w:pPr>
            <w:r w:rsidRPr="00182E12">
              <w:rPr>
                <w:rFonts w:asciiTheme="majorHAnsi" w:hAnsiTheme="majorHAnsi" w:cstheme="majorHAnsi"/>
                <w:b w:val="0"/>
                <w:sz w:val="20"/>
                <w:szCs w:val="20"/>
                <w:shd w:val="clear" w:color="auto" w:fill="FFFFFF"/>
                <w:lang w:val="ro-MD"/>
              </w:rPr>
              <w:t>Hotărârea Guvernului nr. 782 din 01.08.2018 cu privire la aprobarea Metodologiei controlului de stat asupra activității de întreprinzător în baza analizei riscurilor efectuat de către Agenția pentru Protecția Consumatorilor și Supravegherea Pieței;</w:t>
            </w:r>
          </w:p>
        </w:tc>
      </w:tr>
      <w:tr w:rsidR="00CA6233" w:rsidRPr="0027343B" w14:paraId="55F21E7D"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8A0A54C" w14:textId="222F355A" w:rsidR="00CA6233" w:rsidRPr="00182E12" w:rsidRDefault="00CA6233" w:rsidP="00941193">
            <w:pPr>
              <w:pStyle w:val="ListParagraph"/>
              <w:tabs>
                <w:tab w:val="left" w:pos="284"/>
              </w:tabs>
              <w:ind w:left="0"/>
              <w:jc w:val="both"/>
              <w:rPr>
                <w:rFonts w:asciiTheme="majorHAnsi" w:hAnsiTheme="majorHAnsi" w:cstheme="majorHAnsi"/>
                <w:b w:val="0"/>
                <w:sz w:val="20"/>
                <w:szCs w:val="20"/>
                <w:shd w:val="clear" w:color="auto" w:fill="FFFFFF"/>
                <w:lang w:val="ro-MD"/>
              </w:rPr>
            </w:pPr>
            <w:r w:rsidRPr="00182E12">
              <w:rPr>
                <w:rFonts w:asciiTheme="majorHAnsi" w:hAnsiTheme="majorHAnsi" w:cstheme="majorHAnsi"/>
                <w:b w:val="0"/>
                <w:sz w:val="20"/>
                <w:szCs w:val="20"/>
                <w:shd w:val="clear" w:color="auto" w:fill="FFFFFF"/>
                <w:lang w:val="ro-MD"/>
              </w:rPr>
              <w:t>Hotărârea Guvernului nr.774 din 20.06.2016 cu privire la prețurile de comercializare</w:t>
            </w:r>
            <w:r w:rsidR="00DC277E">
              <w:rPr>
                <w:rFonts w:asciiTheme="majorHAnsi" w:hAnsiTheme="majorHAnsi" w:cstheme="majorHAnsi"/>
                <w:b w:val="0"/>
                <w:sz w:val="20"/>
                <w:szCs w:val="20"/>
                <w:shd w:val="clear" w:color="auto" w:fill="FFFFFF"/>
                <w:lang w:val="ro-MD"/>
              </w:rPr>
              <w:t xml:space="preserve"> </w:t>
            </w:r>
            <w:r w:rsidRPr="00182E12">
              <w:rPr>
                <w:rFonts w:asciiTheme="majorHAnsi" w:hAnsiTheme="majorHAnsi" w:cstheme="majorHAnsi"/>
                <w:b w:val="0"/>
                <w:sz w:val="20"/>
                <w:szCs w:val="20"/>
                <w:shd w:val="clear" w:color="auto" w:fill="FFFFFF"/>
                <w:lang w:val="ro-MD"/>
              </w:rPr>
              <w:t>a produselor social importante;</w:t>
            </w:r>
          </w:p>
        </w:tc>
      </w:tr>
      <w:tr w:rsidR="00CA6233" w:rsidRPr="0027343B" w14:paraId="1DA168CD"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1D5D415E" w14:textId="0FA49F42" w:rsidR="00CA6233" w:rsidRPr="00182E12" w:rsidRDefault="00CA6233" w:rsidP="007F3C33">
            <w:pPr>
              <w:pStyle w:val="ListParagraph"/>
              <w:tabs>
                <w:tab w:val="left" w:pos="284"/>
              </w:tabs>
              <w:ind w:left="0"/>
              <w:jc w:val="both"/>
              <w:rPr>
                <w:rFonts w:asciiTheme="majorHAnsi" w:hAnsiTheme="majorHAnsi" w:cstheme="majorHAnsi"/>
                <w:b w:val="0"/>
                <w:sz w:val="20"/>
                <w:szCs w:val="20"/>
                <w:shd w:val="clear" w:color="auto" w:fill="FFFFFF"/>
                <w:lang w:val="ro-MD"/>
              </w:rPr>
            </w:pPr>
            <w:r w:rsidRPr="00182E12">
              <w:rPr>
                <w:rFonts w:asciiTheme="majorHAnsi" w:hAnsiTheme="majorHAnsi" w:cstheme="majorHAnsi"/>
                <w:b w:val="0"/>
                <w:sz w:val="20"/>
                <w:szCs w:val="20"/>
                <w:shd w:val="clear" w:color="auto" w:fill="FFFFFF"/>
                <w:lang w:val="ro-MD"/>
              </w:rPr>
              <w:t>Hotărârea Guvernului nr.859 din 31.07.2006 cu privire la aprobarea Concepției infrastructurii calității în Republica Moldova</w:t>
            </w:r>
            <w:r w:rsidR="00DC277E">
              <w:rPr>
                <w:rFonts w:asciiTheme="majorHAnsi" w:hAnsiTheme="majorHAnsi" w:cstheme="majorHAnsi"/>
                <w:b w:val="0"/>
                <w:sz w:val="20"/>
                <w:szCs w:val="20"/>
                <w:shd w:val="clear" w:color="auto" w:fill="FFFFFF"/>
                <w:lang w:val="ro-MD"/>
              </w:rPr>
              <w:t>;</w:t>
            </w:r>
          </w:p>
        </w:tc>
      </w:tr>
      <w:tr w:rsidR="00CA6233" w:rsidRPr="0027343B" w14:paraId="20E4597E"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40DCFAA" w14:textId="397E6CE3" w:rsidR="00CA6233" w:rsidRPr="0027343B" w:rsidRDefault="00941193" w:rsidP="00941193">
            <w:pPr>
              <w:pStyle w:val="ListParagraph"/>
              <w:tabs>
                <w:tab w:val="left" w:pos="360"/>
              </w:tabs>
              <w:ind w:left="0"/>
              <w:jc w:val="both"/>
              <w:rPr>
                <w:rFonts w:asciiTheme="majorHAnsi" w:eastAsia="Times New Roman" w:hAnsiTheme="majorHAnsi" w:cstheme="majorHAnsi"/>
                <w:b w:val="0"/>
                <w:bCs w:val="0"/>
                <w:sz w:val="20"/>
                <w:szCs w:val="20"/>
                <w:lang w:val="ro-MD"/>
              </w:rPr>
            </w:pPr>
            <w:r w:rsidRPr="0027343B">
              <w:rPr>
                <w:rFonts w:asciiTheme="majorHAnsi" w:hAnsiTheme="majorHAnsi" w:cstheme="majorHAnsi"/>
                <w:b w:val="0"/>
                <w:color w:val="000000"/>
                <w:sz w:val="20"/>
                <w:szCs w:val="20"/>
                <w:shd w:val="clear" w:color="auto" w:fill="FFFFFF"/>
                <w:lang w:val="ro-MD"/>
              </w:rPr>
              <w:t xml:space="preserve">Hotărârea Guvernului </w:t>
            </w:r>
            <w:r w:rsidR="00824CB1" w:rsidRPr="0027343B">
              <w:rPr>
                <w:rFonts w:asciiTheme="majorHAnsi" w:hAnsiTheme="majorHAnsi" w:cstheme="majorHAnsi"/>
                <w:b w:val="0"/>
                <w:color w:val="000000"/>
                <w:sz w:val="20"/>
                <w:szCs w:val="20"/>
                <w:shd w:val="clear" w:color="auto" w:fill="FFFFFF"/>
                <w:lang w:val="ro-MD"/>
              </w:rPr>
              <w:t>privind</w:t>
            </w:r>
            <w:r w:rsidRPr="0027343B">
              <w:rPr>
                <w:rFonts w:asciiTheme="majorHAnsi" w:hAnsiTheme="majorHAnsi" w:cstheme="majorHAnsi"/>
                <w:b w:val="0"/>
                <w:color w:val="000000"/>
                <w:sz w:val="20"/>
                <w:szCs w:val="20"/>
                <w:shd w:val="clear" w:color="auto" w:fill="FFFFFF"/>
                <w:lang w:val="ro-MD"/>
              </w:rPr>
              <w:t xml:space="preserve"> aprobarea Regulamentului cu privire la achizițiile publice de valoare mic</w:t>
            </w:r>
            <w:r w:rsidR="00DC277E">
              <w:rPr>
                <w:rFonts w:asciiTheme="majorHAnsi" w:hAnsiTheme="majorHAnsi" w:cstheme="majorHAnsi"/>
                <w:b w:val="0"/>
                <w:color w:val="000000"/>
                <w:sz w:val="20"/>
                <w:szCs w:val="20"/>
                <w:shd w:val="clear" w:color="auto" w:fill="FFFFFF"/>
                <w:lang w:val="ro-MD"/>
              </w:rPr>
              <w:t>ă</w:t>
            </w:r>
            <w:r w:rsidRPr="0027343B">
              <w:rPr>
                <w:rFonts w:asciiTheme="majorHAnsi" w:hAnsiTheme="majorHAnsi" w:cstheme="majorHAnsi"/>
                <w:b w:val="0"/>
                <w:color w:val="000000"/>
                <w:sz w:val="20"/>
                <w:szCs w:val="20"/>
                <w:shd w:val="clear" w:color="auto" w:fill="FFFFFF"/>
                <w:lang w:val="ro-MD"/>
              </w:rPr>
              <w:t xml:space="preserve"> nr.665 din 27.05.2016;</w:t>
            </w:r>
          </w:p>
        </w:tc>
      </w:tr>
      <w:tr w:rsidR="00941193" w:rsidRPr="0027343B" w14:paraId="1E72E265"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3237B6F7" w14:textId="262F106C" w:rsidR="00941193" w:rsidRPr="0027343B" w:rsidRDefault="00941193" w:rsidP="00941193">
            <w:pPr>
              <w:pStyle w:val="ListParagraph"/>
              <w:ind w:left="0"/>
              <w:rPr>
                <w:rFonts w:asciiTheme="majorHAnsi" w:hAnsiTheme="majorHAnsi" w:cstheme="majorHAnsi"/>
                <w:b w:val="0"/>
                <w:color w:val="000000"/>
                <w:sz w:val="20"/>
                <w:szCs w:val="20"/>
                <w:shd w:val="clear" w:color="auto" w:fill="FFFFFF"/>
                <w:lang w:val="ro-MD"/>
              </w:rPr>
            </w:pPr>
            <w:r w:rsidRPr="0027343B">
              <w:rPr>
                <w:rFonts w:asciiTheme="majorHAnsi" w:hAnsiTheme="majorHAnsi" w:cstheme="majorHAnsi"/>
                <w:b w:val="0"/>
                <w:color w:val="000000"/>
                <w:sz w:val="20"/>
                <w:szCs w:val="20"/>
                <w:shd w:val="clear" w:color="auto" w:fill="FFFFFF"/>
                <w:lang w:val="ro-MD"/>
              </w:rPr>
              <w:t>Hotărârea Guvernului nr.480 din 28.03.2008 pentru aprobarea Regulamentului cu privire la modul de determinare și comercializare a activelor neutilizate ale întreprinderilor;</w:t>
            </w:r>
          </w:p>
        </w:tc>
      </w:tr>
      <w:tr w:rsidR="00941193" w:rsidRPr="0027343B" w14:paraId="7DFCD0B5"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78FC3150" w14:textId="4EF02C6B" w:rsidR="00941193" w:rsidRPr="0027343B" w:rsidRDefault="00941193" w:rsidP="00824CB1">
            <w:pPr>
              <w:pStyle w:val="ListParagraph"/>
              <w:ind w:left="0"/>
              <w:rPr>
                <w:rFonts w:asciiTheme="majorHAnsi" w:hAnsiTheme="majorHAnsi" w:cstheme="majorHAnsi"/>
                <w:b w:val="0"/>
                <w:color w:val="000000"/>
                <w:sz w:val="20"/>
                <w:szCs w:val="20"/>
                <w:shd w:val="clear" w:color="auto" w:fill="FFFFFF"/>
                <w:lang w:val="ro-MD"/>
              </w:rPr>
            </w:pPr>
            <w:r w:rsidRPr="0027343B">
              <w:rPr>
                <w:rFonts w:asciiTheme="majorHAnsi" w:hAnsiTheme="majorHAnsi" w:cstheme="majorHAnsi"/>
                <w:b w:val="0"/>
                <w:color w:val="000000"/>
                <w:sz w:val="20"/>
                <w:szCs w:val="20"/>
                <w:shd w:val="clear" w:color="auto" w:fill="FFFFFF"/>
                <w:lang w:val="ro-MD"/>
              </w:rPr>
              <w:t>Hotărârea Guvernului nr.500 din 12.05.1998</w:t>
            </w:r>
            <w:r w:rsidR="00DC277E">
              <w:rPr>
                <w:rFonts w:asciiTheme="majorHAnsi" w:hAnsiTheme="majorHAnsi" w:cstheme="majorHAnsi"/>
                <w:b w:val="0"/>
                <w:color w:val="000000"/>
                <w:sz w:val="20"/>
                <w:szCs w:val="20"/>
                <w:shd w:val="clear" w:color="auto" w:fill="FFFFFF"/>
                <w:lang w:val="ro-MD"/>
              </w:rPr>
              <w:t xml:space="preserve"> </w:t>
            </w:r>
            <w:r w:rsidR="00BA22D2" w:rsidRPr="0027343B">
              <w:rPr>
                <w:rFonts w:asciiTheme="majorHAnsi" w:hAnsiTheme="majorHAnsi" w:cstheme="majorHAnsi"/>
                <w:b w:val="0"/>
                <w:color w:val="000000"/>
                <w:sz w:val="20"/>
                <w:szCs w:val="20"/>
                <w:shd w:val="clear" w:color="auto" w:fill="FFFFFF"/>
                <w:lang w:val="ro-MD"/>
              </w:rPr>
              <w:t>despre</w:t>
            </w:r>
            <w:r w:rsidR="00DC277E">
              <w:rPr>
                <w:rFonts w:asciiTheme="majorHAnsi" w:hAnsiTheme="majorHAnsi" w:cstheme="majorHAnsi"/>
                <w:b w:val="0"/>
                <w:color w:val="000000"/>
                <w:sz w:val="20"/>
                <w:szCs w:val="20"/>
                <w:shd w:val="clear" w:color="auto" w:fill="FFFFFF"/>
                <w:lang w:val="ro-MD"/>
              </w:rPr>
              <w:t xml:space="preserve"> </w:t>
            </w:r>
            <w:r w:rsidRPr="0027343B">
              <w:rPr>
                <w:rFonts w:asciiTheme="majorHAnsi" w:hAnsiTheme="majorHAnsi" w:cstheme="majorHAnsi"/>
                <w:b w:val="0"/>
                <w:color w:val="000000"/>
                <w:sz w:val="20"/>
                <w:szCs w:val="20"/>
                <w:shd w:val="clear" w:color="auto" w:fill="FFFFFF"/>
                <w:lang w:val="ro-MD"/>
              </w:rPr>
              <w:t>aprobarea Regulamentului privind casarea bunurilor uzate, raportate la mijloacele fixe;</w:t>
            </w:r>
          </w:p>
        </w:tc>
      </w:tr>
      <w:tr w:rsidR="00BA22D2" w:rsidRPr="0027343B" w14:paraId="773977AC"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1DD10855" w14:textId="42240600" w:rsidR="00BA22D2" w:rsidRPr="0027343B" w:rsidRDefault="00BA22D2" w:rsidP="00BA22D2">
            <w:pPr>
              <w:pStyle w:val="ListParagraph"/>
              <w:ind w:left="0"/>
              <w:rPr>
                <w:rFonts w:asciiTheme="majorHAnsi" w:hAnsiTheme="majorHAnsi" w:cstheme="majorHAnsi"/>
                <w:b w:val="0"/>
                <w:color w:val="000000"/>
                <w:sz w:val="20"/>
                <w:szCs w:val="20"/>
                <w:shd w:val="clear" w:color="auto" w:fill="FFFFFF"/>
                <w:lang w:val="ro-MD"/>
              </w:rPr>
            </w:pPr>
            <w:r w:rsidRPr="0027343B">
              <w:rPr>
                <w:rFonts w:asciiTheme="majorHAnsi" w:hAnsiTheme="majorHAnsi" w:cstheme="majorHAnsi"/>
                <w:b w:val="0"/>
                <w:color w:val="000000"/>
                <w:sz w:val="20"/>
                <w:szCs w:val="20"/>
                <w:shd w:val="clear" w:color="auto" w:fill="FFFFFF"/>
                <w:lang w:val="ro-MD"/>
              </w:rPr>
              <w:t>Hotărârea Guvernului nr.688 din 9 octombrie 1995 privind aprobarea Regulamentului cu privire la modul de transmitere a întreprinderilor, organizaţiilor, instituţiilor de stat, a subdiviziunilor lor, clădirilor, edificiilor, mijloacelor fixe şi altor active</w:t>
            </w:r>
            <w:r w:rsidR="00DC277E">
              <w:rPr>
                <w:rFonts w:asciiTheme="majorHAnsi" w:hAnsiTheme="majorHAnsi" w:cstheme="majorHAnsi"/>
                <w:b w:val="0"/>
                <w:color w:val="000000"/>
                <w:sz w:val="20"/>
                <w:szCs w:val="20"/>
                <w:shd w:val="clear" w:color="auto" w:fill="FFFFFF"/>
                <w:lang w:val="ro-MD"/>
              </w:rPr>
              <w:t>;</w:t>
            </w:r>
          </w:p>
        </w:tc>
      </w:tr>
      <w:tr w:rsidR="00941193" w:rsidRPr="0027343B" w14:paraId="74BC69F8"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99859DE" w14:textId="14FA7A49" w:rsidR="00941193" w:rsidRPr="0027343B" w:rsidRDefault="00941193" w:rsidP="00941193">
            <w:pPr>
              <w:pStyle w:val="ListParagraph"/>
              <w:ind w:left="0"/>
              <w:rPr>
                <w:rFonts w:asciiTheme="majorHAnsi" w:hAnsiTheme="majorHAnsi" w:cstheme="majorHAnsi"/>
                <w:b w:val="0"/>
                <w:color w:val="000000"/>
                <w:sz w:val="20"/>
                <w:szCs w:val="20"/>
                <w:shd w:val="clear" w:color="auto" w:fill="FFFFFF"/>
                <w:lang w:val="ro-MD"/>
              </w:rPr>
            </w:pPr>
            <w:r w:rsidRPr="0027343B">
              <w:rPr>
                <w:rFonts w:asciiTheme="majorHAnsi" w:hAnsiTheme="majorHAnsi" w:cstheme="majorHAnsi"/>
                <w:b w:val="0"/>
                <w:sz w:val="20"/>
                <w:szCs w:val="20"/>
                <w:lang w:val="ro-MD"/>
              </w:rPr>
              <w:t>Hotărârea Guvernului   pentru aprobarea Regulamentului privind modul de transmitere a bunurilor proprietate publică nr. 901 din 31.12.2015;</w:t>
            </w:r>
          </w:p>
        </w:tc>
      </w:tr>
      <w:tr w:rsidR="00941193" w:rsidRPr="0027343B" w14:paraId="721C2D94"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6196D2A7" w14:textId="6656614A" w:rsidR="00941193" w:rsidRPr="0027343B" w:rsidRDefault="00941193" w:rsidP="00941193">
            <w:pPr>
              <w:pStyle w:val="ListParagraph"/>
              <w:ind w:left="0"/>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Hotărârea Guvernului   cu privire la aprobarea Catalogului mijloacelor fixe și activelor nemateriale nr. 338 din 21.03.2003;</w:t>
            </w:r>
          </w:p>
        </w:tc>
      </w:tr>
      <w:tr w:rsidR="00941193" w:rsidRPr="0027343B" w14:paraId="3780188A"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629CE167" w14:textId="7B06F70D" w:rsidR="00941193" w:rsidRPr="0027343B" w:rsidRDefault="00941193" w:rsidP="00941193">
            <w:pPr>
              <w:pStyle w:val="ListParagraph"/>
              <w:ind w:left="0"/>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Hotărârea Guvernului cu privire la Registrul patrimoniului public nr. 675 din 06.06.2008</w:t>
            </w:r>
            <w:r w:rsidR="00DC277E">
              <w:rPr>
                <w:rFonts w:asciiTheme="majorHAnsi" w:hAnsiTheme="majorHAnsi" w:cstheme="majorHAnsi"/>
                <w:b w:val="0"/>
                <w:sz w:val="20"/>
                <w:szCs w:val="20"/>
                <w:lang w:val="ro-MD"/>
              </w:rPr>
              <w:t>;</w:t>
            </w:r>
          </w:p>
        </w:tc>
      </w:tr>
      <w:tr w:rsidR="00941193" w:rsidRPr="0027343B" w14:paraId="01135C6B"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0EB2EBF9" w14:textId="76DAFCDE" w:rsidR="00941193" w:rsidRPr="0027343B" w:rsidRDefault="00941193" w:rsidP="00941193">
            <w:pPr>
              <w:pStyle w:val="ListParagraph"/>
              <w:ind w:left="0"/>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 xml:space="preserve">Ordinul ministrului finanțelor nr. 118 din 06.08.2013 privind aprobarea Standardelor Naționale de Contabilitate (cu modificările și completările ulterioare);  </w:t>
            </w:r>
          </w:p>
        </w:tc>
      </w:tr>
      <w:tr w:rsidR="00824CB1" w:rsidRPr="0027343B" w14:paraId="6E8AB8FD"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0F84A3C0" w14:textId="3B4009D5" w:rsidR="00824CB1" w:rsidRPr="0027343B" w:rsidRDefault="00824CB1" w:rsidP="00941193">
            <w:pPr>
              <w:pStyle w:val="ListParagraph"/>
              <w:ind w:left="0"/>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 xml:space="preserve">Ordinul ministrului finanțelor nr. 119 din 06.08.2013 privind aprobarea Planului general de conturi contabile (cu modificările și completările ulterioare);    </w:t>
            </w:r>
          </w:p>
        </w:tc>
      </w:tr>
      <w:tr w:rsidR="00941193" w:rsidRPr="0027343B" w14:paraId="34F98726"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15FA0E0B" w14:textId="31464D1D" w:rsidR="00941193" w:rsidRPr="0027343B" w:rsidRDefault="00941193" w:rsidP="00941193">
            <w:pPr>
              <w:pStyle w:val="ListParagraph"/>
              <w:ind w:left="0"/>
              <w:rPr>
                <w:rFonts w:asciiTheme="majorHAnsi" w:hAnsiTheme="majorHAnsi" w:cstheme="majorHAnsi"/>
                <w:b w:val="0"/>
                <w:sz w:val="20"/>
                <w:szCs w:val="20"/>
                <w:lang w:val="ro-MD"/>
              </w:rPr>
            </w:pPr>
            <w:r w:rsidRPr="0027343B">
              <w:rPr>
                <w:rFonts w:asciiTheme="majorHAnsi" w:hAnsiTheme="majorHAnsi" w:cstheme="majorHAnsi"/>
                <w:b w:val="0"/>
                <w:sz w:val="20"/>
                <w:szCs w:val="20"/>
                <w:lang w:val="ro-MD"/>
              </w:rPr>
              <w:t>Ordinul Ministerului Finanțelor nr.60 din 29.05.2012 cu privire la aprobarea Regulamentului privind inventarierea;</w:t>
            </w:r>
          </w:p>
        </w:tc>
      </w:tr>
      <w:tr w:rsidR="000802DA" w:rsidRPr="0027343B" w14:paraId="7017C487"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37E53B11" w14:textId="28E1CF6F" w:rsidR="000802DA" w:rsidRPr="0027343B" w:rsidRDefault="000802DA" w:rsidP="007E002D">
            <w:pPr>
              <w:pStyle w:val="ListParagraph"/>
              <w:numPr>
                <w:ilvl w:val="0"/>
                <w:numId w:val="20"/>
              </w:numPr>
              <w:rPr>
                <w:rFonts w:asciiTheme="majorHAnsi" w:hAnsiTheme="majorHAnsi" w:cstheme="majorHAnsi"/>
                <w:sz w:val="20"/>
                <w:szCs w:val="20"/>
                <w:lang w:val="ro-MD"/>
              </w:rPr>
            </w:pPr>
            <w:r w:rsidRPr="0027343B">
              <w:rPr>
                <w:rFonts w:asciiTheme="majorHAnsi" w:hAnsiTheme="majorHAnsi" w:cstheme="majorHAnsi"/>
                <w:sz w:val="20"/>
                <w:szCs w:val="20"/>
                <w:lang w:val="ro-MD"/>
              </w:rPr>
              <w:t>ACTE INTERN</w:t>
            </w:r>
            <w:r w:rsidR="00E615D1" w:rsidRPr="0027343B">
              <w:rPr>
                <w:rFonts w:asciiTheme="majorHAnsi" w:hAnsiTheme="majorHAnsi" w:cstheme="majorHAnsi"/>
                <w:sz w:val="20"/>
                <w:szCs w:val="20"/>
                <w:lang w:val="ro-MD"/>
              </w:rPr>
              <w:t>E EMISE DE INSTITUȚIILE PUBLICE DIN DOMENIUL INFRASTRUCTURII CALITĂȚII</w:t>
            </w:r>
            <w:r w:rsidRPr="0027343B">
              <w:rPr>
                <w:rFonts w:asciiTheme="majorHAnsi" w:hAnsiTheme="majorHAnsi" w:cstheme="majorHAnsi"/>
                <w:sz w:val="20"/>
                <w:szCs w:val="20"/>
                <w:lang w:val="ro-MD"/>
              </w:rPr>
              <w:t>:</w:t>
            </w:r>
          </w:p>
        </w:tc>
      </w:tr>
      <w:tr w:rsidR="00136B58" w:rsidRPr="0027343B" w14:paraId="2E47C138"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5ADB6893" w14:textId="4FF84C4E"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B82C5E">
              <w:rPr>
                <w:rFonts w:asciiTheme="majorHAnsi" w:hAnsiTheme="majorHAnsi" w:cstheme="majorHAnsi"/>
                <w:b w:val="0"/>
                <w:sz w:val="20"/>
                <w:szCs w:val="20"/>
              </w:rPr>
              <w:t>Regulamentul cu privire la remunerarea muncii angajaților IP Centrul Național de Acreditare din Republice Moldova (MOLDAC);</w:t>
            </w:r>
          </w:p>
        </w:tc>
      </w:tr>
      <w:tr w:rsidR="00136B58" w:rsidRPr="0027343B" w14:paraId="67519190"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11CC57D0" w14:textId="5540B1BF"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B82C5E">
              <w:rPr>
                <w:rFonts w:asciiTheme="majorHAnsi" w:hAnsiTheme="majorHAnsi" w:cstheme="majorHAnsi"/>
                <w:b w:val="0"/>
                <w:sz w:val="20"/>
                <w:szCs w:val="20"/>
              </w:rPr>
              <w:t xml:space="preserve">Regulamentul intern al ISM, aprobat prin </w:t>
            </w:r>
            <w:r w:rsidR="00DC277E">
              <w:rPr>
                <w:rFonts w:asciiTheme="majorHAnsi" w:hAnsiTheme="majorHAnsi" w:cstheme="majorHAnsi"/>
                <w:b w:val="0"/>
                <w:sz w:val="20"/>
                <w:szCs w:val="20"/>
              </w:rPr>
              <w:t>O</w:t>
            </w:r>
            <w:r w:rsidRPr="00B82C5E">
              <w:rPr>
                <w:rFonts w:asciiTheme="majorHAnsi" w:hAnsiTheme="majorHAnsi" w:cstheme="majorHAnsi"/>
                <w:b w:val="0"/>
                <w:sz w:val="20"/>
                <w:szCs w:val="20"/>
              </w:rPr>
              <w:t>rdinul directorului nr. 66 din 20.11.2018;</w:t>
            </w:r>
          </w:p>
        </w:tc>
      </w:tr>
      <w:tr w:rsidR="00136B58" w:rsidRPr="0027343B" w14:paraId="1DBAA265"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3F4A3AB2" w14:textId="6926F460"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B82C5E">
              <w:rPr>
                <w:rFonts w:asciiTheme="majorHAnsi" w:hAnsiTheme="majorHAnsi" w:cstheme="majorHAnsi"/>
                <w:b w:val="0"/>
                <w:sz w:val="20"/>
                <w:szCs w:val="20"/>
              </w:rPr>
              <w:t>Regulamentul privind sistemul de salarizare în Institutul de Standardizare din Moldova, aprobat prin  Ordinul directorului nr. 71 din 16.12.2019;</w:t>
            </w:r>
          </w:p>
        </w:tc>
      </w:tr>
      <w:tr w:rsidR="00136B58" w:rsidRPr="0027343B" w14:paraId="197B20BB"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1BF4CD77" w14:textId="0369975B"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B82C5E">
              <w:rPr>
                <w:rFonts w:asciiTheme="majorHAnsi" w:hAnsiTheme="majorHAnsi" w:cstheme="majorHAnsi"/>
                <w:b w:val="0"/>
                <w:sz w:val="20"/>
                <w:szCs w:val="20"/>
              </w:rPr>
              <w:t>Contractul colectiv de muncă al IP Institutul Național de Metrologie pentru anii 2013-2016</w:t>
            </w:r>
            <w:r w:rsidR="00DC277E">
              <w:rPr>
                <w:rFonts w:asciiTheme="majorHAnsi" w:hAnsiTheme="majorHAnsi" w:cstheme="majorHAnsi"/>
                <w:b w:val="0"/>
                <w:sz w:val="20"/>
                <w:szCs w:val="20"/>
              </w:rPr>
              <w:t>,</w:t>
            </w:r>
            <w:r w:rsidRPr="00B82C5E">
              <w:rPr>
                <w:rFonts w:asciiTheme="majorHAnsi" w:hAnsiTheme="majorHAnsi" w:cstheme="majorHAnsi"/>
                <w:b w:val="0"/>
                <w:sz w:val="20"/>
                <w:szCs w:val="20"/>
              </w:rPr>
              <w:t xml:space="preserve"> cu acordurile adiționale și Contractul colectiv de muncă al IP Institutul Național de Metrologie pentru anii 2022-2026;</w:t>
            </w:r>
          </w:p>
        </w:tc>
      </w:tr>
      <w:tr w:rsidR="00136B58" w:rsidRPr="0027343B" w14:paraId="4C95C3B9"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23A358E3" w14:textId="04E0306A"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bCs w:val="0"/>
                <w:sz w:val="20"/>
                <w:szCs w:val="20"/>
                <w:lang w:val="ro-MD"/>
              </w:rPr>
            </w:pPr>
            <w:r w:rsidRPr="00B82C5E">
              <w:rPr>
                <w:rFonts w:asciiTheme="majorHAnsi" w:hAnsiTheme="majorHAnsi" w:cstheme="majorHAnsi"/>
                <w:b w:val="0"/>
                <w:sz w:val="20"/>
                <w:szCs w:val="20"/>
              </w:rPr>
              <w:t xml:space="preserve">Regulamentul privind modul de stabilire a sporului pentru performanță pentru angajații APCSP, aprobat prin </w:t>
            </w:r>
            <w:r w:rsidR="00DC277E">
              <w:rPr>
                <w:rFonts w:asciiTheme="majorHAnsi" w:hAnsiTheme="majorHAnsi" w:cstheme="majorHAnsi"/>
                <w:b w:val="0"/>
                <w:sz w:val="20"/>
                <w:szCs w:val="20"/>
              </w:rPr>
              <w:t>O</w:t>
            </w:r>
            <w:r w:rsidRPr="00B82C5E">
              <w:rPr>
                <w:rFonts w:asciiTheme="majorHAnsi" w:hAnsiTheme="majorHAnsi" w:cstheme="majorHAnsi"/>
                <w:b w:val="0"/>
                <w:sz w:val="20"/>
                <w:szCs w:val="20"/>
              </w:rPr>
              <w:t xml:space="preserve">rdinul </w:t>
            </w:r>
            <w:r w:rsidR="00DC277E">
              <w:rPr>
                <w:rFonts w:asciiTheme="majorHAnsi" w:hAnsiTheme="majorHAnsi" w:cstheme="majorHAnsi"/>
                <w:b w:val="0"/>
                <w:sz w:val="20"/>
                <w:szCs w:val="20"/>
              </w:rPr>
              <w:t>nr.</w:t>
            </w:r>
            <w:r w:rsidRPr="00B82C5E">
              <w:rPr>
                <w:rFonts w:asciiTheme="majorHAnsi" w:hAnsiTheme="majorHAnsi" w:cstheme="majorHAnsi"/>
                <w:b w:val="0"/>
                <w:sz w:val="20"/>
                <w:szCs w:val="20"/>
              </w:rPr>
              <w:t>48 din 26.12.2018;</w:t>
            </w:r>
          </w:p>
        </w:tc>
      </w:tr>
      <w:tr w:rsidR="00136B58" w:rsidRPr="0027343B" w14:paraId="2CACD13C" w14:textId="77777777" w:rsidTr="00C2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28826015" w14:textId="27AE0862" w:rsidR="00136B58" w:rsidRPr="0027343B" w:rsidRDefault="00136B58" w:rsidP="00136B58">
            <w:pPr>
              <w:tabs>
                <w:tab w:val="left" w:pos="993"/>
              </w:tabs>
              <w:spacing w:line="276" w:lineRule="auto"/>
              <w:contextualSpacing/>
              <w:jc w:val="both"/>
              <w:rPr>
                <w:rFonts w:asciiTheme="majorHAnsi" w:eastAsia="Times New Roman" w:hAnsiTheme="majorHAnsi" w:cstheme="majorHAnsi"/>
                <w:b w:val="0"/>
                <w:sz w:val="20"/>
                <w:szCs w:val="20"/>
                <w:lang w:val="ro-MD"/>
              </w:rPr>
            </w:pPr>
            <w:r w:rsidRPr="00B82C5E">
              <w:rPr>
                <w:rFonts w:asciiTheme="majorHAnsi" w:hAnsiTheme="majorHAnsi" w:cstheme="majorHAnsi"/>
                <w:b w:val="0"/>
                <w:sz w:val="20"/>
                <w:szCs w:val="20"/>
              </w:rPr>
              <w:t xml:space="preserve">Contractul </w:t>
            </w:r>
            <w:r w:rsidR="00DC277E">
              <w:rPr>
                <w:rFonts w:asciiTheme="majorHAnsi" w:hAnsiTheme="majorHAnsi" w:cstheme="majorHAnsi"/>
                <w:b w:val="0"/>
                <w:sz w:val="20"/>
                <w:szCs w:val="20"/>
              </w:rPr>
              <w:t>c</w:t>
            </w:r>
            <w:r w:rsidRPr="00B82C5E">
              <w:rPr>
                <w:rFonts w:asciiTheme="majorHAnsi" w:hAnsiTheme="majorHAnsi" w:cstheme="majorHAnsi"/>
                <w:b w:val="0"/>
                <w:sz w:val="20"/>
                <w:szCs w:val="20"/>
              </w:rPr>
              <w:t>olectiv de muncă la nivel de întreprindere al Institutului Național de Metrologie pentru anii 2013-2016</w:t>
            </w:r>
            <w:r w:rsidR="00CF33B4">
              <w:rPr>
                <w:rFonts w:asciiTheme="majorHAnsi" w:hAnsiTheme="majorHAnsi" w:cstheme="majorHAnsi"/>
                <w:b w:val="0"/>
                <w:sz w:val="20"/>
                <w:szCs w:val="20"/>
              </w:rPr>
              <w:t>,</w:t>
            </w:r>
            <w:r w:rsidRPr="00B82C5E">
              <w:rPr>
                <w:rFonts w:asciiTheme="majorHAnsi" w:hAnsiTheme="majorHAnsi" w:cstheme="majorHAnsi"/>
                <w:b w:val="0"/>
                <w:sz w:val="20"/>
                <w:szCs w:val="20"/>
              </w:rPr>
              <w:t xml:space="preserve"> adoptat la Conferința Colectivului de muncă din 23.11.2013;</w:t>
            </w:r>
          </w:p>
        </w:tc>
      </w:tr>
      <w:tr w:rsidR="00136B58" w:rsidRPr="0027343B" w14:paraId="1216B357" w14:textId="77777777" w:rsidTr="00C26454">
        <w:tc>
          <w:tcPr>
            <w:cnfStyle w:val="001000000000" w:firstRow="0" w:lastRow="0" w:firstColumn="1" w:lastColumn="0" w:oddVBand="0" w:evenVBand="0" w:oddHBand="0" w:evenHBand="0" w:firstRowFirstColumn="0" w:firstRowLastColumn="0" w:lastRowFirstColumn="0" w:lastRowLastColumn="0"/>
            <w:tcW w:w="9344" w:type="dxa"/>
          </w:tcPr>
          <w:p w14:paraId="65CA0460" w14:textId="5A846214" w:rsidR="00C246D7" w:rsidRPr="00C246D7" w:rsidRDefault="00136B58" w:rsidP="00136B58">
            <w:pPr>
              <w:tabs>
                <w:tab w:val="left" w:pos="993"/>
              </w:tabs>
              <w:spacing w:line="276" w:lineRule="auto"/>
              <w:contextualSpacing/>
              <w:jc w:val="both"/>
              <w:rPr>
                <w:rFonts w:asciiTheme="majorHAnsi" w:hAnsiTheme="majorHAnsi" w:cstheme="majorHAnsi"/>
                <w:b w:val="0"/>
                <w:sz w:val="20"/>
                <w:szCs w:val="20"/>
              </w:rPr>
            </w:pPr>
            <w:r w:rsidRPr="00B82C5E">
              <w:rPr>
                <w:rFonts w:asciiTheme="majorHAnsi" w:hAnsiTheme="majorHAnsi" w:cstheme="majorHAnsi"/>
                <w:b w:val="0"/>
                <w:sz w:val="20"/>
                <w:szCs w:val="20"/>
              </w:rPr>
              <w:t>Regulamentele Direcțiilor MOLDAC (Direcția Acreditare Laboratoare; Direcția Acreditare Organisme de Certificare și Organisme de Inspecții; Direcția Dezvoltare Acreditare)</w:t>
            </w:r>
            <w:r w:rsidR="00CF33B4">
              <w:rPr>
                <w:rFonts w:asciiTheme="majorHAnsi" w:hAnsiTheme="majorHAnsi" w:cstheme="majorHAnsi"/>
                <w:b w:val="0"/>
                <w:sz w:val="20"/>
                <w:szCs w:val="20"/>
              </w:rPr>
              <w:t>.</w:t>
            </w:r>
          </w:p>
        </w:tc>
      </w:tr>
    </w:tbl>
    <w:p w14:paraId="2D805CC7" w14:textId="77777777" w:rsidR="00441DE8" w:rsidRDefault="00441DE8" w:rsidP="00FC2698">
      <w:pPr>
        <w:tabs>
          <w:tab w:val="left" w:pos="910"/>
        </w:tabs>
        <w:rPr>
          <w:rFonts w:asciiTheme="majorHAnsi" w:hAnsiTheme="majorHAnsi" w:cstheme="majorHAnsi"/>
          <w:sz w:val="24"/>
          <w:szCs w:val="24"/>
          <w:lang w:eastAsia="ro-MD"/>
        </w:rPr>
        <w:sectPr w:rsidR="00441DE8" w:rsidSect="00606E35">
          <w:pgSz w:w="11906" w:h="16838" w:code="9"/>
          <w:pgMar w:top="1138" w:right="566" w:bottom="1411" w:left="1699" w:header="720" w:footer="720" w:gutter="0"/>
          <w:cols w:space="708"/>
          <w:docGrid w:linePitch="360"/>
        </w:sectPr>
      </w:pPr>
    </w:p>
    <w:tbl>
      <w:tblPr>
        <w:tblStyle w:val="PlainTable2"/>
        <w:tblW w:w="5082" w:type="pct"/>
        <w:tblLayout w:type="fixed"/>
        <w:tblLook w:val="04A0" w:firstRow="1" w:lastRow="0" w:firstColumn="1" w:lastColumn="0" w:noHBand="0" w:noVBand="1"/>
      </w:tblPr>
      <w:tblGrid>
        <w:gridCol w:w="2602"/>
        <w:gridCol w:w="1082"/>
        <w:gridCol w:w="929"/>
        <w:gridCol w:w="921"/>
        <w:gridCol w:w="1046"/>
        <w:gridCol w:w="1028"/>
        <w:gridCol w:w="950"/>
        <w:gridCol w:w="959"/>
        <w:gridCol w:w="1081"/>
        <w:gridCol w:w="1028"/>
        <w:gridCol w:w="921"/>
        <w:gridCol w:w="927"/>
        <w:gridCol w:w="1049"/>
      </w:tblGrid>
      <w:tr w:rsidR="00F31BEF" w:rsidRPr="00F31BEF" w14:paraId="3F1C7299" w14:textId="77777777" w:rsidTr="004D49D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14:paraId="524F166F" w14:textId="3B6A813E" w:rsidR="00F31BEF" w:rsidRPr="00F31BEF" w:rsidRDefault="00EB64AC" w:rsidP="00F31BEF">
            <w:pP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                               </w:t>
            </w:r>
            <w:r w:rsidR="00F31BEF" w:rsidRPr="00F31BEF">
              <w:rPr>
                <w:rFonts w:ascii="Calibri Light" w:eastAsia="Times New Roman" w:hAnsi="Calibri Light" w:cs="Calibri Light"/>
                <w:color w:val="000000"/>
                <w:sz w:val="24"/>
                <w:szCs w:val="24"/>
              </w:rPr>
              <w:t xml:space="preserve">Situația patrimonial-financiară a </w:t>
            </w:r>
            <w:r w:rsidR="008E3B8F">
              <w:rPr>
                <w:rFonts w:ascii="Calibri Light" w:eastAsia="Times New Roman" w:hAnsi="Calibri Light" w:cs="Calibri Light"/>
                <w:color w:val="000000"/>
                <w:sz w:val="24"/>
                <w:szCs w:val="24"/>
              </w:rPr>
              <w:t>i</w:t>
            </w:r>
            <w:r w:rsidR="00F31BEF" w:rsidRPr="00F31BEF">
              <w:rPr>
                <w:rFonts w:ascii="Calibri Light" w:eastAsia="Times New Roman" w:hAnsi="Calibri Light" w:cs="Calibri Light"/>
                <w:color w:val="000000"/>
                <w:sz w:val="24"/>
                <w:szCs w:val="24"/>
              </w:rPr>
              <w:t xml:space="preserve">nstituțiilor </w:t>
            </w:r>
            <w:r w:rsidR="008E3B8F">
              <w:rPr>
                <w:rFonts w:ascii="Calibri Light" w:eastAsia="Times New Roman" w:hAnsi="Calibri Light" w:cs="Calibri Light"/>
                <w:color w:val="000000"/>
                <w:sz w:val="24"/>
                <w:szCs w:val="24"/>
              </w:rPr>
              <w:t>p</w:t>
            </w:r>
            <w:r w:rsidR="00F31BEF" w:rsidRPr="00F31BEF">
              <w:rPr>
                <w:rFonts w:ascii="Calibri Light" w:eastAsia="Times New Roman" w:hAnsi="Calibri Light" w:cs="Calibri Light"/>
                <w:color w:val="000000"/>
                <w:sz w:val="24"/>
                <w:szCs w:val="24"/>
              </w:rPr>
              <w:t>ublice din domeniul infrastructurii calității</w:t>
            </w:r>
            <w:r w:rsidR="00122169">
              <w:rPr>
                <w:rFonts w:ascii="Calibri Light" w:eastAsia="Times New Roman" w:hAnsi="Calibri Light" w:cs="Calibri Light"/>
                <w:color w:val="000000"/>
                <w:sz w:val="24"/>
                <w:szCs w:val="24"/>
              </w:rPr>
              <w:t xml:space="preserve"> </w:t>
            </w:r>
            <w:r w:rsidR="00F31BEF" w:rsidRPr="00F31BEF">
              <w:rPr>
                <w:rFonts w:ascii="Calibri Light" w:eastAsia="Times New Roman" w:hAnsi="Calibri Light" w:cs="Calibri Light"/>
                <w:color w:val="000000"/>
                <w:sz w:val="24"/>
                <w:szCs w:val="24"/>
              </w:rPr>
              <w:t xml:space="preserve"> pe anii 2020</w:t>
            </w:r>
            <w:r w:rsidR="00122169">
              <w:rPr>
                <w:rFonts w:ascii="Calibri Light" w:eastAsia="Times New Roman" w:hAnsi="Calibri Light" w:cs="Calibri Light"/>
                <w:color w:val="000000"/>
                <w:sz w:val="24"/>
                <w:szCs w:val="24"/>
              </w:rPr>
              <w:t xml:space="preserve"> </w:t>
            </w:r>
            <w:r w:rsidR="00F31BEF" w:rsidRPr="00F31BEF">
              <w:rPr>
                <w:rFonts w:ascii="Calibri Light" w:eastAsia="Times New Roman" w:hAnsi="Calibri Light" w:cs="Calibri Light"/>
                <w:color w:val="000000"/>
                <w:sz w:val="24"/>
                <w:szCs w:val="24"/>
              </w:rPr>
              <w:t>-2021</w:t>
            </w:r>
          </w:p>
        </w:tc>
      </w:tr>
      <w:tr w:rsidR="003D27C7" w:rsidRPr="00F31BEF" w14:paraId="16E5548A" w14:textId="77777777" w:rsidTr="004D49D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noWrap/>
            <w:hideMark/>
          </w:tcPr>
          <w:p w14:paraId="41651BFE"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73" w:type="pct"/>
            <w:noWrap/>
            <w:hideMark/>
          </w:tcPr>
          <w:p w14:paraId="5EEFB2E4"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noWrap/>
            <w:hideMark/>
          </w:tcPr>
          <w:p w14:paraId="2CAEC9F1"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17" w:type="pct"/>
            <w:noWrap/>
            <w:hideMark/>
          </w:tcPr>
          <w:p w14:paraId="4885F8B8"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60" w:type="pct"/>
            <w:noWrap/>
            <w:hideMark/>
          </w:tcPr>
          <w:p w14:paraId="56A38056"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54" w:type="pct"/>
            <w:noWrap/>
            <w:hideMark/>
          </w:tcPr>
          <w:p w14:paraId="597F46BF"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27" w:type="pct"/>
            <w:noWrap/>
            <w:hideMark/>
          </w:tcPr>
          <w:p w14:paraId="02C9EF9F"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30" w:type="pct"/>
            <w:noWrap/>
            <w:hideMark/>
          </w:tcPr>
          <w:p w14:paraId="17FA5F43"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72" w:type="pct"/>
            <w:noWrap/>
            <w:hideMark/>
          </w:tcPr>
          <w:p w14:paraId="7B253F2B"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54" w:type="pct"/>
            <w:noWrap/>
            <w:hideMark/>
          </w:tcPr>
          <w:p w14:paraId="5EF53D72"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17" w:type="pct"/>
            <w:noWrap/>
            <w:hideMark/>
          </w:tcPr>
          <w:p w14:paraId="01431CC1"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18" w:type="pct"/>
            <w:noWrap/>
            <w:hideMark/>
          </w:tcPr>
          <w:p w14:paraId="06B2BF88"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62" w:type="pct"/>
            <w:noWrap/>
            <w:hideMark/>
          </w:tcPr>
          <w:p w14:paraId="126A665A" w14:textId="77777777" w:rsidR="00F31BEF" w:rsidRPr="00F31BEF" w:rsidRDefault="00F31BEF" w:rsidP="00F31BEF">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(mii lei)</w:t>
            </w:r>
          </w:p>
        </w:tc>
      </w:tr>
      <w:tr w:rsidR="003D27C7" w:rsidRPr="00F31BEF" w14:paraId="62B9668D" w14:textId="77777777" w:rsidTr="004D49D4">
        <w:trPr>
          <w:trHeight w:val="489"/>
        </w:trPr>
        <w:tc>
          <w:tcPr>
            <w:cnfStyle w:val="001000000000" w:firstRow="0" w:lastRow="0" w:firstColumn="1" w:lastColumn="0" w:oddVBand="0" w:evenVBand="0" w:oddHBand="0" w:evenHBand="0" w:firstRowFirstColumn="0" w:firstRowLastColumn="0" w:lastRowFirstColumn="0" w:lastRowLastColumn="0"/>
            <w:tcW w:w="896" w:type="pct"/>
            <w:vMerge w:val="restart"/>
            <w:hideMark/>
          </w:tcPr>
          <w:p w14:paraId="76E8F90D" w14:textId="77777777" w:rsidR="00F31BEF" w:rsidRPr="00F31BEF" w:rsidRDefault="00F31BEF" w:rsidP="00F31BEF">
            <w:pPr>
              <w:jc w:val="center"/>
              <w:rPr>
                <w:rFonts w:ascii="Calibri Light" w:eastAsia="Times New Roman" w:hAnsi="Calibri Light" w:cs="Calibri Light"/>
                <w:color w:val="000000"/>
                <w:sz w:val="18"/>
                <w:szCs w:val="18"/>
              </w:rPr>
            </w:pPr>
            <w:r w:rsidRPr="00F31BEF">
              <w:rPr>
                <w:rFonts w:ascii="Calibri Light" w:eastAsia="Times New Roman" w:hAnsi="Calibri Light" w:cs="Calibri Light"/>
                <w:color w:val="000000"/>
                <w:sz w:val="18"/>
                <w:szCs w:val="18"/>
              </w:rPr>
              <w:t>Denumirea indicatorului</w:t>
            </w:r>
          </w:p>
        </w:tc>
        <w:tc>
          <w:tcPr>
            <w:tcW w:w="373" w:type="pct"/>
            <w:vMerge w:val="restart"/>
            <w:hideMark/>
          </w:tcPr>
          <w:p w14:paraId="190C2C57" w14:textId="0FB0E844" w:rsidR="004D49D4"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p w14:paraId="10CB32ED" w14:textId="2A3DE2B9" w:rsidR="004D49D4"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p w14:paraId="232F89D5" w14:textId="5854F4A3" w:rsidR="004D49D4"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p w14:paraId="4E39F1F2" w14:textId="5EF72F90" w:rsidR="004D49D4"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p w14:paraId="4BE88426" w14:textId="77777777" w:rsidR="004D49D4"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p w14:paraId="62A751C8" w14:textId="40B241C5" w:rsidR="00F31BEF" w:rsidRPr="00F31BEF" w:rsidRDefault="004D49D4"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rPr>
              <w:t xml:space="preserve"> la 01 ianuarie </w:t>
            </w:r>
            <w:r w:rsidR="00F31BEF" w:rsidRPr="00F31BEF">
              <w:rPr>
                <w:rFonts w:ascii="Calibri Light" w:eastAsia="Times New Roman" w:hAnsi="Calibri Light" w:cs="Calibri Light"/>
                <w:b/>
                <w:bCs/>
                <w:color w:val="000000"/>
                <w:sz w:val="18"/>
                <w:szCs w:val="18"/>
              </w:rPr>
              <w:t>2020</w:t>
            </w:r>
          </w:p>
        </w:tc>
        <w:tc>
          <w:tcPr>
            <w:tcW w:w="636" w:type="pct"/>
            <w:gridSpan w:val="2"/>
            <w:hideMark/>
          </w:tcPr>
          <w:p w14:paraId="47F95706" w14:textId="7C72AF7E" w:rsidR="00F31BEF" w:rsidRPr="00F31BEF" w:rsidRDefault="00F31BEF" w:rsidP="004D49D4">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 xml:space="preserve">Situația patrimonial-financiară </w:t>
            </w:r>
            <w:r w:rsidR="008E3B8F">
              <w:rPr>
                <w:rFonts w:ascii="Calibri Light" w:eastAsia="Times New Roman" w:hAnsi="Calibri Light" w:cs="Calibri Light"/>
                <w:b/>
                <w:bCs/>
                <w:color w:val="000000"/>
                <w:sz w:val="18"/>
                <w:szCs w:val="18"/>
              </w:rPr>
              <w:t xml:space="preserve">a </w:t>
            </w:r>
            <w:r w:rsidRPr="00F31BEF">
              <w:rPr>
                <w:rFonts w:ascii="Calibri Light" w:eastAsia="Times New Roman" w:hAnsi="Calibri Light" w:cs="Calibri Light"/>
                <w:b/>
                <w:bCs/>
                <w:color w:val="000000"/>
                <w:sz w:val="18"/>
                <w:szCs w:val="18"/>
              </w:rPr>
              <w:t>ISM</w:t>
            </w:r>
          </w:p>
        </w:tc>
        <w:tc>
          <w:tcPr>
            <w:tcW w:w="360" w:type="pct"/>
            <w:hideMark/>
          </w:tcPr>
          <w:p w14:paraId="438C5433" w14:textId="0DA86C03"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Devieri</w:t>
            </w:r>
            <w:r w:rsidR="004D49D4">
              <w:rPr>
                <w:rFonts w:ascii="Calibri Light" w:eastAsia="Times New Roman" w:hAnsi="Calibri Light" w:cs="Calibri Light"/>
                <w:b/>
                <w:bCs/>
                <w:color w:val="000000"/>
                <w:sz w:val="18"/>
                <w:szCs w:val="18"/>
              </w:rPr>
              <w:t xml:space="preserve"> </w:t>
            </w:r>
            <w:r w:rsidR="004D49D4" w:rsidRPr="00B52EC6">
              <w:rPr>
                <w:rFonts w:ascii="Calibri Light" w:eastAsia="Times New Roman" w:hAnsi="Calibri Light" w:cs="Calibri Light"/>
                <w:b/>
                <w:bCs/>
                <w:color w:val="000000"/>
                <w:sz w:val="18"/>
                <w:szCs w:val="18"/>
              </w:rPr>
              <w:t>dintre</w:t>
            </w:r>
            <w:r w:rsidR="004D49D4">
              <w:rPr>
                <w:rFonts w:ascii="Calibri Light" w:eastAsia="Times New Roman" w:hAnsi="Calibri Light" w:cs="Calibri Light"/>
                <w:b/>
                <w:bCs/>
                <w:color w:val="000000"/>
                <w:sz w:val="18"/>
                <w:szCs w:val="18"/>
              </w:rPr>
              <w:t xml:space="preserve"> 31.</w:t>
            </w:r>
            <w:r w:rsidR="003D27C7">
              <w:rPr>
                <w:rFonts w:ascii="Calibri Light" w:eastAsia="Times New Roman" w:hAnsi="Calibri Light" w:cs="Calibri Light"/>
                <w:b/>
                <w:bCs/>
                <w:color w:val="000000"/>
                <w:sz w:val="18"/>
                <w:szCs w:val="18"/>
              </w:rPr>
              <w:t>12.2020 și 31.12.2021</w:t>
            </w:r>
          </w:p>
        </w:tc>
        <w:tc>
          <w:tcPr>
            <w:tcW w:w="354" w:type="pct"/>
            <w:hideMark/>
          </w:tcPr>
          <w:p w14:paraId="79870C41" w14:textId="4317CF35"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657" w:type="pct"/>
            <w:gridSpan w:val="2"/>
            <w:hideMark/>
          </w:tcPr>
          <w:p w14:paraId="4CEE10C0" w14:textId="594E5BB9"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 xml:space="preserve">Situația patrimonial-financiară </w:t>
            </w:r>
            <w:r w:rsidR="008E3B8F">
              <w:rPr>
                <w:rFonts w:ascii="Calibri Light" w:eastAsia="Times New Roman" w:hAnsi="Calibri Light" w:cs="Calibri Light"/>
                <w:b/>
                <w:bCs/>
                <w:color w:val="000000"/>
                <w:sz w:val="18"/>
                <w:szCs w:val="18"/>
              </w:rPr>
              <w:t xml:space="preserve">a </w:t>
            </w:r>
            <w:r w:rsidRPr="00F31BEF">
              <w:rPr>
                <w:rFonts w:ascii="Calibri Light" w:eastAsia="Times New Roman" w:hAnsi="Calibri Light" w:cs="Calibri Light"/>
                <w:b/>
                <w:bCs/>
                <w:color w:val="000000"/>
                <w:sz w:val="18"/>
                <w:szCs w:val="18"/>
              </w:rPr>
              <w:t>INM</w:t>
            </w:r>
          </w:p>
        </w:tc>
        <w:tc>
          <w:tcPr>
            <w:tcW w:w="372" w:type="pct"/>
            <w:hideMark/>
          </w:tcPr>
          <w:p w14:paraId="64056865" w14:textId="4E5FB80F"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Devieri</w:t>
            </w:r>
            <w:r w:rsidR="003D27C7">
              <w:rPr>
                <w:rFonts w:ascii="Calibri Light" w:eastAsia="Times New Roman" w:hAnsi="Calibri Light" w:cs="Calibri Light"/>
                <w:b/>
                <w:bCs/>
                <w:color w:val="000000"/>
                <w:sz w:val="18"/>
                <w:szCs w:val="18"/>
              </w:rPr>
              <w:t xml:space="preserve"> </w:t>
            </w:r>
            <w:r w:rsidR="004D49D4" w:rsidRPr="00B52EC6">
              <w:rPr>
                <w:rFonts w:ascii="Calibri Light" w:eastAsia="Times New Roman" w:hAnsi="Calibri Light" w:cs="Calibri Light"/>
                <w:b/>
                <w:bCs/>
                <w:color w:val="000000"/>
                <w:sz w:val="18"/>
                <w:szCs w:val="18"/>
              </w:rPr>
              <w:t>dintre</w:t>
            </w:r>
            <w:r w:rsidR="004D49D4">
              <w:rPr>
                <w:rFonts w:ascii="Calibri Light" w:eastAsia="Times New Roman" w:hAnsi="Calibri Light" w:cs="Calibri Light"/>
                <w:b/>
                <w:bCs/>
                <w:color w:val="000000"/>
                <w:sz w:val="18"/>
                <w:szCs w:val="18"/>
              </w:rPr>
              <w:t xml:space="preserve"> 31.</w:t>
            </w:r>
            <w:r w:rsidR="003D27C7">
              <w:rPr>
                <w:rFonts w:ascii="Calibri Light" w:eastAsia="Times New Roman" w:hAnsi="Calibri Light" w:cs="Calibri Light"/>
                <w:b/>
                <w:bCs/>
                <w:color w:val="000000"/>
                <w:sz w:val="18"/>
                <w:szCs w:val="18"/>
              </w:rPr>
              <w:t>12.2020 și 31.12.2021</w:t>
            </w:r>
          </w:p>
        </w:tc>
        <w:tc>
          <w:tcPr>
            <w:tcW w:w="354" w:type="pct"/>
            <w:hideMark/>
          </w:tcPr>
          <w:p w14:paraId="3E82D1F1" w14:textId="76FA6AB6"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636" w:type="pct"/>
            <w:gridSpan w:val="2"/>
            <w:hideMark/>
          </w:tcPr>
          <w:p w14:paraId="3BBCEFEE" w14:textId="7B2BA7C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 xml:space="preserve">Situația patrimonial-financiară </w:t>
            </w:r>
            <w:r w:rsidR="008E3B8F">
              <w:rPr>
                <w:rFonts w:ascii="Calibri Light" w:eastAsia="Times New Roman" w:hAnsi="Calibri Light" w:cs="Calibri Light"/>
                <w:b/>
                <w:bCs/>
                <w:color w:val="000000"/>
                <w:sz w:val="18"/>
                <w:szCs w:val="18"/>
              </w:rPr>
              <w:t xml:space="preserve">a </w:t>
            </w:r>
            <w:r w:rsidRPr="00F31BEF">
              <w:rPr>
                <w:rFonts w:ascii="Calibri Light" w:eastAsia="Times New Roman" w:hAnsi="Calibri Light" w:cs="Calibri Light"/>
                <w:b/>
                <w:bCs/>
                <w:color w:val="000000"/>
                <w:sz w:val="18"/>
                <w:szCs w:val="18"/>
              </w:rPr>
              <w:t>MOLDAC</w:t>
            </w:r>
          </w:p>
        </w:tc>
        <w:tc>
          <w:tcPr>
            <w:tcW w:w="362" w:type="pct"/>
            <w:hideMark/>
          </w:tcPr>
          <w:p w14:paraId="5A4D4E15" w14:textId="40B44F4B"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Devieri</w:t>
            </w:r>
            <w:r w:rsidR="003D27C7">
              <w:rPr>
                <w:rFonts w:ascii="Calibri Light" w:eastAsia="Times New Roman" w:hAnsi="Calibri Light" w:cs="Calibri Light"/>
                <w:b/>
                <w:bCs/>
                <w:color w:val="000000"/>
                <w:sz w:val="18"/>
                <w:szCs w:val="18"/>
              </w:rPr>
              <w:t xml:space="preserve"> </w:t>
            </w:r>
            <w:r w:rsidR="004D49D4" w:rsidRPr="00B52EC6">
              <w:rPr>
                <w:rFonts w:ascii="Calibri Light" w:eastAsia="Times New Roman" w:hAnsi="Calibri Light" w:cs="Calibri Light"/>
                <w:b/>
                <w:bCs/>
                <w:color w:val="000000"/>
                <w:sz w:val="18"/>
                <w:szCs w:val="18"/>
              </w:rPr>
              <w:t>dintre</w:t>
            </w:r>
            <w:r w:rsidR="004D49D4">
              <w:rPr>
                <w:rFonts w:ascii="Calibri Light" w:eastAsia="Times New Roman" w:hAnsi="Calibri Light" w:cs="Calibri Light"/>
                <w:b/>
                <w:bCs/>
                <w:color w:val="000000"/>
                <w:sz w:val="18"/>
                <w:szCs w:val="18"/>
              </w:rPr>
              <w:t xml:space="preserve"> 31.</w:t>
            </w:r>
            <w:r w:rsidR="003D27C7">
              <w:rPr>
                <w:rFonts w:ascii="Calibri Light" w:eastAsia="Times New Roman" w:hAnsi="Calibri Light" w:cs="Calibri Light"/>
                <w:b/>
                <w:bCs/>
                <w:color w:val="000000"/>
                <w:sz w:val="18"/>
                <w:szCs w:val="18"/>
              </w:rPr>
              <w:t>12.2020 și 31.12.2021</w:t>
            </w:r>
          </w:p>
        </w:tc>
      </w:tr>
      <w:tr w:rsidR="003D27C7" w:rsidRPr="00F31BEF" w14:paraId="5C5CDF8B" w14:textId="77777777" w:rsidTr="004D49D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896" w:type="pct"/>
            <w:vMerge/>
            <w:hideMark/>
          </w:tcPr>
          <w:p w14:paraId="7DA010C7" w14:textId="77777777" w:rsidR="00F31BEF" w:rsidRPr="00F31BEF" w:rsidRDefault="00F31BEF" w:rsidP="00F31BEF">
            <w:pPr>
              <w:rPr>
                <w:rFonts w:ascii="Calibri Light" w:eastAsia="Times New Roman" w:hAnsi="Calibri Light" w:cs="Calibri Light"/>
                <w:color w:val="000000"/>
                <w:sz w:val="18"/>
                <w:szCs w:val="18"/>
              </w:rPr>
            </w:pPr>
          </w:p>
        </w:tc>
        <w:tc>
          <w:tcPr>
            <w:tcW w:w="373" w:type="pct"/>
            <w:vMerge/>
            <w:hideMark/>
          </w:tcPr>
          <w:p w14:paraId="00B08F2B"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p>
        </w:tc>
        <w:tc>
          <w:tcPr>
            <w:tcW w:w="318" w:type="pct"/>
            <w:hideMark/>
          </w:tcPr>
          <w:p w14:paraId="1071154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2020</w:t>
            </w:r>
          </w:p>
        </w:tc>
        <w:tc>
          <w:tcPr>
            <w:tcW w:w="317" w:type="pct"/>
            <w:hideMark/>
          </w:tcPr>
          <w:p w14:paraId="5D490DA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2021</w:t>
            </w:r>
          </w:p>
        </w:tc>
        <w:tc>
          <w:tcPr>
            <w:tcW w:w="360" w:type="pct"/>
            <w:hideMark/>
          </w:tcPr>
          <w:p w14:paraId="569E4128"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p>
        </w:tc>
        <w:tc>
          <w:tcPr>
            <w:tcW w:w="354" w:type="pct"/>
            <w:hideMark/>
          </w:tcPr>
          <w:p w14:paraId="10369093" w14:textId="27FE3AF9" w:rsidR="00F31BEF" w:rsidRPr="00F31BEF" w:rsidRDefault="004D49D4"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rPr>
              <w:t xml:space="preserve">la 01 ianuarie </w:t>
            </w:r>
            <w:r w:rsidRPr="00F31BEF">
              <w:rPr>
                <w:rFonts w:ascii="Calibri Light" w:eastAsia="Times New Roman" w:hAnsi="Calibri Light" w:cs="Calibri Light"/>
                <w:b/>
                <w:bCs/>
                <w:color w:val="000000"/>
                <w:sz w:val="18"/>
                <w:szCs w:val="18"/>
              </w:rPr>
              <w:t>2020</w:t>
            </w:r>
          </w:p>
        </w:tc>
        <w:tc>
          <w:tcPr>
            <w:tcW w:w="327" w:type="pct"/>
            <w:hideMark/>
          </w:tcPr>
          <w:p w14:paraId="1855003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2020</w:t>
            </w:r>
          </w:p>
        </w:tc>
        <w:tc>
          <w:tcPr>
            <w:tcW w:w="330" w:type="pct"/>
            <w:hideMark/>
          </w:tcPr>
          <w:p w14:paraId="0FF6FDC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2021</w:t>
            </w:r>
          </w:p>
        </w:tc>
        <w:tc>
          <w:tcPr>
            <w:tcW w:w="372" w:type="pct"/>
            <w:hideMark/>
          </w:tcPr>
          <w:p w14:paraId="11727810"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p>
        </w:tc>
        <w:tc>
          <w:tcPr>
            <w:tcW w:w="354" w:type="pct"/>
            <w:hideMark/>
          </w:tcPr>
          <w:p w14:paraId="6F74BD33" w14:textId="1D40CC25" w:rsidR="00F31BEF" w:rsidRPr="00F31BEF" w:rsidRDefault="004D49D4"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rPr>
              <w:t xml:space="preserve"> la 01 ianuarie </w:t>
            </w:r>
            <w:r w:rsidRPr="00F31BEF">
              <w:rPr>
                <w:rFonts w:ascii="Calibri Light" w:eastAsia="Times New Roman" w:hAnsi="Calibri Light" w:cs="Calibri Light"/>
                <w:b/>
                <w:bCs/>
                <w:color w:val="000000"/>
                <w:sz w:val="18"/>
                <w:szCs w:val="18"/>
              </w:rPr>
              <w:t>2020</w:t>
            </w:r>
          </w:p>
        </w:tc>
        <w:tc>
          <w:tcPr>
            <w:tcW w:w="317" w:type="pct"/>
            <w:hideMark/>
          </w:tcPr>
          <w:p w14:paraId="6C8B40FD"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2020</w:t>
            </w:r>
          </w:p>
        </w:tc>
        <w:tc>
          <w:tcPr>
            <w:tcW w:w="318" w:type="pct"/>
            <w:hideMark/>
          </w:tcPr>
          <w:p w14:paraId="354926A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F31BEF">
              <w:rPr>
                <w:rFonts w:ascii="Calibri Light" w:eastAsia="Times New Roman" w:hAnsi="Calibri Light" w:cs="Calibri Light"/>
                <w:b/>
                <w:bCs/>
                <w:color w:val="000000"/>
                <w:sz w:val="18"/>
                <w:szCs w:val="18"/>
              </w:rPr>
              <w:t>la 31 decembrie 2021</w:t>
            </w:r>
          </w:p>
        </w:tc>
        <w:tc>
          <w:tcPr>
            <w:tcW w:w="362" w:type="pct"/>
            <w:hideMark/>
          </w:tcPr>
          <w:p w14:paraId="525D323B"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p>
        </w:tc>
      </w:tr>
      <w:tr w:rsidR="003D27C7" w:rsidRPr="00F31BEF" w14:paraId="3A65FD90" w14:textId="77777777" w:rsidTr="004D49D4">
        <w:trPr>
          <w:trHeight w:val="432"/>
        </w:trPr>
        <w:tc>
          <w:tcPr>
            <w:cnfStyle w:val="001000000000" w:firstRow="0" w:lastRow="0" w:firstColumn="1" w:lastColumn="0" w:oddVBand="0" w:evenVBand="0" w:oddHBand="0" w:evenHBand="0" w:firstRowFirstColumn="0" w:firstRowLastColumn="0" w:lastRowFirstColumn="0" w:lastRowLastColumn="0"/>
            <w:tcW w:w="896" w:type="pct"/>
            <w:hideMark/>
          </w:tcPr>
          <w:p w14:paraId="71F8B6BA" w14:textId="57CE42C3"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Active imobilizate, TOTAL</w:t>
            </w:r>
            <w:r w:rsidR="00122169">
              <w:rPr>
                <w:rFonts w:ascii="Calibri Light" w:eastAsia="Times New Roman" w:hAnsi="Calibri Light" w:cs="Calibri Light"/>
                <w:color w:val="000000"/>
                <w:sz w:val="20"/>
                <w:szCs w:val="20"/>
              </w:rPr>
              <w:t xml:space="preserve"> </w:t>
            </w:r>
            <w:r w:rsidRPr="00F31BEF">
              <w:rPr>
                <w:rFonts w:ascii="Calibri Light" w:eastAsia="Times New Roman" w:hAnsi="Calibri Light" w:cs="Calibri Light"/>
                <w:color w:val="000000"/>
                <w:sz w:val="20"/>
                <w:szCs w:val="20"/>
              </w:rPr>
              <w:t>:</w:t>
            </w:r>
          </w:p>
        </w:tc>
        <w:tc>
          <w:tcPr>
            <w:tcW w:w="373" w:type="pct"/>
            <w:hideMark/>
          </w:tcPr>
          <w:p w14:paraId="6D86F89A"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xml:space="preserve"> 5.538,91   </w:t>
            </w:r>
          </w:p>
        </w:tc>
        <w:tc>
          <w:tcPr>
            <w:tcW w:w="318" w:type="pct"/>
            <w:hideMark/>
          </w:tcPr>
          <w:p w14:paraId="6DFC0FAC"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5.081,31</w:t>
            </w:r>
          </w:p>
        </w:tc>
        <w:tc>
          <w:tcPr>
            <w:tcW w:w="317" w:type="pct"/>
            <w:hideMark/>
          </w:tcPr>
          <w:p w14:paraId="79F230B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4.609,62</w:t>
            </w:r>
          </w:p>
        </w:tc>
        <w:tc>
          <w:tcPr>
            <w:tcW w:w="360" w:type="pct"/>
            <w:hideMark/>
          </w:tcPr>
          <w:p w14:paraId="5B42F634"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-471,69</w:t>
            </w:r>
          </w:p>
        </w:tc>
        <w:tc>
          <w:tcPr>
            <w:tcW w:w="354" w:type="pct"/>
            <w:hideMark/>
          </w:tcPr>
          <w:p w14:paraId="32EC052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25.536,58</w:t>
            </w:r>
          </w:p>
        </w:tc>
        <w:tc>
          <w:tcPr>
            <w:tcW w:w="327" w:type="pct"/>
            <w:hideMark/>
          </w:tcPr>
          <w:p w14:paraId="238D8D7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21.017,20</w:t>
            </w:r>
          </w:p>
        </w:tc>
        <w:tc>
          <w:tcPr>
            <w:tcW w:w="330" w:type="pct"/>
            <w:hideMark/>
          </w:tcPr>
          <w:p w14:paraId="0878FD34"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20.726,40</w:t>
            </w:r>
          </w:p>
        </w:tc>
        <w:tc>
          <w:tcPr>
            <w:tcW w:w="372" w:type="pct"/>
            <w:hideMark/>
          </w:tcPr>
          <w:p w14:paraId="249667B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-290,80</w:t>
            </w:r>
          </w:p>
        </w:tc>
        <w:tc>
          <w:tcPr>
            <w:tcW w:w="354" w:type="pct"/>
            <w:hideMark/>
          </w:tcPr>
          <w:p w14:paraId="3916B22D"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267,18</w:t>
            </w:r>
          </w:p>
        </w:tc>
        <w:tc>
          <w:tcPr>
            <w:tcW w:w="317" w:type="pct"/>
            <w:hideMark/>
          </w:tcPr>
          <w:p w14:paraId="36BE2D2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583,13</w:t>
            </w:r>
          </w:p>
        </w:tc>
        <w:tc>
          <w:tcPr>
            <w:tcW w:w="318" w:type="pct"/>
            <w:hideMark/>
          </w:tcPr>
          <w:p w14:paraId="38D6417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1.032,29</w:t>
            </w:r>
          </w:p>
        </w:tc>
        <w:tc>
          <w:tcPr>
            <w:tcW w:w="362" w:type="pct"/>
            <w:hideMark/>
          </w:tcPr>
          <w:p w14:paraId="0E99B94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449,16</w:t>
            </w:r>
          </w:p>
        </w:tc>
      </w:tr>
      <w:tr w:rsidR="003D27C7" w:rsidRPr="00F31BEF" w14:paraId="3E82597C" w14:textId="77777777" w:rsidTr="004D49D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96" w:type="pct"/>
            <w:hideMark/>
          </w:tcPr>
          <w:p w14:paraId="75BD4132"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Imobilizări necorporale</w:t>
            </w:r>
          </w:p>
        </w:tc>
        <w:tc>
          <w:tcPr>
            <w:tcW w:w="373" w:type="pct"/>
            <w:hideMark/>
          </w:tcPr>
          <w:p w14:paraId="787B0ABB"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1.633,13   </w:t>
            </w:r>
          </w:p>
        </w:tc>
        <w:tc>
          <w:tcPr>
            <w:tcW w:w="318" w:type="pct"/>
            <w:hideMark/>
          </w:tcPr>
          <w:p w14:paraId="2357939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1.398,70</w:t>
            </w:r>
          </w:p>
        </w:tc>
        <w:tc>
          <w:tcPr>
            <w:tcW w:w="317" w:type="pct"/>
            <w:hideMark/>
          </w:tcPr>
          <w:p w14:paraId="71C67BE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1.097,21</w:t>
            </w:r>
          </w:p>
        </w:tc>
        <w:tc>
          <w:tcPr>
            <w:tcW w:w="360" w:type="pct"/>
            <w:hideMark/>
          </w:tcPr>
          <w:p w14:paraId="668BF12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-301,49</w:t>
            </w:r>
          </w:p>
        </w:tc>
        <w:tc>
          <w:tcPr>
            <w:tcW w:w="354" w:type="pct"/>
            <w:hideMark/>
          </w:tcPr>
          <w:p w14:paraId="21B06E9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770,51</w:t>
            </w:r>
          </w:p>
        </w:tc>
        <w:tc>
          <w:tcPr>
            <w:tcW w:w="327" w:type="pct"/>
            <w:hideMark/>
          </w:tcPr>
          <w:p w14:paraId="0890756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395,80</w:t>
            </w:r>
          </w:p>
        </w:tc>
        <w:tc>
          <w:tcPr>
            <w:tcW w:w="330" w:type="pct"/>
            <w:hideMark/>
          </w:tcPr>
          <w:p w14:paraId="28F38C6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361,46</w:t>
            </w:r>
          </w:p>
        </w:tc>
        <w:tc>
          <w:tcPr>
            <w:tcW w:w="372" w:type="pct"/>
            <w:hideMark/>
          </w:tcPr>
          <w:p w14:paraId="225E7C4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-34,34</w:t>
            </w:r>
          </w:p>
        </w:tc>
        <w:tc>
          <w:tcPr>
            <w:tcW w:w="354" w:type="pct"/>
            <w:hideMark/>
          </w:tcPr>
          <w:p w14:paraId="1DD1708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17" w:type="pct"/>
            <w:hideMark/>
          </w:tcPr>
          <w:p w14:paraId="06D5C2C2"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216,43</w:t>
            </w:r>
          </w:p>
        </w:tc>
        <w:tc>
          <w:tcPr>
            <w:tcW w:w="318" w:type="pct"/>
            <w:hideMark/>
          </w:tcPr>
          <w:p w14:paraId="519D414D"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231,21</w:t>
            </w:r>
          </w:p>
        </w:tc>
        <w:tc>
          <w:tcPr>
            <w:tcW w:w="362" w:type="pct"/>
            <w:hideMark/>
          </w:tcPr>
          <w:p w14:paraId="18DF02FD"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14,78</w:t>
            </w:r>
          </w:p>
        </w:tc>
      </w:tr>
      <w:tr w:rsidR="003D27C7" w:rsidRPr="00F31BEF" w14:paraId="6491CBED" w14:textId="77777777" w:rsidTr="004D49D4">
        <w:trPr>
          <w:trHeight w:val="279"/>
        </w:trPr>
        <w:tc>
          <w:tcPr>
            <w:cnfStyle w:val="001000000000" w:firstRow="0" w:lastRow="0" w:firstColumn="1" w:lastColumn="0" w:oddVBand="0" w:evenVBand="0" w:oddHBand="0" w:evenHBand="0" w:firstRowFirstColumn="0" w:firstRowLastColumn="0" w:lastRowFirstColumn="0" w:lastRowLastColumn="0"/>
            <w:tcW w:w="896" w:type="pct"/>
            <w:hideMark/>
          </w:tcPr>
          <w:p w14:paraId="29AFBF04"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Imobilizări corporale</w:t>
            </w:r>
          </w:p>
        </w:tc>
        <w:tc>
          <w:tcPr>
            <w:tcW w:w="373" w:type="pct"/>
            <w:hideMark/>
          </w:tcPr>
          <w:p w14:paraId="563FD58B" w14:textId="77777777" w:rsidR="00F31BEF" w:rsidRPr="00F31BEF" w:rsidRDefault="00F31BEF" w:rsidP="00F31BEF">
            <w:pPr>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3.841,40   </w:t>
            </w:r>
          </w:p>
        </w:tc>
        <w:tc>
          <w:tcPr>
            <w:tcW w:w="318" w:type="pct"/>
            <w:hideMark/>
          </w:tcPr>
          <w:p w14:paraId="69F00E3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3.650,50</w:t>
            </w:r>
          </w:p>
        </w:tc>
        <w:tc>
          <w:tcPr>
            <w:tcW w:w="317" w:type="pct"/>
            <w:hideMark/>
          </w:tcPr>
          <w:p w14:paraId="395E09DB"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3.480,30</w:t>
            </w:r>
          </w:p>
        </w:tc>
        <w:tc>
          <w:tcPr>
            <w:tcW w:w="360" w:type="pct"/>
            <w:hideMark/>
          </w:tcPr>
          <w:p w14:paraId="67ACE109"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-170,20</w:t>
            </w:r>
          </w:p>
        </w:tc>
        <w:tc>
          <w:tcPr>
            <w:tcW w:w="354" w:type="pct"/>
            <w:hideMark/>
          </w:tcPr>
          <w:p w14:paraId="6E42053C"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24.766,07</w:t>
            </w:r>
          </w:p>
        </w:tc>
        <w:tc>
          <w:tcPr>
            <w:tcW w:w="327" w:type="pct"/>
            <w:hideMark/>
          </w:tcPr>
          <w:p w14:paraId="75CFCF5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20.621,40</w:t>
            </w:r>
          </w:p>
        </w:tc>
        <w:tc>
          <w:tcPr>
            <w:tcW w:w="330" w:type="pct"/>
            <w:hideMark/>
          </w:tcPr>
          <w:p w14:paraId="40536407"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20.364,94</w:t>
            </w:r>
          </w:p>
        </w:tc>
        <w:tc>
          <w:tcPr>
            <w:tcW w:w="372" w:type="pct"/>
            <w:hideMark/>
          </w:tcPr>
          <w:p w14:paraId="5A312567"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-256,46</w:t>
            </w:r>
          </w:p>
        </w:tc>
        <w:tc>
          <w:tcPr>
            <w:tcW w:w="354" w:type="pct"/>
            <w:hideMark/>
          </w:tcPr>
          <w:p w14:paraId="2A74B77C"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267,18</w:t>
            </w:r>
          </w:p>
        </w:tc>
        <w:tc>
          <w:tcPr>
            <w:tcW w:w="317" w:type="pct"/>
            <w:hideMark/>
          </w:tcPr>
          <w:p w14:paraId="5AAFEC6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366,70</w:t>
            </w:r>
          </w:p>
        </w:tc>
        <w:tc>
          <w:tcPr>
            <w:tcW w:w="318" w:type="pct"/>
            <w:hideMark/>
          </w:tcPr>
          <w:p w14:paraId="2A0E36B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801,08</w:t>
            </w:r>
          </w:p>
        </w:tc>
        <w:tc>
          <w:tcPr>
            <w:tcW w:w="362" w:type="pct"/>
            <w:hideMark/>
          </w:tcPr>
          <w:p w14:paraId="7E56D76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434,38</w:t>
            </w:r>
          </w:p>
        </w:tc>
      </w:tr>
      <w:tr w:rsidR="003D27C7" w:rsidRPr="00F31BEF" w14:paraId="3C32C736" w14:textId="77777777" w:rsidTr="004D49D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96" w:type="pct"/>
            <w:hideMark/>
          </w:tcPr>
          <w:p w14:paraId="484930B8"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Creanțe pe termen lung și alte active imobilizate</w:t>
            </w:r>
          </w:p>
        </w:tc>
        <w:tc>
          <w:tcPr>
            <w:tcW w:w="373" w:type="pct"/>
            <w:hideMark/>
          </w:tcPr>
          <w:p w14:paraId="3ADED2B8"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64,38   </w:t>
            </w:r>
          </w:p>
        </w:tc>
        <w:tc>
          <w:tcPr>
            <w:tcW w:w="318" w:type="pct"/>
            <w:hideMark/>
          </w:tcPr>
          <w:p w14:paraId="1146A873"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32,11</w:t>
            </w:r>
          </w:p>
        </w:tc>
        <w:tc>
          <w:tcPr>
            <w:tcW w:w="317" w:type="pct"/>
            <w:hideMark/>
          </w:tcPr>
          <w:p w14:paraId="5EB901D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32,11</w:t>
            </w:r>
          </w:p>
        </w:tc>
        <w:tc>
          <w:tcPr>
            <w:tcW w:w="360" w:type="pct"/>
            <w:hideMark/>
          </w:tcPr>
          <w:p w14:paraId="7A87980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54" w:type="pct"/>
            <w:hideMark/>
          </w:tcPr>
          <w:p w14:paraId="3EE0FE7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27" w:type="pct"/>
            <w:hideMark/>
          </w:tcPr>
          <w:p w14:paraId="5890049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30" w:type="pct"/>
            <w:hideMark/>
          </w:tcPr>
          <w:p w14:paraId="280DB08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72" w:type="pct"/>
            <w:hideMark/>
          </w:tcPr>
          <w:p w14:paraId="303A45C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54" w:type="pct"/>
            <w:hideMark/>
          </w:tcPr>
          <w:p w14:paraId="469373C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7" w:type="pct"/>
            <w:hideMark/>
          </w:tcPr>
          <w:p w14:paraId="21CD71A3"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hideMark/>
          </w:tcPr>
          <w:p w14:paraId="618D339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62" w:type="pct"/>
            <w:hideMark/>
          </w:tcPr>
          <w:p w14:paraId="0101C6C3"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r>
      <w:tr w:rsidR="003D27C7" w:rsidRPr="00F31BEF" w14:paraId="69CB7266" w14:textId="77777777" w:rsidTr="004D49D4">
        <w:trPr>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14:paraId="03112815"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Active circulante, TOTAL:</w:t>
            </w:r>
          </w:p>
        </w:tc>
        <w:tc>
          <w:tcPr>
            <w:tcW w:w="373" w:type="pct"/>
            <w:hideMark/>
          </w:tcPr>
          <w:p w14:paraId="443B54D1"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xml:space="preserve"> 2.632,45   </w:t>
            </w:r>
          </w:p>
        </w:tc>
        <w:tc>
          <w:tcPr>
            <w:tcW w:w="318" w:type="pct"/>
            <w:hideMark/>
          </w:tcPr>
          <w:p w14:paraId="3331AFB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3.182,54</w:t>
            </w:r>
          </w:p>
        </w:tc>
        <w:tc>
          <w:tcPr>
            <w:tcW w:w="317" w:type="pct"/>
            <w:hideMark/>
          </w:tcPr>
          <w:p w14:paraId="142DFB0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3.157,92</w:t>
            </w:r>
          </w:p>
        </w:tc>
        <w:tc>
          <w:tcPr>
            <w:tcW w:w="360" w:type="pct"/>
            <w:hideMark/>
          </w:tcPr>
          <w:p w14:paraId="4303502C"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-24,62</w:t>
            </w:r>
          </w:p>
        </w:tc>
        <w:tc>
          <w:tcPr>
            <w:tcW w:w="354" w:type="pct"/>
            <w:hideMark/>
          </w:tcPr>
          <w:p w14:paraId="712776A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3.092,59</w:t>
            </w:r>
          </w:p>
        </w:tc>
        <w:tc>
          <w:tcPr>
            <w:tcW w:w="327" w:type="pct"/>
            <w:hideMark/>
          </w:tcPr>
          <w:p w14:paraId="12000099"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6.373,04</w:t>
            </w:r>
          </w:p>
        </w:tc>
        <w:tc>
          <w:tcPr>
            <w:tcW w:w="330" w:type="pct"/>
            <w:hideMark/>
          </w:tcPr>
          <w:p w14:paraId="2523A0E9"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5.380,16</w:t>
            </w:r>
          </w:p>
        </w:tc>
        <w:tc>
          <w:tcPr>
            <w:tcW w:w="372" w:type="pct"/>
            <w:hideMark/>
          </w:tcPr>
          <w:p w14:paraId="62E0CE6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-992,88</w:t>
            </w:r>
          </w:p>
        </w:tc>
        <w:tc>
          <w:tcPr>
            <w:tcW w:w="354" w:type="pct"/>
            <w:hideMark/>
          </w:tcPr>
          <w:p w14:paraId="655A40D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762,12</w:t>
            </w:r>
          </w:p>
        </w:tc>
        <w:tc>
          <w:tcPr>
            <w:tcW w:w="317" w:type="pct"/>
            <w:hideMark/>
          </w:tcPr>
          <w:p w14:paraId="5277787D"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1.223,96</w:t>
            </w:r>
          </w:p>
        </w:tc>
        <w:tc>
          <w:tcPr>
            <w:tcW w:w="318" w:type="pct"/>
            <w:hideMark/>
          </w:tcPr>
          <w:p w14:paraId="4C56263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656,00</w:t>
            </w:r>
          </w:p>
        </w:tc>
        <w:tc>
          <w:tcPr>
            <w:tcW w:w="362" w:type="pct"/>
            <w:hideMark/>
          </w:tcPr>
          <w:p w14:paraId="20048E1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-567,96</w:t>
            </w:r>
          </w:p>
        </w:tc>
      </w:tr>
      <w:tr w:rsidR="003D27C7" w:rsidRPr="00F31BEF" w14:paraId="4A6C146B" w14:textId="77777777" w:rsidTr="004D4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3CF0AACA"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Stocuri</w:t>
            </w:r>
          </w:p>
        </w:tc>
        <w:tc>
          <w:tcPr>
            <w:tcW w:w="373" w:type="pct"/>
            <w:hideMark/>
          </w:tcPr>
          <w:p w14:paraId="77D4EB42"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254,10   </w:t>
            </w:r>
          </w:p>
        </w:tc>
        <w:tc>
          <w:tcPr>
            <w:tcW w:w="318" w:type="pct"/>
            <w:hideMark/>
          </w:tcPr>
          <w:p w14:paraId="3E52480D"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266,41</w:t>
            </w:r>
          </w:p>
        </w:tc>
        <w:tc>
          <w:tcPr>
            <w:tcW w:w="317" w:type="pct"/>
            <w:hideMark/>
          </w:tcPr>
          <w:p w14:paraId="75A2E4F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280,21</w:t>
            </w:r>
          </w:p>
        </w:tc>
        <w:tc>
          <w:tcPr>
            <w:tcW w:w="360" w:type="pct"/>
            <w:hideMark/>
          </w:tcPr>
          <w:p w14:paraId="053724E3"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13,80</w:t>
            </w:r>
          </w:p>
        </w:tc>
        <w:tc>
          <w:tcPr>
            <w:tcW w:w="354" w:type="pct"/>
            <w:hideMark/>
          </w:tcPr>
          <w:p w14:paraId="2F8ED8D4"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579,48</w:t>
            </w:r>
          </w:p>
        </w:tc>
        <w:tc>
          <w:tcPr>
            <w:tcW w:w="327" w:type="pct"/>
            <w:hideMark/>
          </w:tcPr>
          <w:p w14:paraId="162117F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644,53</w:t>
            </w:r>
          </w:p>
        </w:tc>
        <w:tc>
          <w:tcPr>
            <w:tcW w:w="330" w:type="pct"/>
            <w:hideMark/>
          </w:tcPr>
          <w:p w14:paraId="0EA1BF4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858,60</w:t>
            </w:r>
          </w:p>
        </w:tc>
        <w:tc>
          <w:tcPr>
            <w:tcW w:w="372" w:type="pct"/>
            <w:hideMark/>
          </w:tcPr>
          <w:p w14:paraId="6E34622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214,07</w:t>
            </w:r>
          </w:p>
        </w:tc>
        <w:tc>
          <w:tcPr>
            <w:tcW w:w="354" w:type="pct"/>
            <w:hideMark/>
          </w:tcPr>
          <w:p w14:paraId="6AA778E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98,89</w:t>
            </w:r>
          </w:p>
        </w:tc>
        <w:tc>
          <w:tcPr>
            <w:tcW w:w="317" w:type="pct"/>
            <w:hideMark/>
          </w:tcPr>
          <w:p w14:paraId="35D6B31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348,41</w:t>
            </w:r>
          </w:p>
        </w:tc>
        <w:tc>
          <w:tcPr>
            <w:tcW w:w="318" w:type="pct"/>
            <w:hideMark/>
          </w:tcPr>
          <w:p w14:paraId="08A1BD3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91,32</w:t>
            </w:r>
          </w:p>
        </w:tc>
        <w:tc>
          <w:tcPr>
            <w:tcW w:w="362" w:type="pct"/>
            <w:hideMark/>
          </w:tcPr>
          <w:p w14:paraId="3FE4DFD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-257,09</w:t>
            </w:r>
          </w:p>
        </w:tc>
      </w:tr>
      <w:tr w:rsidR="003D27C7" w:rsidRPr="00F31BEF" w14:paraId="4D2C8B1F" w14:textId="77777777" w:rsidTr="004D49D4">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2F583A7E"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Creanțe comerciale curente</w:t>
            </w:r>
          </w:p>
        </w:tc>
        <w:tc>
          <w:tcPr>
            <w:tcW w:w="373" w:type="pct"/>
            <w:hideMark/>
          </w:tcPr>
          <w:p w14:paraId="66C8C3A5" w14:textId="77777777" w:rsidR="00F31BEF" w:rsidRPr="00F31BEF" w:rsidRDefault="00F31BEF" w:rsidP="00F31BEF">
            <w:pPr>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0,03   </w:t>
            </w:r>
          </w:p>
        </w:tc>
        <w:tc>
          <w:tcPr>
            <w:tcW w:w="318" w:type="pct"/>
            <w:hideMark/>
          </w:tcPr>
          <w:p w14:paraId="3F0682E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0,03</w:t>
            </w:r>
          </w:p>
        </w:tc>
        <w:tc>
          <w:tcPr>
            <w:tcW w:w="317" w:type="pct"/>
            <w:hideMark/>
          </w:tcPr>
          <w:p w14:paraId="77D8E2A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60" w:type="pct"/>
            <w:hideMark/>
          </w:tcPr>
          <w:p w14:paraId="567D3CB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-0,03</w:t>
            </w:r>
          </w:p>
        </w:tc>
        <w:tc>
          <w:tcPr>
            <w:tcW w:w="354" w:type="pct"/>
            <w:hideMark/>
          </w:tcPr>
          <w:p w14:paraId="1D8E72E0"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91,39</w:t>
            </w:r>
          </w:p>
        </w:tc>
        <w:tc>
          <w:tcPr>
            <w:tcW w:w="327" w:type="pct"/>
            <w:hideMark/>
          </w:tcPr>
          <w:p w14:paraId="7CD9B8A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121,54</w:t>
            </w:r>
          </w:p>
        </w:tc>
        <w:tc>
          <w:tcPr>
            <w:tcW w:w="330" w:type="pct"/>
            <w:hideMark/>
          </w:tcPr>
          <w:p w14:paraId="478E41ED"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123,50</w:t>
            </w:r>
          </w:p>
        </w:tc>
        <w:tc>
          <w:tcPr>
            <w:tcW w:w="372" w:type="pct"/>
            <w:hideMark/>
          </w:tcPr>
          <w:p w14:paraId="3783F7C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1,96</w:t>
            </w:r>
          </w:p>
        </w:tc>
        <w:tc>
          <w:tcPr>
            <w:tcW w:w="354" w:type="pct"/>
            <w:hideMark/>
          </w:tcPr>
          <w:p w14:paraId="5CC5E04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21,99</w:t>
            </w:r>
          </w:p>
        </w:tc>
        <w:tc>
          <w:tcPr>
            <w:tcW w:w="317" w:type="pct"/>
            <w:hideMark/>
          </w:tcPr>
          <w:p w14:paraId="2E3A63E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25,11</w:t>
            </w:r>
          </w:p>
        </w:tc>
        <w:tc>
          <w:tcPr>
            <w:tcW w:w="318" w:type="pct"/>
            <w:hideMark/>
          </w:tcPr>
          <w:p w14:paraId="111779C6"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92,00</w:t>
            </w:r>
          </w:p>
        </w:tc>
        <w:tc>
          <w:tcPr>
            <w:tcW w:w="362" w:type="pct"/>
            <w:hideMark/>
          </w:tcPr>
          <w:p w14:paraId="4CA7672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66,89</w:t>
            </w:r>
          </w:p>
        </w:tc>
      </w:tr>
      <w:tr w:rsidR="003D27C7" w:rsidRPr="00F31BEF" w14:paraId="537A5199" w14:textId="77777777" w:rsidTr="004D4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40E20332"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Creanțe ale bugetului</w:t>
            </w:r>
          </w:p>
        </w:tc>
        <w:tc>
          <w:tcPr>
            <w:tcW w:w="373" w:type="pct"/>
            <w:hideMark/>
          </w:tcPr>
          <w:p w14:paraId="39A17453"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hideMark/>
          </w:tcPr>
          <w:p w14:paraId="01F861D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7" w:type="pct"/>
            <w:hideMark/>
          </w:tcPr>
          <w:p w14:paraId="30CECFE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60" w:type="pct"/>
            <w:hideMark/>
          </w:tcPr>
          <w:p w14:paraId="090A6D0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54" w:type="pct"/>
            <w:hideMark/>
          </w:tcPr>
          <w:p w14:paraId="700527B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7,10</w:t>
            </w:r>
          </w:p>
        </w:tc>
        <w:tc>
          <w:tcPr>
            <w:tcW w:w="327" w:type="pct"/>
            <w:hideMark/>
          </w:tcPr>
          <w:p w14:paraId="10D17B9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53,10</w:t>
            </w:r>
          </w:p>
        </w:tc>
        <w:tc>
          <w:tcPr>
            <w:tcW w:w="330" w:type="pct"/>
            <w:hideMark/>
          </w:tcPr>
          <w:p w14:paraId="4F7EF6B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57,18</w:t>
            </w:r>
          </w:p>
        </w:tc>
        <w:tc>
          <w:tcPr>
            <w:tcW w:w="372" w:type="pct"/>
            <w:hideMark/>
          </w:tcPr>
          <w:p w14:paraId="54CCBB4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4,08</w:t>
            </w:r>
          </w:p>
        </w:tc>
        <w:tc>
          <w:tcPr>
            <w:tcW w:w="354" w:type="pct"/>
            <w:hideMark/>
          </w:tcPr>
          <w:p w14:paraId="4D396DF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3,34</w:t>
            </w:r>
          </w:p>
        </w:tc>
        <w:tc>
          <w:tcPr>
            <w:tcW w:w="317" w:type="pct"/>
            <w:hideMark/>
          </w:tcPr>
          <w:p w14:paraId="2F3D1232"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2,14</w:t>
            </w:r>
          </w:p>
        </w:tc>
        <w:tc>
          <w:tcPr>
            <w:tcW w:w="318" w:type="pct"/>
            <w:hideMark/>
          </w:tcPr>
          <w:p w14:paraId="54EFE41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62" w:type="pct"/>
            <w:hideMark/>
          </w:tcPr>
          <w:p w14:paraId="120E8E6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-2,14</w:t>
            </w:r>
          </w:p>
        </w:tc>
      </w:tr>
      <w:tr w:rsidR="003D27C7" w:rsidRPr="00F31BEF" w14:paraId="62D6C489" w14:textId="77777777" w:rsidTr="004D49D4">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1699334D"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Creanțe ale personalului</w:t>
            </w:r>
          </w:p>
        </w:tc>
        <w:tc>
          <w:tcPr>
            <w:tcW w:w="373" w:type="pct"/>
            <w:hideMark/>
          </w:tcPr>
          <w:p w14:paraId="0E51C6D9" w14:textId="77777777" w:rsidR="00F31BEF" w:rsidRPr="00F31BEF" w:rsidRDefault="00F31BEF" w:rsidP="00F31BEF">
            <w:pPr>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12,27   </w:t>
            </w:r>
          </w:p>
        </w:tc>
        <w:tc>
          <w:tcPr>
            <w:tcW w:w="318" w:type="pct"/>
            <w:hideMark/>
          </w:tcPr>
          <w:p w14:paraId="72463D4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7" w:type="pct"/>
            <w:hideMark/>
          </w:tcPr>
          <w:p w14:paraId="0BAAEEAC"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60" w:type="pct"/>
            <w:hideMark/>
          </w:tcPr>
          <w:p w14:paraId="3792F069"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54" w:type="pct"/>
            <w:hideMark/>
          </w:tcPr>
          <w:p w14:paraId="1B1DC144"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37,72</w:t>
            </w:r>
          </w:p>
        </w:tc>
        <w:tc>
          <w:tcPr>
            <w:tcW w:w="327" w:type="pct"/>
            <w:hideMark/>
          </w:tcPr>
          <w:p w14:paraId="5F8C0E5D"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33,42</w:t>
            </w:r>
          </w:p>
        </w:tc>
        <w:tc>
          <w:tcPr>
            <w:tcW w:w="330" w:type="pct"/>
            <w:hideMark/>
          </w:tcPr>
          <w:p w14:paraId="1B0FFCA0"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72" w:type="pct"/>
            <w:hideMark/>
          </w:tcPr>
          <w:p w14:paraId="4F5B3CB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-33,42</w:t>
            </w:r>
          </w:p>
        </w:tc>
        <w:tc>
          <w:tcPr>
            <w:tcW w:w="354" w:type="pct"/>
            <w:hideMark/>
          </w:tcPr>
          <w:p w14:paraId="7A36552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24,63</w:t>
            </w:r>
          </w:p>
        </w:tc>
        <w:tc>
          <w:tcPr>
            <w:tcW w:w="317" w:type="pct"/>
            <w:hideMark/>
          </w:tcPr>
          <w:p w14:paraId="116ED83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18,83</w:t>
            </w:r>
          </w:p>
        </w:tc>
        <w:tc>
          <w:tcPr>
            <w:tcW w:w="318" w:type="pct"/>
            <w:hideMark/>
          </w:tcPr>
          <w:p w14:paraId="6468D43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62" w:type="pct"/>
            <w:hideMark/>
          </w:tcPr>
          <w:p w14:paraId="24A180CB"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-18,83</w:t>
            </w:r>
          </w:p>
        </w:tc>
      </w:tr>
      <w:tr w:rsidR="003D27C7" w:rsidRPr="00F31BEF" w14:paraId="5F478240" w14:textId="77777777" w:rsidTr="004D4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643E9EF9"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Alte creanțe curente</w:t>
            </w:r>
          </w:p>
        </w:tc>
        <w:tc>
          <w:tcPr>
            <w:tcW w:w="373" w:type="pct"/>
            <w:hideMark/>
          </w:tcPr>
          <w:p w14:paraId="5165A32D"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hideMark/>
          </w:tcPr>
          <w:p w14:paraId="4331E4B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7" w:type="pct"/>
            <w:hideMark/>
          </w:tcPr>
          <w:p w14:paraId="6C1F30F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9,61</w:t>
            </w:r>
          </w:p>
        </w:tc>
        <w:tc>
          <w:tcPr>
            <w:tcW w:w="360" w:type="pct"/>
            <w:hideMark/>
          </w:tcPr>
          <w:p w14:paraId="03A7603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9,61</w:t>
            </w:r>
          </w:p>
        </w:tc>
        <w:tc>
          <w:tcPr>
            <w:tcW w:w="354" w:type="pct"/>
            <w:hideMark/>
          </w:tcPr>
          <w:p w14:paraId="4721B1B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4,64</w:t>
            </w:r>
          </w:p>
        </w:tc>
        <w:tc>
          <w:tcPr>
            <w:tcW w:w="327" w:type="pct"/>
            <w:hideMark/>
          </w:tcPr>
          <w:p w14:paraId="72AC37C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3,78</w:t>
            </w:r>
          </w:p>
        </w:tc>
        <w:tc>
          <w:tcPr>
            <w:tcW w:w="330" w:type="pct"/>
            <w:hideMark/>
          </w:tcPr>
          <w:p w14:paraId="53E5069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8,46</w:t>
            </w:r>
          </w:p>
        </w:tc>
        <w:tc>
          <w:tcPr>
            <w:tcW w:w="372" w:type="pct"/>
            <w:hideMark/>
          </w:tcPr>
          <w:p w14:paraId="143AB05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4,68</w:t>
            </w:r>
          </w:p>
        </w:tc>
        <w:tc>
          <w:tcPr>
            <w:tcW w:w="354" w:type="pct"/>
            <w:hideMark/>
          </w:tcPr>
          <w:p w14:paraId="2A8BB92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0,67</w:t>
            </w:r>
          </w:p>
        </w:tc>
        <w:tc>
          <w:tcPr>
            <w:tcW w:w="317" w:type="pct"/>
            <w:hideMark/>
          </w:tcPr>
          <w:p w14:paraId="4D4A9B7B"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6,76</w:t>
            </w:r>
          </w:p>
        </w:tc>
        <w:tc>
          <w:tcPr>
            <w:tcW w:w="318" w:type="pct"/>
            <w:hideMark/>
          </w:tcPr>
          <w:p w14:paraId="423B8BC2"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3,80</w:t>
            </w:r>
          </w:p>
        </w:tc>
        <w:tc>
          <w:tcPr>
            <w:tcW w:w="362" w:type="pct"/>
            <w:hideMark/>
          </w:tcPr>
          <w:p w14:paraId="016D75A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-2,96</w:t>
            </w:r>
          </w:p>
        </w:tc>
      </w:tr>
      <w:tr w:rsidR="003D27C7" w:rsidRPr="00F31BEF" w14:paraId="5053F613" w14:textId="77777777" w:rsidTr="004D49D4">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555CB162"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Cheltuieli anticipate curente</w:t>
            </w:r>
          </w:p>
        </w:tc>
        <w:tc>
          <w:tcPr>
            <w:tcW w:w="373" w:type="pct"/>
            <w:hideMark/>
          </w:tcPr>
          <w:p w14:paraId="600DE3A0" w14:textId="77777777" w:rsidR="00F31BEF" w:rsidRPr="00F31BEF" w:rsidRDefault="00F31BEF" w:rsidP="00F31BEF">
            <w:pPr>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hideMark/>
          </w:tcPr>
          <w:p w14:paraId="0FE267F7"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7" w:type="pct"/>
            <w:hideMark/>
          </w:tcPr>
          <w:p w14:paraId="7BBB255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2,33</w:t>
            </w:r>
          </w:p>
        </w:tc>
        <w:tc>
          <w:tcPr>
            <w:tcW w:w="360" w:type="pct"/>
            <w:hideMark/>
          </w:tcPr>
          <w:p w14:paraId="5594D77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2,33</w:t>
            </w:r>
          </w:p>
        </w:tc>
        <w:tc>
          <w:tcPr>
            <w:tcW w:w="354" w:type="pct"/>
            <w:hideMark/>
          </w:tcPr>
          <w:p w14:paraId="4A1BE8E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33,19</w:t>
            </w:r>
          </w:p>
        </w:tc>
        <w:tc>
          <w:tcPr>
            <w:tcW w:w="327" w:type="pct"/>
            <w:hideMark/>
          </w:tcPr>
          <w:p w14:paraId="2BC27727"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160,77</w:t>
            </w:r>
          </w:p>
        </w:tc>
        <w:tc>
          <w:tcPr>
            <w:tcW w:w="330" w:type="pct"/>
            <w:hideMark/>
          </w:tcPr>
          <w:p w14:paraId="5E61E477"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47,81</w:t>
            </w:r>
          </w:p>
        </w:tc>
        <w:tc>
          <w:tcPr>
            <w:tcW w:w="372" w:type="pct"/>
            <w:hideMark/>
          </w:tcPr>
          <w:p w14:paraId="6C868624"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-112,96</w:t>
            </w:r>
          </w:p>
        </w:tc>
        <w:tc>
          <w:tcPr>
            <w:tcW w:w="354" w:type="pct"/>
            <w:hideMark/>
          </w:tcPr>
          <w:p w14:paraId="7FD4F5E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0,00</w:t>
            </w:r>
          </w:p>
        </w:tc>
        <w:tc>
          <w:tcPr>
            <w:tcW w:w="317" w:type="pct"/>
            <w:hideMark/>
          </w:tcPr>
          <w:p w14:paraId="27EAB59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44,41</w:t>
            </w:r>
          </w:p>
        </w:tc>
        <w:tc>
          <w:tcPr>
            <w:tcW w:w="318" w:type="pct"/>
            <w:hideMark/>
          </w:tcPr>
          <w:p w14:paraId="7245933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38,20</w:t>
            </w:r>
          </w:p>
        </w:tc>
        <w:tc>
          <w:tcPr>
            <w:tcW w:w="362" w:type="pct"/>
            <w:hideMark/>
          </w:tcPr>
          <w:p w14:paraId="722D564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-6,21</w:t>
            </w:r>
          </w:p>
        </w:tc>
      </w:tr>
      <w:tr w:rsidR="003D27C7" w:rsidRPr="00F31BEF" w14:paraId="2C356BE4" w14:textId="77777777" w:rsidTr="004D49D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401422B9"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Alte active circulante</w:t>
            </w:r>
          </w:p>
        </w:tc>
        <w:tc>
          <w:tcPr>
            <w:tcW w:w="373" w:type="pct"/>
            <w:hideMark/>
          </w:tcPr>
          <w:p w14:paraId="5F84FBA8" w14:textId="77777777" w:rsidR="00F31BEF" w:rsidRPr="00F31BEF" w:rsidRDefault="00F31BEF" w:rsidP="00F31BEF">
            <w:pPr>
              <w:ind w:firstLineChars="100" w:firstLine="20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18,14   </w:t>
            </w:r>
          </w:p>
        </w:tc>
        <w:tc>
          <w:tcPr>
            <w:tcW w:w="318" w:type="pct"/>
            <w:hideMark/>
          </w:tcPr>
          <w:p w14:paraId="0BB73DD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11,70</w:t>
            </w:r>
          </w:p>
        </w:tc>
        <w:tc>
          <w:tcPr>
            <w:tcW w:w="317" w:type="pct"/>
            <w:hideMark/>
          </w:tcPr>
          <w:p w14:paraId="0FCB2FF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5,43</w:t>
            </w:r>
          </w:p>
        </w:tc>
        <w:tc>
          <w:tcPr>
            <w:tcW w:w="360" w:type="pct"/>
            <w:hideMark/>
          </w:tcPr>
          <w:p w14:paraId="00FC546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-6,27</w:t>
            </w:r>
          </w:p>
        </w:tc>
        <w:tc>
          <w:tcPr>
            <w:tcW w:w="354" w:type="pct"/>
            <w:hideMark/>
          </w:tcPr>
          <w:p w14:paraId="6B3DB672"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27" w:type="pct"/>
            <w:hideMark/>
          </w:tcPr>
          <w:p w14:paraId="398D2FDF"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30" w:type="pct"/>
            <w:hideMark/>
          </w:tcPr>
          <w:p w14:paraId="7872582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72" w:type="pct"/>
            <w:hideMark/>
          </w:tcPr>
          <w:p w14:paraId="55AC975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54" w:type="pct"/>
            <w:hideMark/>
          </w:tcPr>
          <w:p w14:paraId="593720C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33,63</w:t>
            </w:r>
          </w:p>
        </w:tc>
        <w:tc>
          <w:tcPr>
            <w:tcW w:w="317" w:type="pct"/>
            <w:hideMark/>
          </w:tcPr>
          <w:p w14:paraId="32F0436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w:t>
            </w:r>
          </w:p>
        </w:tc>
        <w:tc>
          <w:tcPr>
            <w:tcW w:w="318" w:type="pct"/>
            <w:hideMark/>
          </w:tcPr>
          <w:p w14:paraId="4656EEE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23,71</w:t>
            </w:r>
          </w:p>
        </w:tc>
        <w:tc>
          <w:tcPr>
            <w:tcW w:w="362" w:type="pct"/>
            <w:hideMark/>
          </w:tcPr>
          <w:p w14:paraId="10190DD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23,71</w:t>
            </w:r>
          </w:p>
        </w:tc>
      </w:tr>
      <w:tr w:rsidR="003D27C7" w:rsidRPr="00F31BEF" w14:paraId="20C27275" w14:textId="77777777" w:rsidTr="004D49D4">
        <w:trPr>
          <w:trHeight w:val="240"/>
        </w:trPr>
        <w:tc>
          <w:tcPr>
            <w:cnfStyle w:val="001000000000" w:firstRow="0" w:lastRow="0" w:firstColumn="1" w:lastColumn="0" w:oddVBand="0" w:evenVBand="0" w:oddHBand="0" w:evenHBand="0" w:firstRowFirstColumn="0" w:firstRowLastColumn="0" w:lastRowFirstColumn="0" w:lastRowLastColumn="0"/>
            <w:tcW w:w="896" w:type="pct"/>
            <w:hideMark/>
          </w:tcPr>
          <w:p w14:paraId="1878E1CC" w14:textId="77777777" w:rsidR="00F31BEF" w:rsidRPr="00F31BEF" w:rsidRDefault="00F31BEF" w:rsidP="00F31BEF">
            <w:pPr>
              <w:ind w:firstLineChars="100" w:firstLine="20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Numerar și documente bănești</w:t>
            </w:r>
          </w:p>
        </w:tc>
        <w:tc>
          <w:tcPr>
            <w:tcW w:w="373" w:type="pct"/>
            <w:hideMark/>
          </w:tcPr>
          <w:p w14:paraId="707B0C06" w14:textId="77777777" w:rsidR="00F31BEF" w:rsidRPr="00F31BEF" w:rsidRDefault="00F31BEF" w:rsidP="00F31BEF">
            <w:pPr>
              <w:ind w:firstLineChars="100" w:firstLine="20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2.347,91   </w:t>
            </w:r>
          </w:p>
        </w:tc>
        <w:tc>
          <w:tcPr>
            <w:tcW w:w="318" w:type="pct"/>
            <w:hideMark/>
          </w:tcPr>
          <w:p w14:paraId="3B8935D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2.904,40</w:t>
            </w:r>
          </w:p>
        </w:tc>
        <w:tc>
          <w:tcPr>
            <w:tcW w:w="317" w:type="pct"/>
            <w:hideMark/>
          </w:tcPr>
          <w:p w14:paraId="19E470E0"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2.860,34</w:t>
            </w:r>
          </w:p>
        </w:tc>
        <w:tc>
          <w:tcPr>
            <w:tcW w:w="360" w:type="pct"/>
            <w:hideMark/>
          </w:tcPr>
          <w:p w14:paraId="6BCAF21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-44,06</w:t>
            </w:r>
          </w:p>
        </w:tc>
        <w:tc>
          <w:tcPr>
            <w:tcW w:w="354" w:type="pct"/>
            <w:hideMark/>
          </w:tcPr>
          <w:p w14:paraId="63B5C5A6"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2.339,05</w:t>
            </w:r>
          </w:p>
        </w:tc>
        <w:tc>
          <w:tcPr>
            <w:tcW w:w="327" w:type="pct"/>
            <w:hideMark/>
          </w:tcPr>
          <w:p w14:paraId="4F6C702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5.355,90</w:t>
            </w:r>
          </w:p>
        </w:tc>
        <w:tc>
          <w:tcPr>
            <w:tcW w:w="330" w:type="pct"/>
            <w:hideMark/>
          </w:tcPr>
          <w:p w14:paraId="0E179C3B"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4.284,61</w:t>
            </w:r>
          </w:p>
        </w:tc>
        <w:tc>
          <w:tcPr>
            <w:tcW w:w="372" w:type="pct"/>
            <w:hideMark/>
          </w:tcPr>
          <w:p w14:paraId="3AD133E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-1.071,29</w:t>
            </w:r>
          </w:p>
        </w:tc>
        <w:tc>
          <w:tcPr>
            <w:tcW w:w="354" w:type="pct"/>
            <w:hideMark/>
          </w:tcPr>
          <w:p w14:paraId="06C15F7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578,96</w:t>
            </w:r>
          </w:p>
        </w:tc>
        <w:tc>
          <w:tcPr>
            <w:tcW w:w="317" w:type="pct"/>
            <w:hideMark/>
          </w:tcPr>
          <w:p w14:paraId="43792330"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778,30</w:t>
            </w:r>
          </w:p>
        </w:tc>
        <w:tc>
          <w:tcPr>
            <w:tcW w:w="318" w:type="pct"/>
            <w:hideMark/>
          </w:tcPr>
          <w:p w14:paraId="1947CE0B"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406,97</w:t>
            </w:r>
          </w:p>
        </w:tc>
        <w:tc>
          <w:tcPr>
            <w:tcW w:w="362" w:type="pct"/>
            <w:hideMark/>
          </w:tcPr>
          <w:p w14:paraId="72B83B28"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-371,33</w:t>
            </w:r>
          </w:p>
        </w:tc>
      </w:tr>
      <w:tr w:rsidR="003D27C7" w:rsidRPr="00F31BEF" w14:paraId="30CF7D78" w14:textId="77777777" w:rsidTr="004D49D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14:paraId="5EADAEF8"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Total ACTIV:</w:t>
            </w:r>
          </w:p>
        </w:tc>
        <w:tc>
          <w:tcPr>
            <w:tcW w:w="373" w:type="pct"/>
            <w:hideMark/>
          </w:tcPr>
          <w:p w14:paraId="481E5056"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xml:space="preserve"> 8.171,36   </w:t>
            </w:r>
          </w:p>
        </w:tc>
        <w:tc>
          <w:tcPr>
            <w:tcW w:w="318" w:type="pct"/>
            <w:hideMark/>
          </w:tcPr>
          <w:p w14:paraId="4DFCD0D4"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8.263,85</w:t>
            </w:r>
          </w:p>
        </w:tc>
        <w:tc>
          <w:tcPr>
            <w:tcW w:w="317" w:type="pct"/>
            <w:hideMark/>
          </w:tcPr>
          <w:p w14:paraId="76E429D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7.767,54</w:t>
            </w:r>
          </w:p>
        </w:tc>
        <w:tc>
          <w:tcPr>
            <w:tcW w:w="360" w:type="pct"/>
            <w:hideMark/>
          </w:tcPr>
          <w:p w14:paraId="2A25C1E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-496,31</w:t>
            </w:r>
          </w:p>
        </w:tc>
        <w:tc>
          <w:tcPr>
            <w:tcW w:w="354" w:type="pct"/>
            <w:hideMark/>
          </w:tcPr>
          <w:p w14:paraId="058C4F3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28.629,17</w:t>
            </w:r>
          </w:p>
        </w:tc>
        <w:tc>
          <w:tcPr>
            <w:tcW w:w="327" w:type="pct"/>
            <w:hideMark/>
          </w:tcPr>
          <w:p w14:paraId="72C8202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27.390,24</w:t>
            </w:r>
          </w:p>
        </w:tc>
        <w:tc>
          <w:tcPr>
            <w:tcW w:w="330" w:type="pct"/>
            <w:hideMark/>
          </w:tcPr>
          <w:p w14:paraId="0286B8A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26.106,56</w:t>
            </w:r>
          </w:p>
        </w:tc>
        <w:tc>
          <w:tcPr>
            <w:tcW w:w="372" w:type="pct"/>
            <w:hideMark/>
          </w:tcPr>
          <w:p w14:paraId="0566F74D"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-1.283,68</w:t>
            </w:r>
          </w:p>
        </w:tc>
        <w:tc>
          <w:tcPr>
            <w:tcW w:w="354" w:type="pct"/>
            <w:hideMark/>
          </w:tcPr>
          <w:p w14:paraId="5A29F886"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1.029,30</w:t>
            </w:r>
          </w:p>
        </w:tc>
        <w:tc>
          <w:tcPr>
            <w:tcW w:w="317" w:type="pct"/>
            <w:hideMark/>
          </w:tcPr>
          <w:p w14:paraId="17301C5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1.807,09</w:t>
            </w:r>
          </w:p>
        </w:tc>
        <w:tc>
          <w:tcPr>
            <w:tcW w:w="318" w:type="pct"/>
            <w:hideMark/>
          </w:tcPr>
          <w:p w14:paraId="2BBB0C58"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1.688,29</w:t>
            </w:r>
          </w:p>
        </w:tc>
        <w:tc>
          <w:tcPr>
            <w:tcW w:w="362" w:type="pct"/>
            <w:hideMark/>
          </w:tcPr>
          <w:p w14:paraId="41D5594C"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-118,80</w:t>
            </w:r>
          </w:p>
        </w:tc>
      </w:tr>
      <w:tr w:rsidR="003D27C7" w:rsidRPr="00F31BEF" w14:paraId="5FA0294D" w14:textId="77777777" w:rsidTr="004D49D4">
        <w:trPr>
          <w:trHeight w:val="369"/>
        </w:trPr>
        <w:tc>
          <w:tcPr>
            <w:cnfStyle w:val="001000000000" w:firstRow="0" w:lastRow="0" w:firstColumn="1" w:lastColumn="0" w:oddVBand="0" w:evenVBand="0" w:oddHBand="0" w:evenHBand="0" w:firstRowFirstColumn="0" w:firstRowLastColumn="0" w:lastRowFirstColumn="0" w:lastRowLastColumn="0"/>
            <w:tcW w:w="896" w:type="pct"/>
            <w:hideMark/>
          </w:tcPr>
          <w:p w14:paraId="230D3BAA"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Capital propriu, TOTAL:</w:t>
            </w:r>
          </w:p>
        </w:tc>
        <w:tc>
          <w:tcPr>
            <w:tcW w:w="373" w:type="pct"/>
            <w:hideMark/>
          </w:tcPr>
          <w:p w14:paraId="4DB69EC8"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18" w:type="pct"/>
            <w:hideMark/>
          </w:tcPr>
          <w:p w14:paraId="71F6371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17" w:type="pct"/>
            <w:hideMark/>
          </w:tcPr>
          <w:p w14:paraId="0DAB9445"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60" w:type="pct"/>
            <w:hideMark/>
          </w:tcPr>
          <w:p w14:paraId="0A63CFB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54" w:type="pct"/>
            <w:hideMark/>
          </w:tcPr>
          <w:p w14:paraId="32257A1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27" w:type="pct"/>
            <w:hideMark/>
          </w:tcPr>
          <w:p w14:paraId="62C9F54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30" w:type="pct"/>
            <w:hideMark/>
          </w:tcPr>
          <w:p w14:paraId="78D2DF8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w:t>
            </w:r>
          </w:p>
        </w:tc>
        <w:tc>
          <w:tcPr>
            <w:tcW w:w="372" w:type="pct"/>
            <w:noWrap/>
            <w:hideMark/>
          </w:tcPr>
          <w:p w14:paraId="4CD75115"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54" w:type="pct"/>
            <w:hideMark/>
          </w:tcPr>
          <w:p w14:paraId="7B4E6E4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-536,52</w:t>
            </w:r>
          </w:p>
        </w:tc>
        <w:tc>
          <w:tcPr>
            <w:tcW w:w="317" w:type="pct"/>
            <w:hideMark/>
          </w:tcPr>
          <w:p w14:paraId="0AE9062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35,65</w:t>
            </w:r>
          </w:p>
        </w:tc>
        <w:tc>
          <w:tcPr>
            <w:tcW w:w="318" w:type="pct"/>
            <w:hideMark/>
          </w:tcPr>
          <w:p w14:paraId="289E3C9F"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-438,33</w:t>
            </w:r>
          </w:p>
        </w:tc>
        <w:tc>
          <w:tcPr>
            <w:tcW w:w="362" w:type="pct"/>
            <w:hideMark/>
          </w:tcPr>
          <w:p w14:paraId="59885E8D"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-473,98</w:t>
            </w:r>
          </w:p>
        </w:tc>
      </w:tr>
      <w:tr w:rsidR="003D27C7" w:rsidRPr="00F31BEF" w14:paraId="263E983E" w14:textId="77777777" w:rsidTr="004D49D4">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96" w:type="pct"/>
            <w:hideMark/>
          </w:tcPr>
          <w:p w14:paraId="1E5D6643"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Datorii pe termen lung, TOTAL:</w:t>
            </w:r>
          </w:p>
        </w:tc>
        <w:tc>
          <w:tcPr>
            <w:tcW w:w="373" w:type="pct"/>
            <w:hideMark/>
          </w:tcPr>
          <w:p w14:paraId="0028D26A"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4.682,90   </w:t>
            </w:r>
          </w:p>
        </w:tc>
        <w:tc>
          <w:tcPr>
            <w:tcW w:w="318" w:type="pct"/>
            <w:hideMark/>
          </w:tcPr>
          <w:p w14:paraId="391CD738"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4.184,03</w:t>
            </w:r>
          </w:p>
        </w:tc>
        <w:tc>
          <w:tcPr>
            <w:tcW w:w="317" w:type="pct"/>
            <w:hideMark/>
          </w:tcPr>
          <w:p w14:paraId="2279475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3.754,77</w:t>
            </w:r>
          </w:p>
        </w:tc>
        <w:tc>
          <w:tcPr>
            <w:tcW w:w="360" w:type="pct"/>
            <w:hideMark/>
          </w:tcPr>
          <w:p w14:paraId="21B31EEA"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-429,26</w:t>
            </w:r>
          </w:p>
        </w:tc>
        <w:tc>
          <w:tcPr>
            <w:tcW w:w="354" w:type="pct"/>
            <w:hideMark/>
          </w:tcPr>
          <w:p w14:paraId="6FB5BAF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24.876,03</w:t>
            </w:r>
          </w:p>
        </w:tc>
        <w:tc>
          <w:tcPr>
            <w:tcW w:w="327" w:type="pct"/>
            <w:hideMark/>
          </w:tcPr>
          <w:p w14:paraId="29D28C4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20.659,77</w:t>
            </w:r>
          </w:p>
        </w:tc>
        <w:tc>
          <w:tcPr>
            <w:tcW w:w="330" w:type="pct"/>
            <w:hideMark/>
          </w:tcPr>
          <w:p w14:paraId="0D5BF45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20.152,27</w:t>
            </w:r>
          </w:p>
        </w:tc>
        <w:tc>
          <w:tcPr>
            <w:tcW w:w="372" w:type="pct"/>
            <w:hideMark/>
          </w:tcPr>
          <w:p w14:paraId="1BB91C6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-507,50</w:t>
            </w:r>
          </w:p>
        </w:tc>
        <w:tc>
          <w:tcPr>
            <w:tcW w:w="354" w:type="pct"/>
            <w:hideMark/>
          </w:tcPr>
          <w:p w14:paraId="27824AE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551,14</w:t>
            </w:r>
          </w:p>
        </w:tc>
        <w:tc>
          <w:tcPr>
            <w:tcW w:w="317" w:type="pct"/>
            <w:hideMark/>
          </w:tcPr>
          <w:p w14:paraId="4C7FF9A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1.066,54</w:t>
            </w:r>
          </w:p>
        </w:tc>
        <w:tc>
          <w:tcPr>
            <w:tcW w:w="318" w:type="pct"/>
            <w:hideMark/>
          </w:tcPr>
          <w:p w14:paraId="64983F12"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1.301,18</w:t>
            </w:r>
          </w:p>
        </w:tc>
        <w:tc>
          <w:tcPr>
            <w:tcW w:w="362" w:type="pct"/>
            <w:hideMark/>
          </w:tcPr>
          <w:p w14:paraId="3FB88E79"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234,64</w:t>
            </w:r>
          </w:p>
        </w:tc>
      </w:tr>
      <w:tr w:rsidR="003D27C7" w:rsidRPr="00F31BEF" w14:paraId="50D79FFD" w14:textId="77777777" w:rsidTr="004D49D4">
        <w:trPr>
          <w:trHeight w:val="219"/>
        </w:trPr>
        <w:tc>
          <w:tcPr>
            <w:cnfStyle w:val="001000000000" w:firstRow="0" w:lastRow="0" w:firstColumn="1" w:lastColumn="0" w:oddVBand="0" w:evenVBand="0" w:oddHBand="0" w:evenHBand="0" w:firstRowFirstColumn="0" w:firstRowLastColumn="0" w:lastRowFirstColumn="0" w:lastRowLastColumn="0"/>
            <w:tcW w:w="896" w:type="pct"/>
            <w:hideMark/>
          </w:tcPr>
          <w:p w14:paraId="4A6345A9"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Datorii curente, TOTAL:</w:t>
            </w:r>
          </w:p>
        </w:tc>
        <w:tc>
          <w:tcPr>
            <w:tcW w:w="373" w:type="pct"/>
            <w:hideMark/>
          </w:tcPr>
          <w:p w14:paraId="5D7434A4"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 xml:space="preserve">    3.488,46   </w:t>
            </w:r>
          </w:p>
        </w:tc>
        <w:tc>
          <w:tcPr>
            <w:tcW w:w="318" w:type="pct"/>
            <w:hideMark/>
          </w:tcPr>
          <w:p w14:paraId="4E146606"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4.079,83</w:t>
            </w:r>
          </w:p>
        </w:tc>
        <w:tc>
          <w:tcPr>
            <w:tcW w:w="317" w:type="pct"/>
            <w:hideMark/>
          </w:tcPr>
          <w:p w14:paraId="7F9AC3FA"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4.012,76</w:t>
            </w:r>
          </w:p>
        </w:tc>
        <w:tc>
          <w:tcPr>
            <w:tcW w:w="360" w:type="pct"/>
            <w:hideMark/>
          </w:tcPr>
          <w:p w14:paraId="6F5D38D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-67,06</w:t>
            </w:r>
          </w:p>
        </w:tc>
        <w:tc>
          <w:tcPr>
            <w:tcW w:w="354" w:type="pct"/>
            <w:hideMark/>
          </w:tcPr>
          <w:p w14:paraId="66599273"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3.753,14</w:t>
            </w:r>
          </w:p>
        </w:tc>
        <w:tc>
          <w:tcPr>
            <w:tcW w:w="327" w:type="pct"/>
            <w:hideMark/>
          </w:tcPr>
          <w:p w14:paraId="15542E9B"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6.730,47</w:t>
            </w:r>
          </w:p>
        </w:tc>
        <w:tc>
          <w:tcPr>
            <w:tcW w:w="330" w:type="pct"/>
            <w:hideMark/>
          </w:tcPr>
          <w:p w14:paraId="598CA834"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5.954,29</w:t>
            </w:r>
          </w:p>
        </w:tc>
        <w:tc>
          <w:tcPr>
            <w:tcW w:w="372" w:type="pct"/>
            <w:hideMark/>
          </w:tcPr>
          <w:p w14:paraId="041DC011"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-776,18</w:t>
            </w:r>
          </w:p>
        </w:tc>
        <w:tc>
          <w:tcPr>
            <w:tcW w:w="354" w:type="pct"/>
            <w:hideMark/>
          </w:tcPr>
          <w:p w14:paraId="045DF23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1.014,68</w:t>
            </w:r>
          </w:p>
        </w:tc>
        <w:tc>
          <w:tcPr>
            <w:tcW w:w="317" w:type="pct"/>
            <w:hideMark/>
          </w:tcPr>
          <w:p w14:paraId="2322F27E"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704,90</w:t>
            </w:r>
          </w:p>
        </w:tc>
        <w:tc>
          <w:tcPr>
            <w:tcW w:w="318" w:type="pct"/>
            <w:hideMark/>
          </w:tcPr>
          <w:p w14:paraId="0EBD879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825,44</w:t>
            </w:r>
          </w:p>
        </w:tc>
        <w:tc>
          <w:tcPr>
            <w:tcW w:w="362" w:type="pct"/>
            <w:hideMark/>
          </w:tcPr>
          <w:p w14:paraId="18069D92" w14:textId="77777777" w:rsidR="00F31BEF" w:rsidRPr="00F31BEF" w:rsidRDefault="00F31BEF" w:rsidP="00F31BE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120,54</w:t>
            </w:r>
          </w:p>
        </w:tc>
      </w:tr>
      <w:tr w:rsidR="003D27C7" w:rsidRPr="00F31BEF" w14:paraId="4AC13D61" w14:textId="77777777" w:rsidTr="004D49D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6" w:type="pct"/>
            <w:hideMark/>
          </w:tcPr>
          <w:p w14:paraId="7B217E5B" w14:textId="77777777" w:rsidR="00F31BEF" w:rsidRPr="00F31BEF" w:rsidRDefault="00F31BEF" w:rsidP="00F31BEF">
            <w:pPr>
              <w:rPr>
                <w:rFonts w:ascii="Calibri Light" w:eastAsia="Times New Roman" w:hAnsi="Calibri Light" w:cs="Calibri Light"/>
                <w:color w:val="000000"/>
                <w:sz w:val="20"/>
                <w:szCs w:val="20"/>
              </w:rPr>
            </w:pPr>
            <w:r w:rsidRPr="00F31BEF">
              <w:rPr>
                <w:rFonts w:ascii="Calibri Light" w:eastAsia="Times New Roman" w:hAnsi="Calibri Light" w:cs="Calibri Light"/>
                <w:color w:val="000000"/>
                <w:sz w:val="20"/>
                <w:szCs w:val="20"/>
              </w:rPr>
              <w:t>Total PASIV:</w:t>
            </w:r>
          </w:p>
        </w:tc>
        <w:tc>
          <w:tcPr>
            <w:tcW w:w="373" w:type="pct"/>
            <w:hideMark/>
          </w:tcPr>
          <w:p w14:paraId="4EF953E8" w14:textId="77777777" w:rsidR="00F31BEF" w:rsidRPr="00F31BEF" w:rsidRDefault="00F31BEF" w:rsidP="00F31BE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 xml:space="preserve"> 8.171,36   </w:t>
            </w:r>
          </w:p>
        </w:tc>
        <w:tc>
          <w:tcPr>
            <w:tcW w:w="318" w:type="pct"/>
            <w:hideMark/>
          </w:tcPr>
          <w:p w14:paraId="4E14C60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8.263,85</w:t>
            </w:r>
          </w:p>
        </w:tc>
        <w:tc>
          <w:tcPr>
            <w:tcW w:w="317" w:type="pct"/>
            <w:hideMark/>
          </w:tcPr>
          <w:p w14:paraId="0DFD8663"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7.767,54</w:t>
            </w:r>
          </w:p>
        </w:tc>
        <w:tc>
          <w:tcPr>
            <w:tcW w:w="360" w:type="pct"/>
            <w:hideMark/>
          </w:tcPr>
          <w:p w14:paraId="52192BE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-496,32</w:t>
            </w:r>
          </w:p>
        </w:tc>
        <w:tc>
          <w:tcPr>
            <w:tcW w:w="354" w:type="pct"/>
            <w:hideMark/>
          </w:tcPr>
          <w:p w14:paraId="2AB60FA4"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28.629,17</w:t>
            </w:r>
          </w:p>
        </w:tc>
        <w:tc>
          <w:tcPr>
            <w:tcW w:w="327" w:type="pct"/>
            <w:hideMark/>
          </w:tcPr>
          <w:p w14:paraId="2582CE70"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27.390,24</w:t>
            </w:r>
          </w:p>
        </w:tc>
        <w:tc>
          <w:tcPr>
            <w:tcW w:w="330" w:type="pct"/>
            <w:hideMark/>
          </w:tcPr>
          <w:p w14:paraId="2636599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26.106,56</w:t>
            </w:r>
          </w:p>
        </w:tc>
        <w:tc>
          <w:tcPr>
            <w:tcW w:w="372" w:type="pct"/>
            <w:hideMark/>
          </w:tcPr>
          <w:p w14:paraId="0E177A21"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-1.283,68</w:t>
            </w:r>
          </w:p>
        </w:tc>
        <w:tc>
          <w:tcPr>
            <w:tcW w:w="354" w:type="pct"/>
            <w:hideMark/>
          </w:tcPr>
          <w:p w14:paraId="35B5050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1.029,30</w:t>
            </w:r>
          </w:p>
        </w:tc>
        <w:tc>
          <w:tcPr>
            <w:tcW w:w="317" w:type="pct"/>
            <w:hideMark/>
          </w:tcPr>
          <w:p w14:paraId="7C8EAA7E"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1.807,09</w:t>
            </w:r>
          </w:p>
        </w:tc>
        <w:tc>
          <w:tcPr>
            <w:tcW w:w="318" w:type="pct"/>
            <w:hideMark/>
          </w:tcPr>
          <w:p w14:paraId="082F9285"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1.688,29</w:t>
            </w:r>
          </w:p>
        </w:tc>
        <w:tc>
          <w:tcPr>
            <w:tcW w:w="362" w:type="pct"/>
            <w:hideMark/>
          </w:tcPr>
          <w:p w14:paraId="2414BDC7" w14:textId="77777777" w:rsidR="00F31BEF" w:rsidRPr="00F31BEF" w:rsidRDefault="00F31BEF" w:rsidP="00F31BE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F31BEF">
              <w:rPr>
                <w:rFonts w:ascii="Calibri Light" w:eastAsia="Times New Roman" w:hAnsi="Calibri Light" w:cs="Calibri Light"/>
                <w:b/>
                <w:bCs/>
                <w:color w:val="000000"/>
                <w:sz w:val="20"/>
                <w:szCs w:val="20"/>
              </w:rPr>
              <w:t>-118,81</w:t>
            </w:r>
          </w:p>
        </w:tc>
      </w:tr>
      <w:tr w:rsidR="003D27C7" w:rsidRPr="00F31BEF" w14:paraId="74C6513D" w14:textId="77777777" w:rsidTr="004D49D4">
        <w:trPr>
          <w:trHeight w:val="276"/>
        </w:trPr>
        <w:tc>
          <w:tcPr>
            <w:cnfStyle w:val="001000000000" w:firstRow="0" w:lastRow="0" w:firstColumn="1" w:lastColumn="0" w:oddVBand="0" w:evenVBand="0" w:oddHBand="0" w:evenHBand="0" w:firstRowFirstColumn="0" w:firstRowLastColumn="0" w:lastRowFirstColumn="0" w:lastRowLastColumn="0"/>
            <w:tcW w:w="1589" w:type="pct"/>
            <w:gridSpan w:val="3"/>
            <w:noWrap/>
            <w:hideMark/>
          </w:tcPr>
          <w:p w14:paraId="725C9404" w14:textId="3F3262CC" w:rsidR="00F31BEF" w:rsidRPr="00F31BEF" w:rsidRDefault="00F31BEF" w:rsidP="00F31BEF">
            <w:pPr>
              <w:rPr>
                <w:rFonts w:ascii="Calibri Light" w:eastAsia="Times New Roman" w:hAnsi="Calibri Light" w:cs="Calibri Light"/>
                <w:i/>
                <w:iCs/>
                <w:color w:val="000000"/>
                <w:sz w:val="20"/>
                <w:szCs w:val="20"/>
              </w:rPr>
            </w:pPr>
            <w:r w:rsidRPr="00F31BEF">
              <w:rPr>
                <w:rFonts w:ascii="Calibri Light" w:eastAsia="Times New Roman" w:hAnsi="Calibri Light" w:cs="Calibri Light"/>
                <w:i/>
                <w:iCs/>
                <w:color w:val="000000"/>
                <w:sz w:val="20"/>
                <w:szCs w:val="20"/>
              </w:rPr>
              <w:t xml:space="preserve">Sursă: </w:t>
            </w:r>
            <w:r w:rsidRPr="00122169">
              <w:rPr>
                <w:rFonts w:ascii="Calibri Light" w:eastAsia="Times New Roman" w:hAnsi="Calibri Light" w:cs="Calibri Light"/>
                <w:i/>
                <w:iCs/>
                <w:color w:val="000000"/>
                <w:sz w:val="20"/>
                <w:szCs w:val="20"/>
              </w:rPr>
              <w:t xml:space="preserve">Bilanțul la 31 decembrie 2020 și </w:t>
            </w:r>
            <w:r w:rsidR="008E3B8F" w:rsidRPr="00A444C1">
              <w:rPr>
                <w:rFonts w:ascii="Calibri Light" w:eastAsia="Times New Roman" w:hAnsi="Calibri Light" w:cs="Calibri Light"/>
                <w:b w:val="0"/>
                <w:i/>
                <w:iCs/>
                <w:color w:val="000000"/>
                <w:sz w:val="20"/>
                <w:szCs w:val="20"/>
              </w:rPr>
              <w:t xml:space="preserve">la </w:t>
            </w:r>
            <w:r w:rsidRPr="00122169">
              <w:rPr>
                <w:rFonts w:ascii="Calibri Light" w:eastAsia="Times New Roman" w:hAnsi="Calibri Light" w:cs="Calibri Light"/>
                <w:i/>
                <w:iCs/>
                <w:color w:val="000000"/>
                <w:sz w:val="20"/>
                <w:szCs w:val="20"/>
              </w:rPr>
              <w:t>31decembrie</w:t>
            </w:r>
            <w:r w:rsidR="00122169">
              <w:rPr>
                <w:rFonts w:ascii="Calibri Light" w:eastAsia="Times New Roman" w:hAnsi="Calibri Light" w:cs="Calibri Light"/>
                <w:b w:val="0"/>
                <w:i/>
                <w:iCs/>
                <w:color w:val="000000"/>
                <w:sz w:val="20"/>
                <w:szCs w:val="20"/>
              </w:rPr>
              <w:t xml:space="preserve"> </w:t>
            </w:r>
            <w:r w:rsidRPr="00122169">
              <w:rPr>
                <w:rFonts w:ascii="Calibri Light" w:eastAsia="Times New Roman" w:hAnsi="Calibri Light" w:cs="Calibri Light"/>
                <w:i/>
                <w:iCs/>
                <w:color w:val="000000"/>
                <w:sz w:val="20"/>
                <w:szCs w:val="20"/>
              </w:rPr>
              <w:t>2021.</w:t>
            </w:r>
          </w:p>
        </w:tc>
        <w:tc>
          <w:tcPr>
            <w:tcW w:w="317" w:type="pct"/>
            <w:noWrap/>
            <w:hideMark/>
          </w:tcPr>
          <w:p w14:paraId="64A75F3A"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60" w:type="pct"/>
            <w:noWrap/>
            <w:hideMark/>
          </w:tcPr>
          <w:p w14:paraId="03FD24FE"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54" w:type="pct"/>
            <w:noWrap/>
            <w:hideMark/>
          </w:tcPr>
          <w:p w14:paraId="2180CD7C"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27" w:type="pct"/>
            <w:noWrap/>
            <w:hideMark/>
          </w:tcPr>
          <w:p w14:paraId="6557E423"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30" w:type="pct"/>
            <w:noWrap/>
            <w:hideMark/>
          </w:tcPr>
          <w:p w14:paraId="77D8079A"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72" w:type="pct"/>
            <w:noWrap/>
            <w:hideMark/>
          </w:tcPr>
          <w:p w14:paraId="35A88692"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54" w:type="pct"/>
            <w:noWrap/>
            <w:hideMark/>
          </w:tcPr>
          <w:p w14:paraId="1D3F70F9"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17" w:type="pct"/>
            <w:noWrap/>
            <w:hideMark/>
          </w:tcPr>
          <w:p w14:paraId="25DDC372"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18" w:type="pct"/>
            <w:noWrap/>
            <w:hideMark/>
          </w:tcPr>
          <w:p w14:paraId="479FAEBA"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c>
          <w:tcPr>
            <w:tcW w:w="362" w:type="pct"/>
            <w:noWrap/>
            <w:hideMark/>
          </w:tcPr>
          <w:p w14:paraId="53FEE5E4" w14:textId="77777777" w:rsidR="00F31BEF" w:rsidRPr="00F31BEF" w:rsidRDefault="00F31BEF" w:rsidP="00F31B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F31BEF">
              <w:rPr>
                <w:rFonts w:ascii="Calibri" w:eastAsia="Times New Roman" w:hAnsi="Calibri" w:cs="Calibri"/>
                <w:color w:val="000000"/>
                <w:sz w:val="20"/>
                <w:szCs w:val="20"/>
              </w:rPr>
              <w:t> </w:t>
            </w:r>
          </w:p>
        </w:tc>
      </w:tr>
    </w:tbl>
    <w:p w14:paraId="13754593" w14:textId="337153B5" w:rsidR="006B2159" w:rsidRPr="009A008B" w:rsidRDefault="006B2159" w:rsidP="009A008B">
      <w:pPr>
        <w:tabs>
          <w:tab w:val="left" w:pos="910"/>
        </w:tabs>
        <w:ind w:left="-567"/>
        <w:rPr>
          <w:rFonts w:asciiTheme="majorHAnsi" w:hAnsiTheme="majorHAnsi" w:cstheme="majorHAnsi"/>
          <w:sz w:val="24"/>
          <w:szCs w:val="24"/>
          <w:lang w:eastAsia="ro-MD"/>
        </w:rPr>
        <w:sectPr w:rsidR="006B2159" w:rsidRPr="009A008B" w:rsidSect="00441DE8">
          <w:pgSz w:w="16838" w:h="11906" w:orient="landscape" w:code="9"/>
          <w:pgMar w:top="1699" w:right="1138" w:bottom="566" w:left="1411" w:header="720" w:footer="720" w:gutter="0"/>
          <w:cols w:space="708"/>
          <w:docGrid w:linePitch="360"/>
        </w:sectPr>
      </w:pPr>
    </w:p>
    <w:tbl>
      <w:tblPr>
        <w:tblStyle w:val="PlainTable2"/>
        <w:tblW w:w="5000" w:type="pct"/>
        <w:tblLook w:val="04A0" w:firstRow="1" w:lastRow="0" w:firstColumn="1" w:lastColumn="0" w:noHBand="0" w:noVBand="1"/>
      </w:tblPr>
      <w:tblGrid>
        <w:gridCol w:w="2470"/>
        <w:gridCol w:w="1069"/>
        <w:gridCol w:w="1033"/>
        <w:gridCol w:w="1045"/>
        <w:gridCol w:w="910"/>
        <w:gridCol w:w="923"/>
        <w:gridCol w:w="1024"/>
        <w:gridCol w:w="1024"/>
        <w:gridCol w:w="923"/>
        <w:gridCol w:w="923"/>
        <w:gridCol w:w="996"/>
        <w:gridCol w:w="996"/>
        <w:gridCol w:w="953"/>
      </w:tblGrid>
      <w:tr w:rsidR="00EB64AC" w:rsidRPr="00EB64AC" w14:paraId="21EE9146" w14:textId="77777777" w:rsidTr="00EB64A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13"/>
            <w:noWrap/>
            <w:hideMark/>
          </w:tcPr>
          <w:p w14:paraId="571D8119" w14:textId="6E096398" w:rsidR="00EB64AC" w:rsidRPr="00EB64AC" w:rsidRDefault="00EB64AC" w:rsidP="00EB64AC">
            <w:pP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                                 </w:t>
            </w:r>
            <w:r w:rsidRPr="00EB64AC">
              <w:rPr>
                <w:rFonts w:ascii="Calibri Light" w:eastAsia="Times New Roman" w:hAnsi="Calibri Light" w:cs="Calibri Light"/>
                <w:color w:val="000000"/>
                <w:sz w:val="24"/>
                <w:szCs w:val="24"/>
              </w:rPr>
              <w:t xml:space="preserve">Situația de profit și pierdere a  </w:t>
            </w:r>
            <w:r w:rsidR="008E3B8F">
              <w:rPr>
                <w:rFonts w:ascii="Calibri Light" w:eastAsia="Times New Roman" w:hAnsi="Calibri Light" w:cs="Calibri Light"/>
                <w:color w:val="000000"/>
                <w:sz w:val="24"/>
                <w:szCs w:val="24"/>
              </w:rPr>
              <w:t>i</w:t>
            </w:r>
            <w:r w:rsidRPr="00EB64AC">
              <w:rPr>
                <w:rFonts w:ascii="Calibri Light" w:eastAsia="Times New Roman" w:hAnsi="Calibri Light" w:cs="Calibri Light"/>
                <w:color w:val="000000"/>
                <w:sz w:val="24"/>
                <w:szCs w:val="24"/>
              </w:rPr>
              <w:t xml:space="preserve">nstituțiilor </w:t>
            </w:r>
            <w:r w:rsidR="008E3B8F">
              <w:rPr>
                <w:rFonts w:ascii="Calibri Light" w:eastAsia="Times New Roman" w:hAnsi="Calibri Light" w:cs="Calibri Light"/>
                <w:color w:val="000000"/>
                <w:sz w:val="24"/>
                <w:szCs w:val="24"/>
              </w:rPr>
              <w:t>p</w:t>
            </w:r>
            <w:r w:rsidRPr="00EB64AC">
              <w:rPr>
                <w:rFonts w:ascii="Calibri Light" w:eastAsia="Times New Roman" w:hAnsi="Calibri Light" w:cs="Calibri Light"/>
                <w:color w:val="000000"/>
                <w:sz w:val="24"/>
                <w:szCs w:val="24"/>
              </w:rPr>
              <w:t>ublice din domeniul infrastructurii calității</w:t>
            </w:r>
            <w:r w:rsidR="008E3B8F">
              <w:rPr>
                <w:rFonts w:ascii="Calibri Light" w:eastAsia="Times New Roman" w:hAnsi="Calibri Light" w:cs="Calibri Light"/>
                <w:color w:val="000000"/>
                <w:sz w:val="24"/>
                <w:szCs w:val="24"/>
              </w:rPr>
              <w:t xml:space="preserve"> </w:t>
            </w:r>
            <w:r w:rsidRPr="00EB64AC">
              <w:rPr>
                <w:rFonts w:ascii="Calibri Light" w:eastAsia="Times New Roman" w:hAnsi="Calibri Light" w:cs="Calibri Light"/>
                <w:color w:val="000000"/>
                <w:sz w:val="24"/>
                <w:szCs w:val="24"/>
              </w:rPr>
              <w:t>pe anii 2020</w:t>
            </w:r>
            <w:r w:rsidR="00122169">
              <w:rPr>
                <w:rFonts w:ascii="Calibri Light" w:eastAsia="Times New Roman" w:hAnsi="Calibri Light" w:cs="Calibri Light"/>
                <w:color w:val="000000"/>
                <w:sz w:val="24"/>
                <w:szCs w:val="24"/>
              </w:rPr>
              <w:t xml:space="preserve"> </w:t>
            </w:r>
            <w:r w:rsidRPr="00EB64AC">
              <w:rPr>
                <w:rFonts w:ascii="Calibri Light" w:eastAsia="Times New Roman" w:hAnsi="Calibri Light" w:cs="Calibri Light"/>
                <w:color w:val="000000"/>
                <w:sz w:val="24"/>
                <w:szCs w:val="24"/>
              </w:rPr>
              <w:t>-2021</w:t>
            </w:r>
          </w:p>
        </w:tc>
      </w:tr>
      <w:tr w:rsidR="00EB64AC" w:rsidRPr="00EB64AC" w14:paraId="722E386F" w14:textId="77777777" w:rsidTr="00EB64A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67" w:type="pct"/>
            <w:noWrap/>
            <w:hideMark/>
          </w:tcPr>
          <w:p w14:paraId="5847E133" w14:textId="77777777" w:rsidR="00EB64AC" w:rsidRPr="00EB64AC" w:rsidRDefault="00EB64AC" w:rsidP="00EB64AC">
            <w:pPr>
              <w:jc w:val="right"/>
              <w:rPr>
                <w:rFonts w:ascii="Calibri Light" w:eastAsia="Times New Roman" w:hAnsi="Calibri Light" w:cs="Calibri Light"/>
                <w:color w:val="000000"/>
                <w:sz w:val="24"/>
                <w:szCs w:val="24"/>
              </w:rPr>
            </w:pPr>
            <w:r w:rsidRPr="00EB64AC">
              <w:rPr>
                <w:rFonts w:ascii="Calibri Light" w:eastAsia="Times New Roman" w:hAnsi="Calibri Light" w:cs="Calibri Light"/>
                <w:color w:val="000000"/>
                <w:sz w:val="24"/>
                <w:szCs w:val="24"/>
              </w:rPr>
              <w:t> </w:t>
            </w:r>
          </w:p>
        </w:tc>
        <w:tc>
          <w:tcPr>
            <w:tcW w:w="377" w:type="pct"/>
            <w:noWrap/>
            <w:hideMark/>
          </w:tcPr>
          <w:p w14:paraId="58975943" w14:textId="77777777" w:rsidR="00EB64AC" w:rsidRPr="00EB64AC" w:rsidRDefault="00EB64AC" w:rsidP="00EB64AC">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rPr>
            </w:pPr>
            <w:r w:rsidRPr="00EB64AC">
              <w:rPr>
                <w:rFonts w:ascii="Calibri Light" w:eastAsia="Times New Roman" w:hAnsi="Calibri Light" w:cs="Calibri Light"/>
                <w:color w:val="000000"/>
                <w:sz w:val="24"/>
                <w:szCs w:val="24"/>
              </w:rPr>
              <w:t> </w:t>
            </w:r>
          </w:p>
        </w:tc>
        <w:tc>
          <w:tcPr>
            <w:tcW w:w="364" w:type="pct"/>
            <w:noWrap/>
            <w:hideMark/>
          </w:tcPr>
          <w:p w14:paraId="41484338"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68" w:type="pct"/>
            <w:noWrap/>
            <w:hideMark/>
          </w:tcPr>
          <w:p w14:paraId="0C479A0E"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31EDD557"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0C1E44AC"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003D3AB4"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4801B20E"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04189271"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3DB6A243"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227BBA6F"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7FAC02D8"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38" w:type="pct"/>
            <w:noWrap/>
            <w:hideMark/>
          </w:tcPr>
          <w:p w14:paraId="04F62676" w14:textId="77777777" w:rsidR="00EB64AC" w:rsidRPr="00EB64AC" w:rsidRDefault="00EB64AC" w:rsidP="00EB64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(mii lei)</w:t>
            </w:r>
          </w:p>
        </w:tc>
      </w:tr>
      <w:tr w:rsidR="00EB64AC" w:rsidRPr="00EB64AC" w14:paraId="2B316BDB" w14:textId="77777777" w:rsidTr="00EB64AC">
        <w:trPr>
          <w:trHeight w:val="288"/>
        </w:trPr>
        <w:tc>
          <w:tcPr>
            <w:cnfStyle w:val="001000000000" w:firstRow="0" w:lastRow="0" w:firstColumn="1" w:lastColumn="0" w:oddVBand="0" w:evenVBand="0" w:oddHBand="0" w:evenHBand="0" w:firstRowFirstColumn="0" w:firstRowLastColumn="0" w:lastRowFirstColumn="0" w:lastRowLastColumn="0"/>
            <w:tcW w:w="867" w:type="pct"/>
            <w:vMerge w:val="restart"/>
            <w:hideMark/>
          </w:tcPr>
          <w:p w14:paraId="7237E3AC" w14:textId="77777777" w:rsidR="00EB64AC" w:rsidRPr="00EB64AC" w:rsidRDefault="00EB64AC" w:rsidP="00EB64AC">
            <w:pPr>
              <w:jc w:val="cente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Denumirea indicatorului</w:t>
            </w:r>
          </w:p>
        </w:tc>
        <w:tc>
          <w:tcPr>
            <w:tcW w:w="1109" w:type="pct"/>
            <w:gridSpan w:val="3"/>
            <w:hideMark/>
          </w:tcPr>
          <w:p w14:paraId="6526264F"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Situația ISM</w:t>
            </w:r>
          </w:p>
        </w:tc>
        <w:tc>
          <w:tcPr>
            <w:tcW w:w="321" w:type="pct"/>
            <w:vMerge w:val="restart"/>
            <w:hideMark/>
          </w:tcPr>
          <w:p w14:paraId="0398830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Devieri</w:t>
            </w:r>
          </w:p>
        </w:tc>
        <w:tc>
          <w:tcPr>
            <w:tcW w:w="321" w:type="pct"/>
            <w:hideMark/>
          </w:tcPr>
          <w:p w14:paraId="0CE7BE0C"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 </w:t>
            </w:r>
          </w:p>
        </w:tc>
        <w:tc>
          <w:tcPr>
            <w:tcW w:w="351" w:type="pct"/>
            <w:hideMark/>
          </w:tcPr>
          <w:p w14:paraId="31729AAB"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Situația INM</w:t>
            </w:r>
          </w:p>
        </w:tc>
        <w:tc>
          <w:tcPr>
            <w:tcW w:w="351" w:type="pct"/>
            <w:hideMark/>
          </w:tcPr>
          <w:p w14:paraId="14A45077"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 </w:t>
            </w:r>
          </w:p>
        </w:tc>
        <w:tc>
          <w:tcPr>
            <w:tcW w:w="321" w:type="pct"/>
            <w:vMerge w:val="restart"/>
            <w:hideMark/>
          </w:tcPr>
          <w:p w14:paraId="7EAF9D8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Devieri</w:t>
            </w:r>
          </w:p>
        </w:tc>
        <w:tc>
          <w:tcPr>
            <w:tcW w:w="1023" w:type="pct"/>
            <w:gridSpan w:val="3"/>
            <w:hideMark/>
          </w:tcPr>
          <w:p w14:paraId="323A2126"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Situația MOLDAC</w:t>
            </w:r>
          </w:p>
        </w:tc>
        <w:tc>
          <w:tcPr>
            <w:tcW w:w="338" w:type="pct"/>
            <w:vMerge w:val="restart"/>
            <w:hideMark/>
          </w:tcPr>
          <w:p w14:paraId="7B168D23"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Devieri</w:t>
            </w:r>
          </w:p>
        </w:tc>
      </w:tr>
      <w:tr w:rsidR="00EB64AC" w:rsidRPr="00EB64AC" w14:paraId="1FF2D3F4" w14:textId="77777777" w:rsidTr="00EB64A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67" w:type="pct"/>
            <w:vMerge/>
            <w:hideMark/>
          </w:tcPr>
          <w:p w14:paraId="22037904" w14:textId="77777777" w:rsidR="00EB64AC" w:rsidRPr="00EB64AC" w:rsidRDefault="00EB64AC" w:rsidP="00EB64AC">
            <w:pPr>
              <w:rPr>
                <w:rFonts w:ascii="Calibri Light" w:eastAsia="Times New Roman" w:hAnsi="Calibri Light" w:cs="Calibri Light"/>
                <w:color w:val="000000"/>
                <w:sz w:val="20"/>
                <w:szCs w:val="20"/>
              </w:rPr>
            </w:pPr>
          </w:p>
        </w:tc>
        <w:tc>
          <w:tcPr>
            <w:tcW w:w="377" w:type="pct"/>
            <w:hideMark/>
          </w:tcPr>
          <w:p w14:paraId="4A3C2A13" w14:textId="77777777" w:rsidR="00215BF4"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 xml:space="preserve">Anul </w:t>
            </w:r>
          </w:p>
          <w:p w14:paraId="7A465ABA" w14:textId="1690C0AB"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 xml:space="preserve">2020 </w:t>
            </w:r>
          </w:p>
        </w:tc>
        <w:tc>
          <w:tcPr>
            <w:tcW w:w="364" w:type="pct"/>
            <w:hideMark/>
          </w:tcPr>
          <w:p w14:paraId="102E500C" w14:textId="77777777" w:rsidR="00215BF4"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w:t>
            </w:r>
          </w:p>
          <w:p w14:paraId="78138E53" w14:textId="0B7E87D9"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2020</w:t>
            </w:r>
          </w:p>
        </w:tc>
        <w:tc>
          <w:tcPr>
            <w:tcW w:w="368" w:type="pct"/>
            <w:hideMark/>
          </w:tcPr>
          <w:p w14:paraId="49BE0F42" w14:textId="77777777" w:rsidR="00215BF4"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p>
          <w:p w14:paraId="2147F0A1" w14:textId="3826F62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 xml:space="preserve"> 2021</w:t>
            </w:r>
          </w:p>
        </w:tc>
        <w:tc>
          <w:tcPr>
            <w:tcW w:w="321" w:type="pct"/>
            <w:vMerge/>
            <w:hideMark/>
          </w:tcPr>
          <w:p w14:paraId="5FE7084F"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c>
          <w:tcPr>
            <w:tcW w:w="321" w:type="pct"/>
            <w:hideMark/>
          </w:tcPr>
          <w:p w14:paraId="3D36A4E7" w14:textId="3C36B55E"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2020 </w:t>
            </w:r>
          </w:p>
        </w:tc>
        <w:tc>
          <w:tcPr>
            <w:tcW w:w="351" w:type="pct"/>
            <w:hideMark/>
          </w:tcPr>
          <w:p w14:paraId="74610277" w14:textId="4874318E"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2020</w:t>
            </w:r>
          </w:p>
        </w:tc>
        <w:tc>
          <w:tcPr>
            <w:tcW w:w="351" w:type="pct"/>
            <w:hideMark/>
          </w:tcPr>
          <w:p w14:paraId="48A8732F" w14:textId="7A2149F0"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2021</w:t>
            </w:r>
          </w:p>
        </w:tc>
        <w:tc>
          <w:tcPr>
            <w:tcW w:w="321" w:type="pct"/>
            <w:vMerge/>
            <w:hideMark/>
          </w:tcPr>
          <w:p w14:paraId="0157B7E8"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c>
          <w:tcPr>
            <w:tcW w:w="321" w:type="pct"/>
            <w:hideMark/>
          </w:tcPr>
          <w:p w14:paraId="1D36ECFD" w14:textId="4EEBF1F3"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2020 </w:t>
            </w:r>
          </w:p>
        </w:tc>
        <w:tc>
          <w:tcPr>
            <w:tcW w:w="351" w:type="pct"/>
            <w:hideMark/>
          </w:tcPr>
          <w:p w14:paraId="5F2E781B" w14:textId="37CC5576"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2020</w:t>
            </w:r>
          </w:p>
        </w:tc>
        <w:tc>
          <w:tcPr>
            <w:tcW w:w="351" w:type="pct"/>
            <w:hideMark/>
          </w:tcPr>
          <w:p w14:paraId="14C2931E" w14:textId="5895B0A7" w:rsidR="00EB64AC" w:rsidRPr="00EB64AC" w:rsidRDefault="00D86E26"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Anul</w:t>
            </w:r>
            <w:r w:rsidR="00EB64AC" w:rsidRPr="00EB64AC">
              <w:rPr>
                <w:rFonts w:ascii="Calibri Light" w:eastAsia="Times New Roman" w:hAnsi="Calibri Light" w:cs="Calibri Light"/>
                <w:b/>
                <w:bCs/>
                <w:color w:val="000000"/>
                <w:sz w:val="20"/>
                <w:szCs w:val="20"/>
              </w:rPr>
              <w:t xml:space="preserve"> 2021</w:t>
            </w:r>
          </w:p>
        </w:tc>
        <w:tc>
          <w:tcPr>
            <w:tcW w:w="338" w:type="pct"/>
            <w:vMerge/>
            <w:hideMark/>
          </w:tcPr>
          <w:p w14:paraId="0792A5E4" w14:textId="77777777" w:rsidR="00EB64AC" w:rsidRPr="00EB64AC" w:rsidRDefault="00EB64AC" w:rsidP="00EB64A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p>
        </w:tc>
      </w:tr>
      <w:tr w:rsidR="00EB64AC" w:rsidRPr="00EB64AC" w14:paraId="31D1FB1D" w14:textId="77777777" w:rsidTr="00EB64AC">
        <w:trPr>
          <w:trHeight w:val="324"/>
        </w:trPr>
        <w:tc>
          <w:tcPr>
            <w:cnfStyle w:val="001000000000" w:firstRow="0" w:lastRow="0" w:firstColumn="1" w:lastColumn="0" w:oddVBand="0" w:evenVBand="0" w:oddHBand="0" w:evenHBand="0" w:firstRowFirstColumn="0" w:firstRowLastColumn="0" w:lastRowFirstColumn="0" w:lastRowLastColumn="0"/>
            <w:tcW w:w="867" w:type="pct"/>
            <w:hideMark/>
          </w:tcPr>
          <w:p w14:paraId="41B9ECFD"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Venituri din vânzări</w:t>
            </w:r>
          </w:p>
        </w:tc>
        <w:tc>
          <w:tcPr>
            <w:tcW w:w="377" w:type="pct"/>
            <w:hideMark/>
          </w:tcPr>
          <w:p w14:paraId="14C58C57"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753,56</w:t>
            </w:r>
          </w:p>
        </w:tc>
        <w:tc>
          <w:tcPr>
            <w:tcW w:w="364" w:type="pct"/>
            <w:hideMark/>
          </w:tcPr>
          <w:p w14:paraId="79A5A4B1"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684,90</w:t>
            </w:r>
          </w:p>
        </w:tc>
        <w:tc>
          <w:tcPr>
            <w:tcW w:w="368" w:type="pct"/>
            <w:hideMark/>
          </w:tcPr>
          <w:p w14:paraId="62AC1841"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908,98</w:t>
            </w:r>
          </w:p>
        </w:tc>
        <w:tc>
          <w:tcPr>
            <w:tcW w:w="321" w:type="pct"/>
            <w:hideMark/>
          </w:tcPr>
          <w:p w14:paraId="7F2B5C7C"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224,08</w:t>
            </w:r>
          </w:p>
        </w:tc>
        <w:tc>
          <w:tcPr>
            <w:tcW w:w="321" w:type="pct"/>
            <w:hideMark/>
          </w:tcPr>
          <w:p w14:paraId="3D88104F"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2.612,40</w:t>
            </w:r>
          </w:p>
        </w:tc>
        <w:tc>
          <w:tcPr>
            <w:tcW w:w="351" w:type="pct"/>
            <w:hideMark/>
          </w:tcPr>
          <w:p w14:paraId="27E68BEE"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3.098,47</w:t>
            </w:r>
          </w:p>
        </w:tc>
        <w:tc>
          <w:tcPr>
            <w:tcW w:w="351" w:type="pct"/>
            <w:hideMark/>
          </w:tcPr>
          <w:p w14:paraId="5292EC25"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3.316,40</w:t>
            </w:r>
          </w:p>
        </w:tc>
        <w:tc>
          <w:tcPr>
            <w:tcW w:w="321" w:type="pct"/>
            <w:hideMark/>
          </w:tcPr>
          <w:p w14:paraId="697A3A9B"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217,93</w:t>
            </w:r>
          </w:p>
        </w:tc>
        <w:tc>
          <w:tcPr>
            <w:tcW w:w="321" w:type="pct"/>
            <w:hideMark/>
          </w:tcPr>
          <w:p w14:paraId="11272D1E"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5.774,90</w:t>
            </w:r>
          </w:p>
        </w:tc>
        <w:tc>
          <w:tcPr>
            <w:tcW w:w="351" w:type="pct"/>
            <w:hideMark/>
          </w:tcPr>
          <w:p w14:paraId="26FAA573"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5.570,39</w:t>
            </w:r>
          </w:p>
        </w:tc>
        <w:tc>
          <w:tcPr>
            <w:tcW w:w="351" w:type="pct"/>
            <w:hideMark/>
          </w:tcPr>
          <w:p w14:paraId="78AA068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5.453,93</w:t>
            </w:r>
          </w:p>
        </w:tc>
        <w:tc>
          <w:tcPr>
            <w:tcW w:w="338" w:type="pct"/>
            <w:hideMark/>
          </w:tcPr>
          <w:p w14:paraId="2DC9CD33"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-116,46</w:t>
            </w:r>
          </w:p>
        </w:tc>
      </w:tr>
      <w:tr w:rsidR="00EB64AC" w:rsidRPr="00EB64AC" w14:paraId="5E4F3F66" w14:textId="77777777" w:rsidTr="00EB64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7" w:type="pct"/>
            <w:hideMark/>
          </w:tcPr>
          <w:p w14:paraId="5F9B5C5A"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Costul vânzărilor</w:t>
            </w:r>
          </w:p>
        </w:tc>
        <w:tc>
          <w:tcPr>
            <w:tcW w:w="377" w:type="pct"/>
            <w:hideMark/>
          </w:tcPr>
          <w:p w14:paraId="6632DA36"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753,56</w:t>
            </w:r>
          </w:p>
        </w:tc>
        <w:tc>
          <w:tcPr>
            <w:tcW w:w="364" w:type="pct"/>
            <w:hideMark/>
          </w:tcPr>
          <w:p w14:paraId="47EA2A9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684,90</w:t>
            </w:r>
          </w:p>
        </w:tc>
        <w:tc>
          <w:tcPr>
            <w:tcW w:w="368" w:type="pct"/>
            <w:hideMark/>
          </w:tcPr>
          <w:p w14:paraId="7D7024E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908,98</w:t>
            </w:r>
          </w:p>
        </w:tc>
        <w:tc>
          <w:tcPr>
            <w:tcW w:w="321" w:type="pct"/>
            <w:hideMark/>
          </w:tcPr>
          <w:p w14:paraId="52441059"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224,08</w:t>
            </w:r>
          </w:p>
        </w:tc>
        <w:tc>
          <w:tcPr>
            <w:tcW w:w="321" w:type="pct"/>
            <w:hideMark/>
          </w:tcPr>
          <w:p w14:paraId="18341827"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2.612,40</w:t>
            </w:r>
          </w:p>
        </w:tc>
        <w:tc>
          <w:tcPr>
            <w:tcW w:w="351" w:type="pct"/>
            <w:hideMark/>
          </w:tcPr>
          <w:p w14:paraId="218F4046"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2.978,20</w:t>
            </w:r>
          </w:p>
        </w:tc>
        <w:tc>
          <w:tcPr>
            <w:tcW w:w="351" w:type="pct"/>
            <w:hideMark/>
          </w:tcPr>
          <w:p w14:paraId="0FA18870"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3.190,00</w:t>
            </w:r>
          </w:p>
        </w:tc>
        <w:tc>
          <w:tcPr>
            <w:tcW w:w="321" w:type="pct"/>
            <w:hideMark/>
          </w:tcPr>
          <w:p w14:paraId="42FBDD5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211,80</w:t>
            </w:r>
          </w:p>
        </w:tc>
        <w:tc>
          <w:tcPr>
            <w:tcW w:w="321" w:type="pct"/>
            <w:hideMark/>
          </w:tcPr>
          <w:p w14:paraId="53675CB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3.166,60</w:t>
            </w:r>
          </w:p>
        </w:tc>
        <w:tc>
          <w:tcPr>
            <w:tcW w:w="351" w:type="pct"/>
            <w:hideMark/>
          </w:tcPr>
          <w:p w14:paraId="3F5C0FCD"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2.582,80</w:t>
            </w:r>
          </w:p>
        </w:tc>
        <w:tc>
          <w:tcPr>
            <w:tcW w:w="351" w:type="pct"/>
            <w:hideMark/>
          </w:tcPr>
          <w:p w14:paraId="49D6FDF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2.988,61</w:t>
            </w:r>
          </w:p>
        </w:tc>
        <w:tc>
          <w:tcPr>
            <w:tcW w:w="338" w:type="pct"/>
            <w:hideMark/>
          </w:tcPr>
          <w:p w14:paraId="57D9EC6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405,81</w:t>
            </w:r>
          </w:p>
        </w:tc>
      </w:tr>
      <w:tr w:rsidR="00EB64AC" w:rsidRPr="00EB64AC" w14:paraId="4A5038C4" w14:textId="77777777" w:rsidTr="00EB64AC">
        <w:trPr>
          <w:trHeight w:val="360"/>
        </w:trPr>
        <w:tc>
          <w:tcPr>
            <w:cnfStyle w:val="001000000000" w:firstRow="0" w:lastRow="0" w:firstColumn="1" w:lastColumn="0" w:oddVBand="0" w:evenVBand="0" w:oddHBand="0" w:evenHBand="0" w:firstRowFirstColumn="0" w:firstRowLastColumn="0" w:lastRowFirstColumn="0" w:lastRowLastColumn="0"/>
            <w:tcW w:w="867" w:type="pct"/>
            <w:hideMark/>
          </w:tcPr>
          <w:p w14:paraId="2140224B"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Profit brut (pierdere brută)</w:t>
            </w:r>
          </w:p>
        </w:tc>
        <w:tc>
          <w:tcPr>
            <w:tcW w:w="377" w:type="pct"/>
            <w:hideMark/>
          </w:tcPr>
          <w:p w14:paraId="347062D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4" w:type="pct"/>
            <w:hideMark/>
          </w:tcPr>
          <w:p w14:paraId="568D033C"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8" w:type="pct"/>
            <w:hideMark/>
          </w:tcPr>
          <w:p w14:paraId="7AC1FDEB"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7F371A8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21" w:type="pct"/>
            <w:hideMark/>
          </w:tcPr>
          <w:p w14:paraId="0000A3B4"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51" w:type="pct"/>
            <w:hideMark/>
          </w:tcPr>
          <w:p w14:paraId="3394E5F7"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120,27</w:t>
            </w:r>
          </w:p>
        </w:tc>
        <w:tc>
          <w:tcPr>
            <w:tcW w:w="351" w:type="pct"/>
            <w:hideMark/>
          </w:tcPr>
          <w:p w14:paraId="724709B3"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126,40</w:t>
            </w:r>
          </w:p>
        </w:tc>
        <w:tc>
          <w:tcPr>
            <w:tcW w:w="321" w:type="pct"/>
            <w:hideMark/>
          </w:tcPr>
          <w:p w14:paraId="2A4BFEE8"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6,13</w:t>
            </w:r>
          </w:p>
        </w:tc>
        <w:tc>
          <w:tcPr>
            <w:tcW w:w="321" w:type="pct"/>
            <w:hideMark/>
          </w:tcPr>
          <w:p w14:paraId="407ECCE5"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2.608,30</w:t>
            </w:r>
          </w:p>
        </w:tc>
        <w:tc>
          <w:tcPr>
            <w:tcW w:w="351" w:type="pct"/>
            <w:hideMark/>
          </w:tcPr>
          <w:p w14:paraId="5B873306"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2.987,59</w:t>
            </w:r>
          </w:p>
        </w:tc>
        <w:tc>
          <w:tcPr>
            <w:tcW w:w="351" w:type="pct"/>
            <w:hideMark/>
          </w:tcPr>
          <w:p w14:paraId="6CBD521B"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2.465,32</w:t>
            </w:r>
          </w:p>
        </w:tc>
        <w:tc>
          <w:tcPr>
            <w:tcW w:w="338" w:type="pct"/>
            <w:hideMark/>
          </w:tcPr>
          <w:p w14:paraId="3603C959"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-522,27</w:t>
            </w:r>
          </w:p>
        </w:tc>
      </w:tr>
      <w:tr w:rsidR="00EB64AC" w:rsidRPr="00EB64AC" w14:paraId="518F2DB7" w14:textId="77777777" w:rsidTr="00EB64A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67" w:type="pct"/>
            <w:hideMark/>
          </w:tcPr>
          <w:p w14:paraId="029EA474"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Alte venituri din activitatea operațională</w:t>
            </w:r>
          </w:p>
        </w:tc>
        <w:tc>
          <w:tcPr>
            <w:tcW w:w="377" w:type="pct"/>
            <w:hideMark/>
          </w:tcPr>
          <w:p w14:paraId="1B17A32D"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0,03</w:t>
            </w:r>
          </w:p>
        </w:tc>
        <w:tc>
          <w:tcPr>
            <w:tcW w:w="364" w:type="pct"/>
            <w:hideMark/>
          </w:tcPr>
          <w:p w14:paraId="74DBAF3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 </w:t>
            </w:r>
          </w:p>
        </w:tc>
        <w:tc>
          <w:tcPr>
            <w:tcW w:w="368" w:type="pct"/>
            <w:hideMark/>
          </w:tcPr>
          <w:p w14:paraId="2ADCE456"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0,18</w:t>
            </w:r>
          </w:p>
        </w:tc>
        <w:tc>
          <w:tcPr>
            <w:tcW w:w="321" w:type="pct"/>
            <w:hideMark/>
          </w:tcPr>
          <w:p w14:paraId="773082B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0,18</w:t>
            </w:r>
          </w:p>
        </w:tc>
        <w:tc>
          <w:tcPr>
            <w:tcW w:w="321" w:type="pct"/>
            <w:hideMark/>
          </w:tcPr>
          <w:p w14:paraId="1B12BD2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10,84</w:t>
            </w:r>
          </w:p>
        </w:tc>
        <w:tc>
          <w:tcPr>
            <w:tcW w:w="351" w:type="pct"/>
            <w:hideMark/>
          </w:tcPr>
          <w:p w14:paraId="38EE8C8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14.112,32</w:t>
            </w:r>
          </w:p>
        </w:tc>
        <w:tc>
          <w:tcPr>
            <w:tcW w:w="351" w:type="pct"/>
            <w:hideMark/>
          </w:tcPr>
          <w:p w14:paraId="329111D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15.085,91</w:t>
            </w:r>
          </w:p>
        </w:tc>
        <w:tc>
          <w:tcPr>
            <w:tcW w:w="321" w:type="pct"/>
            <w:hideMark/>
          </w:tcPr>
          <w:p w14:paraId="026580C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973,59</w:t>
            </w:r>
          </w:p>
        </w:tc>
        <w:tc>
          <w:tcPr>
            <w:tcW w:w="321" w:type="pct"/>
            <w:hideMark/>
          </w:tcPr>
          <w:p w14:paraId="0B0A23D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51" w:type="pct"/>
            <w:hideMark/>
          </w:tcPr>
          <w:p w14:paraId="1F0CD46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4,43</w:t>
            </w:r>
          </w:p>
        </w:tc>
        <w:tc>
          <w:tcPr>
            <w:tcW w:w="351" w:type="pct"/>
            <w:hideMark/>
          </w:tcPr>
          <w:p w14:paraId="4A3C7AB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29,36</w:t>
            </w:r>
          </w:p>
        </w:tc>
        <w:tc>
          <w:tcPr>
            <w:tcW w:w="338" w:type="pct"/>
            <w:hideMark/>
          </w:tcPr>
          <w:p w14:paraId="0D3BFE15"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24,93</w:t>
            </w:r>
          </w:p>
        </w:tc>
      </w:tr>
      <w:tr w:rsidR="00EB64AC" w:rsidRPr="00EB64AC" w14:paraId="53200EF8" w14:textId="77777777" w:rsidTr="00EB64AC">
        <w:trPr>
          <w:trHeight w:val="408"/>
        </w:trPr>
        <w:tc>
          <w:tcPr>
            <w:cnfStyle w:val="001000000000" w:firstRow="0" w:lastRow="0" w:firstColumn="1" w:lastColumn="0" w:oddVBand="0" w:evenVBand="0" w:oddHBand="0" w:evenHBand="0" w:firstRowFirstColumn="0" w:firstRowLastColumn="0" w:lastRowFirstColumn="0" w:lastRowLastColumn="0"/>
            <w:tcW w:w="867" w:type="pct"/>
            <w:hideMark/>
          </w:tcPr>
          <w:p w14:paraId="7CD9A742"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Cheltuieli administrative</w:t>
            </w:r>
          </w:p>
        </w:tc>
        <w:tc>
          <w:tcPr>
            <w:tcW w:w="377" w:type="pct"/>
            <w:hideMark/>
          </w:tcPr>
          <w:p w14:paraId="44F290C1"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4.683,29</w:t>
            </w:r>
          </w:p>
        </w:tc>
        <w:tc>
          <w:tcPr>
            <w:tcW w:w="364" w:type="pct"/>
            <w:hideMark/>
          </w:tcPr>
          <w:p w14:paraId="28A806AB"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4.537,52</w:t>
            </w:r>
          </w:p>
        </w:tc>
        <w:tc>
          <w:tcPr>
            <w:tcW w:w="368" w:type="pct"/>
            <w:hideMark/>
          </w:tcPr>
          <w:p w14:paraId="51149DB2"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5.316,66</w:t>
            </w:r>
          </w:p>
        </w:tc>
        <w:tc>
          <w:tcPr>
            <w:tcW w:w="321" w:type="pct"/>
            <w:hideMark/>
          </w:tcPr>
          <w:p w14:paraId="1EF28BC2"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779,14</w:t>
            </w:r>
          </w:p>
        </w:tc>
        <w:tc>
          <w:tcPr>
            <w:tcW w:w="321" w:type="pct"/>
            <w:hideMark/>
          </w:tcPr>
          <w:p w14:paraId="59E8600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8.824,16</w:t>
            </w:r>
          </w:p>
        </w:tc>
        <w:tc>
          <w:tcPr>
            <w:tcW w:w="351" w:type="pct"/>
            <w:hideMark/>
          </w:tcPr>
          <w:p w14:paraId="42B7C7A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7.794,52</w:t>
            </w:r>
          </w:p>
        </w:tc>
        <w:tc>
          <w:tcPr>
            <w:tcW w:w="351" w:type="pct"/>
            <w:hideMark/>
          </w:tcPr>
          <w:p w14:paraId="1F7226FC"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11.407,58</w:t>
            </w:r>
          </w:p>
        </w:tc>
        <w:tc>
          <w:tcPr>
            <w:tcW w:w="321" w:type="pct"/>
            <w:hideMark/>
          </w:tcPr>
          <w:p w14:paraId="794E4D9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3.613,06</w:t>
            </w:r>
          </w:p>
        </w:tc>
        <w:tc>
          <w:tcPr>
            <w:tcW w:w="321" w:type="pct"/>
            <w:hideMark/>
          </w:tcPr>
          <w:p w14:paraId="4C027A1C"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2.570,84</w:t>
            </w:r>
          </w:p>
        </w:tc>
        <w:tc>
          <w:tcPr>
            <w:tcW w:w="351" w:type="pct"/>
            <w:hideMark/>
          </w:tcPr>
          <w:p w14:paraId="1613542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2.302,43</w:t>
            </w:r>
          </w:p>
        </w:tc>
        <w:tc>
          <w:tcPr>
            <w:tcW w:w="351" w:type="pct"/>
            <w:hideMark/>
          </w:tcPr>
          <w:p w14:paraId="7E8EFBD4"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2.877,07</w:t>
            </w:r>
          </w:p>
        </w:tc>
        <w:tc>
          <w:tcPr>
            <w:tcW w:w="338" w:type="pct"/>
            <w:hideMark/>
          </w:tcPr>
          <w:p w14:paraId="4E5FFAA9"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574,64</w:t>
            </w:r>
          </w:p>
        </w:tc>
      </w:tr>
      <w:tr w:rsidR="00EB64AC" w:rsidRPr="00EB64AC" w14:paraId="0DF2BBD5" w14:textId="77777777" w:rsidTr="00EB64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7" w:type="pct"/>
            <w:hideMark/>
          </w:tcPr>
          <w:p w14:paraId="0FEB1750"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Alte cheltuieli din activitatea operațională</w:t>
            </w:r>
          </w:p>
        </w:tc>
        <w:tc>
          <w:tcPr>
            <w:tcW w:w="377" w:type="pct"/>
            <w:hideMark/>
          </w:tcPr>
          <w:p w14:paraId="48EA1C06"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64" w:type="pct"/>
            <w:hideMark/>
          </w:tcPr>
          <w:p w14:paraId="5841E25A"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0,01</w:t>
            </w:r>
          </w:p>
        </w:tc>
        <w:tc>
          <w:tcPr>
            <w:tcW w:w="368" w:type="pct"/>
            <w:hideMark/>
          </w:tcPr>
          <w:p w14:paraId="72957E2B"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1,14</w:t>
            </w:r>
          </w:p>
        </w:tc>
        <w:tc>
          <w:tcPr>
            <w:tcW w:w="321" w:type="pct"/>
            <w:hideMark/>
          </w:tcPr>
          <w:p w14:paraId="6C1631E7"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1,13</w:t>
            </w:r>
          </w:p>
        </w:tc>
        <w:tc>
          <w:tcPr>
            <w:tcW w:w="321" w:type="pct"/>
            <w:hideMark/>
          </w:tcPr>
          <w:p w14:paraId="2A85558B"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8,65</w:t>
            </w:r>
          </w:p>
        </w:tc>
        <w:tc>
          <w:tcPr>
            <w:tcW w:w="351" w:type="pct"/>
            <w:hideMark/>
          </w:tcPr>
          <w:p w14:paraId="582F7B4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212,45</w:t>
            </w:r>
          </w:p>
        </w:tc>
        <w:tc>
          <w:tcPr>
            <w:tcW w:w="351" w:type="pct"/>
            <w:hideMark/>
          </w:tcPr>
          <w:p w14:paraId="30984A9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31,89</w:t>
            </w:r>
          </w:p>
        </w:tc>
        <w:tc>
          <w:tcPr>
            <w:tcW w:w="321" w:type="pct"/>
            <w:hideMark/>
          </w:tcPr>
          <w:p w14:paraId="5D71BAB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-180,56</w:t>
            </w:r>
          </w:p>
        </w:tc>
        <w:tc>
          <w:tcPr>
            <w:tcW w:w="321" w:type="pct"/>
            <w:hideMark/>
          </w:tcPr>
          <w:p w14:paraId="6F1441F0"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0,97</w:t>
            </w:r>
          </w:p>
        </w:tc>
        <w:tc>
          <w:tcPr>
            <w:tcW w:w="351" w:type="pct"/>
            <w:hideMark/>
          </w:tcPr>
          <w:p w14:paraId="77327704"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74,22</w:t>
            </w:r>
          </w:p>
        </w:tc>
        <w:tc>
          <w:tcPr>
            <w:tcW w:w="351" w:type="pct"/>
            <w:hideMark/>
          </w:tcPr>
          <w:p w14:paraId="660CC4C5"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103,49</w:t>
            </w:r>
          </w:p>
        </w:tc>
        <w:tc>
          <w:tcPr>
            <w:tcW w:w="338" w:type="pct"/>
            <w:hideMark/>
          </w:tcPr>
          <w:p w14:paraId="12E59E3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29,27</w:t>
            </w:r>
          </w:p>
        </w:tc>
      </w:tr>
      <w:tr w:rsidR="00EB64AC" w:rsidRPr="00EB64AC" w14:paraId="34C841D6" w14:textId="77777777" w:rsidTr="00EB64AC">
        <w:trPr>
          <w:trHeight w:val="576"/>
        </w:trPr>
        <w:tc>
          <w:tcPr>
            <w:cnfStyle w:val="001000000000" w:firstRow="0" w:lastRow="0" w:firstColumn="1" w:lastColumn="0" w:oddVBand="0" w:evenVBand="0" w:oddHBand="0" w:evenHBand="0" w:firstRowFirstColumn="0" w:firstRowLastColumn="0" w:lastRowFirstColumn="0" w:lastRowLastColumn="0"/>
            <w:tcW w:w="867" w:type="pct"/>
            <w:hideMark/>
          </w:tcPr>
          <w:p w14:paraId="341CA1C9"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Rezultatul din activitatea operațională</w:t>
            </w:r>
          </w:p>
        </w:tc>
        <w:tc>
          <w:tcPr>
            <w:tcW w:w="377" w:type="pct"/>
            <w:hideMark/>
          </w:tcPr>
          <w:p w14:paraId="497779D4"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-4.683,27</w:t>
            </w:r>
          </w:p>
        </w:tc>
        <w:tc>
          <w:tcPr>
            <w:tcW w:w="364" w:type="pct"/>
            <w:hideMark/>
          </w:tcPr>
          <w:p w14:paraId="0789A3BE"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-4.537,53</w:t>
            </w:r>
          </w:p>
        </w:tc>
        <w:tc>
          <w:tcPr>
            <w:tcW w:w="368" w:type="pct"/>
            <w:hideMark/>
          </w:tcPr>
          <w:p w14:paraId="465B6ED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-5.317,62</w:t>
            </w:r>
          </w:p>
        </w:tc>
        <w:tc>
          <w:tcPr>
            <w:tcW w:w="321" w:type="pct"/>
            <w:hideMark/>
          </w:tcPr>
          <w:p w14:paraId="3CB703A5"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-780,09</w:t>
            </w:r>
          </w:p>
        </w:tc>
        <w:tc>
          <w:tcPr>
            <w:tcW w:w="321" w:type="pct"/>
            <w:hideMark/>
          </w:tcPr>
          <w:p w14:paraId="5413A1DD"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-8.821,97</w:t>
            </w:r>
          </w:p>
        </w:tc>
        <w:tc>
          <w:tcPr>
            <w:tcW w:w="351" w:type="pct"/>
            <w:hideMark/>
          </w:tcPr>
          <w:p w14:paraId="10357BB9"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6.225,62</w:t>
            </w:r>
          </w:p>
        </w:tc>
        <w:tc>
          <w:tcPr>
            <w:tcW w:w="351" w:type="pct"/>
            <w:hideMark/>
          </w:tcPr>
          <w:p w14:paraId="6ED812E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3.772,84</w:t>
            </w:r>
          </w:p>
        </w:tc>
        <w:tc>
          <w:tcPr>
            <w:tcW w:w="321" w:type="pct"/>
            <w:hideMark/>
          </w:tcPr>
          <w:p w14:paraId="725A896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-2.452,78</w:t>
            </w:r>
          </w:p>
        </w:tc>
        <w:tc>
          <w:tcPr>
            <w:tcW w:w="321" w:type="pct"/>
            <w:hideMark/>
          </w:tcPr>
          <w:p w14:paraId="16551725"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36,49</w:t>
            </w:r>
          </w:p>
        </w:tc>
        <w:tc>
          <w:tcPr>
            <w:tcW w:w="351" w:type="pct"/>
            <w:hideMark/>
          </w:tcPr>
          <w:p w14:paraId="5965B63D"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615,37</w:t>
            </w:r>
          </w:p>
        </w:tc>
        <w:tc>
          <w:tcPr>
            <w:tcW w:w="351" w:type="pct"/>
            <w:hideMark/>
          </w:tcPr>
          <w:p w14:paraId="2E0D2D29"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-485,88</w:t>
            </w:r>
          </w:p>
        </w:tc>
        <w:tc>
          <w:tcPr>
            <w:tcW w:w="338" w:type="pct"/>
            <w:hideMark/>
          </w:tcPr>
          <w:p w14:paraId="4A8A400E"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-1.101,25</w:t>
            </w:r>
          </w:p>
        </w:tc>
      </w:tr>
      <w:tr w:rsidR="00EB64AC" w:rsidRPr="00EB64AC" w14:paraId="252BEE1B" w14:textId="77777777" w:rsidTr="00EB64A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67" w:type="pct"/>
            <w:hideMark/>
          </w:tcPr>
          <w:p w14:paraId="0192860A"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Rezultatul din alte activități</w:t>
            </w:r>
          </w:p>
        </w:tc>
        <w:tc>
          <w:tcPr>
            <w:tcW w:w="377" w:type="pct"/>
            <w:hideMark/>
          </w:tcPr>
          <w:p w14:paraId="6D2CD23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4.683,27</w:t>
            </w:r>
          </w:p>
        </w:tc>
        <w:tc>
          <w:tcPr>
            <w:tcW w:w="364" w:type="pct"/>
            <w:hideMark/>
          </w:tcPr>
          <w:p w14:paraId="6B88BA94"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4.537,52</w:t>
            </w:r>
          </w:p>
        </w:tc>
        <w:tc>
          <w:tcPr>
            <w:tcW w:w="368" w:type="pct"/>
            <w:hideMark/>
          </w:tcPr>
          <w:p w14:paraId="776AB33A"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5.317,62</w:t>
            </w:r>
          </w:p>
        </w:tc>
        <w:tc>
          <w:tcPr>
            <w:tcW w:w="321" w:type="pct"/>
            <w:hideMark/>
          </w:tcPr>
          <w:p w14:paraId="536AB4D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780,10</w:t>
            </w:r>
          </w:p>
        </w:tc>
        <w:tc>
          <w:tcPr>
            <w:tcW w:w="321" w:type="pct"/>
            <w:hideMark/>
          </w:tcPr>
          <w:p w14:paraId="3FA7ED20"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8.821,97</w:t>
            </w:r>
          </w:p>
        </w:tc>
        <w:tc>
          <w:tcPr>
            <w:tcW w:w="351" w:type="pct"/>
            <w:hideMark/>
          </w:tcPr>
          <w:p w14:paraId="2840C2BD"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-6.225,61</w:t>
            </w:r>
          </w:p>
        </w:tc>
        <w:tc>
          <w:tcPr>
            <w:tcW w:w="351" w:type="pct"/>
            <w:hideMark/>
          </w:tcPr>
          <w:p w14:paraId="577B858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-3.772,84</w:t>
            </w:r>
          </w:p>
        </w:tc>
        <w:tc>
          <w:tcPr>
            <w:tcW w:w="321" w:type="pct"/>
            <w:hideMark/>
          </w:tcPr>
          <w:p w14:paraId="38BE871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2.452,77</w:t>
            </w:r>
          </w:p>
        </w:tc>
        <w:tc>
          <w:tcPr>
            <w:tcW w:w="321" w:type="pct"/>
            <w:hideMark/>
          </w:tcPr>
          <w:p w14:paraId="0050C77C"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-1,34</w:t>
            </w:r>
          </w:p>
        </w:tc>
        <w:tc>
          <w:tcPr>
            <w:tcW w:w="351" w:type="pct"/>
            <w:hideMark/>
          </w:tcPr>
          <w:p w14:paraId="3601A2E2"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-50,17</w:t>
            </w:r>
          </w:p>
        </w:tc>
        <w:tc>
          <w:tcPr>
            <w:tcW w:w="351" w:type="pct"/>
            <w:hideMark/>
          </w:tcPr>
          <w:p w14:paraId="77D292D7"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-20,03</w:t>
            </w:r>
          </w:p>
        </w:tc>
        <w:tc>
          <w:tcPr>
            <w:tcW w:w="338" w:type="pct"/>
            <w:hideMark/>
          </w:tcPr>
          <w:p w14:paraId="6458290E"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30,14</w:t>
            </w:r>
          </w:p>
        </w:tc>
      </w:tr>
      <w:tr w:rsidR="00EB64AC" w:rsidRPr="00EB64AC" w14:paraId="6468EB2B" w14:textId="77777777" w:rsidTr="00EB64AC">
        <w:trPr>
          <w:trHeight w:val="456"/>
        </w:trPr>
        <w:tc>
          <w:tcPr>
            <w:cnfStyle w:val="001000000000" w:firstRow="0" w:lastRow="0" w:firstColumn="1" w:lastColumn="0" w:oddVBand="0" w:evenVBand="0" w:oddHBand="0" w:evenHBand="0" w:firstRowFirstColumn="0" w:firstRowLastColumn="0" w:lastRowFirstColumn="0" w:lastRowLastColumn="0"/>
            <w:tcW w:w="867" w:type="pct"/>
            <w:hideMark/>
          </w:tcPr>
          <w:p w14:paraId="215A4A7E"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Profit (pierdere) până la impozitare</w:t>
            </w:r>
          </w:p>
        </w:tc>
        <w:tc>
          <w:tcPr>
            <w:tcW w:w="377" w:type="pct"/>
            <w:hideMark/>
          </w:tcPr>
          <w:p w14:paraId="1FE87E98"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4" w:type="pct"/>
            <w:hideMark/>
          </w:tcPr>
          <w:p w14:paraId="354D574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8" w:type="pct"/>
            <w:hideMark/>
          </w:tcPr>
          <w:p w14:paraId="7318F768"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1FD843B9"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21" w:type="pct"/>
            <w:hideMark/>
          </w:tcPr>
          <w:p w14:paraId="46AADC42"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51" w:type="pct"/>
            <w:hideMark/>
          </w:tcPr>
          <w:p w14:paraId="23D0B7D4"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51" w:type="pct"/>
            <w:hideMark/>
          </w:tcPr>
          <w:p w14:paraId="1929106B"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57678886"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21" w:type="pct"/>
            <w:hideMark/>
          </w:tcPr>
          <w:p w14:paraId="39ED6A9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35,15</w:t>
            </w:r>
          </w:p>
        </w:tc>
        <w:tc>
          <w:tcPr>
            <w:tcW w:w="351" w:type="pct"/>
            <w:hideMark/>
          </w:tcPr>
          <w:p w14:paraId="641F5B54"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565,20</w:t>
            </w:r>
          </w:p>
        </w:tc>
        <w:tc>
          <w:tcPr>
            <w:tcW w:w="351" w:type="pct"/>
            <w:hideMark/>
          </w:tcPr>
          <w:p w14:paraId="21FF8700"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-505,91</w:t>
            </w:r>
          </w:p>
        </w:tc>
        <w:tc>
          <w:tcPr>
            <w:tcW w:w="338" w:type="pct"/>
            <w:hideMark/>
          </w:tcPr>
          <w:p w14:paraId="62EACA8A" w14:textId="77777777" w:rsidR="00EB64AC" w:rsidRPr="00EB64AC" w:rsidRDefault="00EB64AC" w:rsidP="00EB64A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-1.071,11</w:t>
            </w:r>
          </w:p>
        </w:tc>
      </w:tr>
      <w:tr w:rsidR="00EB64AC" w:rsidRPr="00EB64AC" w14:paraId="7691AB2B" w14:textId="77777777" w:rsidTr="00EB64A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7" w:type="pct"/>
            <w:hideMark/>
          </w:tcPr>
          <w:p w14:paraId="2812C510" w14:textId="77777777" w:rsidR="00EB64AC" w:rsidRPr="00EB64AC" w:rsidRDefault="00EB64AC" w:rsidP="00EB64AC">
            <w:pPr>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Profit net (pierdere netă)</w:t>
            </w:r>
          </w:p>
        </w:tc>
        <w:tc>
          <w:tcPr>
            <w:tcW w:w="377" w:type="pct"/>
            <w:hideMark/>
          </w:tcPr>
          <w:p w14:paraId="731EB4A0"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4" w:type="pct"/>
            <w:hideMark/>
          </w:tcPr>
          <w:p w14:paraId="7C0458B4"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68" w:type="pct"/>
            <w:hideMark/>
          </w:tcPr>
          <w:p w14:paraId="4DCBF7E3"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24F19B1B"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0,00</w:t>
            </w:r>
          </w:p>
        </w:tc>
        <w:tc>
          <w:tcPr>
            <w:tcW w:w="321" w:type="pct"/>
            <w:hideMark/>
          </w:tcPr>
          <w:p w14:paraId="63D813E7"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51" w:type="pct"/>
            <w:hideMark/>
          </w:tcPr>
          <w:p w14:paraId="73806E7D"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51" w:type="pct"/>
            <w:hideMark/>
          </w:tcPr>
          <w:p w14:paraId="211BAEFE"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3E150A3C"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0,00</w:t>
            </w:r>
          </w:p>
        </w:tc>
        <w:tc>
          <w:tcPr>
            <w:tcW w:w="321" w:type="pct"/>
            <w:hideMark/>
          </w:tcPr>
          <w:p w14:paraId="48366FF8"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35,15</w:t>
            </w:r>
          </w:p>
        </w:tc>
        <w:tc>
          <w:tcPr>
            <w:tcW w:w="351" w:type="pct"/>
            <w:hideMark/>
          </w:tcPr>
          <w:p w14:paraId="6B72649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565,20</w:t>
            </w:r>
          </w:p>
        </w:tc>
        <w:tc>
          <w:tcPr>
            <w:tcW w:w="351" w:type="pct"/>
            <w:hideMark/>
          </w:tcPr>
          <w:p w14:paraId="1E8908F6"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20"/>
                <w:szCs w:val="20"/>
              </w:rPr>
            </w:pPr>
            <w:r w:rsidRPr="00EB64AC">
              <w:rPr>
                <w:rFonts w:ascii="Calibri Light" w:eastAsia="Times New Roman" w:hAnsi="Calibri Light" w:cs="Calibri Light"/>
                <w:b/>
                <w:bCs/>
                <w:color w:val="000000"/>
                <w:sz w:val="20"/>
                <w:szCs w:val="20"/>
              </w:rPr>
              <w:t>-505,91</w:t>
            </w:r>
          </w:p>
        </w:tc>
        <w:tc>
          <w:tcPr>
            <w:tcW w:w="338" w:type="pct"/>
            <w:hideMark/>
          </w:tcPr>
          <w:p w14:paraId="0A2989A1" w14:textId="77777777" w:rsidR="00EB64AC" w:rsidRPr="00EB64AC" w:rsidRDefault="00EB64AC" w:rsidP="00EB64A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rPr>
            </w:pPr>
            <w:r w:rsidRPr="00EB64AC">
              <w:rPr>
                <w:rFonts w:ascii="Calibri Light" w:eastAsia="Times New Roman" w:hAnsi="Calibri Light" w:cs="Calibri Light"/>
                <w:color w:val="000000"/>
                <w:sz w:val="20"/>
                <w:szCs w:val="20"/>
              </w:rPr>
              <w:t>-1.071,11</w:t>
            </w:r>
          </w:p>
        </w:tc>
      </w:tr>
      <w:tr w:rsidR="00EB64AC" w:rsidRPr="00EB64AC" w14:paraId="74DDDE60" w14:textId="77777777" w:rsidTr="00EB64AC">
        <w:trPr>
          <w:trHeight w:val="288"/>
        </w:trPr>
        <w:tc>
          <w:tcPr>
            <w:cnfStyle w:val="001000000000" w:firstRow="0" w:lastRow="0" w:firstColumn="1" w:lastColumn="0" w:oddVBand="0" w:evenVBand="0" w:oddHBand="0" w:evenHBand="0" w:firstRowFirstColumn="0" w:firstRowLastColumn="0" w:lastRowFirstColumn="0" w:lastRowLastColumn="0"/>
            <w:tcW w:w="2296" w:type="pct"/>
            <w:gridSpan w:val="5"/>
            <w:noWrap/>
            <w:hideMark/>
          </w:tcPr>
          <w:p w14:paraId="4D608DFA" w14:textId="77777777" w:rsidR="00EB64AC" w:rsidRPr="00EB64AC" w:rsidRDefault="00EB64AC" w:rsidP="00EB64AC">
            <w:pPr>
              <w:rPr>
                <w:rFonts w:ascii="Calibri Light" w:eastAsia="Times New Roman" w:hAnsi="Calibri Light" w:cs="Calibri Light"/>
                <w:i/>
                <w:iCs/>
                <w:color w:val="000000"/>
                <w:sz w:val="20"/>
                <w:szCs w:val="20"/>
              </w:rPr>
            </w:pPr>
            <w:r w:rsidRPr="00EB64AC">
              <w:rPr>
                <w:rFonts w:ascii="Calibri Light" w:eastAsia="Times New Roman" w:hAnsi="Calibri Light" w:cs="Calibri Light"/>
                <w:i/>
                <w:iCs/>
                <w:color w:val="000000"/>
                <w:sz w:val="20"/>
                <w:szCs w:val="20"/>
              </w:rPr>
              <w:t xml:space="preserve">Sursă: </w:t>
            </w:r>
            <w:r w:rsidRPr="00122169">
              <w:rPr>
                <w:rFonts w:ascii="Calibri Light" w:eastAsia="Times New Roman" w:hAnsi="Calibri Light" w:cs="Calibri Light"/>
                <w:i/>
                <w:iCs/>
                <w:color w:val="000000"/>
                <w:sz w:val="20"/>
                <w:szCs w:val="20"/>
              </w:rPr>
              <w:t>Situația de profit și pierdere pe anii 2020 și 2021.</w:t>
            </w:r>
          </w:p>
        </w:tc>
        <w:tc>
          <w:tcPr>
            <w:tcW w:w="321" w:type="pct"/>
            <w:noWrap/>
            <w:hideMark/>
          </w:tcPr>
          <w:p w14:paraId="0C338551"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i/>
                <w:iCs/>
                <w:color w:val="000000"/>
                <w:sz w:val="20"/>
                <w:szCs w:val="20"/>
              </w:rPr>
            </w:pPr>
            <w:r w:rsidRPr="00EB64AC">
              <w:rPr>
                <w:rFonts w:ascii="Calibri Light" w:eastAsia="Times New Roman" w:hAnsi="Calibri Light" w:cs="Calibri Light"/>
                <w:b/>
                <w:bCs/>
                <w:i/>
                <w:iCs/>
                <w:color w:val="000000"/>
                <w:sz w:val="20"/>
                <w:szCs w:val="20"/>
              </w:rPr>
              <w:t> </w:t>
            </w:r>
          </w:p>
        </w:tc>
        <w:tc>
          <w:tcPr>
            <w:tcW w:w="351" w:type="pct"/>
            <w:noWrap/>
            <w:hideMark/>
          </w:tcPr>
          <w:p w14:paraId="2F8E3192"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7D1069E7"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79BBC823"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21" w:type="pct"/>
            <w:noWrap/>
            <w:hideMark/>
          </w:tcPr>
          <w:p w14:paraId="33F9E56B"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14E319B5"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51" w:type="pct"/>
            <w:noWrap/>
            <w:hideMark/>
          </w:tcPr>
          <w:p w14:paraId="675DF471"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c>
          <w:tcPr>
            <w:tcW w:w="338" w:type="pct"/>
            <w:noWrap/>
            <w:hideMark/>
          </w:tcPr>
          <w:p w14:paraId="1A777C07" w14:textId="77777777" w:rsidR="00EB64AC" w:rsidRPr="00EB64AC" w:rsidRDefault="00EB64AC" w:rsidP="00EB64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B64AC">
              <w:rPr>
                <w:rFonts w:ascii="Calibri" w:eastAsia="Times New Roman" w:hAnsi="Calibri" w:cs="Calibri"/>
                <w:color w:val="000000"/>
              </w:rPr>
              <w:t> </w:t>
            </w:r>
          </w:p>
        </w:tc>
      </w:tr>
    </w:tbl>
    <w:p w14:paraId="4D31892A" w14:textId="4E1C470B" w:rsidR="00037259" w:rsidRDefault="00037259" w:rsidP="00FE0359">
      <w:pPr>
        <w:tabs>
          <w:tab w:val="left" w:pos="910"/>
        </w:tabs>
        <w:ind w:left="-426" w:right="397"/>
        <w:rPr>
          <w:rFonts w:asciiTheme="majorHAnsi" w:hAnsiTheme="majorHAnsi" w:cstheme="majorHAnsi"/>
          <w:sz w:val="24"/>
          <w:szCs w:val="24"/>
          <w:lang w:eastAsia="ro-MD"/>
        </w:rPr>
      </w:pPr>
    </w:p>
    <w:p w14:paraId="2DDE5B3F" w14:textId="576D9D4C" w:rsidR="00541379" w:rsidRDefault="00541379" w:rsidP="00FE0359">
      <w:pPr>
        <w:tabs>
          <w:tab w:val="left" w:pos="910"/>
        </w:tabs>
        <w:ind w:left="-426" w:right="397"/>
        <w:rPr>
          <w:rFonts w:asciiTheme="majorHAnsi" w:hAnsiTheme="majorHAnsi" w:cstheme="majorHAnsi"/>
          <w:sz w:val="24"/>
          <w:szCs w:val="24"/>
          <w:lang w:eastAsia="ro-MD"/>
        </w:rPr>
      </w:pPr>
    </w:p>
    <w:p w14:paraId="2338561C" w14:textId="77777777" w:rsidR="00541379" w:rsidRDefault="00541379" w:rsidP="00FE0359">
      <w:pPr>
        <w:tabs>
          <w:tab w:val="left" w:pos="910"/>
        </w:tabs>
        <w:ind w:left="-426" w:right="397"/>
        <w:rPr>
          <w:rFonts w:asciiTheme="majorHAnsi" w:hAnsiTheme="majorHAnsi" w:cstheme="majorHAnsi"/>
          <w:sz w:val="24"/>
          <w:szCs w:val="24"/>
          <w:lang w:eastAsia="ro-MD"/>
        </w:rPr>
      </w:pPr>
    </w:p>
    <w:p w14:paraId="0B217E3A" w14:textId="74D6D272" w:rsidR="00F232D8" w:rsidRPr="003D4A34" w:rsidRDefault="003B3057" w:rsidP="005129B8">
      <w:pPr>
        <w:pStyle w:val="Heading2"/>
        <w:spacing w:before="0" w:after="240"/>
        <w:rPr>
          <w:rFonts w:cstheme="majorHAnsi"/>
          <w:b/>
          <w:color w:val="00B0F0"/>
          <w:sz w:val="24"/>
          <w:szCs w:val="24"/>
          <w:lang w:eastAsia="ro-MD"/>
        </w:rPr>
      </w:pPr>
      <w:bookmarkStart w:id="146" w:name="_Toc123116723"/>
      <w:r w:rsidRPr="003D4A34">
        <w:rPr>
          <w:rFonts w:cstheme="majorHAnsi"/>
          <w:b/>
          <w:color w:val="00B0F0"/>
          <w:sz w:val="24"/>
          <w:szCs w:val="24"/>
          <w:lang w:val="ro-MD"/>
        </w:rPr>
        <w:t>Anexa nr.2</w:t>
      </w:r>
      <w:r w:rsidR="003D4A34" w:rsidRPr="003D4A34">
        <w:rPr>
          <w:rFonts w:cstheme="majorHAnsi"/>
          <w:b/>
          <w:color w:val="00B0F0"/>
          <w:sz w:val="24"/>
          <w:szCs w:val="24"/>
          <w:lang w:eastAsia="ro-MD"/>
        </w:rPr>
        <w:t xml:space="preserve">. </w:t>
      </w:r>
      <w:r w:rsidR="00F232D8" w:rsidRPr="005129B8">
        <w:rPr>
          <w:rFonts w:cstheme="majorHAnsi"/>
          <w:b/>
          <w:color w:val="00B0F0"/>
          <w:sz w:val="24"/>
          <w:szCs w:val="24"/>
          <w:lang w:val="ro-MD"/>
        </w:rPr>
        <w:t>Procesele</w:t>
      </w:r>
      <w:r w:rsidR="00F232D8" w:rsidRPr="003D4A34">
        <w:rPr>
          <w:rFonts w:cstheme="majorHAnsi"/>
          <w:b/>
          <w:color w:val="00B0F0"/>
          <w:sz w:val="24"/>
          <w:szCs w:val="24"/>
          <w:lang w:eastAsia="ro-MD"/>
        </w:rPr>
        <w:t xml:space="preserve"> supuse verificării</w:t>
      </w:r>
      <w:bookmarkEnd w:id="146"/>
    </w:p>
    <w:tbl>
      <w:tblPr>
        <w:tblStyle w:val="TableGrid1"/>
        <w:tblW w:w="14174" w:type="dxa"/>
        <w:tblLayout w:type="fixed"/>
        <w:tblLook w:val="04A0" w:firstRow="1" w:lastRow="0" w:firstColumn="1" w:lastColumn="0" w:noHBand="0" w:noVBand="1"/>
      </w:tblPr>
      <w:tblGrid>
        <w:gridCol w:w="1779"/>
        <w:gridCol w:w="3603"/>
        <w:gridCol w:w="2126"/>
        <w:gridCol w:w="2100"/>
        <w:gridCol w:w="4566"/>
      </w:tblGrid>
      <w:tr w:rsidR="004D496F" w:rsidRPr="000B69E2" w14:paraId="1FA46253" w14:textId="77777777" w:rsidTr="002E6540">
        <w:trPr>
          <w:trHeight w:val="893"/>
        </w:trPr>
        <w:tc>
          <w:tcPr>
            <w:tcW w:w="1779" w:type="dxa"/>
          </w:tcPr>
          <w:p w14:paraId="5297E3D0" w14:textId="70BF0FC3"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Riscuri semnificative de neconformitate</w:t>
            </w:r>
          </w:p>
          <w:p w14:paraId="280B7E5A" w14:textId="77777777" w:rsidR="004D496F" w:rsidRPr="000B69E2" w:rsidRDefault="004D496F" w:rsidP="004D496F">
            <w:pPr>
              <w:jc w:val="center"/>
              <w:rPr>
                <w:rFonts w:asciiTheme="majorHAnsi" w:eastAsia="Times New Roman" w:hAnsiTheme="majorHAnsi" w:cstheme="majorHAnsi"/>
                <w:b/>
                <w:bCs/>
                <w:color w:val="000000"/>
                <w:lang w:val="ro-MD"/>
              </w:rPr>
            </w:pPr>
          </w:p>
        </w:tc>
        <w:tc>
          <w:tcPr>
            <w:tcW w:w="3603" w:type="dxa"/>
          </w:tcPr>
          <w:p w14:paraId="08997487" w14:textId="77777777" w:rsidR="002E6540" w:rsidRDefault="002E6540" w:rsidP="004D496F">
            <w:pPr>
              <w:jc w:val="center"/>
              <w:rPr>
                <w:rFonts w:asciiTheme="majorHAnsi" w:eastAsia="Times New Roman" w:hAnsiTheme="majorHAnsi" w:cstheme="majorHAnsi"/>
                <w:b/>
                <w:bCs/>
                <w:color w:val="000000"/>
                <w:lang w:val="ro-MD"/>
              </w:rPr>
            </w:pPr>
          </w:p>
          <w:p w14:paraId="5BFB09BA" w14:textId="51F3949F"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Probe de audit necesare</w:t>
            </w:r>
          </w:p>
        </w:tc>
        <w:tc>
          <w:tcPr>
            <w:tcW w:w="2126" w:type="dxa"/>
          </w:tcPr>
          <w:p w14:paraId="111E57A7" w14:textId="77777777" w:rsidR="002E6540" w:rsidRDefault="002E6540" w:rsidP="004D496F">
            <w:pPr>
              <w:jc w:val="center"/>
              <w:rPr>
                <w:rFonts w:asciiTheme="majorHAnsi" w:eastAsia="Times New Roman" w:hAnsiTheme="majorHAnsi" w:cstheme="majorHAnsi"/>
                <w:b/>
                <w:bCs/>
                <w:color w:val="000000"/>
                <w:lang w:val="ro-MD"/>
              </w:rPr>
            </w:pPr>
          </w:p>
          <w:p w14:paraId="48B105E7" w14:textId="58E9819D"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Sursa</w:t>
            </w:r>
          </w:p>
          <w:p w14:paraId="4A3C46E2" w14:textId="793EA64A" w:rsidR="004D496F" w:rsidRPr="000B69E2" w:rsidRDefault="00885D4D" w:rsidP="004D496F">
            <w:pPr>
              <w:jc w:val="center"/>
              <w:rPr>
                <w:rFonts w:asciiTheme="majorHAnsi" w:eastAsia="Times New Roman" w:hAnsiTheme="majorHAnsi" w:cstheme="majorHAnsi"/>
                <w:b/>
                <w:bCs/>
                <w:color w:val="000000"/>
                <w:lang w:val="ro-MD"/>
              </w:rPr>
            </w:pPr>
            <w:r>
              <w:rPr>
                <w:rFonts w:asciiTheme="majorHAnsi" w:eastAsia="Times New Roman" w:hAnsiTheme="majorHAnsi" w:cstheme="majorHAnsi"/>
                <w:b/>
                <w:bCs/>
                <w:color w:val="000000"/>
                <w:lang w:val="ro-MD"/>
              </w:rPr>
              <w:t>criter</w:t>
            </w:r>
            <w:r w:rsidR="008E3B8F">
              <w:rPr>
                <w:rFonts w:asciiTheme="majorHAnsi" w:eastAsia="Times New Roman" w:hAnsiTheme="majorHAnsi" w:cstheme="majorHAnsi"/>
                <w:b/>
                <w:bCs/>
                <w:color w:val="000000"/>
                <w:lang w:val="ro-MD"/>
              </w:rPr>
              <w:t>ii</w:t>
            </w:r>
            <w:r>
              <w:rPr>
                <w:rFonts w:asciiTheme="majorHAnsi" w:eastAsia="Times New Roman" w:hAnsiTheme="majorHAnsi" w:cstheme="majorHAnsi"/>
                <w:b/>
                <w:bCs/>
                <w:color w:val="000000"/>
                <w:lang w:val="ro-MD"/>
              </w:rPr>
              <w:t>lor</w:t>
            </w:r>
            <w:r w:rsidR="004D496F" w:rsidRPr="000B69E2">
              <w:rPr>
                <w:rFonts w:asciiTheme="majorHAnsi" w:eastAsia="Times New Roman" w:hAnsiTheme="majorHAnsi" w:cstheme="majorHAnsi"/>
                <w:b/>
                <w:bCs/>
                <w:color w:val="000000"/>
                <w:lang w:val="ro-MD"/>
              </w:rPr>
              <w:t xml:space="preserve"> de audit</w:t>
            </w:r>
          </w:p>
        </w:tc>
        <w:tc>
          <w:tcPr>
            <w:tcW w:w="2100" w:type="dxa"/>
          </w:tcPr>
          <w:p w14:paraId="7D91525D" w14:textId="77777777" w:rsidR="002E6540" w:rsidRDefault="002E6540" w:rsidP="004D496F">
            <w:pPr>
              <w:jc w:val="center"/>
              <w:rPr>
                <w:rFonts w:asciiTheme="majorHAnsi" w:eastAsia="Times New Roman" w:hAnsiTheme="majorHAnsi" w:cstheme="majorHAnsi"/>
                <w:b/>
                <w:bCs/>
                <w:color w:val="000000"/>
                <w:lang w:val="ro-MD"/>
              </w:rPr>
            </w:pPr>
          </w:p>
          <w:p w14:paraId="05782F63" w14:textId="71B3109D"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Procedurile de audit planificate</w:t>
            </w:r>
          </w:p>
        </w:tc>
        <w:tc>
          <w:tcPr>
            <w:tcW w:w="4563" w:type="dxa"/>
          </w:tcPr>
          <w:p w14:paraId="367FDB24" w14:textId="77777777" w:rsidR="002E6540" w:rsidRDefault="002E6540" w:rsidP="004D496F">
            <w:pPr>
              <w:jc w:val="center"/>
              <w:rPr>
                <w:rFonts w:asciiTheme="majorHAnsi" w:eastAsia="Times New Roman" w:hAnsiTheme="majorHAnsi" w:cstheme="majorHAnsi"/>
                <w:b/>
                <w:bCs/>
                <w:color w:val="000000"/>
                <w:lang w:val="ro-MD"/>
              </w:rPr>
            </w:pPr>
          </w:p>
          <w:p w14:paraId="6EBE8FED" w14:textId="2AB8DC43" w:rsidR="004D496F" w:rsidRPr="000B69E2" w:rsidRDefault="004D496F" w:rsidP="004D496F">
            <w:pPr>
              <w:jc w:val="center"/>
              <w:rPr>
                <w:rFonts w:asciiTheme="majorHAnsi" w:eastAsia="Times New Roman" w:hAnsiTheme="majorHAnsi" w:cstheme="majorHAnsi"/>
                <w:b/>
                <w:bCs/>
                <w:color w:val="000000"/>
                <w:lang w:val="ro-MD"/>
              </w:rPr>
            </w:pPr>
            <w:r>
              <w:rPr>
                <w:rFonts w:asciiTheme="majorHAnsi" w:eastAsia="Times New Roman" w:hAnsiTheme="majorHAnsi" w:cstheme="majorHAnsi"/>
                <w:b/>
                <w:bCs/>
                <w:color w:val="000000"/>
                <w:lang w:val="ro-MD"/>
              </w:rPr>
              <w:t xml:space="preserve">Argumentarea dimensiunii </w:t>
            </w:r>
            <w:r w:rsidRPr="000B69E2">
              <w:rPr>
                <w:rFonts w:asciiTheme="majorHAnsi" w:eastAsia="Times New Roman" w:hAnsiTheme="majorHAnsi" w:cstheme="majorHAnsi"/>
                <w:b/>
                <w:bCs/>
                <w:color w:val="000000"/>
                <w:lang w:val="ro-MD"/>
              </w:rPr>
              <w:t>eșantionului</w:t>
            </w:r>
          </w:p>
        </w:tc>
      </w:tr>
      <w:tr w:rsidR="004D496F" w:rsidRPr="000B69E2" w14:paraId="06619BBD" w14:textId="77777777" w:rsidTr="002E6540">
        <w:trPr>
          <w:trHeight w:val="203"/>
        </w:trPr>
        <w:tc>
          <w:tcPr>
            <w:tcW w:w="1779" w:type="dxa"/>
          </w:tcPr>
          <w:p w14:paraId="005CBAEF" w14:textId="77777777"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1</w:t>
            </w:r>
          </w:p>
        </w:tc>
        <w:tc>
          <w:tcPr>
            <w:tcW w:w="3603" w:type="dxa"/>
          </w:tcPr>
          <w:p w14:paraId="007C1FD2" w14:textId="77777777"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2</w:t>
            </w:r>
          </w:p>
        </w:tc>
        <w:tc>
          <w:tcPr>
            <w:tcW w:w="2126" w:type="dxa"/>
          </w:tcPr>
          <w:p w14:paraId="34DD6939" w14:textId="77777777"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3</w:t>
            </w:r>
          </w:p>
        </w:tc>
        <w:tc>
          <w:tcPr>
            <w:tcW w:w="2100" w:type="dxa"/>
          </w:tcPr>
          <w:p w14:paraId="2D1A7ED2" w14:textId="77777777"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4</w:t>
            </w:r>
          </w:p>
        </w:tc>
        <w:tc>
          <w:tcPr>
            <w:tcW w:w="4563" w:type="dxa"/>
          </w:tcPr>
          <w:p w14:paraId="6C80058B" w14:textId="77777777" w:rsidR="004D496F" w:rsidRPr="000B69E2" w:rsidRDefault="004D496F" w:rsidP="004D496F">
            <w:pPr>
              <w:jc w:val="center"/>
              <w:rPr>
                <w:rFonts w:asciiTheme="majorHAnsi" w:eastAsia="Times New Roman" w:hAnsiTheme="majorHAnsi" w:cstheme="majorHAnsi"/>
                <w:b/>
                <w:bCs/>
                <w:color w:val="000000"/>
                <w:lang w:val="ro-MD"/>
              </w:rPr>
            </w:pPr>
            <w:r w:rsidRPr="000B69E2">
              <w:rPr>
                <w:rFonts w:asciiTheme="majorHAnsi" w:eastAsia="Times New Roman" w:hAnsiTheme="majorHAnsi" w:cstheme="majorHAnsi"/>
                <w:b/>
                <w:bCs/>
                <w:color w:val="000000"/>
                <w:lang w:val="ro-MD"/>
              </w:rPr>
              <w:t>5</w:t>
            </w:r>
          </w:p>
        </w:tc>
      </w:tr>
      <w:tr w:rsidR="004D496F" w:rsidRPr="000B69E2" w14:paraId="44D289B3" w14:textId="77777777" w:rsidTr="002E6540">
        <w:trPr>
          <w:trHeight w:val="203"/>
        </w:trPr>
        <w:tc>
          <w:tcPr>
            <w:tcW w:w="14174" w:type="dxa"/>
            <w:gridSpan w:val="5"/>
          </w:tcPr>
          <w:p w14:paraId="69A0470C" w14:textId="54B37AD2" w:rsidR="004D496F" w:rsidRPr="000B69E2" w:rsidRDefault="0062749B" w:rsidP="00136F09">
            <w:pPr>
              <w:rPr>
                <w:rFonts w:asciiTheme="majorHAnsi" w:hAnsiTheme="majorHAnsi" w:cstheme="majorHAnsi"/>
                <w:b/>
                <w:lang w:val="ro-MD"/>
              </w:rPr>
            </w:pPr>
            <w:r>
              <w:rPr>
                <w:rFonts w:asciiTheme="majorHAnsi" w:hAnsiTheme="majorHAnsi" w:cstheme="majorHAnsi"/>
                <w:b/>
                <w:lang w:val="ro-MD"/>
              </w:rPr>
              <w:t>A fost asigurată conformitatea gestionării patrimoniului public și respectate principiile de integritate, transparență și leg</w:t>
            </w:r>
            <w:r w:rsidR="00136F09">
              <w:rPr>
                <w:rFonts w:asciiTheme="majorHAnsi" w:hAnsiTheme="majorHAnsi" w:cstheme="majorHAnsi"/>
                <w:b/>
                <w:lang w:val="ro-MD"/>
              </w:rPr>
              <w:t xml:space="preserve">alitate de către </w:t>
            </w:r>
            <w:r w:rsidR="000971CD">
              <w:rPr>
                <w:rFonts w:asciiTheme="majorHAnsi" w:hAnsiTheme="majorHAnsi" w:cstheme="majorHAnsi"/>
                <w:b/>
                <w:lang w:val="ro-MD"/>
              </w:rPr>
              <w:t>i</w:t>
            </w:r>
            <w:r>
              <w:rPr>
                <w:rFonts w:asciiTheme="majorHAnsi" w:hAnsiTheme="majorHAnsi" w:cstheme="majorHAnsi"/>
                <w:b/>
                <w:lang w:val="ro-MD"/>
              </w:rPr>
              <w:t>nstituțiil</w:t>
            </w:r>
            <w:r w:rsidR="000971CD">
              <w:rPr>
                <w:rFonts w:asciiTheme="majorHAnsi" w:hAnsiTheme="majorHAnsi" w:cstheme="majorHAnsi"/>
                <w:b/>
                <w:lang w:val="ro-MD"/>
              </w:rPr>
              <w:t>e</w:t>
            </w:r>
            <w:r w:rsidR="00136F09">
              <w:rPr>
                <w:rFonts w:asciiTheme="majorHAnsi" w:hAnsiTheme="majorHAnsi" w:cstheme="majorHAnsi"/>
                <w:b/>
                <w:lang w:val="ro-MD"/>
              </w:rPr>
              <w:t xml:space="preserve"> </w:t>
            </w:r>
            <w:r w:rsidR="000971CD">
              <w:rPr>
                <w:rFonts w:asciiTheme="majorHAnsi" w:hAnsiTheme="majorHAnsi" w:cstheme="majorHAnsi"/>
                <w:b/>
                <w:lang w:val="ro-MD"/>
              </w:rPr>
              <w:t>p</w:t>
            </w:r>
            <w:r w:rsidR="00136F09">
              <w:rPr>
                <w:rFonts w:asciiTheme="majorHAnsi" w:hAnsiTheme="majorHAnsi" w:cstheme="majorHAnsi"/>
                <w:b/>
                <w:lang w:val="ro-MD"/>
              </w:rPr>
              <w:t>ublice din domeniul infrastructurii calității, inclusiv în rezultatul reorganizării acestora?</w:t>
            </w:r>
          </w:p>
        </w:tc>
      </w:tr>
      <w:tr w:rsidR="004D496F" w:rsidRPr="000B69E2" w14:paraId="1F2BCE95" w14:textId="77777777" w:rsidTr="002E6540">
        <w:trPr>
          <w:trHeight w:val="203"/>
        </w:trPr>
        <w:tc>
          <w:tcPr>
            <w:tcW w:w="1779" w:type="dxa"/>
          </w:tcPr>
          <w:p w14:paraId="5BF978E9" w14:textId="19F1EE05" w:rsidR="004D496F" w:rsidRPr="00255E9C" w:rsidRDefault="004D496F" w:rsidP="00255E9C">
            <w:pPr>
              <w:pStyle w:val="ListParagraph"/>
              <w:numPr>
                <w:ilvl w:val="1"/>
                <w:numId w:val="47"/>
              </w:numPr>
              <w:jc w:val="both"/>
              <w:rPr>
                <w:rFonts w:asciiTheme="majorHAnsi" w:hAnsiTheme="majorHAnsi" w:cstheme="majorHAnsi"/>
                <w:lang w:val="ro-MD"/>
              </w:rPr>
            </w:pPr>
            <w:r w:rsidRPr="00255E9C">
              <w:rPr>
                <w:rFonts w:asciiTheme="majorHAnsi" w:hAnsiTheme="majorHAnsi" w:cstheme="majorHAnsi"/>
                <w:lang w:val="ro-MD"/>
              </w:rPr>
              <w:t>Nerespectarea procedurii de  transmitere a  patrim</w:t>
            </w:r>
            <w:r w:rsidR="00E048B0" w:rsidRPr="00255E9C">
              <w:rPr>
                <w:rFonts w:asciiTheme="majorHAnsi" w:hAnsiTheme="majorHAnsi" w:cstheme="majorHAnsi"/>
                <w:lang w:val="ro-MD"/>
              </w:rPr>
              <w:t>oniul public</w:t>
            </w:r>
            <w:r w:rsidR="000971CD">
              <w:rPr>
                <w:rFonts w:asciiTheme="majorHAnsi" w:hAnsiTheme="majorHAnsi" w:cstheme="majorHAnsi"/>
                <w:lang w:val="ro-MD"/>
              </w:rPr>
              <w:t>;</w:t>
            </w:r>
          </w:p>
        </w:tc>
        <w:tc>
          <w:tcPr>
            <w:tcW w:w="3603" w:type="dxa"/>
          </w:tcPr>
          <w:p w14:paraId="0CA0572B" w14:textId="77777777" w:rsidR="004D496F" w:rsidRPr="000B69E2" w:rsidRDefault="004D496F" w:rsidP="007E002D">
            <w:pPr>
              <w:pStyle w:val="ListParagraph"/>
              <w:numPr>
                <w:ilvl w:val="0"/>
                <w:numId w:val="23"/>
              </w:numPr>
              <w:ind w:left="91" w:hanging="142"/>
              <w:rPr>
                <w:rFonts w:asciiTheme="majorHAnsi" w:hAnsiTheme="majorHAnsi" w:cstheme="majorHAnsi"/>
                <w:lang w:val="ro-MD"/>
              </w:rPr>
            </w:pPr>
            <w:r w:rsidRPr="000B69E2">
              <w:rPr>
                <w:rFonts w:asciiTheme="majorHAnsi" w:hAnsiTheme="majorHAnsi" w:cstheme="majorHAnsi"/>
                <w:lang w:val="ro-MD"/>
              </w:rPr>
              <w:t xml:space="preserve">Ordine de creare a comisiilor de inventariere a bunurilor. </w:t>
            </w:r>
          </w:p>
          <w:p w14:paraId="7E3CBBE6" w14:textId="77777777" w:rsidR="004D496F" w:rsidRPr="000B69E2" w:rsidRDefault="004D496F" w:rsidP="007E002D">
            <w:pPr>
              <w:pStyle w:val="ListParagraph"/>
              <w:numPr>
                <w:ilvl w:val="0"/>
                <w:numId w:val="23"/>
              </w:numPr>
              <w:ind w:left="91" w:hanging="142"/>
              <w:rPr>
                <w:rFonts w:asciiTheme="majorHAnsi" w:hAnsiTheme="majorHAnsi" w:cstheme="majorHAnsi"/>
                <w:lang w:val="ro-MD"/>
              </w:rPr>
            </w:pPr>
            <w:r w:rsidRPr="000B69E2">
              <w:rPr>
                <w:rFonts w:asciiTheme="majorHAnsi" w:hAnsiTheme="majorHAnsi" w:cstheme="majorHAnsi"/>
                <w:lang w:val="ro-MD"/>
              </w:rPr>
              <w:t xml:space="preserve">Ordine de creare a comisiilor de predare-primire a bunurilor proprietate publică de către fondator. </w:t>
            </w:r>
          </w:p>
          <w:p w14:paraId="7B0157FE" w14:textId="1D231CAD" w:rsidR="004D496F" w:rsidRPr="000B69E2" w:rsidRDefault="004D496F" w:rsidP="007E002D">
            <w:pPr>
              <w:pStyle w:val="ListParagraph"/>
              <w:numPr>
                <w:ilvl w:val="0"/>
                <w:numId w:val="23"/>
              </w:numPr>
              <w:ind w:left="91" w:hanging="142"/>
              <w:rPr>
                <w:rFonts w:asciiTheme="majorHAnsi" w:hAnsiTheme="majorHAnsi" w:cstheme="majorHAnsi"/>
                <w:lang w:val="ro-MD"/>
              </w:rPr>
            </w:pPr>
            <w:r w:rsidRPr="000B69E2">
              <w:rPr>
                <w:rFonts w:asciiTheme="majorHAnsi" w:hAnsiTheme="majorHAnsi" w:cstheme="majorHAnsi"/>
                <w:lang w:val="ro-MD"/>
              </w:rPr>
              <w:t>Actele de predare-primire a bunurilor</w:t>
            </w:r>
            <w:r w:rsidR="00B445D5">
              <w:rPr>
                <w:rFonts w:asciiTheme="majorHAnsi" w:hAnsiTheme="majorHAnsi" w:cstheme="majorHAnsi"/>
                <w:lang w:val="ro-MD"/>
              </w:rPr>
              <w:t>,</w:t>
            </w:r>
            <w:r w:rsidRPr="000B69E2">
              <w:rPr>
                <w:rFonts w:asciiTheme="majorHAnsi" w:hAnsiTheme="majorHAnsi" w:cstheme="majorHAnsi"/>
                <w:lang w:val="ro-MD"/>
              </w:rPr>
              <w:t xml:space="preserve"> aprobate de organul ierarhic superior.</w:t>
            </w:r>
          </w:p>
          <w:p w14:paraId="7D99ABC6" w14:textId="77777777" w:rsidR="004D496F" w:rsidRPr="000B69E2" w:rsidRDefault="004D496F" w:rsidP="007E002D">
            <w:pPr>
              <w:pStyle w:val="ListParagraph"/>
              <w:numPr>
                <w:ilvl w:val="0"/>
                <w:numId w:val="23"/>
              </w:numPr>
              <w:ind w:left="91" w:hanging="142"/>
              <w:rPr>
                <w:rFonts w:asciiTheme="majorHAnsi" w:hAnsiTheme="majorHAnsi" w:cstheme="majorHAnsi"/>
                <w:lang w:val="ro-MD"/>
              </w:rPr>
            </w:pPr>
            <w:r w:rsidRPr="000B69E2">
              <w:rPr>
                <w:rFonts w:asciiTheme="majorHAnsi" w:hAnsiTheme="majorHAnsi" w:cstheme="majorHAnsi"/>
                <w:lang w:val="ro-MD"/>
              </w:rPr>
              <w:t>Facturi fiscale aferente patrimoniului transmis.</w:t>
            </w:r>
          </w:p>
          <w:p w14:paraId="0B5FB88E" w14:textId="77777777" w:rsidR="004D496F" w:rsidRPr="000B69E2" w:rsidRDefault="004D496F" w:rsidP="004D496F">
            <w:pPr>
              <w:pStyle w:val="ListParagraph"/>
              <w:ind w:left="91"/>
              <w:rPr>
                <w:rFonts w:asciiTheme="majorHAnsi" w:hAnsiTheme="majorHAnsi" w:cstheme="majorHAnsi"/>
                <w:lang w:val="ro-MD"/>
              </w:rPr>
            </w:pPr>
          </w:p>
          <w:p w14:paraId="7237C92B" w14:textId="77777777" w:rsidR="004D496F" w:rsidRPr="000B69E2" w:rsidRDefault="004D496F" w:rsidP="004D496F">
            <w:pPr>
              <w:rPr>
                <w:rFonts w:asciiTheme="majorHAnsi" w:hAnsiTheme="majorHAnsi" w:cstheme="majorHAnsi"/>
                <w:lang w:val="ro-MD"/>
              </w:rPr>
            </w:pPr>
          </w:p>
        </w:tc>
        <w:tc>
          <w:tcPr>
            <w:tcW w:w="2126" w:type="dxa"/>
          </w:tcPr>
          <w:p w14:paraId="3C6FCF79" w14:textId="77777777" w:rsidR="00F167D8" w:rsidRPr="00AD589A" w:rsidRDefault="00F167D8" w:rsidP="007E002D">
            <w:pPr>
              <w:pStyle w:val="ListParagraph"/>
              <w:numPr>
                <w:ilvl w:val="0"/>
                <w:numId w:val="28"/>
              </w:numPr>
              <w:ind w:left="191" w:hanging="209"/>
              <w:jc w:val="both"/>
              <w:rPr>
                <w:rFonts w:asciiTheme="majorHAnsi" w:hAnsiTheme="majorHAnsi" w:cstheme="majorHAnsi"/>
              </w:rPr>
            </w:pPr>
            <w:r w:rsidRPr="00AD589A">
              <w:rPr>
                <w:rFonts w:asciiTheme="majorHAnsi" w:hAnsiTheme="majorHAnsi" w:cstheme="majorHAnsi"/>
              </w:rPr>
              <w:t>HG nr. 996</w:t>
            </w:r>
          </w:p>
          <w:p w14:paraId="28772B80" w14:textId="0B3D799C" w:rsidR="00F167D8" w:rsidRPr="00AD589A" w:rsidRDefault="000971CD" w:rsidP="00F167D8">
            <w:pPr>
              <w:pStyle w:val="ListParagraph"/>
              <w:ind w:left="47"/>
              <w:jc w:val="both"/>
              <w:rPr>
                <w:rFonts w:asciiTheme="majorHAnsi" w:hAnsiTheme="majorHAnsi" w:cstheme="majorHAnsi"/>
              </w:rPr>
            </w:pPr>
            <w:r>
              <w:rPr>
                <w:rFonts w:asciiTheme="majorHAnsi" w:hAnsiTheme="majorHAnsi" w:cstheme="majorHAnsi"/>
              </w:rPr>
              <w:t>d</w:t>
            </w:r>
            <w:r w:rsidR="00F167D8" w:rsidRPr="00AD589A">
              <w:rPr>
                <w:rFonts w:asciiTheme="majorHAnsi" w:hAnsiTheme="majorHAnsi" w:cstheme="majorHAnsi"/>
              </w:rPr>
              <w:t>in</w:t>
            </w:r>
            <w:r>
              <w:rPr>
                <w:rFonts w:asciiTheme="majorHAnsi" w:hAnsiTheme="majorHAnsi" w:cstheme="majorHAnsi"/>
              </w:rPr>
              <w:t xml:space="preserve"> </w:t>
            </w:r>
            <w:r w:rsidR="00F167D8" w:rsidRPr="00AD589A">
              <w:rPr>
                <w:rFonts w:asciiTheme="majorHAnsi" w:hAnsiTheme="majorHAnsi" w:cstheme="majorHAnsi"/>
              </w:rPr>
              <w:t>27</w:t>
            </w:r>
            <w:r>
              <w:rPr>
                <w:rFonts w:asciiTheme="majorHAnsi" w:hAnsiTheme="majorHAnsi" w:cstheme="majorHAnsi"/>
              </w:rPr>
              <w:t>.</w:t>
            </w:r>
            <w:r w:rsidR="00F167D8" w:rsidRPr="00AD589A">
              <w:rPr>
                <w:rFonts w:asciiTheme="majorHAnsi" w:hAnsiTheme="majorHAnsi" w:cstheme="majorHAnsi"/>
              </w:rPr>
              <w:t>12</w:t>
            </w:r>
            <w:r>
              <w:rPr>
                <w:rFonts w:asciiTheme="majorHAnsi" w:hAnsiTheme="majorHAnsi" w:cstheme="majorHAnsi"/>
              </w:rPr>
              <w:t>.</w:t>
            </w:r>
            <w:r w:rsidR="00F167D8" w:rsidRPr="00AD589A">
              <w:rPr>
                <w:rFonts w:asciiTheme="majorHAnsi" w:hAnsiTheme="majorHAnsi" w:cstheme="majorHAnsi"/>
              </w:rPr>
              <w:t>2012,pct. 5</w:t>
            </w:r>
            <w:r>
              <w:rPr>
                <w:rFonts w:asciiTheme="majorHAnsi" w:hAnsiTheme="majorHAnsi" w:cstheme="majorHAnsi"/>
              </w:rPr>
              <w:t>.</w:t>
            </w:r>
            <w:r w:rsidR="00F167D8" w:rsidRPr="00AD589A">
              <w:rPr>
                <w:rFonts w:asciiTheme="majorHAnsi" w:hAnsiTheme="majorHAnsi" w:cstheme="majorHAnsi"/>
              </w:rPr>
              <w:t xml:space="preserve"> </w:t>
            </w:r>
          </w:p>
          <w:p w14:paraId="7ECC9F78" w14:textId="506F0B3F" w:rsidR="00F167D8" w:rsidRPr="00AD589A" w:rsidRDefault="00F167D8" w:rsidP="007E002D">
            <w:pPr>
              <w:pStyle w:val="ListParagraph"/>
              <w:numPr>
                <w:ilvl w:val="0"/>
                <w:numId w:val="28"/>
              </w:numPr>
              <w:ind w:left="191" w:hanging="209"/>
              <w:rPr>
                <w:rFonts w:asciiTheme="majorHAnsi" w:hAnsiTheme="majorHAnsi" w:cstheme="majorHAnsi"/>
              </w:rPr>
            </w:pPr>
            <w:r w:rsidRPr="00AD589A">
              <w:rPr>
                <w:rFonts w:asciiTheme="majorHAnsi" w:hAnsiTheme="majorHAnsi" w:cstheme="majorHAnsi"/>
              </w:rPr>
              <w:t>HG nr.688 din 09.10.1995, pct.24, 25</w:t>
            </w:r>
            <w:r w:rsidR="000971CD">
              <w:rPr>
                <w:rFonts w:asciiTheme="majorHAnsi" w:hAnsiTheme="majorHAnsi" w:cstheme="majorHAnsi"/>
              </w:rPr>
              <w:t>.</w:t>
            </w:r>
          </w:p>
          <w:p w14:paraId="0B0EB3DC" w14:textId="17D15EA7" w:rsidR="00F167D8" w:rsidRPr="00AD589A" w:rsidRDefault="00F167D8" w:rsidP="007E002D">
            <w:pPr>
              <w:pStyle w:val="ListParagraph"/>
              <w:numPr>
                <w:ilvl w:val="0"/>
                <w:numId w:val="28"/>
              </w:numPr>
              <w:ind w:left="191" w:hanging="151"/>
              <w:jc w:val="both"/>
              <w:rPr>
                <w:rFonts w:asciiTheme="majorHAnsi" w:hAnsiTheme="majorHAnsi" w:cstheme="majorHAnsi"/>
              </w:rPr>
            </w:pPr>
            <w:r w:rsidRPr="00AD589A">
              <w:rPr>
                <w:rFonts w:asciiTheme="majorHAnsi" w:hAnsiTheme="majorHAnsi" w:cstheme="majorHAnsi"/>
              </w:rPr>
              <w:t>HG</w:t>
            </w:r>
            <w:r w:rsidR="000971CD">
              <w:rPr>
                <w:rFonts w:asciiTheme="majorHAnsi" w:hAnsiTheme="majorHAnsi" w:cstheme="majorHAnsi"/>
              </w:rPr>
              <w:t xml:space="preserve"> </w:t>
            </w:r>
            <w:r w:rsidRPr="00AD589A">
              <w:rPr>
                <w:rFonts w:asciiTheme="majorHAnsi" w:hAnsiTheme="majorHAnsi" w:cstheme="majorHAnsi"/>
              </w:rPr>
              <w:t>nr.77 din 25.01.</w:t>
            </w:r>
            <w:r w:rsidR="000971CD">
              <w:rPr>
                <w:rFonts w:asciiTheme="majorHAnsi" w:hAnsiTheme="majorHAnsi" w:cstheme="majorHAnsi"/>
              </w:rPr>
              <w:t>20</w:t>
            </w:r>
            <w:r w:rsidRPr="00AD589A">
              <w:rPr>
                <w:rFonts w:asciiTheme="majorHAnsi" w:hAnsiTheme="majorHAnsi" w:cstheme="majorHAnsi"/>
              </w:rPr>
              <w:t>13, pct.1,6</w:t>
            </w:r>
            <w:r w:rsidR="000971CD">
              <w:rPr>
                <w:rFonts w:asciiTheme="majorHAnsi" w:hAnsiTheme="majorHAnsi" w:cstheme="majorHAnsi"/>
              </w:rPr>
              <w:t>.</w:t>
            </w:r>
          </w:p>
          <w:p w14:paraId="271D7B05" w14:textId="3EA287C7" w:rsidR="004D496F" w:rsidRPr="000B69E2" w:rsidRDefault="004D496F" w:rsidP="004D496F">
            <w:pPr>
              <w:rPr>
                <w:rFonts w:asciiTheme="majorHAnsi" w:hAnsiTheme="majorHAnsi" w:cstheme="majorHAnsi"/>
                <w:lang w:val="ro-MD"/>
              </w:rPr>
            </w:pPr>
          </w:p>
        </w:tc>
        <w:tc>
          <w:tcPr>
            <w:tcW w:w="2100" w:type="dxa"/>
          </w:tcPr>
          <w:p w14:paraId="31053FE4" w14:textId="77777777" w:rsidR="004D496F" w:rsidRPr="009E3BE9" w:rsidRDefault="004D496F" w:rsidP="004D496F">
            <w:pPr>
              <w:rPr>
                <w:rFonts w:asciiTheme="majorHAnsi" w:hAnsiTheme="majorHAnsi" w:cstheme="majorHAnsi"/>
                <w:lang w:val="ro-MD"/>
              </w:rPr>
            </w:pPr>
            <w:r w:rsidRPr="000B69E2">
              <w:rPr>
                <w:rFonts w:asciiTheme="majorHAnsi" w:hAnsiTheme="majorHAnsi" w:cstheme="majorHAnsi"/>
                <w:lang w:val="ro-MD"/>
              </w:rPr>
              <w:t xml:space="preserve">• </w:t>
            </w:r>
            <w:r w:rsidRPr="009E3BE9">
              <w:rPr>
                <w:rFonts w:asciiTheme="majorHAnsi" w:hAnsiTheme="majorHAnsi" w:cstheme="majorHAnsi"/>
                <w:lang w:val="ro-MD"/>
              </w:rPr>
              <w:t>Examinarea documentelor/înregistrărilor contabile.</w:t>
            </w:r>
          </w:p>
          <w:p w14:paraId="3170D5D6" w14:textId="77777777" w:rsidR="004D496F" w:rsidRPr="009E3BE9" w:rsidRDefault="004D496F" w:rsidP="004D496F">
            <w:pPr>
              <w:rPr>
                <w:rFonts w:asciiTheme="majorHAnsi" w:hAnsiTheme="majorHAnsi" w:cstheme="majorHAnsi"/>
                <w:lang w:val="ro-MD"/>
              </w:rPr>
            </w:pPr>
            <w:r w:rsidRPr="009E3BE9">
              <w:rPr>
                <w:rFonts w:asciiTheme="majorHAnsi" w:hAnsiTheme="majorHAnsi" w:cstheme="majorHAnsi"/>
                <w:lang w:val="ro-MD"/>
              </w:rPr>
              <w:t>• Interogare verbală și explicații scrise.</w:t>
            </w:r>
          </w:p>
          <w:p w14:paraId="50C83B92" w14:textId="77777777" w:rsidR="004D496F" w:rsidRPr="009E3BE9" w:rsidRDefault="004D496F" w:rsidP="004D496F">
            <w:pPr>
              <w:rPr>
                <w:rFonts w:asciiTheme="majorHAnsi" w:hAnsiTheme="majorHAnsi" w:cstheme="majorHAnsi"/>
                <w:lang w:val="ro-MD"/>
              </w:rPr>
            </w:pPr>
            <w:r w:rsidRPr="009E3BE9">
              <w:rPr>
                <w:rFonts w:asciiTheme="majorHAnsi" w:hAnsiTheme="majorHAnsi" w:cstheme="majorHAnsi"/>
                <w:lang w:val="ro-MD"/>
              </w:rPr>
              <w:t>Observarea fizică la fața locului.</w:t>
            </w:r>
          </w:p>
          <w:p w14:paraId="2CA23F29" w14:textId="5628DF05" w:rsidR="004D496F" w:rsidRPr="000B69E2" w:rsidRDefault="004D496F" w:rsidP="004D496F">
            <w:pPr>
              <w:rPr>
                <w:rFonts w:asciiTheme="majorHAnsi" w:hAnsiTheme="majorHAnsi" w:cstheme="majorHAnsi"/>
                <w:lang w:val="ro-MD"/>
              </w:rPr>
            </w:pPr>
            <w:r w:rsidRPr="0005555C">
              <w:rPr>
                <w:rFonts w:asciiTheme="majorHAnsi" w:hAnsiTheme="majorHAnsi" w:cstheme="majorHAnsi"/>
                <w:lang w:val="ro-MD"/>
              </w:rPr>
              <w:t>Solicitarea actelor de primire</w:t>
            </w:r>
            <w:r w:rsidR="000971CD">
              <w:rPr>
                <w:rFonts w:asciiTheme="majorHAnsi" w:hAnsiTheme="majorHAnsi" w:cstheme="majorHAnsi"/>
                <w:lang w:val="ro-MD"/>
              </w:rPr>
              <w:t>-</w:t>
            </w:r>
            <w:r w:rsidRPr="0005555C">
              <w:rPr>
                <w:rFonts w:asciiTheme="majorHAnsi" w:hAnsiTheme="majorHAnsi" w:cstheme="majorHAnsi"/>
                <w:lang w:val="ro-MD"/>
              </w:rPr>
              <w:t xml:space="preserve">predare a patrimoniului supus transmiterii, ordinelor privind instituirea comisiei de transmitere, registrelor contabile aferente. </w:t>
            </w:r>
          </w:p>
        </w:tc>
        <w:tc>
          <w:tcPr>
            <w:tcW w:w="4563" w:type="dxa"/>
          </w:tcPr>
          <w:p w14:paraId="675DC9AE" w14:textId="3D1CD16F" w:rsidR="004D496F" w:rsidRDefault="004D496F" w:rsidP="004D496F">
            <w:pPr>
              <w:rPr>
                <w:rFonts w:asciiTheme="majorHAnsi" w:hAnsiTheme="majorHAnsi" w:cstheme="majorHAnsi"/>
                <w:lang w:val="ro-MD"/>
              </w:rPr>
            </w:pPr>
            <w:r>
              <w:rPr>
                <w:rFonts w:asciiTheme="majorHAnsi" w:hAnsiTheme="majorHAnsi" w:cstheme="majorHAnsi"/>
                <w:lang w:val="ro-MD"/>
              </w:rPr>
              <w:t xml:space="preserve">Luând în considerație </w:t>
            </w:r>
            <w:r w:rsidR="000971CD">
              <w:rPr>
                <w:rFonts w:asciiTheme="majorHAnsi" w:hAnsiTheme="majorHAnsi" w:cstheme="majorHAnsi"/>
                <w:lang w:val="ro-MD"/>
              </w:rPr>
              <w:t xml:space="preserve">faptul </w:t>
            </w:r>
            <w:r>
              <w:rPr>
                <w:rFonts w:asciiTheme="majorHAnsi" w:hAnsiTheme="majorHAnsi" w:cstheme="majorHAnsi"/>
                <w:lang w:val="ro-MD"/>
              </w:rPr>
              <w:t xml:space="preserve">că au fost supuse </w:t>
            </w:r>
            <w:r w:rsidR="000971CD">
              <w:rPr>
                <w:rFonts w:asciiTheme="majorHAnsi" w:hAnsiTheme="majorHAnsi" w:cstheme="majorHAnsi"/>
                <w:lang w:val="ro-MD"/>
              </w:rPr>
              <w:t xml:space="preserve">reorganizării </w:t>
            </w:r>
            <w:r>
              <w:rPr>
                <w:rFonts w:asciiTheme="majorHAnsi" w:hAnsiTheme="majorHAnsi" w:cstheme="majorHAnsi"/>
                <w:lang w:val="ro-MD"/>
              </w:rPr>
              <w:t xml:space="preserve">3 instituții, auditul va testa riscul dat la toate 3 </w:t>
            </w:r>
            <w:r w:rsidR="000971CD">
              <w:rPr>
                <w:rFonts w:asciiTheme="majorHAnsi" w:hAnsiTheme="majorHAnsi" w:cstheme="majorHAnsi"/>
                <w:lang w:val="ro-MD"/>
              </w:rPr>
              <w:t>i</w:t>
            </w:r>
            <w:r>
              <w:rPr>
                <w:rFonts w:asciiTheme="majorHAnsi" w:hAnsiTheme="majorHAnsi" w:cstheme="majorHAnsi"/>
                <w:lang w:val="ro-MD"/>
              </w:rPr>
              <w:t xml:space="preserve">nstituții </w:t>
            </w:r>
            <w:r w:rsidR="000971CD">
              <w:rPr>
                <w:rFonts w:asciiTheme="majorHAnsi" w:hAnsiTheme="majorHAnsi" w:cstheme="majorHAnsi"/>
                <w:lang w:val="ro-MD"/>
              </w:rPr>
              <w:t>p</w:t>
            </w:r>
            <w:r>
              <w:rPr>
                <w:rFonts w:asciiTheme="majorHAnsi" w:hAnsiTheme="majorHAnsi" w:cstheme="majorHAnsi"/>
                <w:lang w:val="ro-MD"/>
              </w:rPr>
              <w:t>ublice, respectiv 3 dosare de reorganizare.</w:t>
            </w:r>
          </w:p>
          <w:p w14:paraId="140F047C" w14:textId="2CA04658" w:rsidR="004D496F" w:rsidRPr="000B69E2" w:rsidRDefault="004D496F" w:rsidP="004D496F">
            <w:pPr>
              <w:rPr>
                <w:rFonts w:asciiTheme="majorHAnsi" w:hAnsiTheme="majorHAnsi" w:cstheme="majorHAnsi"/>
                <w:lang w:val="ro-MD"/>
              </w:rPr>
            </w:pPr>
          </w:p>
        </w:tc>
      </w:tr>
      <w:tr w:rsidR="004D496F" w:rsidRPr="000B69E2" w14:paraId="4EAE2F01" w14:textId="77777777" w:rsidTr="002E6540">
        <w:trPr>
          <w:trHeight w:val="203"/>
        </w:trPr>
        <w:tc>
          <w:tcPr>
            <w:tcW w:w="1779" w:type="dxa"/>
          </w:tcPr>
          <w:p w14:paraId="629A1B3B" w14:textId="27347298" w:rsidR="004D496F" w:rsidRPr="000B69E2" w:rsidRDefault="004D496F" w:rsidP="004D496F">
            <w:pPr>
              <w:jc w:val="both"/>
              <w:rPr>
                <w:rFonts w:asciiTheme="majorHAnsi" w:hAnsiTheme="majorHAnsi" w:cstheme="majorHAnsi"/>
                <w:lang w:val="ro-MD"/>
              </w:rPr>
            </w:pPr>
            <w:r>
              <w:rPr>
                <w:rFonts w:asciiTheme="majorHAnsi" w:hAnsiTheme="majorHAnsi" w:cstheme="majorHAnsi"/>
                <w:b/>
                <w:lang w:val="ro-MD"/>
              </w:rPr>
              <w:t>2.1</w:t>
            </w:r>
            <w:r w:rsidR="000971CD">
              <w:rPr>
                <w:rFonts w:asciiTheme="majorHAnsi" w:hAnsiTheme="majorHAnsi" w:cstheme="majorHAnsi"/>
                <w:b/>
                <w:lang w:val="ro-MD"/>
              </w:rPr>
              <w:t>.</w:t>
            </w:r>
            <w:r w:rsidRPr="000B69E2">
              <w:rPr>
                <w:rFonts w:asciiTheme="majorHAnsi" w:hAnsiTheme="majorHAnsi" w:cstheme="majorHAnsi"/>
                <w:lang w:val="ro-MD"/>
              </w:rPr>
              <w:t xml:space="preserve"> Desfășurarea formală a inventarierii patrimoniului </w:t>
            </w:r>
            <w:r>
              <w:rPr>
                <w:rFonts w:asciiTheme="majorHAnsi" w:hAnsiTheme="majorHAnsi" w:cstheme="majorHAnsi"/>
                <w:lang w:val="ro-MD"/>
              </w:rPr>
              <w:t>încredințat</w:t>
            </w:r>
            <w:r w:rsidR="00E048B0">
              <w:rPr>
                <w:rFonts w:asciiTheme="majorHAnsi" w:hAnsiTheme="majorHAnsi" w:cstheme="majorHAnsi"/>
                <w:lang w:val="ro-MD"/>
              </w:rPr>
              <w:t xml:space="preserve"> </w:t>
            </w:r>
            <w:r w:rsidRPr="000B69E2">
              <w:rPr>
                <w:rFonts w:asciiTheme="majorHAnsi" w:hAnsiTheme="majorHAnsi" w:cstheme="majorHAnsi"/>
                <w:lang w:val="ro-MD"/>
              </w:rPr>
              <w:t>;</w:t>
            </w:r>
          </w:p>
        </w:tc>
        <w:tc>
          <w:tcPr>
            <w:tcW w:w="3603" w:type="dxa"/>
          </w:tcPr>
          <w:p w14:paraId="4D13A1C4" w14:textId="088DE42A" w:rsidR="004D496F" w:rsidRPr="000B69E2" w:rsidRDefault="004D496F" w:rsidP="007E002D">
            <w:pPr>
              <w:pStyle w:val="ListParagraph"/>
              <w:numPr>
                <w:ilvl w:val="0"/>
                <w:numId w:val="24"/>
              </w:numPr>
              <w:ind w:left="-51" w:hanging="62"/>
              <w:rPr>
                <w:rFonts w:asciiTheme="majorHAnsi" w:hAnsiTheme="majorHAnsi" w:cstheme="majorHAnsi"/>
                <w:lang w:val="ro-MD"/>
              </w:rPr>
            </w:pPr>
            <w:r w:rsidRPr="000B69E2">
              <w:rPr>
                <w:rFonts w:asciiTheme="majorHAnsi" w:hAnsiTheme="majorHAnsi" w:cstheme="majorHAnsi"/>
                <w:lang w:val="ro-MD"/>
              </w:rPr>
              <w:t>Ordine de instituire a comisiilor de inventariere</w:t>
            </w:r>
            <w:r w:rsidR="000971CD">
              <w:rPr>
                <w:rFonts w:asciiTheme="majorHAnsi" w:hAnsiTheme="majorHAnsi" w:cstheme="majorHAnsi"/>
                <w:lang w:val="ro-MD"/>
              </w:rPr>
              <w:t>,</w:t>
            </w:r>
            <w:r w:rsidRPr="000B69E2">
              <w:rPr>
                <w:rFonts w:asciiTheme="majorHAnsi" w:hAnsiTheme="majorHAnsi" w:cstheme="majorHAnsi"/>
                <w:lang w:val="ro-MD"/>
              </w:rPr>
              <w:t xml:space="preserve"> cu delimitarea sarcinilor și obligațiilor membrilor comisiei.</w:t>
            </w:r>
          </w:p>
          <w:p w14:paraId="0531B54C" w14:textId="77777777" w:rsidR="004D496F" w:rsidRPr="000B69E2" w:rsidRDefault="004D496F" w:rsidP="007E002D">
            <w:pPr>
              <w:pStyle w:val="ListParagraph"/>
              <w:numPr>
                <w:ilvl w:val="0"/>
                <w:numId w:val="24"/>
              </w:numPr>
              <w:ind w:left="-51" w:hanging="62"/>
              <w:rPr>
                <w:rFonts w:asciiTheme="majorHAnsi" w:hAnsiTheme="majorHAnsi" w:cstheme="majorHAnsi"/>
                <w:lang w:val="ro-MD"/>
              </w:rPr>
            </w:pPr>
            <w:r w:rsidRPr="000B69E2">
              <w:rPr>
                <w:rFonts w:asciiTheme="majorHAnsi" w:hAnsiTheme="majorHAnsi" w:cstheme="majorHAnsi"/>
                <w:lang w:val="ro-MD"/>
              </w:rPr>
              <w:t>Listele de inventariere.</w:t>
            </w:r>
          </w:p>
          <w:p w14:paraId="5F04D6F6" w14:textId="77777777" w:rsidR="004D496F" w:rsidRPr="000B69E2" w:rsidRDefault="004D496F" w:rsidP="007E002D">
            <w:pPr>
              <w:pStyle w:val="ListParagraph"/>
              <w:numPr>
                <w:ilvl w:val="0"/>
                <w:numId w:val="24"/>
              </w:numPr>
              <w:ind w:left="-51" w:hanging="62"/>
              <w:rPr>
                <w:rFonts w:asciiTheme="majorHAnsi" w:hAnsiTheme="majorHAnsi" w:cstheme="majorHAnsi"/>
                <w:lang w:val="ro-MD"/>
              </w:rPr>
            </w:pPr>
            <w:r w:rsidRPr="000B69E2">
              <w:rPr>
                <w:rFonts w:asciiTheme="majorHAnsi" w:hAnsiTheme="majorHAnsi" w:cstheme="majorHAnsi"/>
                <w:lang w:val="ro-MD"/>
              </w:rPr>
              <w:t>Declarațiile gestionarilor de bunuri materiale.</w:t>
            </w:r>
          </w:p>
          <w:p w14:paraId="57B7779A" w14:textId="159B511D" w:rsidR="004D496F" w:rsidRPr="000B69E2" w:rsidRDefault="004D496F" w:rsidP="007E002D">
            <w:pPr>
              <w:pStyle w:val="ListParagraph"/>
              <w:numPr>
                <w:ilvl w:val="0"/>
                <w:numId w:val="24"/>
              </w:numPr>
              <w:ind w:left="-51" w:hanging="62"/>
              <w:rPr>
                <w:rFonts w:asciiTheme="majorHAnsi" w:hAnsiTheme="majorHAnsi" w:cstheme="majorHAnsi"/>
                <w:lang w:val="ro-MD"/>
              </w:rPr>
            </w:pPr>
            <w:r w:rsidRPr="000B69E2">
              <w:rPr>
                <w:rFonts w:asciiTheme="majorHAnsi" w:hAnsiTheme="majorHAnsi" w:cstheme="majorHAnsi"/>
                <w:lang w:val="ro-MD"/>
              </w:rPr>
              <w:t>Procesele</w:t>
            </w:r>
            <w:r w:rsidR="00B445D5">
              <w:rPr>
                <w:rFonts w:asciiTheme="majorHAnsi" w:hAnsiTheme="majorHAnsi" w:cstheme="majorHAnsi"/>
                <w:lang w:val="ro-MD"/>
              </w:rPr>
              <w:t>-</w:t>
            </w:r>
            <w:r w:rsidRPr="000B69E2">
              <w:rPr>
                <w:rFonts w:asciiTheme="majorHAnsi" w:hAnsiTheme="majorHAnsi" w:cstheme="majorHAnsi"/>
                <w:lang w:val="ro-MD"/>
              </w:rPr>
              <w:t>verbale privind rezultatele inventarierii</w:t>
            </w:r>
            <w:r w:rsidR="00B445D5">
              <w:rPr>
                <w:rFonts w:asciiTheme="majorHAnsi" w:hAnsiTheme="majorHAnsi" w:cstheme="majorHAnsi"/>
                <w:lang w:val="ro-MD"/>
              </w:rPr>
              <w:t>,</w:t>
            </w:r>
            <w:r w:rsidRPr="000B69E2">
              <w:rPr>
                <w:rFonts w:asciiTheme="majorHAnsi" w:hAnsiTheme="majorHAnsi" w:cstheme="majorHAnsi"/>
                <w:lang w:val="ro-MD"/>
              </w:rPr>
              <w:t xml:space="preserve"> aprobate de conducători.</w:t>
            </w:r>
          </w:p>
        </w:tc>
        <w:tc>
          <w:tcPr>
            <w:tcW w:w="2126" w:type="dxa"/>
          </w:tcPr>
          <w:p w14:paraId="0E54C590" w14:textId="02838B73" w:rsidR="00F167D8" w:rsidRPr="001C1A69" w:rsidRDefault="00F167D8" w:rsidP="00F167D8">
            <w:pPr>
              <w:rPr>
                <w:rFonts w:asciiTheme="majorHAnsi" w:hAnsiTheme="majorHAnsi" w:cstheme="majorHAnsi"/>
                <w:lang w:val="ro-MD"/>
              </w:rPr>
            </w:pPr>
            <w:r w:rsidRPr="00F167D8">
              <w:rPr>
                <w:rFonts w:asciiTheme="majorHAnsi" w:hAnsiTheme="majorHAnsi" w:cstheme="majorHAnsi"/>
                <w:lang w:val="ro-MD"/>
              </w:rPr>
              <w:t>•</w:t>
            </w:r>
            <w:r w:rsidRPr="00F167D8">
              <w:rPr>
                <w:rFonts w:asciiTheme="majorHAnsi" w:hAnsiTheme="majorHAnsi" w:cstheme="majorHAnsi"/>
                <w:lang w:val="ro-MD"/>
              </w:rPr>
              <w:tab/>
              <w:t>O</w:t>
            </w:r>
            <w:r w:rsidR="00B445D5">
              <w:rPr>
                <w:rFonts w:asciiTheme="majorHAnsi" w:hAnsiTheme="majorHAnsi" w:cstheme="majorHAnsi"/>
                <w:lang w:val="ro-MD"/>
              </w:rPr>
              <w:t xml:space="preserve">rdinul </w:t>
            </w:r>
            <w:r w:rsidRPr="00B52EC6">
              <w:rPr>
                <w:rFonts w:asciiTheme="majorHAnsi" w:hAnsiTheme="majorHAnsi" w:cstheme="majorHAnsi"/>
                <w:lang w:val="ro-MD"/>
              </w:rPr>
              <w:t>M</w:t>
            </w:r>
            <w:r w:rsidR="00B445D5" w:rsidRPr="001C1A69">
              <w:rPr>
                <w:rFonts w:asciiTheme="majorHAnsi" w:hAnsiTheme="majorHAnsi" w:cstheme="majorHAnsi"/>
                <w:lang w:val="ro-MD"/>
              </w:rPr>
              <w:t xml:space="preserve">inisterului </w:t>
            </w:r>
            <w:r w:rsidRPr="001C1A69">
              <w:rPr>
                <w:rFonts w:asciiTheme="majorHAnsi" w:hAnsiTheme="majorHAnsi" w:cstheme="majorHAnsi"/>
                <w:lang w:val="ro-MD"/>
              </w:rPr>
              <w:t>F</w:t>
            </w:r>
            <w:r w:rsidR="00B445D5" w:rsidRPr="001C1A69">
              <w:rPr>
                <w:rFonts w:asciiTheme="majorHAnsi" w:hAnsiTheme="majorHAnsi" w:cstheme="majorHAnsi"/>
                <w:lang w:val="ro-MD"/>
              </w:rPr>
              <w:t xml:space="preserve">inanțelor  </w:t>
            </w:r>
            <w:r w:rsidRPr="001C1A69">
              <w:rPr>
                <w:rFonts w:asciiTheme="majorHAnsi" w:hAnsiTheme="majorHAnsi" w:cstheme="majorHAnsi"/>
                <w:lang w:val="ro-MD"/>
              </w:rPr>
              <w:t xml:space="preserve"> </w:t>
            </w:r>
            <w:r w:rsidR="00B445D5" w:rsidRPr="001C1A69">
              <w:rPr>
                <w:rFonts w:asciiTheme="majorHAnsi" w:hAnsiTheme="majorHAnsi" w:cstheme="majorHAnsi"/>
                <w:lang w:val="ro-MD"/>
              </w:rPr>
              <w:t>n</w:t>
            </w:r>
            <w:r w:rsidRPr="001C1A69">
              <w:rPr>
                <w:rFonts w:asciiTheme="majorHAnsi" w:hAnsiTheme="majorHAnsi" w:cstheme="majorHAnsi"/>
                <w:lang w:val="ro-MD"/>
              </w:rPr>
              <w:t>r. 60</w:t>
            </w:r>
          </w:p>
          <w:p w14:paraId="652BEFF0" w14:textId="2F4C8856" w:rsidR="00F167D8" w:rsidRPr="00F167D8" w:rsidRDefault="00F167D8" w:rsidP="00F167D8">
            <w:pPr>
              <w:rPr>
                <w:rFonts w:asciiTheme="majorHAnsi" w:hAnsiTheme="majorHAnsi" w:cstheme="majorHAnsi"/>
                <w:lang w:val="ro-MD"/>
              </w:rPr>
            </w:pPr>
            <w:r w:rsidRPr="001C1A69">
              <w:rPr>
                <w:rFonts w:asciiTheme="majorHAnsi" w:hAnsiTheme="majorHAnsi" w:cstheme="majorHAnsi"/>
                <w:lang w:val="ro-MD"/>
              </w:rPr>
              <w:t>din</w:t>
            </w:r>
            <w:r w:rsidRPr="00F167D8">
              <w:rPr>
                <w:rFonts w:asciiTheme="majorHAnsi" w:hAnsiTheme="majorHAnsi" w:cstheme="majorHAnsi"/>
                <w:lang w:val="ro-MD"/>
              </w:rPr>
              <w:t xml:space="preserve"> 29</w:t>
            </w:r>
            <w:r w:rsidR="00B445D5">
              <w:rPr>
                <w:rFonts w:asciiTheme="majorHAnsi" w:hAnsiTheme="majorHAnsi" w:cstheme="majorHAnsi"/>
                <w:lang w:val="ro-MD"/>
              </w:rPr>
              <w:t>.</w:t>
            </w:r>
            <w:r w:rsidRPr="00F167D8">
              <w:rPr>
                <w:rFonts w:asciiTheme="majorHAnsi" w:hAnsiTheme="majorHAnsi" w:cstheme="majorHAnsi"/>
                <w:lang w:val="ro-MD"/>
              </w:rPr>
              <w:t>05</w:t>
            </w:r>
            <w:r w:rsidR="00B445D5">
              <w:rPr>
                <w:rFonts w:asciiTheme="majorHAnsi" w:hAnsiTheme="majorHAnsi" w:cstheme="majorHAnsi"/>
                <w:lang w:val="ro-MD"/>
              </w:rPr>
              <w:t>.</w:t>
            </w:r>
            <w:r w:rsidRPr="00F167D8">
              <w:rPr>
                <w:rFonts w:asciiTheme="majorHAnsi" w:hAnsiTheme="majorHAnsi" w:cstheme="majorHAnsi"/>
                <w:lang w:val="ro-MD"/>
              </w:rPr>
              <w:t>2012</w:t>
            </w:r>
          </w:p>
          <w:p w14:paraId="61A0C717" w14:textId="77777777" w:rsidR="00F167D8" w:rsidRPr="00F167D8" w:rsidRDefault="00F167D8" w:rsidP="00F167D8">
            <w:pPr>
              <w:rPr>
                <w:rFonts w:asciiTheme="majorHAnsi" w:hAnsiTheme="majorHAnsi" w:cstheme="majorHAnsi"/>
                <w:lang w:val="ro-MD"/>
              </w:rPr>
            </w:pPr>
            <w:r w:rsidRPr="00F167D8">
              <w:rPr>
                <w:rFonts w:asciiTheme="majorHAnsi" w:hAnsiTheme="majorHAnsi" w:cstheme="majorHAnsi"/>
                <w:lang w:val="ro-MD"/>
              </w:rPr>
              <w:t>cu privire la aprobarea Regulamentului</w:t>
            </w:r>
          </w:p>
          <w:p w14:paraId="6ABFF0FC" w14:textId="26171989" w:rsidR="004D496F" w:rsidRPr="000B69E2" w:rsidRDefault="00F167D8" w:rsidP="00F167D8">
            <w:pPr>
              <w:rPr>
                <w:rFonts w:asciiTheme="majorHAnsi" w:hAnsiTheme="majorHAnsi" w:cstheme="majorHAnsi"/>
                <w:lang w:val="ro-MD"/>
              </w:rPr>
            </w:pPr>
            <w:r w:rsidRPr="00F167D8">
              <w:rPr>
                <w:rFonts w:asciiTheme="majorHAnsi" w:hAnsiTheme="majorHAnsi" w:cstheme="majorHAnsi"/>
                <w:lang w:val="ro-MD"/>
              </w:rPr>
              <w:t>privind inventarierea; Legea contabilității nr.113-XVI din 27.04.2007, art.24</w:t>
            </w:r>
            <w:r w:rsidR="00BE189F">
              <w:rPr>
                <w:rFonts w:asciiTheme="majorHAnsi" w:hAnsiTheme="majorHAnsi" w:cstheme="majorHAnsi"/>
                <w:lang w:val="ro-MD"/>
              </w:rPr>
              <w:t>.</w:t>
            </w:r>
          </w:p>
        </w:tc>
        <w:tc>
          <w:tcPr>
            <w:tcW w:w="2100" w:type="dxa"/>
          </w:tcPr>
          <w:p w14:paraId="608CF41F" w14:textId="77777777" w:rsidR="004D496F" w:rsidRPr="00B963D4" w:rsidRDefault="004D496F" w:rsidP="004D496F">
            <w:pPr>
              <w:rPr>
                <w:rFonts w:asciiTheme="majorHAnsi" w:hAnsiTheme="majorHAnsi" w:cstheme="majorHAnsi"/>
                <w:lang w:val="ro-MD"/>
              </w:rPr>
            </w:pPr>
            <w:r w:rsidRPr="00B963D4">
              <w:rPr>
                <w:rFonts w:asciiTheme="majorHAnsi" w:hAnsiTheme="majorHAnsi" w:cstheme="majorHAnsi"/>
                <w:lang w:val="ro-MD"/>
              </w:rPr>
              <w:t>• Examinarea dosarelor de inventariere</w:t>
            </w:r>
            <w:r>
              <w:rPr>
                <w:rFonts w:asciiTheme="majorHAnsi" w:hAnsiTheme="majorHAnsi" w:cstheme="majorHAnsi"/>
                <w:lang w:val="ro-MD"/>
              </w:rPr>
              <w:t>.</w:t>
            </w:r>
          </w:p>
          <w:p w14:paraId="1A7E3DC7" w14:textId="77777777" w:rsidR="004D496F" w:rsidRPr="00B963D4" w:rsidRDefault="004D496F" w:rsidP="004D496F">
            <w:pPr>
              <w:rPr>
                <w:rFonts w:asciiTheme="majorHAnsi" w:hAnsiTheme="majorHAnsi" w:cstheme="majorHAnsi"/>
                <w:lang w:val="ro-MD"/>
              </w:rPr>
            </w:pPr>
            <w:r w:rsidRPr="00B963D4">
              <w:rPr>
                <w:rFonts w:asciiTheme="majorHAnsi" w:hAnsiTheme="majorHAnsi" w:cstheme="majorHAnsi"/>
                <w:lang w:val="ro-MD"/>
              </w:rPr>
              <w:t>• Observarea fizică .</w:t>
            </w:r>
          </w:p>
          <w:p w14:paraId="7814C013" w14:textId="77777777" w:rsidR="004D496F" w:rsidRPr="00B963D4" w:rsidRDefault="004D496F" w:rsidP="004D496F">
            <w:pPr>
              <w:rPr>
                <w:rFonts w:asciiTheme="majorHAnsi" w:hAnsiTheme="majorHAnsi" w:cstheme="majorHAnsi"/>
                <w:lang w:val="ro-MD"/>
              </w:rPr>
            </w:pPr>
            <w:r w:rsidRPr="00B963D4">
              <w:rPr>
                <w:rFonts w:asciiTheme="majorHAnsi" w:hAnsiTheme="majorHAnsi" w:cstheme="majorHAnsi"/>
                <w:lang w:val="ro-MD"/>
              </w:rPr>
              <w:t>• Intervievarea conducerii</w:t>
            </w:r>
            <w:r>
              <w:rPr>
                <w:rFonts w:asciiTheme="majorHAnsi" w:hAnsiTheme="majorHAnsi" w:cstheme="majorHAnsi"/>
                <w:lang w:val="ro-MD"/>
              </w:rPr>
              <w:t>.</w:t>
            </w:r>
          </w:p>
          <w:p w14:paraId="4F198F5D" w14:textId="77777777" w:rsidR="004D496F" w:rsidRPr="00B963D4" w:rsidRDefault="004D496F" w:rsidP="004D496F">
            <w:pPr>
              <w:rPr>
                <w:rFonts w:asciiTheme="majorHAnsi" w:hAnsiTheme="majorHAnsi" w:cstheme="majorHAnsi"/>
                <w:lang w:val="ro-MD"/>
              </w:rPr>
            </w:pPr>
            <w:r w:rsidRPr="00B963D4">
              <w:rPr>
                <w:rFonts w:asciiTheme="majorHAnsi" w:hAnsiTheme="majorHAnsi" w:cstheme="majorHAnsi"/>
                <w:lang w:val="ro-MD"/>
              </w:rPr>
              <w:t>• Interogare verbală și explicații scrise</w:t>
            </w:r>
            <w:r>
              <w:rPr>
                <w:rFonts w:asciiTheme="majorHAnsi" w:hAnsiTheme="majorHAnsi" w:cstheme="majorHAnsi"/>
                <w:lang w:val="ro-MD"/>
              </w:rPr>
              <w:t>.</w:t>
            </w:r>
          </w:p>
          <w:p w14:paraId="229DC35F" w14:textId="77777777" w:rsidR="004D496F" w:rsidRPr="000B69E2" w:rsidRDefault="004D496F" w:rsidP="004D496F">
            <w:pPr>
              <w:rPr>
                <w:rFonts w:asciiTheme="majorHAnsi" w:hAnsiTheme="majorHAnsi" w:cstheme="majorHAnsi"/>
                <w:lang w:val="ro-MD"/>
              </w:rPr>
            </w:pPr>
          </w:p>
        </w:tc>
        <w:tc>
          <w:tcPr>
            <w:tcW w:w="4563" w:type="dxa"/>
          </w:tcPr>
          <w:p w14:paraId="195CCC29" w14:textId="5F3B603E" w:rsidR="004D496F" w:rsidRPr="009A39E9" w:rsidRDefault="004D496F" w:rsidP="004D496F">
            <w:pPr>
              <w:rPr>
                <w:rFonts w:asciiTheme="majorHAnsi" w:hAnsiTheme="majorHAnsi" w:cstheme="majorHAnsi"/>
                <w:color w:val="000000"/>
                <w:lang w:val="ro-MD"/>
              </w:rPr>
            </w:pPr>
            <w:r w:rsidRPr="009A39E9">
              <w:rPr>
                <w:rFonts w:asciiTheme="majorHAnsi" w:hAnsiTheme="majorHAnsi" w:cstheme="majorHAnsi"/>
                <w:color w:val="000000"/>
                <w:lang w:val="ro-MD"/>
              </w:rPr>
              <w:t xml:space="preserve"> Elementele vor fi selectate din dosarele de inventariere pentru </w:t>
            </w:r>
            <w:r>
              <w:rPr>
                <w:rFonts w:asciiTheme="majorHAnsi" w:hAnsiTheme="majorHAnsi" w:cstheme="majorHAnsi"/>
                <w:color w:val="000000"/>
                <w:lang w:val="ro-MD"/>
              </w:rPr>
              <w:t xml:space="preserve">anul 2021 la cele 4 entități </w:t>
            </w:r>
            <w:r w:rsidRPr="009A39E9">
              <w:rPr>
                <w:rFonts w:asciiTheme="majorHAnsi" w:hAnsiTheme="majorHAnsi" w:cstheme="majorHAnsi"/>
                <w:color w:val="000000"/>
                <w:lang w:val="ro-MD"/>
              </w:rPr>
              <w:t xml:space="preserve">auditate (4 ordine de instituire a comisiei de inventariere , toate declarațiile semnate de gestionari la cele 4 entități, 4 procese-verbale privind rezultatele inventarierii pentru anul 2020 și 4 </w:t>
            </w:r>
            <w:r w:rsidR="00B445D5">
              <w:rPr>
                <w:rFonts w:asciiTheme="majorHAnsi" w:hAnsiTheme="majorHAnsi" w:cstheme="majorHAnsi"/>
                <w:color w:val="000000"/>
                <w:lang w:val="ro-MD"/>
              </w:rPr>
              <w:t xml:space="preserve">- </w:t>
            </w:r>
            <w:r w:rsidRPr="009A39E9">
              <w:rPr>
                <w:rFonts w:asciiTheme="majorHAnsi" w:hAnsiTheme="majorHAnsi" w:cstheme="majorHAnsi"/>
                <w:color w:val="000000"/>
                <w:lang w:val="ro-MD"/>
              </w:rPr>
              <w:t>pentru anul 2021</w:t>
            </w:r>
            <w:r w:rsidR="00B445D5">
              <w:rPr>
                <w:rFonts w:asciiTheme="majorHAnsi" w:hAnsiTheme="majorHAnsi" w:cstheme="majorHAnsi"/>
                <w:color w:val="000000"/>
                <w:lang w:val="ro-MD"/>
              </w:rPr>
              <w:t>,</w:t>
            </w:r>
            <w:r w:rsidRPr="009A39E9">
              <w:rPr>
                <w:rFonts w:asciiTheme="majorHAnsi" w:hAnsiTheme="majorHAnsi" w:cstheme="majorHAnsi"/>
                <w:color w:val="000000"/>
                <w:lang w:val="ro-MD"/>
              </w:rPr>
              <w:t xml:space="preserve"> cu anexele respective)</w:t>
            </w:r>
            <w:r w:rsidR="00B445D5">
              <w:rPr>
                <w:rFonts w:asciiTheme="majorHAnsi" w:hAnsiTheme="majorHAnsi" w:cstheme="majorHAnsi"/>
                <w:color w:val="000000"/>
                <w:lang w:val="ro-MD"/>
              </w:rPr>
              <w:t>.</w:t>
            </w:r>
          </w:p>
          <w:p w14:paraId="181100A9" w14:textId="775F60F4" w:rsidR="004D496F" w:rsidRPr="009A39E9" w:rsidRDefault="004D496F" w:rsidP="004D496F">
            <w:pPr>
              <w:rPr>
                <w:rFonts w:asciiTheme="majorHAnsi" w:hAnsiTheme="majorHAnsi" w:cstheme="majorHAnsi"/>
                <w:color w:val="000000"/>
                <w:lang w:val="ro-MD"/>
              </w:rPr>
            </w:pPr>
            <w:r w:rsidRPr="009A39E9">
              <w:rPr>
                <w:rFonts w:asciiTheme="majorHAnsi" w:hAnsiTheme="majorHAnsi" w:cstheme="majorHAnsi"/>
                <w:color w:val="000000"/>
                <w:lang w:val="ro-MD"/>
              </w:rPr>
              <w:t>-La selectarea imobilizărilor corporale și necorporale din listele de inventariere vor fi luate în considerație activele amortizate integral și  valoric considerabile.</w:t>
            </w:r>
            <w:r>
              <w:rPr>
                <w:rFonts w:asciiTheme="majorHAnsi" w:hAnsiTheme="majorHAnsi" w:cstheme="majorHAnsi"/>
                <w:color w:val="000000"/>
                <w:lang w:val="ro-MD"/>
              </w:rPr>
              <w:t xml:space="preserve"> Astfel</w:t>
            </w:r>
            <w:r w:rsidR="00B445D5">
              <w:rPr>
                <w:rFonts w:asciiTheme="majorHAnsi" w:hAnsiTheme="majorHAnsi" w:cstheme="majorHAnsi"/>
                <w:color w:val="000000"/>
                <w:lang w:val="ro-MD"/>
              </w:rPr>
              <w:t>,</w:t>
            </w:r>
            <w:r>
              <w:rPr>
                <w:rFonts w:asciiTheme="majorHAnsi" w:hAnsiTheme="majorHAnsi" w:cstheme="majorHAnsi"/>
                <w:color w:val="000000"/>
                <w:lang w:val="ro-MD"/>
              </w:rPr>
              <w:t xml:space="preserve"> pentru INM au fost selectate</w:t>
            </w:r>
            <w:r w:rsidR="00B445D5">
              <w:rPr>
                <w:rFonts w:asciiTheme="majorHAnsi" w:hAnsiTheme="majorHAnsi" w:cstheme="majorHAnsi"/>
                <w:color w:val="000000"/>
                <w:lang w:val="ro-MD"/>
              </w:rPr>
              <w:t>,</w:t>
            </w:r>
            <w:r>
              <w:rPr>
                <w:rFonts w:asciiTheme="majorHAnsi" w:hAnsiTheme="majorHAnsi" w:cstheme="majorHAnsi"/>
                <w:color w:val="000000"/>
                <w:lang w:val="ro-MD"/>
              </w:rPr>
              <w:t xml:space="preserve"> </w:t>
            </w:r>
            <w:r w:rsidR="00B445D5">
              <w:rPr>
                <w:rFonts w:asciiTheme="majorHAnsi" w:hAnsiTheme="majorHAnsi" w:cstheme="majorHAnsi"/>
                <w:color w:val="000000"/>
                <w:lang w:val="ro-MD"/>
              </w:rPr>
              <w:t xml:space="preserve">pentru </w:t>
            </w:r>
            <w:r>
              <w:rPr>
                <w:rFonts w:asciiTheme="majorHAnsi" w:hAnsiTheme="majorHAnsi" w:cstheme="majorHAnsi"/>
                <w:color w:val="000000"/>
                <w:lang w:val="ro-MD"/>
              </w:rPr>
              <w:t xml:space="preserve"> inventarierea selectivă</w:t>
            </w:r>
            <w:r w:rsidR="00B445D5">
              <w:rPr>
                <w:rFonts w:asciiTheme="majorHAnsi" w:hAnsiTheme="majorHAnsi" w:cstheme="majorHAnsi"/>
                <w:color w:val="000000"/>
                <w:lang w:val="ro-MD"/>
              </w:rPr>
              <w:t>,</w:t>
            </w:r>
            <w:r>
              <w:rPr>
                <w:rFonts w:asciiTheme="majorHAnsi" w:hAnsiTheme="majorHAnsi" w:cstheme="majorHAnsi"/>
                <w:color w:val="000000"/>
                <w:lang w:val="ro-MD"/>
              </w:rPr>
              <w:t xml:space="preserve"> 90 de poziții din 418; ISM- 17 poziții din 72; MOLDAC-29</w:t>
            </w:r>
            <w:r w:rsidRPr="00B52EC6">
              <w:rPr>
                <w:rFonts w:asciiTheme="majorHAnsi" w:hAnsiTheme="majorHAnsi" w:cstheme="majorHAnsi"/>
                <w:color w:val="000000"/>
                <w:lang w:val="ro-MD"/>
              </w:rPr>
              <w:t xml:space="preserve">; </w:t>
            </w:r>
            <w:r w:rsidRPr="001C1A69">
              <w:rPr>
                <w:rFonts w:asciiTheme="majorHAnsi" w:hAnsiTheme="majorHAnsi" w:cstheme="majorHAnsi"/>
                <w:lang w:val="ro-MD"/>
              </w:rPr>
              <w:t>APCSP-20</w:t>
            </w:r>
            <w:r w:rsidRPr="00CA16BD">
              <w:rPr>
                <w:rFonts w:asciiTheme="majorHAnsi" w:hAnsiTheme="majorHAnsi" w:cstheme="majorHAnsi"/>
                <w:lang w:val="ro-MD"/>
              </w:rPr>
              <w:t xml:space="preserve"> poziții</w:t>
            </w:r>
            <w:r w:rsidRPr="00752E86">
              <w:rPr>
                <w:rFonts w:asciiTheme="majorHAnsi" w:hAnsiTheme="majorHAnsi" w:cstheme="majorHAnsi"/>
                <w:color w:val="FF0000"/>
                <w:lang w:val="ro-MD"/>
              </w:rPr>
              <w:t>;</w:t>
            </w:r>
          </w:p>
          <w:p w14:paraId="5F531CF9" w14:textId="1C6A938B" w:rsidR="004D496F" w:rsidRPr="007A65CC" w:rsidRDefault="004D496F" w:rsidP="004D496F">
            <w:pPr>
              <w:rPr>
                <w:rFonts w:asciiTheme="majorHAnsi" w:hAnsiTheme="majorHAnsi" w:cstheme="majorHAnsi"/>
                <w:lang w:val="ro-MD"/>
              </w:rPr>
            </w:pPr>
            <w:r w:rsidRPr="009A39E9">
              <w:rPr>
                <w:rFonts w:asciiTheme="majorHAnsi" w:hAnsiTheme="majorHAnsi" w:cstheme="majorHAnsi"/>
                <w:color w:val="000000"/>
                <w:lang w:val="ro-MD"/>
              </w:rPr>
              <w:t>-La selectarea creanțelor și datoriilor din listele de inventariere vor fi luate în considerație existența tuturor actelor de verificare</w:t>
            </w:r>
            <w:r w:rsidR="00B445D5">
              <w:rPr>
                <w:rFonts w:asciiTheme="majorHAnsi" w:hAnsiTheme="majorHAnsi" w:cstheme="majorHAnsi"/>
                <w:color w:val="000000"/>
                <w:lang w:val="ro-MD"/>
              </w:rPr>
              <w:t>,</w:t>
            </w:r>
            <w:r w:rsidRPr="009A39E9">
              <w:rPr>
                <w:rFonts w:asciiTheme="majorHAnsi" w:hAnsiTheme="majorHAnsi" w:cstheme="majorHAnsi"/>
                <w:color w:val="000000"/>
                <w:lang w:val="ro-MD"/>
              </w:rPr>
              <w:t xml:space="preserve"> precum și valoarea lor. </w:t>
            </w:r>
            <w:r w:rsidRPr="007A65CC">
              <w:rPr>
                <w:rFonts w:asciiTheme="majorHAnsi" w:hAnsiTheme="majorHAnsi" w:cstheme="majorHAnsi"/>
                <w:lang w:val="ro-MD"/>
              </w:rPr>
              <w:t xml:space="preserve">Se vor analiza 4 liste </w:t>
            </w:r>
            <w:r w:rsidR="00B445D5">
              <w:rPr>
                <w:rFonts w:asciiTheme="majorHAnsi" w:hAnsiTheme="majorHAnsi" w:cstheme="majorHAnsi"/>
                <w:lang w:val="ro-MD"/>
              </w:rPr>
              <w:t xml:space="preserve">ale </w:t>
            </w:r>
            <w:r w:rsidRPr="007A65CC">
              <w:rPr>
                <w:rFonts w:asciiTheme="majorHAnsi" w:hAnsiTheme="majorHAnsi" w:cstheme="majorHAnsi"/>
                <w:lang w:val="ro-MD"/>
              </w:rPr>
              <w:t>creanțe</w:t>
            </w:r>
            <w:r w:rsidR="00B445D5">
              <w:rPr>
                <w:rFonts w:asciiTheme="majorHAnsi" w:hAnsiTheme="majorHAnsi" w:cstheme="majorHAnsi"/>
                <w:lang w:val="ro-MD"/>
              </w:rPr>
              <w:t>lor</w:t>
            </w:r>
            <w:r w:rsidRPr="007A65CC">
              <w:rPr>
                <w:rFonts w:asciiTheme="majorHAnsi" w:hAnsiTheme="majorHAnsi" w:cstheme="majorHAnsi"/>
                <w:lang w:val="ro-MD"/>
              </w:rPr>
              <w:t xml:space="preserve"> și datorii</w:t>
            </w:r>
            <w:r w:rsidR="00B445D5">
              <w:rPr>
                <w:rFonts w:asciiTheme="majorHAnsi" w:hAnsiTheme="majorHAnsi" w:cstheme="majorHAnsi"/>
                <w:lang w:val="ro-MD"/>
              </w:rPr>
              <w:t>lor</w:t>
            </w:r>
            <w:r w:rsidRPr="007A65CC">
              <w:rPr>
                <w:rFonts w:asciiTheme="majorHAnsi" w:hAnsiTheme="majorHAnsi" w:cstheme="majorHAnsi"/>
                <w:lang w:val="ro-MD"/>
              </w:rPr>
              <w:t xml:space="preserve"> la situația d</w:t>
            </w:r>
            <w:r w:rsidR="00B445D5">
              <w:rPr>
                <w:rFonts w:asciiTheme="majorHAnsi" w:hAnsiTheme="majorHAnsi" w:cstheme="majorHAnsi"/>
                <w:lang w:val="ro-MD"/>
              </w:rPr>
              <w:t xml:space="preserve">in </w:t>
            </w:r>
            <w:r w:rsidRPr="007A65CC">
              <w:rPr>
                <w:rFonts w:asciiTheme="majorHAnsi" w:hAnsiTheme="majorHAnsi" w:cstheme="majorHAnsi"/>
                <w:lang w:val="ro-MD"/>
              </w:rPr>
              <w:t>31.12.2021</w:t>
            </w:r>
            <w:r>
              <w:rPr>
                <w:rFonts w:asciiTheme="majorHAnsi" w:hAnsiTheme="majorHAnsi" w:cstheme="majorHAnsi"/>
                <w:lang w:val="ro-MD"/>
              </w:rPr>
              <w:t xml:space="preserve"> din dosarele de inventariere anuală</w:t>
            </w:r>
            <w:r w:rsidRPr="007A65CC">
              <w:rPr>
                <w:rFonts w:asciiTheme="majorHAnsi" w:hAnsiTheme="majorHAnsi" w:cstheme="majorHAnsi"/>
                <w:lang w:val="ro-MD"/>
              </w:rPr>
              <w:t xml:space="preserve">. </w:t>
            </w:r>
          </w:p>
          <w:p w14:paraId="128B6489" w14:textId="14637374" w:rsidR="004D496F" w:rsidRDefault="004D496F" w:rsidP="004D496F">
            <w:pPr>
              <w:rPr>
                <w:rFonts w:asciiTheme="majorHAnsi" w:hAnsiTheme="majorHAnsi" w:cstheme="majorHAnsi"/>
                <w:color w:val="000000"/>
                <w:lang w:val="ro-MD"/>
              </w:rPr>
            </w:pPr>
            <w:r w:rsidRPr="009A39E9">
              <w:rPr>
                <w:rFonts w:asciiTheme="majorHAnsi" w:hAnsiTheme="majorHAnsi" w:cstheme="majorHAnsi"/>
                <w:color w:val="000000"/>
                <w:lang w:val="ro-MD"/>
              </w:rPr>
              <w:t>Dat fiind faptul că frecvența inventarierii este obligatorie anual, vor fi desfășurate activitățile de audit pentru a identifica întreg patrimoniul gestionat, în special: terenurile, clădirile, imobilizările corporale și necorporale</w:t>
            </w:r>
            <w:r w:rsidR="00B445D5">
              <w:rPr>
                <w:rFonts w:asciiTheme="majorHAnsi" w:hAnsiTheme="majorHAnsi" w:cstheme="majorHAnsi"/>
                <w:color w:val="000000"/>
                <w:lang w:val="ro-MD"/>
              </w:rPr>
              <w:t>,</w:t>
            </w:r>
            <w:r w:rsidRPr="009A39E9">
              <w:rPr>
                <w:rFonts w:asciiTheme="majorHAnsi" w:hAnsiTheme="majorHAnsi" w:cstheme="majorHAnsi"/>
                <w:color w:val="000000"/>
                <w:lang w:val="ro-MD"/>
              </w:rPr>
              <w:t xml:space="preserve"> precum și utilizarea lor în procesul de activitate</w:t>
            </w:r>
            <w:r>
              <w:rPr>
                <w:rFonts w:asciiTheme="majorHAnsi" w:hAnsiTheme="majorHAnsi" w:cstheme="majorHAnsi"/>
                <w:color w:val="000000"/>
                <w:lang w:val="ro-MD"/>
              </w:rPr>
              <w:t xml:space="preserve"> la situația din 31.12.2021</w:t>
            </w:r>
            <w:r w:rsidRPr="009A39E9">
              <w:rPr>
                <w:rFonts w:asciiTheme="majorHAnsi" w:hAnsiTheme="majorHAnsi" w:cstheme="majorHAnsi"/>
                <w:color w:val="000000"/>
                <w:lang w:val="ro-MD"/>
              </w:rPr>
              <w:t>.</w:t>
            </w:r>
          </w:p>
          <w:p w14:paraId="089C9AB7" w14:textId="1D0BE3CD" w:rsidR="004D496F" w:rsidRDefault="004D496F" w:rsidP="004D496F">
            <w:pPr>
              <w:rPr>
                <w:rFonts w:asciiTheme="majorHAnsi" w:hAnsiTheme="majorHAnsi" w:cstheme="majorHAnsi"/>
                <w:lang w:val="ro-MD"/>
              </w:rPr>
            </w:pPr>
            <w:r>
              <w:rPr>
                <w:rFonts w:asciiTheme="majorHAnsi" w:hAnsiTheme="majorHAnsi" w:cstheme="majorHAnsi"/>
                <w:lang w:val="ro-MD"/>
              </w:rPr>
              <w:t>ISM- vor fi analizate bunurile neutilizate</w:t>
            </w:r>
            <w:r w:rsidR="00B445D5">
              <w:rPr>
                <w:rFonts w:asciiTheme="majorHAnsi" w:hAnsiTheme="majorHAnsi" w:cstheme="majorHAnsi"/>
                <w:lang w:val="ro-MD"/>
              </w:rPr>
              <w:t xml:space="preserve"> -</w:t>
            </w:r>
            <w:r>
              <w:rPr>
                <w:rFonts w:asciiTheme="majorHAnsi" w:hAnsiTheme="majorHAnsi" w:cstheme="majorHAnsi"/>
                <w:lang w:val="ro-MD"/>
              </w:rPr>
              <w:t xml:space="preserve"> 18 poziții în valoare de 303</w:t>
            </w:r>
            <w:r w:rsidR="00B445D5">
              <w:rPr>
                <w:rFonts w:asciiTheme="majorHAnsi" w:hAnsiTheme="majorHAnsi" w:cstheme="majorHAnsi"/>
                <w:lang w:val="ro-MD"/>
              </w:rPr>
              <w:t>,0</w:t>
            </w:r>
            <w:r>
              <w:rPr>
                <w:rFonts w:asciiTheme="majorHAnsi" w:hAnsiTheme="majorHAnsi" w:cstheme="majorHAnsi"/>
                <w:lang w:val="ro-MD"/>
              </w:rPr>
              <w:t xml:space="preserve"> mii lei;</w:t>
            </w:r>
          </w:p>
          <w:p w14:paraId="7AE801C5" w14:textId="460945F5" w:rsidR="004D496F" w:rsidRDefault="004D496F" w:rsidP="004D496F">
            <w:pPr>
              <w:rPr>
                <w:rFonts w:asciiTheme="majorHAnsi" w:hAnsiTheme="majorHAnsi" w:cstheme="majorHAnsi"/>
                <w:lang w:val="ro-MD"/>
              </w:rPr>
            </w:pPr>
            <w:r>
              <w:rPr>
                <w:rFonts w:asciiTheme="majorHAnsi" w:hAnsiTheme="majorHAnsi" w:cstheme="majorHAnsi"/>
                <w:lang w:val="ro-MD"/>
              </w:rPr>
              <w:t>MOLDAC</w:t>
            </w:r>
            <w:r w:rsidR="00B445D5">
              <w:rPr>
                <w:rFonts w:asciiTheme="majorHAnsi" w:hAnsiTheme="majorHAnsi" w:cstheme="majorHAnsi"/>
                <w:lang w:val="ro-MD"/>
              </w:rPr>
              <w:t xml:space="preserve"> </w:t>
            </w:r>
            <w:r>
              <w:rPr>
                <w:rFonts w:asciiTheme="majorHAnsi" w:hAnsiTheme="majorHAnsi" w:cstheme="majorHAnsi"/>
                <w:lang w:val="ro-MD"/>
              </w:rPr>
              <w:t>- 9 poziții în valoare de 330</w:t>
            </w:r>
            <w:r w:rsidR="00B445D5">
              <w:rPr>
                <w:rFonts w:asciiTheme="majorHAnsi" w:hAnsiTheme="majorHAnsi" w:cstheme="majorHAnsi"/>
                <w:lang w:val="ro-MD"/>
              </w:rPr>
              <w:t>,0</w:t>
            </w:r>
            <w:r>
              <w:rPr>
                <w:rFonts w:asciiTheme="majorHAnsi" w:hAnsiTheme="majorHAnsi" w:cstheme="majorHAnsi"/>
                <w:lang w:val="ro-MD"/>
              </w:rPr>
              <w:t xml:space="preserve"> mii lei;</w:t>
            </w:r>
          </w:p>
          <w:p w14:paraId="3198D19D" w14:textId="3FAB07A0" w:rsidR="004D496F" w:rsidRPr="00CA16BD" w:rsidRDefault="004D496F" w:rsidP="004D496F">
            <w:pPr>
              <w:rPr>
                <w:rFonts w:asciiTheme="majorHAnsi" w:hAnsiTheme="majorHAnsi" w:cstheme="majorHAnsi"/>
                <w:color w:val="000000"/>
                <w:lang w:val="ro-MD"/>
              </w:rPr>
            </w:pPr>
            <w:r>
              <w:rPr>
                <w:rFonts w:asciiTheme="majorHAnsi" w:hAnsiTheme="majorHAnsi" w:cstheme="majorHAnsi"/>
                <w:color w:val="000000"/>
                <w:lang w:val="ro-MD"/>
              </w:rPr>
              <w:t>APCSP- 50</w:t>
            </w:r>
            <w:r w:rsidRPr="00752E86">
              <w:rPr>
                <w:rFonts w:asciiTheme="majorHAnsi" w:hAnsiTheme="majorHAnsi" w:cstheme="majorHAnsi"/>
                <w:color w:val="000000"/>
                <w:lang w:val="ro-MD"/>
              </w:rPr>
              <w:t xml:space="preserve"> poziții amortizate 100% din 763</w:t>
            </w:r>
            <w:r w:rsidR="00BE189F">
              <w:rPr>
                <w:rFonts w:asciiTheme="majorHAnsi" w:hAnsiTheme="majorHAnsi" w:cstheme="majorHAnsi"/>
                <w:color w:val="000000"/>
                <w:lang w:val="ro-MD"/>
              </w:rPr>
              <w:t>.</w:t>
            </w:r>
          </w:p>
        </w:tc>
      </w:tr>
      <w:tr w:rsidR="004D496F" w:rsidRPr="000B69E2" w14:paraId="6566A6F4" w14:textId="77777777" w:rsidTr="002E6540">
        <w:trPr>
          <w:trHeight w:val="203"/>
        </w:trPr>
        <w:tc>
          <w:tcPr>
            <w:tcW w:w="1779" w:type="dxa"/>
          </w:tcPr>
          <w:p w14:paraId="6D3AAD6F" w14:textId="1F504D95" w:rsidR="004D496F" w:rsidRPr="000B69E2" w:rsidRDefault="004D496F" w:rsidP="004D496F">
            <w:pPr>
              <w:jc w:val="both"/>
              <w:rPr>
                <w:rFonts w:asciiTheme="majorHAnsi" w:hAnsiTheme="majorHAnsi" w:cstheme="majorHAnsi"/>
                <w:b/>
                <w:lang w:val="ro-MD"/>
              </w:rPr>
            </w:pPr>
            <w:r>
              <w:rPr>
                <w:rFonts w:asciiTheme="majorHAnsi" w:hAnsiTheme="majorHAnsi" w:cstheme="majorHAnsi"/>
                <w:b/>
                <w:lang w:val="ro-MD"/>
              </w:rPr>
              <w:t>3.2</w:t>
            </w:r>
            <w:r w:rsidR="00DE6166">
              <w:rPr>
                <w:rFonts w:asciiTheme="majorHAnsi" w:hAnsiTheme="majorHAnsi" w:cstheme="majorHAnsi"/>
                <w:b/>
                <w:lang w:val="ro-MD"/>
              </w:rPr>
              <w:t xml:space="preserve">. </w:t>
            </w:r>
            <w:r w:rsidRPr="000B69E2">
              <w:rPr>
                <w:rFonts w:asciiTheme="majorHAnsi" w:hAnsiTheme="majorHAnsi" w:cstheme="majorHAnsi"/>
                <w:lang w:val="ro-MD"/>
              </w:rPr>
              <w:t>Nerecunoașterea și/sau  înregistrarea neconformă în evidența contabilă a imobil</w:t>
            </w:r>
            <w:r>
              <w:rPr>
                <w:rFonts w:asciiTheme="majorHAnsi" w:hAnsiTheme="majorHAnsi" w:cstheme="majorHAnsi"/>
                <w:lang w:val="ro-MD"/>
              </w:rPr>
              <w:t>izărilor necorporale/corporale și necalcularea conformă a uzurii/amortizării</w:t>
            </w:r>
            <w:r w:rsidR="00DE6166">
              <w:rPr>
                <w:rFonts w:asciiTheme="majorHAnsi" w:hAnsiTheme="majorHAnsi" w:cstheme="majorHAnsi"/>
                <w:lang w:val="ro-MD"/>
              </w:rPr>
              <w:t>;</w:t>
            </w:r>
            <w:r w:rsidR="00E048B0">
              <w:rPr>
                <w:rFonts w:asciiTheme="majorHAnsi" w:hAnsiTheme="majorHAnsi" w:cstheme="majorHAnsi"/>
                <w:lang w:val="ro-MD"/>
              </w:rPr>
              <w:t xml:space="preserve">   </w:t>
            </w:r>
          </w:p>
        </w:tc>
        <w:tc>
          <w:tcPr>
            <w:tcW w:w="3603" w:type="dxa"/>
          </w:tcPr>
          <w:p w14:paraId="7F1C668B" w14:textId="66BD1967" w:rsidR="004D496F" w:rsidRDefault="004D496F" w:rsidP="004D496F">
            <w:pPr>
              <w:jc w:val="both"/>
              <w:rPr>
                <w:rFonts w:asciiTheme="majorHAnsi" w:hAnsiTheme="majorHAnsi" w:cstheme="majorHAnsi"/>
                <w:lang w:val="ro-MD"/>
              </w:rPr>
            </w:pPr>
            <w:r>
              <w:rPr>
                <w:rFonts w:asciiTheme="majorHAnsi" w:hAnsiTheme="majorHAnsi" w:cstheme="majorHAnsi"/>
                <w:lang w:val="ro-MD"/>
              </w:rPr>
              <w:t>Registrele contabile aferente intrării imobilizărilor corporale/necorporale</w:t>
            </w:r>
            <w:r w:rsidR="00BE189F">
              <w:rPr>
                <w:rFonts w:asciiTheme="majorHAnsi" w:hAnsiTheme="majorHAnsi" w:cstheme="majorHAnsi"/>
                <w:lang w:val="ro-MD"/>
              </w:rPr>
              <w:t>.</w:t>
            </w:r>
          </w:p>
          <w:p w14:paraId="7F96DFFF" w14:textId="7F84812C" w:rsidR="004D496F" w:rsidRDefault="004D496F" w:rsidP="004D496F">
            <w:pPr>
              <w:jc w:val="both"/>
              <w:rPr>
                <w:rFonts w:asciiTheme="majorHAnsi" w:hAnsiTheme="majorHAnsi" w:cstheme="majorHAnsi"/>
                <w:lang w:val="ro-MD"/>
              </w:rPr>
            </w:pPr>
            <w:r>
              <w:rPr>
                <w:rFonts w:asciiTheme="majorHAnsi" w:hAnsiTheme="majorHAnsi" w:cstheme="majorHAnsi"/>
                <w:lang w:val="ro-MD"/>
              </w:rPr>
              <w:t>Facturile de intrare/Actele de predare</w:t>
            </w:r>
            <w:r w:rsidR="00DE6166">
              <w:rPr>
                <w:rFonts w:asciiTheme="majorHAnsi" w:hAnsiTheme="majorHAnsi" w:cstheme="majorHAnsi"/>
                <w:lang w:val="ro-MD"/>
              </w:rPr>
              <w:t>-</w:t>
            </w:r>
            <w:r>
              <w:rPr>
                <w:rFonts w:asciiTheme="majorHAnsi" w:hAnsiTheme="majorHAnsi" w:cstheme="majorHAnsi"/>
                <w:lang w:val="ro-MD"/>
              </w:rPr>
              <w:t xml:space="preserve"> primire a bunurilor</w:t>
            </w:r>
            <w:r w:rsidR="00BE189F">
              <w:rPr>
                <w:rFonts w:asciiTheme="majorHAnsi" w:hAnsiTheme="majorHAnsi" w:cstheme="majorHAnsi"/>
                <w:lang w:val="ro-MD"/>
              </w:rPr>
              <w:t>.</w:t>
            </w:r>
          </w:p>
          <w:p w14:paraId="5A1C436E" w14:textId="195C5F63" w:rsidR="004D496F" w:rsidRPr="000B69E2" w:rsidRDefault="004D496F" w:rsidP="004D496F">
            <w:pPr>
              <w:jc w:val="both"/>
              <w:rPr>
                <w:rFonts w:asciiTheme="majorHAnsi" w:hAnsiTheme="majorHAnsi" w:cstheme="majorHAnsi"/>
                <w:lang w:val="ro-MD"/>
              </w:rPr>
            </w:pPr>
            <w:r w:rsidRPr="000B69E2">
              <w:rPr>
                <w:rFonts w:asciiTheme="majorHAnsi" w:hAnsiTheme="majorHAnsi" w:cstheme="majorHAnsi"/>
                <w:lang w:val="ro-MD"/>
              </w:rPr>
              <w:t>Nomenclator</w:t>
            </w:r>
            <w:r w:rsidR="00DE6166">
              <w:rPr>
                <w:rFonts w:asciiTheme="majorHAnsi" w:hAnsiTheme="majorHAnsi" w:cstheme="majorHAnsi"/>
                <w:lang w:val="ro-MD"/>
              </w:rPr>
              <w:t>ul</w:t>
            </w:r>
            <w:r w:rsidRPr="000B69E2">
              <w:rPr>
                <w:rFonts w:asciiTheme="majorHAnsi" w:hAnsiTheme="majorHAnsi" w:cstheme="majorHAnsi"/>
                <w:lang w:val="ro-MD"/>
              </w:rPr>
              <w:t xml:space="preserve"> privind obiectele de evidență</w:t>
            </w:r>
            <w:r w:rsidR="00BE189F">
              <w:rPr>
                <w:rFonts w:asciiTheme="majorHAnsi" w:hAnsiTheme="majorHAnsi" w:cstheme="majorHAnsi"/>
                <w:lang w:val="ro-MD"/>
              </w:rPr>
              <w:t>.</w:t>
            </w:r>
          </w:p>
          <w:p w14:paraId="0953AE4D" w14:textId="77777777" w:rsidR="004D496F" w:rsidRPr="000B69E2" w:rsidRDefault="004D496F" w:rsidP="004D496F">
            <w:pPr>
              <w:jc w:val="both"/>
              <w:rPr>
                <w:rFonts w:asciiTheme="majorHAnsi" w:hAnsiTheme="majorHAnsi" w:cstheme="majorHAnsi"/>
                <w:lang w:val="ro-MD"/>
              </w:rPr>
            </w:pPr>
          </w:p>
          <w:p w14:paraId="6A52838E" w14:textId="77777777" w:rsidR="004D496F" w:rsidRPr="000B69E2" w:rsidRDefault="004D496F" w:rsidP="004D496F">
            <w:pPr>
              <w:jc w:val="both"/>
              <w:rPr>
                <w:rFonts w:asciiTheme="majorHAnsi" w:hAnsiTheme="majorHAnsi" w:cstheme="majorHAnsi"/>
                <w:lang w:val="ro-MD"/>
              </w:rPr>
            </w:pPr>
          </w:p>
          <w:p w14:paraId="7A8DD8A4" w14:textId="77777777" w:rsidR="004D496F" w:rsidRPr="000B69E2" w:rsidRDefault="004D496F" w:rsidP="004D496F">
            <w:pPr>
              <w:jc w:val="both"/>
              <w:rPr>
                <w:rFonts w:asciiTheme="majorHAnsi" w:hAnsiTheme="majorHAnsi" w:cstheme="majorHAnsi"/>
                <w:lang w:val="ro-MD"/>
              </w:rPr>
            </w:pPr>
          </w:p>
          <w:p w14:paraId="2EBD07A9" w14:textId="77777777" w:rsidR="004D496F" w:rsidRPr="000B69E2" w:rsidRDefault="004D496F" w:rsidP="004D496F">
            <w:pPr>
              <w:jc w:val="both"/>
              <w:rPr>
                <w:rFonts w:asciiTheme="majorHAnsi" w:hAnsiTheme="majorHAnsi" w:cstheme="majorHAnsi"/>
                <w:lang w:val="ro-MD"/>
              </w:rPr>
            </w:pPr>
          </w:p>
        </w:tc>
        <w:tc>
          <w:tcPr>
            <w:tcW w:w="2126" w:type="dxa"/>
          </w:tcPr>
          <w:p w14:paraId="0D9FD189" w14:textId="07C409BF" w:rsidR="00F167D8" w:rsidRPr="00AD589A" w:rsidRDefault="00F167D8" w:rsidP="007E002D">
            <w:pPr>
              <w:pStyle w:val="ListParagraph"/>
              <w:numPr>
                <w:ilvl w:val="0"/>
                <w:numId w:val="29"/>
              </w:numPr>
              <w:ind w:left="210" w:hanging="142"/>
              <w:rPr>
                <w:rFonts w:asciiTheme="majorHAnsi" w:hAnsiTheme="majorHAnsi" w:cstheme="majorHAnsi"/>
                <w:bCs/>
              </w:rPr>
            </w:pPr>
            <w:r w:rsidRPr="00AD589A">
              <w:rPr>
                <w:rFonts w:asciiTheme="majorHAnsi" w:hAnsiTheme="majorHAnsi" w:cstheme="majorHAnsi"/>
                <w:bCs/>
              </w:rPr>
              <w:t xml:space="preserve">SNC </w:t>
            </w:r>
            <w:r w:rsidR="00CE233D">
              <w:rPr>
                <w:rFonts w:asciiTheme="majorHAnsi" w:hAnsiTheme="majorHAnsi" w:cstheme="majorHAnsi"/>
                <w:bCs/>
              </w:rPr>
              <w:t>„</w:t>
            </w:r>
            <w:r w:rsidRPr="00AD589A">
              <w:rPr>
                <w:rFonts w:asciiTheme="majorHAnsi" w:hAnsiTheme="majorHAnsi" w:cstheme="majorHAnsi"/>
                <w:bCs/>
              </w:rPr>
              <w:t>IMOBILIZĂRI NECORPORALE ŞI CORPORALE”pct.5,7; pct.18; pct.63.</w:t>
            </w:r>
          </w:p>
          <w:p w14:paraId="47361FA1" w14:textId="06B6A162" w:rsidR="00F167D8" w:rsidRPr="00AD589A" w:rsidRDefault="00F167D8" w:rsidP="007E002D">
            <w:pPr>
              <w:pStyle w:val="ListParagraph"/>
              <w:numPr>
                <w:ilvl w:val="0"/>
                <w:numId w:val="29"/>
              </w:numPr>
              <w:ind w:left="210" w:hanging="142"/>
              <w:rPr>
                <w:rFonts w:asciiTheme="majorHAnsi" w:hAnsiTheme="majorHAnsi" w:cstheme="majorHAnsi"/>
                <w:bCs/>
              </w:rPr>
            </w:pPr>
            <w:r w:rsidRPr="00B52EC6">
              <w:rPr>
                <w:rFonts w:asciiTheme="majorHAnsi" w:hAnsiTheme="majorHAnsi" w:cstheme="majorHAnsi"/>
                <w:bCs/>
              </w:rPr>
              <w:t>O</w:t>
            </w:r>
            <w:r w:rsidR="00CE233D" w:rsidRPr="00255E9C">
              <w:rPr>
                <w:rFonts w:asciiTheme="majorHAnsi" w:hAnsiTheme="majorHAnsi" w:cstheme="majorHAnsi"/>
                <w:bCs/>
              </w:rPr>
              <w:t xml:space="preserve">rdinul ministrului finanțelor </w:t>
            </w:r>
            <w:r w:rsidRPr="00AD589A">
              <w:rPr>
                <w:rFonts w:asciiTheme="majorHAnsi" w:hAnsiTheme="majorHAnsi" w:cstheme="majorHAnsi"/>
                <w:bCs/>
              </w:rPr>
              <w:t xml:space="preserve"> nr.216/2015, Anexa nr.1</w:t>
            </w:r>
            <w:r w:rsidR="00DE6166">
              <w:rPr>
                <w:rFonts w:asciiTheme="majorHAnsi" w:hAnsiTheme="majorHAnsi" w:cstheme="majorHAnsi"/>
                <w:bCs/>
              </w:rPr>
              <w:t>,</w:t>
            </w:r>
            <w:r w:rsidRPr="00AD589A">
              <w:rPr>
                <w:rFonts w:asciiTheme="majorHAnsi" w:hAnsiTheme="majorHAnsi" w:cstheme="majorHAnsi"/>
                <w:bCs/>
              </w:rPr>
              <w:t xml:space="preserve"> pct.1.4.5.1, pct.</w:t>
            </w:r>
          </w:p>
          <w:p w14:paraId="0268396F" w14:textId="2759DA89" w:rsidR="00F167D8" w:rsidRPr="00AD589A" w:rsidRDefault="00F167D8" w:rsidP="007E002D">
            <w:pPr>
              <w:pStyle w:val="ListParagraph"/>
              <w:numPr>
                <w:ilvl w:val="2"/>
                <w:numId w:val="30"/>
              </w:numPr>
              <w:rPr>
                <w:rFonts w:asciiTheme="majorHAnsi" w:hAnsiTheme="majorHAnsi" w:cstheme="majorHAnsi"/>
                <w:bCs/>
              </w:rPr>
            </w:pPr>
            <w:r w:rsidRPr="00AD589A">
              <w:rPr>
                <w:rFonts w:asciiTheme="majorHAnsi" w:hAnsiTheme="majorHAnsi" w:cstheme="majorHAnsi"/>
                <w:bCs/>
              </w:rPr>
              <w:t>și 3.3.45</w:t>
            </w:r>
            <w:r w:rsidR="00BE189F">
              <w:rPr>
                <w:rFonts w:asciiTheme="majorHAnsi" w:hAnsiTheme="majorHAnsi" w:cstheme="majorHAnsi"/>
                <w:bCs/>
              </w:rPr>
              <w:t>.</w:t>
            </w:r>
          </w:p>
          <w:p w14:paraId="24DBB071" w14:textId="0F51EF9B" w:rsidR="004D496F" w:rsidRPr="000B69E2" w:rsidRDefault="004D496F" w:rsidP="004D496F">
            <w:pPr>
              <w:rPr>
                <w:rFonts w:asciiTheme="majorHAnsi" w:hAnsiTheme="majorHAnsi" w:cstheme="majorHAnsi"/>
                <w:b/>
                <w:lang w:val="ro-MD"/>
              </w:rPr>
            </w:pPr>
          </w:p>
        </w:tc>
        <w:tc>
          <w:tcPr>
            <w:tcW w:w="2100" w:type="dxa"/>
          </w:tcPr>
          <w:p w14:paraId="1B0CB4EC" w14:textId="77777777"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Examina</w:t>
            </w:r>
            <w:r>
              <w:rPr>
                <w:rFonts w:asciiTheme="majorHAnsi" w:hAnsiTheme="majorHAnsi" w:cstheme="majorHAnsi"/>
                <w:lang w:val="ro-MD"/>
              </w:rPr>
              <w:t>rea documentelor de intrare.</w:t>
            </w:r>
          </w:p>
          <w:p w14:paraId="51857B5A" w14:textId="77777777" w:rsidR="004D496F" w:rsidRDefault="004D496F" w:rsidP="004D496F">
            <w:pPr>
              <w:rPr>
                <w:rFonts w:asciiTheme="majorHAnsi" w:hAnsiTheme="majorHAnsi" w:cstheme="majorHAnsi"/>
                <w:lang w:val="ro-MD"/>
              </w:rPr>
            </w:pPr>
            <w:r w:rsidRPr="000B69E2">
              <w:rPr>
                <w:rFonts w:asciiTheme="majorHAnsi" w:hAnsiTheme="majorHAnsi" w:cstheme="majorHAnsi"/>
                <w:lang w:val="ro-MD"/>
              </w:rPr>
              <w:t>• Interogare verbală și explicații scrise</w:t>
            </w:r>
            <w:r>
              <w:rPr>
                <w:rFonts w:asciiTheme="majorHAnsi" w:hAnsiTheme="majorHAnsi" w:cstheme="majorHAnsi"/>
                <w:lang w:val="ro-MD"/>
              </w:rPr>
              <w:t>.</w:t>
            </w:r>
          </w:p>
          <w:p w14:paraId="08DA1FB0" w14:textId="77777777" w:rsidR="004D496F" w:rsidRDefault="004D496F" w:rsidP="004D496F">
            <w:pPr>
              <w:rPr>
                <w:rFonts w:asciiTheme="majorHAnsi" w:hAnsiTheme="majorHAnsi" w:cstheme="majorHAnsi"/>
                <w:lang w:val="ro-MD"/>
              </w:rPr>
            </w:pPr>
          </w:p>
          <w:p w14:paraId="32FE5D4F" w14:textId="77777777" w:rsidR="004D496F" w:rsidRPr="000B69E2" w:rsidRDefault="004D496F" w:rsidP="004D496F">
            <w:pPr>
              <w:rPr>
                <w:rFonts w:asciiTheme="majorHAnsi" w:hAnsiTheme="majorHAnsi" w:cstheme="majorHAnsi"/>
                <w:lang w:val="ro-MD"/>
              </w:rPr>
            </w:pPr>
          </w:p>
        </w:tc>
        <w:tc>
          <w:tcPr>
            <w:tcW w:w="4563" w:type="dxa"/>
          </w:tcPr>
          <w:p w14:paraId="634E6648" w14:textId="77777777" w:rsidR="004D496F" w:rsidRDefault="004D496F" w:rsidP="004D496F">
            <w:pPr>
              <w:rPr>
                <w:rFonts w:asciiTheme="majorHAnsi" w:hAnsiTheme="majorHAnsi" w:cstheme="majorHAnsi"/>
                <w:lang w:val="ro-MD"/>
              </w:rPr>
            </w:pPr>
            <w:r>
              <w:rPr>
                <w:rFonts w:asciiTheme="majorHAnsi" w:hAnsiTheme="majorHAnsi" w:cstheme="majorHAnsi"/>
                <w:lang w:val="ro-MD"/>
              </w:rPr>
              <w:t xml:space="preserve">Se vor estima tranzacțiile aferente </w:t>
            </w:r>
            <w:r w:rsidRPr="000B69E2">
              <w:rPr>
                <w:rFonts w:asciiTheme="majorHAnsi" w:hAnsiTheme="majorHAnsi" w:cstheme="majorHAnsi"/>
                <w:lang w:val="ro-MD"/>
              </w:rPr>
              <w:t>imobilizărilor procurate/intrate în</w:t>
            </w:r>
            <w:r>
              <w:rPr>
                <w:rFonts w:asciiTheme="majorHAnsi" w:hAnsiTheme="majorHAnsi" w:cstheme="majorHAnsi"/>
                <w:lang w:val="ro-MD"/>
              </w:rPr>
              <w:t xml:space="preserve"> entitate pe fiecare an separat:</w:t>
            </w:r>
          </w:p>
          <w:p w14:paraId="51B6B60A" w14:textId="0F020BE9" w:rsidR="004D496F" w:rsidRDefault="004D496F" w:rsidP="007E002D">
            <w:pPr>
              <w:pStyle w:val="ListParagraph"/>
              <w:numPr>
                <w:ilvl w:val="0"/>
                <w:numId w:val="26"/>
              </w:numPr>
              <w:ind w:left="52" w:firstLine="0"/>
              <w:rPr>
                <w:rFonts w:asciiTheme="majorHAnsi" w:hAnsiTheme="majorHAnsi" w:cstheme="majorHAnsi"/>
                <w:lang w:val="ro-MD"/>
              </w:rPr>
            </w:pPr>
            <w:r w:rsidRPr="009A4A7D">
              <w:rPr>
                <w:rFonts w:asciiTheme="majorHAnsi" w:hAnsiTheme="majorHAnsi" w:cstheme="majorHAnsi"/>
                <w:lang w:val="ro-MD"/>
              </w:rPr>
              <w:t xml:space="preserve">INM: </w:t>
            </w:r>
            <w:r>
              <w:rPr>
                <w:rFonts w:asciiTheme="majorHAnsi" w:hAnsiTheme="majorHAnsi" w:cstheme="majorHAnsi"/>
                <w:lang w:val="ro-MD"/>
              </w:rPr>
              <w:t>procurări</w:t>
            </w:r>
            <w:r w:rsidR="00DE6166">
              <w:rPr>
                <w:rFonts w:asciiTheme="majorHAnsi" w:hAnsiTheme="majorHAnsi" w:cstheme="majorHAnsi"/>
                <w:lang w:val="ro-MD"/>
              </w:rPr>
              <w:t xml:space="preserve"> </w:t>
            </w:r>
            <w:r>
              <w:rPr>
                <w:rFonts w:asciiTheme="majorHAnsi" w:hAnsiTheme="majorHAnsi" w:cstheme="majorHAnsi"/>
                <w:lang w:val="ro-MD"/>
              </w:rPr>
              <w:t xml:space="preserve">- 9 de tranzacții din 29 pentru anul 2020 și 8 tranzacții din 25 pentru anul 2021; se va analiza DFU  și calculul amortizării pentru toate cele 418 poziții de imobilizări corporale și 8 poziții de imobilizări necorporale pentru anii 2020-2021. </w:t>
            </w:r>
          </w:p>
          <w:p w14:paraId="69728E53" w14:textId="5FC1DFE0" w:rsidR="004D496F" w:rsidRDefault="004D496F" w:rsidP="007E002D">
            <w:pPr>
              <w:pStyle w:val="ListParagraph"/>
              <w:numPr>
                <w:ilvl w:val="0"/>
                <w:numId w:val="26"/>
              </w:numPr>
              <w:ind w:left="59" w:firstLine="0"/>
              <w:rPr>
                <w:rFonts w:asciiTheme="majorHAnsi" w:hAnsiTheme="majorHAnsi" w:cstheme="majorHAnsi"/>
                <w:lang w:val="ro-MD"/>
              </w:rPr>
            </w:pPr>
            <w:r>
              <w:rPr>
                <w:rFonts w:asciiTheme="majorHAnsi" w:hAnsiTheme="majorHAnsi" w:cstheme="majorHAnsi"/>
                <w:lang w:val="ro-MD"/>
              </w:rPr>
              <w:t>ISM</w:t>
            </w:r>
            <w:r w:rsidR="00DE6166">
              <w:rPr>
                <w:rFonts w:asciiTheme="majorHAnsi" w:hAnsiTheme="majorHAnsi" w:cstheme="majorHAnsi"/>
                <w:lang w:val="ro-MD"/>
              </w:rPr>
              <w:t xml:space="preserve"> </w:t>
            </w:r>
            <w:r>
              <w:rPr>
                <w:rFonts w:asciiTheme="majorHAnsi" w:hAnsiTheme="majorHAnsi" w:cstheme="majorHAnsi"/>
                <w:lang w:val="ro-MD"/>
              </w:rPr>
              <w:t>- Pentru perioada auditată vor fi examinate 3 din 8 tranzacții de procurări active materiale și toate cele 7  tranzacții de procurări de active nemateriale. Recalcularea uzurii celor 72 poziții de imobilizări corporale și 56 poziții de imobilizări necorporale pentru anii 2020 și 2021.</w:t>
            </w:r>
          </w:p>
          <w:p w14:paraId="6ACAE72F" w14:textId="12885590" w:rsidR="004D496F" w:rsidRDefault="004D496F" w:rsidP="007E002D">
            <w:pPr>
              <w:pStyle w:val="ListParagraph"/>
              <w:numPr>
                <w:ilvl w:val="0"/>
                <w:numId w:val="26"/>
              </w:numPr>
              <w:ind w:left="52" w:firstLine="0"/>
              <w:rPr>
                <w:rFonts w:asciiTheme="majorHAnsi" w:hAnsiTheme="majorHAnsi" w:cstheme="majorHAnsi"/>
                <w:lang w:val="ro-MD"/>
              </w:rPr>
            </w:pPr>
            <w:r>
              <w:rPr>
                <w:rFonts w:asciiTheme="majorHAnsi" w:hAnsiTheme="majorHAnsi" w:cstheme="majorHAnsi"/>
                <w:lang w:val="ro-MD"/>
              </w:rPr>
              <w:t xml:space="preserve"> MOLDAC</w:t>
            </w:r>
            <w:r w:rsidR="00DE6166">
              <w:rPr>
                <w:rFonts w:asciiTheme="majorHAnsi" w:hAnsiTheme="majorHAnsi" w:cstheme="majorHAnsi"/>
                <w:lang w:val="ro-MD"/>
              </w:rPr>
              <w:t xml:space="preserve"> </w:t>
            </w:r>
            <w:r>
              <w:rPr>
                <w:rFonts w:asciiTheme="majorHAnsi" w:hAnsiTheme="majorHAnsi" w:cstheme="majorHAnsi"/>
                <w:lang w:val="ro-MD"/>
              </w:rPr>
              <w:t>- Se va analiza calculul uzurii celor 153 de poziții de imobilizări corporale și 15 poziții de imobilizări necorporale pentru anii 2020-2021. Vor fi analizate toate cele 4 tranzacții de procurări de active nemateriale și 14 tranzacții de procurări de bunuri materiale în anii 2020-2021.</w:t>
            </w:r>
          </w:p>
          <w:p w14:paraId="0513D889" w14:textId="38AAD5FA" w:rsidR="004D496F" w:rsidRPr="009A4A7D" w:rsidRDefault="004D496F" w:rsidP="007E002D">
            <w:pPr>
              <w:pStyle w:val="ListParagraph"/>
              <w:numPr>
                <w:ilvl w:val="0"/>
                <w:numId w:val="26"/>
              </w:numPr>
              <w:ind w:left="56" w:firstLine="0"/>
              <w:rPr>
                <w:rFonts w:asciiTheme="majorHAnsi" w:hAnsiTheme="majorHAnsi" w:cstheme="majorHAnsi"/>
                <w:lang w:val="ro-MD"/>
              </w:rPr>
            </w:pPr>
            <w:r w:rsidRPr="00CA16BD">
              <w:rPr>
                <w:rFonts w:asciiTheme="majorHAnsi" w:hAnsiTheme="majorHAnsi" w:cstheme="majorHAnsi"/>
                <w:lang w:val="ro-MD"/>
              </w:rPr>
              <w:t>APCSP- Vor fi analizate 5 tranzacții de procurări  pentru anul 2020 și 5 tranzacții pentru anul 2021 și calculul amortizării mijloacelor fixe procurate.</w:t>
            </w:r>
          </w:p>
        </w:tc>
      </w:tr>
      <w:tr w:rsidR="004D496F" w:rsidRPr="000B69E2" w14:paraId="7D284AEC" w14:textId="77777777" w:rsidTr="002E6540">
        <w:trPr>
          <w:trHeight w:val="203"/>
        </w:trPr>
        <w:tc>
          <w:tcPr>
            <w:tcW w:w="1779" w:type="dxa"/>
          </w:tcPr>
          <w:p w14:paraId="2E1FDEC5" w14:textId="7D086A13" w:rsidR="004D496F" w:rsidRPr="000B69E2" w:rsidRDefault="004D496F" w:rsidP="004D496F">
            <w:pPr>
              <w:jc w:val="both"/>
              <w:rPr>
                <w:rFonts w:asciiTheme="majorHAnsi" w:hAnsiTheme="majorHAnsi" w:cstheme="majorHAnsi"/>
                <w:lang w:val="ro-MD"/>
              </w:rPr>
            </w:pPr>
            <w:r>
              <w:rPr>
                <w:rFonts w:asciiTheme="majorHAnsi" w:hAnsiTheme="majorHAnsi" w:cstheme="majorHAnsi"/>
                <w:b/>
                <w:lang w:val="ro-MD"/>
              </w:rPr>
              <w:t>3.3</w:t>
            </w:r>
            <w:r w:rsidR="00424122">
              <w:rPr>
                <w:rFonts w:asciiTheme="majorHAnsi" w:hAnsiTheme="majorHAnsi" w:cstheme="majorHAnsi"/>
                <w:b/>
                <w:lang w:val="ro-MD"/>
              </w:rPr>
              <w:t>.</w:t>
            </w:r>
            <w:r w:rsidRPr="000B69E2">
              <w:rPr>
                <w:rFonts w:asciiTheme="majorHAnsi" w:hAnsiTheme="majorHAnsi" w:cstheme="majorHAnsi"/>
                <w:lang w:val="ro-MD"/>
              </w:rPr>
              <w:t xml:space="preserve"> Neevaluarea / reevaluarea necorespunzătoare a imobilizărilo</w:t>
            </w:r>
            <w:r w:rsidR="00E048B0">
              <w:rPr>
                <w:rFonts w:asciiTheme="majorHAnsi" w:hAnsiTheme="majorHAnsi" w:cstheme="majorHAnsi"/>
                <w:lang w:val="ro-MD"/>
              </w:rPr>
              <w:t xml:space="preserve">r necorporale/corporale. </w:t>
            </w:r>
          </w:p>
        </w:tc>
        <w:tc>
          <w:tcPr>
            <w:tcW w:w="3603" w:type="dxa"/>
          </w:tcPr>
          <w:p w14:paraId="17B1F646" w14:textId="7AADE0D9" w:rsidR="004D496F" w:rsidRPr="000B69E2" w:rsidRDefault="004D496F" w:rsidP="004D496F">
            <w:pPr>
              <w:jc w:val="both"/>
              <w:rPr>
                <w:rFonts w:asciiTheme="majorHAnsi" w:hAnsiTheme="majorHAnsi" w:cstheme="majorHAnsi"/>
                <w:lang w:val="ro-MD"/>
              </w:rPr>
            </w:pPr>
            <w:r>
              <w:rPr>
                <w:rFonts w:asciiTheme="majorHAnsi" w:hAnsiTheme="majorHAnsi" w:cstheme="majorHAnsi"/>
                <w:lang w:val="ro-MD"/>
              </w:rPr>
              <w:t>Explicația entității</w:t>
            </w:r>
            <w:r w:rsidR="00BE189F">
              <w:rPr>
                <w:rFonts w:asciiTheme="majorHAnsi" w:hAnsiTheme="majorHAnsi" w:cstheme="majorHAnsi"/>
                <w:lang w:val="ro-MD"/>
              </w:rPr>
              <w:t>.</w:t>
            </w:r>
          </w:p>
          <w:p w14:paraId="21419294" w14:textId="77777777" w:rsidR="004D496F" w:rsidRPr="000B69E2" w:rsidRDefault="004D496F" w:rsidP="004D496F">
            <w:pPr>
              <w:jc w:val="center"/>
              <w:rPr>
                <w:rFonts w:asciiTheme="majorHAnsi" w:hAnsiTheme="majorHAnsi" w:cstheme="majorHAnsi"/>
                <w:b/>
                <w:lang w:val="ro-MD"/>
              </w:rPr>
            </w:pPr>
          </w:p>
        </w:tc>
        <w:tc>
          <w:tcPr>
            <w:tcW w:w="2126" w:type="dxa"/>
          </w:tcPr>
          <w:p w14:paraId="27E920A8" w14:textId="3D217A82" w:rsidR="00F167D8" w:rsidRPr="00AD589A" w:rsidRDefault="00F167D8" w:rsidP="007E002D">
            <w:pPr>
              <w:pStyle w:val="ListParagraph"/>
              <w:numPr>
                <w:ilvl w:val="0"/>
                <w:numId w:val="31"/>
              </w:numPr>
              <w:ind w:left="55" w:hanging="25"/>
              <w:rPr>
                <w:rFonts w:asciiTheme="majorHAnsi" w:hAnsiTheme="majorHAnsi" w:cstheme="majorHAnsi"/>
                <w:bCs/>
              </w:rPr>
            </w:pPr>
            <w:r w:rsidRPr="00AD589A">
              <w:rPr>
                <w:rFonts w:asciiTheme="majorHAnsi" w:hAnsiTheme="majorHAnsi" w:cstheme="majorHAnsi"/>
                <w:bCs/>
              </w:rPr>
              <w:t xml:space="preserve">SNC </w:t>
            </w:r>
            <w:r w:rsidR="00CB3B79">
              <w:rPr>
                <w:rFonts w:asciiTheme="majorHAnsi" w:hAnsiTheme="majorHAnsi" w:cstheme="majorHAnsi"/>
                <w:bCs/>
              </w:rPr>
              <w:t>„</w:t>
            </w:r>
            <w:r w:rsidRPr="00AD589A">
              <w:rPr>
                <w:rFonts w:asciiTheme="majorHAnsi" w:hAnsiTheme="majorHAnsi" w:cstheme="majorHAnsi"/>
                <w:bCs/>
              </w:rPr>
              <w:t>IMOBILIZĂRI NECORPORALE ŞI CORPORALE” pct.18;</w:t>
            </w:r>
          </w:p>
          <w:p w14:paraId="6BA1059D" w14:textId="4865A4AB" w:rsidR="004D496F" w:rsidRPr="00D73F37" w:rsidRDefault="00F167D8" w:rsidP="004D496F">
            <w:pPr>
              <w:pStyle w:val="ListParagraph"/>
              <w:numPr>
                <w:ilvl w:val="0"/>
                <w:numId w:val="31"/>
              </w:numPr>
              <w:ind w:left="55" w:hanging="25"/>
              <w:rPr>
                <w:rFonts w:asciiTheme="majorHAnsi" w:hAnsiTheme="majorHAnsi" w:cstheme="majorHAnsi"/>
                <w:bCs/>
              </w:rPr>
            </w:pPr>
            <w:r w:rsidRPr="00B52EC6">
              <w:rPr>
                <w:rFonts w:asciiTheme="majorHAnsi" w:hAnsiTheme="majorHAnsi" w:cstheme="majorHAnsi"/>
                <w:bCs/>
              </w:rPr>
              <w:t>O</w:t>
            </w:r>
            <w:r w:rsidR="00CE233D" w:rsidRPr="00255E9C">
              <w:rPr>
                <w:rFonts w:asciiTheme="majorHAnsi" w:hAnsiTheme="majorHAnsi" w:cstheme="majorHAnsi"/>
                <w:bCs/>
              </w:rPr>
              <w:t xml:space="preserve">rdinul ministrului finanțelor </w:t>
            </w:r>
            <w:r w:rsidRPr="00AD589A">
              <w:rPr>
                <w:rFonts w:asciiTheme="majorHAnsi" w:hAnsiTheme="majorHAnsi" w:cstheme="majorHAnsi"/>
                <w:bCs/>
              </w:rPr>
              <w:t xml:space="preserve"> nr.216/2015, Anexa nr.1, pct.1.4.5.2;</w:t>
            </w:r>
          </w:p>
        </w:tc>
        <w:tc>
          <w:tcPr>
            <w:tcW w:w="2100" w:type="dxa"/>
          </w:tcPr>
          <w:p w14:paraId="1B614DAD" w14:textId="7E6B0CFC"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xml:space="preserve">• </w:t>
            </w:r>
            <w:r w:rsidR="00FD57C7">
              <w:rPr>
                <w:rFonts w:asciiTheme="majorHAnsi" w:hAnsiTheme="majorHAnsi" w:cstheme="majorHAnsi"/>
                <w:lang w:val="ro-MD"/>
              </w:rPr>
              <w:t>I</w:t>
            </w:r>
            <w:r>
              <w:rPr>
                <w:rFonts w:asciiTheme="majorHAnsi" w:hAnsiTheme="majorHAnsi" w:cstheme="majorHAnsi"/>
                <w:lang w:val="ro-MD"/>
              </w:rPr>
              <w:t>ntervievarea</w:t>
            </w:r>
            <w:r w:rsidR="00BE189F">
              <w:rPr>
                <w:rFonts w:asciiTheme="majorHAnsi" w:hAnsiTheme="majorHAnsi" w:cstheme="majorHAnsi"/>
                <w:lang w:val="ro-MD"/>
              </w:rPr>
              <w:t>.</w:t>
            </w:r>
            <w:r>
              <w:rPr>
                <w:rFonts w:asciiTheme="majorHAnsi" w:hAnsiTheme="majorHAnsi" w:cstheme="majorHAnsi"/>
                <w:lang w:val="ro-MD"/>
              </w:rPr>
              <w:t xml:space="preserve"> </w:t>
            </w:r>
          </w:p>
        </w:tc>
        <w:tc>
          <w:tcPr>
            <w:tcW w:w="4563" w:type="dxa"/>
          </w:tcPr>
          <w:p w14:paraId="7EEDA037" w14:textId="77777777" w:rsidR="004D496F" w:rsidRPr="000B69E2" w:rsidRDefault="004D496F" w:rsidP="004D496F">
            <w:pPr>
              <w:rPr>
                <w:rFonts w:asciiTheme="majorHAnsi" w:hAnsiTheme="majorHAnsi" w:cstheme="majorHAnsi"/>
                <w:lang w:val="ro-MD"/>
              </w:rPr>
            </w:pPr>
            <w:r>
              <w:rPr>
                <w:rFonts w:asciiTheme="majorHAnsi" w:hAnsiTheme="majorHAnsi" w:cstheme="majorHAnsi"/>
                <w:lang w:val="ro-MD"/>
              </w:rPr>
              <w:t>4 persoane vor fi supuse intervievării.</w:t>
            </w:r>
          </w:p>
        </w:tc>
      </w:tr>
      <w:tr w:rsidR="004D496F" w:rsidRPr="000B69E2" w14:paraId="0E08AD4A" w14:textId="77777777" w:rsidTr="002E6540">
        <w:trPr>
          <w:trHeight w:val="203"/>
        </w:trPr>
        <w:tc>
          <w:tcPr>
            <w:tcW w:w="1779" w:type="dxa"/>
          </w:tcPr>
          <w:p w14:paraId="0DCF4423" w14:textId="2BF2EBE5" w:rsidR="004D496F" w:rsidRPr="000B69E2" w:rsidRDefault="004D496F" w:rsidP="004D496F">
            <w:pPr>
              <w:jc w:val="both"/>
              <w:rPr>
                <w:rFonts w:asciiTheme="majorHAnsi" w:hAnsiTheme="majorHAnsi" w:cstheme="majorHAnsi"/>
                <w:lang w:val="ro-MD"/>
              </w:rPr>
            </w:pPr>
            <w:r>
              <w:rPr>
                <w:rFonts w:asciiTheme="majorHAnsi" w:hAnsiTheme="majorHAnsi" w:cstheme="majorHAnsi"/>
                <w:b/>
                <w:lang w:val="ro-MD"/>
              </w:rPr>
              <w:t>3.4</w:t>
            </w:r>
            <w:r w:rsidR="00BE189F">
              <w:rPr>
                <w:rFonts w:asciiTheme="majorHAnsi" w:hAnsiTheme="majorHAnsi" w:cstheme="majorHAnsi"/>
                <w:b/>
                <w:lang w:val="ro-MD"/>
              </w:rPr>
              <w:t xml:space="preserve">. </w:t>
            </w:r>
            <w:r w:rsidRPr="000B69E2">
              <w:rPr>
                <w:rFonts w:asciiTheme="majorHAnsi" w:hAnsiTheme="majorHAnsi" w:cstheme="majorHAnsi"/>
                <w:lang w:val="ro-MD"/>
              </w:rPr>
              <w:t>Reparațiile/investițiile capitale a</w:t>
            </w:r>
            <w:r w:rsidR="00BE189F">
              <w:rPr>
                <w:rFonts w:asciiTheme="majorHAnsi" w:hAnsiTheme="majorHAnsi" w:cstheme="majorHAnsi"/>
                <w:lang w:val="ro-MD"/>
              </w:rPr>
              <w:t xml:space="preserve">le </w:t>
            </w:r>
            <w:r w:rsidRPr="000B69E2">
              <w:rPr>
                <w:rFonts w:asciiTheme="majorHAnsi" w:hAnsiTheme="majorHAnsi" w:cstheme="majorHAnsi"/>
                <w:lang w:val="ro-MD"/>
              </w:rPr>
              <w:t xml:space="preserve"> imobilizărilor corporale/necorporale nu au fost capitalizate prin adăugarea acestora la valoarea contabilă a bunului</w:t>
            </w:r>
            <w:r w:rsidR="00E048B0">
              <w:rPr>
                <w:rFonts w:asciiTheme="majorHAnsi" w:hAnsiTheme="majorHAnsi" w:cstheme="majorHAnsi"/>
                <w:lang w:val="ro-MD"/>
              </w:rPr>
              <w:t xml:space="preserve"> respectiv.</w:t>
            </w:r>
          </w:p>
        </w:tc>
        <w:tc>
          <w:tcPr>
            <w:tcW w:w="3603" w:type="dxa"/>
          </w:tcPr>
          <w:p w14:paraId="6375A4B1" w14:textId="6BDE09B8"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Notele contabile aferente înregistrării reparațiilor/investițiilor capitalizate</w:t>
            </w:r>
            <w:r w:rsidR="00BE189F">
              <w:rPr>
                <w:rFonts w:asciiTheme="majorHAnsi" w:hAnsiTheme="majorHAnsi" w:cstheme="majorHAnsi"/>
                <w:lang w:val="ro-MD"/>
              </w:rPr>
              <w:t>.</w:t>
            </w:r>
          </w:p>
          <w:p w14:paraId="333BFA0F" w14:textId="4027C085" w:rsidR="004D496F" w:rsidRPr="000B69E2" w:rsidRDefault="004D496F" w:rsidP="004D496F">
            <w:pPr>
              <w:rPr>
                <w:rFonts w:asciiTheme="majorHAnsi" w:hAnsiTheme="majorHAnsi" w:cstheme="majorHAnsi"/>
                <w:b/>
                <w:lang w:val="ro-MD"/>
              </w:rPr>
            </w:pPr>
            <w:r w:rsidRPr="000B69E2">
              <w:rPr>
                <w:rFonts w:asciiTheme="majorHAnsi" w:hAnsiTheme="majorHAnsi" w:cstheme="majorHAnsi"/>
                <w:lang w:val="ro-MD"/>
              </w:rPr>
              <w:t>Proces-verbal de majorare a valorii mijlocului fix și duratei de funcționare utilă</w:t>
            </w:r>
            <w:r w:rsidR="00BE189F">
              <w:rPr>
                <w:rFonts w:asciiTheme="majorHAnsi" w:hAnsiTheme="majorHAnsi" w:cstheme="majorHAnsi"/>
                <w:lang w:val="ro-MD"/>
              </w:rPr>
              <w:t>.</w:t>
            </w:r>
          </w:p>
        </w:tc>
        <w:tc>
          <w:tcPr>
            <w:tcW w:w="2126" w:type="dxa"/>
          </w:tcPr>
          <w:p w14:paraId="0575D709" w14:textId="50117EB7" w:rsidR="00F167D8" w:rsidRPr="00AD589A" w:rsidRDefault="00F167D8" w:rsidP="007E002D">
            <w:pPr>
              <w:pStyle w:val="ListParagraph"/>
              <w:numPr>
                <w:ilvl w:val="0"/>
                <w:numId w:val="29"/>
              </w:numPr>
              <w:ind w:left="129" w:firstLine="0"/>
              <w:jc w:val="both"/>
              <w:rPr>
                <w:rFonts w:asciiTheme="majorHAnsi" w:hAnsiTheme="majorHAnsi" w:cstheme="majorHAnsi"/>
              </w:rPr>
            </w:pPr>
            <w:r w:rsidRPr="00AD589A">
              <w:rPr>
                <w:rFonts w:asciiTheme="majorHAnsi" w:hAnsiTheme="majorHAnsi" w:cstheme="majorHAnsi"/>
                <w:bCs/>
              </w:rPr>
              <w:t xml:space="preserve">SNC </w:t>
            </w:r>
            <w:r w:rsidR="00BE189F">
              <w:rPr>
                <w:rFonts w:asciiTheme="majorHAnsi" w:hAnsiTheme="majorHAnsi" w:cstheme="majorHAnsi"/>
                <w:bCs/>
              </w:rPr>
              <w:t>„</w:t>
            </w:r>
            <w:r w:rsidRPr="00AD589A">
              <w:rPr>
                <w:rFonts w:asciiTheme="majorHAnsi" w:hAnsiTheme="majorHAnsi" w:cstheme="majorHAnsi"/>
                <w:bCs/>
              </w:rPr>
              <w:t>IMOBILIZĂRI NECORPORALE ŞI CORPORALE”pct.57, pct.58;</w:t>
            </w:r>
          </w:p>
          <w:p w14:paraId="14C7390F" w14:textId="4A37087F" w:rsidR="00F167D8" w:rsidRPr="00AD589A" w:rsidRDefault="00F167D8" w:rsidP="007E002D">
            <w:pPr>
              <w:pStyle w:val="ListParagraph"/>
              <w:numPr>
                <w:ilvl w:val="0"/>
                <w:numId w:val="29"/>
              </w:numPr>
              <w:ind w:left="55" w:firstLine="0"/>
              <w:rPr>
                <w:rFonts w:asciiTheme="majorHAnsi" w:hAnsiTheme="majorHAnsi" w:cstheme="majorHAnsi"/>
              </w:rPr>
            </w:pPr>
            <w:r w:rsidRPr="00AD589A">
              <w:rPr>
                <w:rFonts w:asciiTheme="majorHAnsi" w:hAnsiTheme="majorHAnsi" w:cstheme="majorHAnsi"/>
              </w:rPr>
              <w:t>O</w:t>
            </w:r>
            <w:r w:rsidR="00CE233D">
              <w:rPr>
                <w:rFonts w:asciiTheme="majorHAnsi" w:hAnsiTheme="majorHAnsi" w:cstheme="majorHAnsi"/>
              </w:rPr>
              <w:t xml:space="preserve">rdinul ministrului finanțelor </w:t>
            </w:r>
            <w:r w:rsidRPr="00AD589A">
              <w:rPr>
                <w:rFonts w:asciiTheme="majorHAnsi" w:hAnsiTheme="majorHAnsi" w:cstheme="majorHAnsi"/>
              </w:rPr>
              <w:t xml:space="preserve"> nr.216/2015, Anexa nr.1, pct.3.3.46;</w:t>
            </w:r>
          </w:p>
          <w:p w14:paraId="1EF4F089" w14:textId="3F79074A" w:rsidR="004D496F" w:rsidRPr="00F167D8" w:rsidRDefault="004D496F" w:rsidP="004D496F">
            <w:pPr>
              <w:rPr>
                <w:rFonts w:asciiTheme="majorHAnsi" w:hAnsiTheme="majorHAnsi" w:cstheme="majorHAnsi"/>
                <w:b/>
              </w:rPr>
            </w:pPr>
          </w:p>
        </w:tc>
        <w:tc>
          <w:tcPr>
            <w:tcW w:w="2100" w:type="dxa"/>
          </w:tcPr>
          <w:p w14:paraId="35BC7E81" w14:textId="3C4DDE0F" w:rsidR="004D496F" w:rsidRPr="000B69E2" w:rsidRDefault="004D496F" w:rsidP="004D496F">
            <w:pPr>
              <w:rPr>
                <w:rFonts w:asciiTheme="majorHAnsi" w:hAnsiTheme="majorHAnsi" w:cstheme="majorHAnsi"/>
                <w:lang w:val="ro-MD"/>
              </w:rPr>
            </w:pPr>
            <w:r>
              <w:rPr>
                <w:rFonts w:asciiTheme="majorHAnsi" w:hAnsiTheme="majorHAnsi" w:cstheme="majorHAnsi"/>
                <w:lang w:val="ro-MD"/>
              </w:rPr>
              <w:t>• Examinarea registrel</w:t>
            </w:r>
            <w:r w:rsidR="00BE189F">
              <w:rPr>
                <w:rFonts w:asciiTheme="majorHAnsi" w:hAnsiTheme="majorHAnsi" w:cstheme="majorHAnsi"/>
                <w:lang w:val="ro-MD"/>
              </w:rPr>
              <w:t>or</w:t>
            </w:r>
            <w:r>
              <w:rPr>
                <w:rFonts w:asciiTheme="majorHAnsi" w:hAnsiTheme="majorHAnsi" w:cstheme="majorHAnsi"/>
                <w:lang w:val="ro-MD"/>
              </w:rPr>
              <w:t xml:space="preserve"> contabile</w:t>
            </w:r>
            <w:r w:rsidR="00BE189F">
              <w:rPr>
                <w:rFonts w:asciiTheme="majorHAnsi" w:hAnsiTheme="majorHAnsi" w:cstheme="majorHAnsi"/>
                <w:lang w:val="ro-MD"/>
              </w:rPr>
              <w:t>.</w:t>
            </w:r>
          </w:p>
          <w:p w14:paraId="1B4DE053" w14:textId="113C946D"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xml:space="preserve">• </w:t>
            </w:r>
            <w:r>
              <w:rPr>
                <w:rFonts w:asciiTheme="majorHAnsi" w:hAnsiTheme="majorHAnsi" w:cstheme="majorHAnsi"/>
                <w:lang w:val="ro-MD"/>
              </w:rPr>
              <w:t>Intervievarea persoanelor responsabile din cadrul serviciului contabil</w:t>
            </w:r>
            <w:r w:rsidR="00BE189F">
              <w:rPr>
                <w:rFonts w:asciiTheme="majorHAnsi" w:hAnsiTheme="majorHAnsi" w:cstheme="majorHAnsi"/>
                <w:lang w:val="ro-MD"/>
              </w:rPr>
              <w:t>.</w:t>
            </w:r>
          </w:p>
          <w:p w14:paraId="15A3923E" w14:textId="124CAAD6"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xml:space="preserve">• </w:t>
            </w:r>
            <w:r w:rsidR="00BE189F">
              <w:rPr>
                <w:rFonts w:asciiTheme="majorHAnsi" w:hAnsiTheme="majorHAnsi" w:cstheme="majorHAnsi"/>
                <w:lang w:val="ro-MD"/>
              </w:rPr>
              <w:t>E</w:t>
            </w:r>
            <w:r w:rsidRPr="000B69E2">
              <w:rPr>
                <w:rFonts w:asciiTheme="majorHAnsi" w:hAnsiTheme="majorHAnsi" w:cstheme="majorHAnsi"/>
                <w:lang w:val="ro-MD"/>
              </w:rPr>
              <w:t>xplicații scrise</w:t>
            </w:r>
            <w:r w:rsidR="00BE189F">
              <w:rPr>
                <w:rFonts w:asciiTheme="majorHAnsi" w:hAnsiTheme="majorHAnsi" w:cstheme="majorHAnsi"/>
                <w:lang w:val="ro-MD"/>
              </w:rPr>
              <w:t>.</w:t>
            </w:r>
          </w:p>
        </w:tc>
        <w:tc>
          <w:tcPr>
            <w:tcW w:w="4563" w:type="dxa"/>
          </w:tcPr>
          <w:p w14:paraId="3F2E0FF1" w14:textId="77777777" w:rsidR="004D496F" w:rsidRDefault="004D496F" w:rsidP="004D496F">
            <w:pPr>
              <w:rPr>
                <w:rFonts w:asciiTheme="majorHAnsi" w:hAnsiTheme="majorHAnsi" w:cstheme="majorHAnsi"/>
                <w:lang w:val="ro-MD"/>
              </w:rPr>
            </w:pPr>
            <w:r w:rsidRPr="000B69E2">
              <w:rPr>
                <w:rFonts w:asciiTheme="majorHAnsi" w:hAnsiTheme="majorHAnsi" w:cstheme="majorHAnsi"/>
                <w:lang w:val="ro-MD"/>
              </w:rPr>
              <w:t>Capitalizarea investițiilor/reparațiilor capitale în valoarea imobilizărilor corporale/necorporale nu este frecventă, astfel vor fi desfășurate activități de audit asupr</w:t>
            </w:r>
            <w:r>
              <w:rPr>
                <w:rFonts w:asciiTheme="majorHAnsi" w:hAnsiTheme="majorHAnsi" w:cstheme="majorHAnsi"/>
                <w:lang w:val="ro-MD"/>
              </w:rPr>
              <w:t>a tuturor bunurilor capitalizate unde acestea au avut loc:</w:t>
            </w:r>
          </w:p>
          <w:p w14:paraId="65266BF6" w14:textId="69EA53FD" w:rsidR="004D496F" w:rsidRPr="005C6AED" w:rsidRDefault="004D496F" w:rsidP="004D496F">
            <w:pPr>
              <w:rPr>
                <w:rFonts w:asciiTheme="majorHAnsi" w:hAnsiTheme="majorHAnsi" w:cstheme="majorHAnsi"/>
                <w:lang w:val="ro-MD"/>
              </w:rPr>
            </w:pPr>
            <w:r w:rsidRPr="005C6AED">
              <w:rPr>
                <w:rFonts w:asciiTheme="majorHAnsi" w:hAnsiTheme="majorHAnsi" w:cstheme="majorHAnsi"/>
                <w:lang w:val="ro-MD"/>
              </w:rPr>
              <w:t>MOLDAC</w:t>
            </w:r>
            <w:r w:rsidR="00CB3B79">
              <w:rPr>
                <w:rFonts w:asciiTheme="majorHAnsi" w:hAnsiTheme="majorHAnsi" w:cstheme="majorHAnsi"/>
                <w:lang w:val="ro-MD"/>
              </w:rPr>
              <w:t xml:space="preserve"> </w:t>
            </w:r>
            <w:r w:rsidRPr="005C6AED">
              <w:rPr>
                <w:rFonts w:asciiTheme="majorHAnsi" w:hAnsiTheme="majorHAnsi" w:cstheme="majorHAnsi"/>
                <w:lang w:val="ro-MD"/>
              </w:rPr>
              <w:t>-</w:t>
            </w:r>
            <w:r w:rsidR="00CB3B79">
              <w:rPr>
                <w:rFonts w:asciiTheme="majorHAnsi" w:hAnsiTheme="majorHAnsi" w:cstheme="majorHAnsi"/>
                <w:lang w:val="ro-MD"/>
              </w:rPr>
              <w:t xml:space="preserve"> </w:t>
            </w:r>
            <w:r w:rsidRPr="005C6AED">
              <w:rPr>
                <w:rFonts w:asciiTheme="majorHAnsi" w:hAnsiTheme="majorHAnsi" w:cstheme="majorHAnsi"/>
                <w:lang w:val="ro-MD"/>
              </w:rPr>
              <w:t>toate cele 22 tranzacții de capitalizare din anul 2020.</w:t>
            </w:r>
          </w:p>
        </w:tc>
      </w:tr>
      <w:tr w:rsidR="004D496F" w:rsidRPr="00CB3B79" w14:paraId="4D549086" w14:textId="77777777" w:rsidTr="002E6540">
        <w:trPr>
          <w:trHeight w:val="203"/>
        </w:trPr>
        <w:tc>
          <w:tcPr>
            <w:tcW w:w="1779" w:type="dxa"/>
          </w:tcPr>
          <w:p w14:paraId="7DEC9917" w14:textId="0F991CED" w:rsidR="004D496F" w:rsidRPr="000B69E2" w:rsidRDefault="004D496F" w:rsidP="004D496F">
            <w:pPr>
              <w:jc w:val="both"/>
              <w:rPr>
                <w:rFonts w:asciiTheme="majorHAnsi" w:hAnsiTheme="majorHAnsi" w:cstheme="majorHAnsi"/>
                <w:lang w:val="ro-MD"/>
              </w:rPr>
            </w:pPr>
            <w:r>
              <w:rPr>
                <w:rFonts w:asciiTheme="majorHAnsi" w:hAnsiTheme="majorHAnsi" w:cstheme="majorHAnsi"/>
                <w:b/>
                <w:lang w:val="ro-MD"/>
              </w:rPr>
              <w:t>3.5</w:t>
            </w:r>
            <w:r w:rsidR="00CB3B79">
              <w:rPr>
                <w:rFonts w:asciiTheme="majorHAnsi" w:hAnsiTheme="majorHAnsi" w:cstheme="majorHAnsi"/>
                <w:b/>
                <w:lang w:val="ro-MD"/>
              </w:rPr>
              <w:t>.</w:t>
            </w:r>
            <w:r w:rsidRPr="000B69E2">
              <w:rPr>
                <w:rFonts w:asciiTheme="majorHAnsi" w:hAnsiTheme="majorHAnsi" w:cstheme="majorHAnsi"/>
                <w:lang w:val="ro-MD"/>
              </w:rPr>
              <w:t xml:space="preserve"> Bunurile domeniul</w:t>
            </w:r>
            <w:r w:rsidR="00CB3B79">
              <w:rPr>
                <w:rFonts w:asciiTheme="majorHAnsi" w:hAnsiTheme="majorHAnsi" w:cstheme="majorHAnsi"/>
                <w:lang w:val="ro-MD"/>
              </w:rPr>
              <w:t>ui</w:t>
            </w:r>
            <w:r w:rsidRPr="000B69E2">
              <w:rPr>
                <w:rFonts w:asciiTheme="majorHAnsi" w:hAnsiTheme="majorHAnsi" w:cstheme="majorHAnsi"/>
                <w:lang w:val="ro-MD"/>
              </w:rPr>
              <w:t xml:space="preserve"> public  nu au fost casate/vândute conform acte</w:t>
            </w:r>
            <w:r w:rsidR="00E048B0">
              <w:rPr>
                <w:rFonts w:asciiTheme="majorHAnsi" w:hAnsiTheme="majorHAnsi" w:cstheme="majorHAnsi"/>
                <w:lang w:val="ro-MD"/>
              </w:rPr>
              <w:t>lor normative în vigoare.</w:t>
            </w:r>
          </w:p>
        </w:tc>
        <w:tc>
          <w:tcPr>
            <w:tcW w:w="3603" w:type="dxa"/>
          </w:tcPr>
          <w:p w14:paraId="78BA03CF" w14:textId="22428EDD"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Autorizarea organului ierarhic superior</w:t>
            </w:r>
            <w:r w:rsidR="00CB3B79">
              <w:rPr>
                <w:rFonts w:asciiTheme="majorHAnsi" w:hAnsiTheme="majorHAnsi" w:cstheme="majorHAnsi"/>
                <w:lang w:val="ro-MD"/>
              </w:rPr>
              <w:t>.</w:t>
            </w:r>
          </w:p>
          <w:p w14:paraId="1331112A" w14:textId="6E6F73D2"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Registrul mijloacelor fixe c</w:t>
            </w:r>
            <w:r w:rsidR="00CB3B79">
              <w:rPr>
                <w:rFonts w:asciiTheme="majorHAnsi" w:hAnsiTheme="majorHAnsi" w:cstheme="majorHAnsi"/>
                <w:lang w:val="ro-MD"/>
              </w:rPr>
              <w:t>ar</w:t>
            </w:r>
            <w:r w:rsidRPr="000B69E2">
              <w:rPr>
                <w:rFonts w:asciiTheme="majorHAnsi" w:hAnsiTheme="majorHAnsi" w:cstheme="majorHAnsi"/>
                <w:lang w:val="ro-MD"/>
              </w:rPr>
              <w:t>e urmează a fi casate</w:t>
            </w:r>
            <w:r w:rsidR="00CB3B79">
              <w:rPr>
                <w:rFonts w:asciiTheme="majorHAnsi" w:hAnsiTheme="majorHAnsi" w:cstheme="majorHAnsi"/>
                <w:lang w:val="ro-MD"/>
              </w:rPr>
              <w:t>.</w:t>
            </w:r>
          </w:p>
          <w:p w14:paraId="5C6C4090" w14:textId="44BB40B1"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Procesele-verbale de casare a mijloacelor fixe</w:t>
            </w:r>
            <w:r w:rsidR="00CB3B79">
              <w:rPr>
                <w:rFonts w:asciiTheme="majorHAnsi" w:hAnsiTheme="majorHAnsi" w:cstheme="majorHAnsi"/>
                <w:lang w:val="ro-MD"/>
              </w:rPr>
              <w:t>.</w:t>
            </w:r>
          </w:p>
          <w:p w14:paraId="3FF5B904" w14:textId="4424EAED"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Actele confirmative privind defectarea mijloacelor fixe</w:t>
            </w:r>
            <w:r w:rsidR="00CB3B79">
              <w:rPr>
                <w:rFonts w:asciiTheme="majorHAnsi" w:hAnsiTheme="majorHAnsi" w:cstheme="majorHAnsi"/>
                <w:lang w:val="ro-MD"/>
              </w:rPr>
              <w:t>.</w:t>
            </w:r>
          </w:p>
        </w:tc>
        <w:tc>
          <w:tcPr>
            <w:tcW w:w="2126" w:type="dxa"/>
          </w:tcPr>
          <w:p w14:paraId="7C1A607C" w14:textId="77777777" w:rsidR="00F167D8" w:rsidRPr="00AD589A" w:rsidRDefault="00F167D8" w:rsidP="007E002D">
            <w:pPr>
              <w:pStyle w:val="ListParagraph"/>
              <w:numPr>
                <w:ilvl w:val="0"/>
                <w:numId w:val="32"/>
              </w:numPr>
              <w:ind w:left="0" w:firstLine="0"/>
              <w:rPr>
                <w:rFonts w:asciiTheme="majorHAnsi" w:hAnsiTheme="majorHAnsi" w:cstheme="majorHAnsi"/>
              </w:rPr>
            </w:pPr>
            <w:r w:rsidRPr="00AD589A">
              <w:rPr>
                <w:rFonts w:asciiTheme="majorHAnsi" w:hAnsiTheme="majorHAnsi" w:cstheme="majorHAnsi"/>
              </w:rPr>
              <w:t>HG nr.500 din 12.05.1998 ,</w:t>
            </w:r>
            <w:r w:rsidRPr="00AD589A">
              <w:rPr>
                <w:rFonts w:asciiTheme="majorHAnsi" w:eastAsia="Times New Roman" w:hAnsiTheme="majorHAnsi" w:cstheme="majorHAnsi"/>
                <w:b/>
                <w:bCs/>
                <w:sz w:val="24"/>
                <w:szCs w:val="24"/>
              </w:rPr>
              <w:t xml:space="preserve"> </w:t>
            </w:r>
            <w:r w:rsidRPr="00AD589A">
              <w:rPr>
                <w:rFonts w:asciiTheme="majorHAnsi" w:hAnsiTheme="majorHAnsi" w:cstheme="majorHAnsi"/>
                <w:bCs/>
              </w:rPr>
              <w:t>Regulamentul</w:t>
            </w:r>
          </w:p>
          <w:p w14:paraId="50C7AD16" w14:textId="57555632" w:rsidR="004D496F" w:rsidRPr="00D73F37" w:rsidRDefault="00F167D8" w:rsidP="00D73F37">
            <w:pPr>
              <w:pStyle w:val="ListParagraph"/>
              <w:ind w:left="0"/>
              <w:rPr>
                <w:rFonts w:asciiTheme="majorHAnsi" w:hAnsiTheme="majorHAnsi" w:cstheme="majorHAnsi"/>
              </w:rPr>
            </w:pPr>
            <w:r w:rsidRPr="00AD589A">
              <w:rPr>
                <w:rFonts w:asciiTheme="majorHAnsi" w:hAnsiTheme="majorHAnsi" w:cstheme="majorHAnsi"/>
                <w:bCs/>
              </w:rPr>
              <w:t>privind casarea bunurilor uzate, raportate la mijloacele fixe</w:t>
            </w:r>
            <w:r w:rsidR="00D73F37">
              <w:rPr>
                <w:rFonts w:asciiTheme="majorHAnsi" w:hAnsiTheme="majorHAnsi" w:cstheme="majorHAnsi"/>
              </w:rPr>
              <w:t>,pct.5</w:t>
            </w:r>
            <w:r w:rsidR="00CB3B79">
              <w:rPr>
                <w:rFonts w:asciiTheme="majorHAnsi" w:hAnsiTheme="majorHAnsi" w:cstheme="majorHAnsi"/>
              </w:rPr>
              <w:t>.</w:t>
            </w:r>
          </w:p>
        </w:tc>
        <w:tc>
          <w:tcPr>
            <w:tcW w:w="2100" w:type="dxa"/>
          </w:tcPr>
          <w:p w14:paraId="17480EA5" w14:textId="6910757D"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Examina</w:t>
            </w:r>
            <w:r>
              <w:rPr>
                <w:rFonts w:asciiTheme="majorHAnsi" w:hAnsiTheme="majorHAnsi" w:cstheme="majorHAnsi"/>
                <w:lang w:val="ro-MD"/>
              </w:rPr>
              <w:t>rea documentelor</w:t>
            </w:r>
            <w:r w:rsidR="00CB3B79">
              <w:rPr>
                <w:rFonts w:asciiTheme="majorHAnsi" w:hAnsiTheme="majorHAnsi" w:cstheme="majorHAnsi"/>
                <w:lang w:val="ro-MD"/>
              </w:rPr>
              <w:t>.</w:t>
            </w:r>
            <w:r>
              <w:rPr>
                <w:rFonts w:asciiTheme="majorHAnsi" w:hAnsiTheme="majorHAnsi" w:cstheme="majorHAnsi"/>
                <w:lang w:val="ro-MD"/>
              </w:rPr>
              <w:t xml:space="preserve"> </w:t>
            </w:r>
          </w:p>
          <w:p w14:paraId="426687C3" w14:textId="77777777" w:rsidR="004D496F" w:rsidRDefault="004D496F" w:rsidP="004D496F">
            <w:pPr>
              <w:rPr>
                <w:rFonts w:asciiTheme="majorHAnsi" w:hAnsiTheme="majorHAnsi" w:cstheme="majorHAnsi"/>
                <w:lang w:val="ro-MD"/>
              </w:rPr>
            </w:pPr>
            <w:r w:rsidRPr="000B69E2">
              <w:rPr>
                <w:rFonts w:asciiTheme="majorHAnsi" w:hAnsiTheme="majorHAnsi" w:cstheme="majorHAnsi"/>
                <w:lang w:val="ro-MD"/>
              </w:rPr>
              <w:t>• Intervievarea conducerii</w:t>
            </w:r>
            <w:r>
              <w:rPr>
                <w:rFonts w:asciiTheme="majorHAnsi" w:hAnsiTheme="majorHAnsi" w:cstheme="majorHAnsi"/>
                <w:lang w:val="ro-MD"/>
              </w:rPr>
              <w:t xml:space="preserve">, </w:t>
            </w:r>
            <w:r w:rsidRPr="000B69E2">
              <w:rPr>
                <w:rFonts w:asciiTheme="majorHAnsi" w:hAnsiTheme="majorHAnsi" w:cstheme="majorHAnsi"/>
                <w:lang w:val="ro-MD"/>
              </w:rPr>
              <w:t xml:space="preserve"> explicații scrise</w:t>
            </w:r>
            <w:r>
              <w:rPr>
                <w:rFonts w:asciiTheme="majorHAnsi" w:hAnsiTheme="majorHAnsi" w:cstheme="majorHAnsi"/>
                <w:lang w:val="ro-MD"/>
              </w:rPr>
              <w:t>.</w:t>
            </w:r>
          </w:p>
          <w:p w14:paraId="72732A0A" w14:textId="77777777" w:rsidR="004D496F" w:rsidRPr="000B69E2" w:rsidRDefault="004D496F" w:rsidP="004D496F">
            <w:pPr>
              <w:rPr>
                <w:rFonts w:asciiTheme="majorHAnsi" w:hAnsiTheme="majorHAnsi" w:cstheme="majorHAnsi"/>
                <w:lang w:val="ro-MD"/>
              </w:rPr>
            </w:pPr>
          </w:p>
        </w:tc>
        <w:tc>
          <w:tcPr>
            <w:tcW w:w="4563" w:type="dxa"/>
          </w:tcPr>
          <w:p w14:paraId="4720B88B" w14:textId="24E0F4B0" w:rsidR="004D496F" w:rsidRPr="000B69E2" w:rsidRDefault="004D496F" w:rsidP="004D496F">
            <w:pPr>
              <w:rPr>
                <w:rFonts w:asciiTheme="majorHAnsi" w:hAnsiTheme="majorHAnsi" w:cstheme="majorHAnsi"/>
                <w:lang w:val="ro-MD"/>
              </w:rPr>
            </w:pPr>
            <w:r>
              <w:rPr>
                <w:rFonts w:asciiTheme="majorHAnsi" w:hAnsiTheme="majorHAnsi" w:cstheme="majorHAnsi"/>
                <w:lang w:val="ro-MD"/>
              </w:rPr>
              <w:t>Pentru perioada de auditare nu au avut loc proceduri de casare a mijloacelor fixe, astfel vor fi examinate listele bunurilor propuse spre casare de către comisiile de inventariere: 4 liste de propuneri a</w:t>
            </w:r>
            <w:r w:rsidR="00CB3B79">
              <w:rPr>
                <w:rFonts w:asciiTheme="majorHAnsi" w:hAnsiTheme="majorHAnsi" w:cstheme="majorHAnsi"/>
                <w:lang w:val="ro-MD"/>
              </w:rPr>
              <w:t xml:space="preserve">le </w:t>
            </w:r>
            <w:r>
              <w:rPr>
                <w:rFonts w:asciiTheme="majorHAnsi" w:hAnsiTheme="majorHAnsi" w:cstheme="majorHAnsi"/>
                <w:lang w:val="ro-MD"/>
              </w:rPr>
              <w:t xml:space="preserve"> bunurilor spre casare</w:t>
            </w:r>
            <w:r w:rsidR="00CB3B79">
              <w:rPr>
                <w:rFonts w:asciiTheme="majorHAnsi" w:hAnsiTheme="majorHAnsi" w:cstheme="majorHAnsi"/>
                <w:lang w:val="ro-MD"/>
              </w:rPr>
              <w:t>,</w:t>
            </w:r>
            <w:r>
              <w:rPr>
                <w:rFonts w:asciiTheme="majorHAnsi" w:hAnsiTheme="majorHAnsi" w:cstheme="majorHAnsi"/>
                <w:lang w:val="ro-MD"/>
              </w:rPr>
              <w:t xml:space="preserve"> precum și a</w:t>
            </w:r>
            <w:r w:rsidR="00700DAE">
              <w:rPr>
                <w:rFonts w:asciiTheme="majorHAnsi" w:hAnsiTheme="majorHAnsi" w:cstheme="majorHAnsi"/>
                <w:lang w:val="ro-MD"/>
              </w:rPr>
              <w:t>le</w:t>
            </w:r>
            <w:r>
              <w:rPr>
                <w:rFonts w:asciiTheme="majorHAnsi" w:hAnsiTheme="majorHAnsi" w:cstheme="majorHAnsi"/>
                <w:lang w:val="ro-MD"/>
              </w:rPr>
              <w:t xml:space="preserve"> bunurilor neutilizate.</w:t>
            </w:r>
          </w:p>
        </w:tc>
      </w:tr>
      <w:tr w:rsidR="004D496F" w:rsidRPr="000B69E2" w14:paraId="71F1C586" w14:textId="77777777" w:rsidTr="002E6540">
        <w:trPr>
          <w:trHeight w:val="203"/>
        </w:trPr>
        <w:tc>
          <w:tcPr>
            <w:tcW w:w="14174" w:type="dxa"/>
            <w:gridSpan w:val="5"/>
          </w:tcPr>
          <w:p w14:paraId="40395153" w14:textId="7FD89CAB" w:rsidR="004D496F" w:rsidRPr="000B69E2" w:rsidRDefault="00136F09" w:rsidP="004D496F">
            <w:pPr>
              <w:rPr>
                <w:rFonts w:asciiTheme="majorHAnsi" w:hAnsiTheme="majorHAnsi" w:cstheme="majorHAnsi"/>
                <w:b/>
                <w:lang w:val="ro-MD"/>
              </w:rPr>
            </w:pPr>
            <w:r>
              <w:rPr>
                <w:rFonts w:asciiTheme="majorHAnsi" w:hAnsiTheme="majorHAnsi" w:cstheme="majorHAnsi"/>
                <w:b/>
                <w:lang w:val="ro-MD"/>
              </w:rPr>
              <w:t>Veniturile au fost gestionate într-o manieră prudentă, asigur</w:t>
            </w:r>
            <w:r w:rsidR="00700DAE">
              <w:rPr>
                <w:rFonts w:asciiTheme="majorHAnsi" w:hAnsiTheme="majorHAnsi" w:cstheme="majorHAnsi"/>
                <w:b/>
                <w:lang w:val="ro-MD"/>
              </w:rPr>
              <w:t>â</w:t>
            </w:r>
            <w:r>
              <w:rPr>
                <w:rFonts w:asciiTheme="majorHAnsi" w:hAnsiTheme="majorHAnsi" w:cstheme="majorHAnsi"/>
                <w:b/>
                <w:lang w:val="ro-MD"/>
              </w:rPr>
              <w:t>nd acumularea integrală și conformă a acestora?</w:t>
            </w:r>
          </w:p>
        </w:tc>
      </w:tr>
      <w:tr w:rsidR="004D496F" w:rsidRPr="000B69E2" w14:paraId="69E08F07" w14:textId="77777777" w:rsidTr="002E6540">
        <w:trPr>
          <w:trHeight w:val="203"/>
        </w:trPr>
        <w:tc>
          <w:tcPr>
            <w:tcW w:w="1779" w:type="dxa"/>
          </w:tcPr>
          <w:p w14:paraId="6333A6DB" w14:textId="52BEFB10" w:rsidR="004D496F" w:rsidRPr="00E415F5" w:rsidRDefault="004D496F" w:rsidP="004D496F">
            <w:pPr>
              <w:jc w:val="both"/>
              <w:rPr>
                <w:rFonts w:asciiTheme="majorHAnsi" w:hAnsiTheme="majorHAnsi" w:cstheme="majorHAnsi"/>
                <w:lang w:val="ro-MD"/>
              </w:rPr>
            </w:pPr>
            <w:r>
              <w:rPr>
                <w:rFonts w:asciiTheme="majorHAnsi" w:hAnsiTheme="majorHAnsi" w:cstheme="majorHAnsi"/>
                <w:b/>
                <w:lang w:val="ro-MD"/>
              </w:rPr>
              <w:t>4.1</w:t>
            </w:r>
            <w:r w:rsidR="00CB3B79">
              <w:rPr>
                <w:rFonts w:asciiTheme="majorHAnsi" w:hAnsiTheme="majorHAnsi" w:cstheme="majorHAnsi"/>
                <w:b/>
                <w:lang w:val="ro-MD"/>
              </w:rPr>
              <w:t>.</w:t>
            </w:r>
            <w:r w:rsidRPr="00E415F5">
              <w:rPr>
                <w:rFonts w:asciiTheme="majorHAnsi" w:hAnsiTheme="majorHAnsi" w:cstheme="majorHAnsi"/>
                <w:lang w:val="ro-MD"/>
              </w:rPr>
              <w:t xml:space="preserve"> Neasigurarea colectării integrale și conforme a veniturilor. </w:t>
            </w:r>
          </w:p>
        </w:tc>
        <w:tc>
          <w:tcPr>
            <w:tcW w:w="3603" w:type="dxa"/>
          </w:tcPr>
          <w:p w14:paraId="4F94FF17" w14:textId="77777777" w:rsidR="004D496F" w:rsidRPr="00E415F5" w:rsidRDefault="004D496F" w:rsidP="004D496F">
            <w:pPr>
              <w:rPr>
                <w:rFonts w:asciiTheme="majorHAnsi" w:hAnsiTheme="majorHAnsi" w:cstheme="majorHAnsi"/>
                <w:lang w:val="ro-MD"/>
              </w:rPr>
            </w:pPr>
            <w:r w:rsidRPr="00E415F5">
              <w:rPr>
                <w:rFonts w:asciiTheme="majorHAnsi" w:hAnsiTheme="majorHAnsi" w:cstheme="majorHAnsi"/>
                <w:lang w:val="ro-MD"/>
              </w:rPr>
              <w:t>Contract de prestări servicii;</w:t>
            </w:r>
          </w:p>
          <w:p w14:paraId="220B05E6" w14:textId="77777777" w:rsidR="004D496F" w:rsidRPr="00E415F5" w:rsidRDefault="004D496F" w:rsidP="004D496F">
            <w:pPr>
              <w:rPr>
                <w:rFonts w:asciiTheme="majorHAnsi" w:hAnsiTheme="majorHAnsi" w:cstheme="majorHAnsi"/>
                <w:lang w:val="ro-MD"/>
              </w:rPr>
            </w:pPr>
            <w:r w:rsidRPr="00E415F5">
              <w:rPr>
                <w:rFonts w:asciiTheme="majorHAnsi" w:hAnsiTheme="majorHAnsi" w:cstheme="majorHAnsi"/>
                <w:lang w:val="ro-MD"/>
              </w:rPr>
              <w:t>Cont de plată; Confirmarea achitării serviciilor prestate;</w:t>
            </w:r>
          </w:p>
          <w:p w14:paraId="1BEE1BA7" w14:textId="77777777" w:rsidR="004D496F" w:rsidRPr="00E415F5" w:rsidRDefault="004D496F" w:rsidP="004D496F">
            <w:pPr>
              <w:rPr>
                <w:lang w:val="ro-MD"/>
              </w:rPr>
            </w:pPr>
            <w:r w:rsidRPr="00E415F5">
              <w:rPr>
                <w:rFonts w:asciiTheme="majorHAnsi" w:hAnsiTheme="majorHAnsi" w:cstheme="majorHAnsi"/>
                <w:lang w:val="ro-MD"/>
              </w:rPr>
              <w:t>Factura fiscală</w:t>
            </w:r>
            <w:r w:rsidRPr="00E415F5">
              <w:rPr>
                <w:lang w:val="ro-MD"/>
              </w:rPr>
              <w:t>;</w:t>
            </w:r>
          </w:p>
          <w:p w14:paraId="18A79A01" w14:textId="33FF4A87" w:rsidR="004D496F" w:rsidRPr="00E415F5" w:rsidRDefault="004D496F" w:rsidP="004D496F">
            <w:pPr>
              <w:rPr>
                <w:rFonts w:asciiTheme="majorHAnsi" w:hAnsiTheme="majorHAnsi" w:cstheme="majorHAnsi"/>
                <w:lang w:val="ro-MD"/>
              </w:rPr>
            </w:pPr>
            <w:r w:rsidRPr="00E415F5">
              <w:rPr>
                <w:rFonts w:asciiTheme="majorHAnsi" w:hAnsiTheme="majorHAnsi" w:cstheme="majorHAnsi"/>
                <w:lang w:val="ro-MD"/>
              </w:rPr>
              <w:t>Act de predare-primire a serviciilor</w:t>
            </w:r>
            <w:r w:rsidR="00700DAE">
              <w:rPr>
                <w:rFonts w:asciiTheme="majorHAnsi" w:hAnsiTheme="majorHAnsi" w:cstheme="majorHAnsi"/>
                <w:lang w:val="ro-MD"/>
              </w:rPr>
              <w:t>.</w:t>
            </w:r>
          </w:p>
        </w:tc>
        <w:tc>
          <w:tcPr>
            <w:tcW w:w="2126" w:type="dxa"/>
          </w:tcPr>
          <w:p w14:paraId="3490DF9F" w14:textId="3952763F" w:rsidR="00E048B0" w:rsidRPr="00AD589A" w:rsidRDefault="00E048B0" w:rsidP="007E002D">
            <w:pPr>
              <w:pStyle w:val="ListParagraph"/>
              <w:numPr>
                <w:ilvl w:val="0"/>
                <w:numId w:val="33"/>
              </w:numPr>
              <w:ind w:left="49" w:hanging="142"/>
              <w:jc w:val="both"/>
              <w:rPr>
                <w:rFonts w:asciiTheme="majorHAnsi" w:hAnsiTheme="majorHAnsi" w:cstheme="majorHAnsi"/>
              </w:rPr>
            </w:pPr>
            <w:r w:rsidRPr="00AD589A">
              <w:rPr>
                <w:rFonts w:asciiTheme="majorHAnsi" w:hAnsiTheme="majorHAnsi" w:cstheme="majorHAnsi"/>
              </w:rPr>
              <w:t xml:space="preserve">SNC </w:t>
            </w:r>
            <w:r w:rsidR="00CB3B79">
              <w:rPr>
                <w:rFonts w:asciiTheme="majorHAnsi" w:hAnsiTheme="majorHAnsi" w:cstheme="majorHAnsi"/>
              </w:rPr>
              <w:t>„</w:t>
            </w:r>
            <w:r w:rsidRPr="00AD589A">
              <w:rPr>
                <w:rFonts w:asciiTheme="majorHAnsi" w:hAnsiTheme="majorHAnsi" w:cstheme="majorHAnsi"/>
              </w:rPr>
              <w:t>Venituri</w:t>
            </w:r>
            <w:r w:rsidR="00CB3B79">
              <w:rPr>
                <w:rFonts w:asciiTheme="majorHAnsi" w:hAnsiTheme="majorHAnsi" w:cstheme="majorHAnsi"/>
              </w:rPr>
              <w:t xml:space="preserve">”, </w:t>
            </w:r>
            <w:r w:rsidRPr="00AD589A">
              <w:rPr>
                <w:rFonts w:asciiTheme="majorHAnsi" w:hAnsiTheme="majorHAnsi" w:cstheme="majorHAnsi"/>
              </w:rPr>
              <w:t xml:space="preserve"> </w:t>
            </w:r>
            <w:r w:rsidR="00CB3B79">
              <w:rPr>
                <w:rFonts w:asciiTheme="majorHAnsi" w:hAnsiTheme="majorHAnsi" w:cstheme="majorHAnsi"/>
              </w:rPr>
              <w:t>p</w:t>
            </w:r>
            <w:r w:rsidRPr="00AD589A">
              <w:rPr>
                <w:rFonts w:asciiTheme="majorHAnsi" w:hAnsiTheme="majorHAnsi" w:cstheme="majorHAnsi"/>
              </w:rPr>
              <w:t>ct.9,19,20,21,22.</w:t>
            </w:r>
          </w:p>
          <w:p w14:paraId="591D9D53" w14:textId="6C48E579" w:rsidR="004D496F" w:rsidRPr="00E415F5" w:rsidRDefault="004D496F" w:rsidP="004D496F">
            <w:pPr>
              <w:rPr>
                <w:rFonts w:asciiTheme="majorHAnsi" w:hAnsiTheme="majorHAnsi" w:cstheme="majorHAnsi"/>
                <w:b/>
                <w:lang w:val="ro-MD"/>
              </w:rPr>
            </w:pPr>
          </w:p>
        </w:tc>
        <w:tc>
          <w:tcPr>
            <w:tcW w:w="2100" w:type="dxa"/>
          </w:tcPr>
          <w:p w14:paraId="60294F18" w14:textId="2B8F22CF" w:rsidR="004D496F" w:rsidRPr="005D325F" w:rsidRDefault="004D496F" w:rsidP="004D496F">
            <w:pPr>
              <w:rPr>
                <w:rFonts w:asciiTheme="majorHAnsi" w:hAnsiTheme="majorHAnsi" w:cstheme="majorHAnsi"/>
                <w:lang w:val="ro-MD"/>
              </w:rPr>
            </w:pPr>
            <w:r w:rsidRPr="005D325F">
              <w:rPr>
                <w:rFonts w:asciiTheme="majorHAnsi" w:hAnsiTheme="majorHAnsi" w:cstheme="majorHAnsi"/>
                <w:lang w:val="ro-MD"/>
              </w:rPr>
              <w:t xml:space="preserve">• Examinarea </w:t>
            </w:r>
            <w:r>
              <w:rPr>
                <w:rFonts w:asciiTheme="majorHAnsi" w:hAnsiTheme="majorHAnsi" w:cstheme="majorHAnsi"/>
                <w:lang w:val="ro-MD"/>
              </w:rPr>
              <w:t xml:space="preserve">documentelor și </w:t>
            </w:r>
            <w:r w:rsidRPr="005D325F">
              <w:rPr>
                <w:rFonts w:asciiTheme="majorHAnsi" w:hAnsiTheme="majorHAnsi" w:cstheme="majorHAnsi"/>
                <w:lang w:val="ro-MD"/>
              </w:rPr>
              <w:t>registrel</w:t>
            </w:r>
            <w:r w:rsidR="00700DAE">
              <w:rPr>
                <w:rFonts w:asciiTheme="majorHAnsi" w:hAnsiTheme="majorHAnsi" w:cstheme="majorHAnsi"/>
                <w:lang w:val="ro-MD"/>
              </w:rPr>
              <w:t>or</w:t>
            </w:r>
            <w:r w:rsidRPr="005D325F">
              <w:rPr>
                <w:rFonts w:asciiTheme="majorHAnsi" w:hAnsiTheme="majorHAnsi" w:cstheme="majorHAnsi"/>
                <w:lang w:val="ro-MD"/>
              </w:rPr>
              <w:t xml:space="preserve"> contabile</w:t>
            </w:r>
            <w:r w:rsidR="00700DAE">
              <w:rPr>
                <w:rFonts w:asciiTheme="majorHAnsi" w:hAnsiTheme="majorHAnsi" w:cstheme="majorHAnsi"/>
                <w:lang w:val="ro-MD"/>
              </w:rPr>
              <w:t>.</w:t>
            </w:r>
          </w:p>
          <w:p w14:paraId="2BCC32AC" w14:textId="2FADE4BE" w:rsidR="004D496F" w:rsidRPr="005D325F" w:rsidRDefault="004D496F" w:rsidP="004D496F">
            <w:pPr>
              <w:rPr>
                <w:rFonts w:asciiTheme="majorHAnsi" w:hAnsiTheme="majorHAnsi" w:cstheme="majorHAnsi"/>
                <w:lang w:val="ro-MD"/>
              </w:rPr>
            </w:pPr>
            <w:r w:rsidRPr="005D325F">
              <w:rPr>
                <w:rFonts w:asciiTheme="majorHAnsi" w:hAnsiTheme="majorHAnsi" w:cstheme="majorHAnsi"/>
                <w:lang w:val="ro-MD"/>
              </w:rPr>
              <w:t>• Intervievarea persoanelor responsabile din cadrul serviciului contabil</w:t>
            </w:r>
            <w:r w:rsidR="00700DAE">
              <w:rPr>
                <w:rFonts w:asciiTheme="majorHAnsi" w:hAnsiTheme="majorHAnsi" w:cstheme="majorHAnsi"/>
                <w:lang w:val="ro-MD"/>
              </w:rPr>
              <w:t>.</w:t>
            </w:r>
          </w:p>
          <w:p w14:paraId="53C0B9FD" w14:textId="2D372376" w:rsidR="004D496F" w:rsidRPr="00D53A09" w:rsidRDefault="004D496F" w:rsidP="004D496F">
            <w:pPr>
              <w:rPr>
                <w:rFonts w:asciiTheme="majorHAnsi" w:hAnsiTheme="majorHAnsi" w:cstheme="majorHAnsi"/>
                <w:highlight w:val="yellow"/>
                <w:lang w:val="ro-MD"/>
              </w:rPr>
            </w:pPr>
            <w:r w:rsidRPr="005D325F">
              <w:rPr>
                <w:rFonts w:asciiTheme="majorHAnsi" w:hAnsiTheme="majorHAnsi" w:cstheme="majorHAnsi"/>
                <w:lang w:val="ro-MD"/>
              </w:rPr>
              <w:t xml:space="preserve">• </w:t>
            </w:r>
            <w:r w:rsidR="00700DAE">
              <w:rPr>
                <w:rFonts w:asciiTheme="majorHAnsi" w:hAnsiTheme="majorHAnsi" w:cstheme="majorHAnsi"/>
                <w:lang w:val="ro-MD"/>
              </w:rPr>
              <w:t>E</w:t>
            </w:r>
            <w:r w:rsidRPr="005D325F">
              <w:rPr>
                <w:rFonts w:asciiTheme="majorHAnsi" w:hAnsiTheme="majorHAnsi" w:cstheme="majorHAnsi"/>
                <w:lang w:val="ro-MD"/>
              </w:rPr>
              <w:t>xplicații scrise</w:t>
            </w:r>
            <w:r w:rsidR="00700DAE">
              <w:rPr>
                <w:rFonts w:asciiTheme="majorHAnsi" w:hAnsiTheme="majorHAnsi" w:cstheme="majorHAnsi"/>
                <w:lang w:val="ro-MD"/>
              </w:rPr>
              <w:t>.</w:t>
            </w:r>
          </w:p>
        </w:tc>
        <w:tc>
          <w:tcPr>
            <w:tcW w:w="4563" w:type="dxa"/>
          </w:tcPr>
          <w:p w14:paraId="23AC0005" w14:textId="4C8B9737" w:rsidR="004D496F" w:rsidRPr="0094701A" w:rsidRDefault="004D496F" w:rsidP="004D496F">
            <w:pPr>
              <w:rPr>
                <w:rFonts w:asciiTheme="majorHAnsi" w:hAnsiTheme="majorHAnsi" w:cstheme="majorHAnsi"/>
                <w:lang w:val="ro-MD"/>
              </w:rPr>
            </w:pPr>
            <w:r w:rsidRPr="0094701A">
              <w:rPr>
                <w:rFonts w:asciiTheme="majorHAnsi" w:hAnsiTheme="majorHAnsi" w:cstheme="majorHAnsi"/>
                <w:lang w:val="ro-MD"/>
              </w:rPr>
              <w:t>INM:</w:t>
            </w:r>
            <w:r>
              <w:rPr>
                <w:rFonts w:asciiTheme="majorHAnsi" w:hAnsiTheme="majorHAnsi" w:cstheme="majorHAnsi"/>
                <w:lang w:val="ro-MD"/>
              </w:rPr>
              <w:t xml:space="preserve"> P</w:t>
            </w:r>
            <w:r w:rsidRPr="0094701A">
              <w:rPr>
                <w:rFonts w:asciiTheme="majorHAnsi" w:hAnsiTheme="majorHAnsi" w:cstheme="majorHAnsi"/>
                <w:lang w:val="ro-MD"/>
              </w:rPr>
              <w:t xml:space="preserve">entru testarea serviciilor de etalonare/verificare metrologică și expertiză metrologică s-au ales câte 2 tranzacții din fiecare lună. Astfel, în </w:t>
            </w:r>
            <w:r w:rsidR="00700DAE">
              <w:rPr>
                <w:rFonts w:asciiTheme="majorHAnsi" w:hAnsiTheme="majorHAnsi" w:cstheme="majorHAnsi"/>
                <w:lang w:val="ro-MD"/>
              </w:rPr>
              <w:t>anul</w:t>
            </w:r>
            <w:r w:rsidRPr="0094701A">
              <w:rPr>
                <w:rFonts w:asciiTheme="majorHAnsi" w:hAnsiTheme="majorHAnsi" w:cstheme="majorHAnsi"/>
                <w:lang w:val="ro-MD"/>
              </w:rPr>
              <w:t xml:space="preserve"> 2020 au fost testate 24 tranzacții pentru servicii de etalonare/verificare metrologică și 22 tranzacții pentru expertiză metrologică. </w:t>
            </w:r>
            <w:r w:rsidR="00700DAE">
              <w:rPr>
                <w:rFonts w:asciiTheme="majorHAnsi" w:hAnsiTheme="majorHAnsi" w:cstheme="majorHAnsi"/>
                <w:lang w:val="ro-MD"/>
              </w:rPr>
              <w:t>În</w:t>
            </w:r>
            <w:r w:rsidRPr="0094701A">
              <w:rPr>
                <w:rFonts w:asciiTheme="majorHAnsi" w:hAnsiTheme="majorHAnsi" w:cstheme="majorHAnsi"/>
                <w:lang w:val="ro-MD"/>
              </w:rPr>
              <w:t xml:space="preserve"> anul 2021 au fost testate 24 tranzacții pentru etalonare/verificare metrologică și 24 tranzacții pentru expertiza metrologică.</w:t>
            </w:r>
          </w:p>
          <w:p w14:paraId="188982E1" w14:textId="77777777" w:rsidR="004D496F" w:rsidRPr="002052A0" w:rsidRDefault="004D496F" w:rsidP="004D496F">
            <w:pPr>
              <w:rPr>
                <w:rFonts w:asciiTheme="majorHAnsi" w:hAnsiTheme="majorHAnsi" w:cstheme="majorHAnsi"/>
                <w:lang w:val="ro-MD"/>
              </w:rPr>
            </w:pPr>
            <w:r w:rsidRPr="002052A0">
              <w:rPr>
                <w:rFonts w:asciiTheme="majorHAnsi" w:hAnsiTheme="majorHAnsi" w:cstheme="majorHAnsi"/>
                <w:lang w:val="ro-MD"/>
              </w:rPr>
              <w:t>Pentru serviciile de instruire</w:t>
            </w:r>
          </w:p>
          <w:p w14:paraId="6E6EBB04" w14:textId="63AA9B97" w:rsidR="004D496F" w:rsidRPr="002052A0" w:rsidRDefault="004D496F" w:rsidP="004D496F">
            <w:pPr>
              <w:rPr>
                <w:rFonts w:asciiTheme="majorHAnsi" w:hAnsiTheme="majorHAnsi" w:cstheme="majorHAnsi"/>
                <w:lang w:val="ro-MD"/>
              </w:rPr>
            </w:pPr>
            <w:r>
              <w:rPr>
                <w:rFonts w:asciiTheme="majorHAnsi" w:hAnsiTheme="majorHAnsi" w:cstheme="majorHAnsi"/>
                <w:lang w:val="ro-MD"/>
              </w:rPr>
              <w:t>au fost selectate câ</w:t>
            </w:r>
            <w:r w:rsidRPr="002052A0">
              <w:rPr>
                <w:rFonts w:asciiTheme="majorHAnsi" w:hAnsiTheme="majorHAnsi" w:cstheme="majorHAnsi"/>
                <w:lang w:val="ro-MD"/>
              </w:rPr>
              <w:t>te 2 tranzacții din fiecare lun</w:t>
            </w:r>
            <w:r w:rsidR="00700DAE">
              <w:rPr>
                <w:rFonts w:asciiTheme="majorHAnsi" w:hAnsiTheme="majorHAnsi" w:cstheme="majorHAnsi"/>
                <w:lang w:val="ro-MD"/>
              </w:rPr>
              <w:t>ă</w:t>
            </w:r>
            <w:r w:rsidRPr="002052A0">
              <w:rPr>
                <w:rFonts w:asciiTheme="majorHAnsi" w:hAnsiTheme="majorHAnsi" w:cstheme="majorHAnsi"/>
                <w:lang w:val="ro-MD"/>
              </w:rPr>
              <w:t xml:space="preserve"> (2020-2021), c</w:t>
            </w:r>
            <w:r w:rsidR="00700DAE">
              <w:rPr>
                <w:rFonts w:asciiTheme="majorHAnsi" w:hAnsiTheme="majorHAnsi" w:cstheme="majorHAnsi"/>
                <w:lang w:val="ro-MD"/>
              </w:rPr>
              <w:t>ir</w:t>
            </w:r>
            <w:r w:rsidRPr="002052A0">
              <w:rPr>
                <w:rFonts w:asciiTheme="majorHAnsi" w:hAnsiTheme="majorHAnsi" w:cstheme="majorHAnsi"/>
                <w:lang w:val="ro-MD"/>
              </w:rPr>
              <w:t xml:space="preserve">ca 32%. </w:t>
            </w:r>
          </w:p>
          <w:p w14:paraId="29097B05" w14:textId="231FD636" w:rsidR="004D496F" w:rsidRPr="002052A0" w:rsidRDefault="004D496F" w:rsidP="004D496F">
            <w:pPr>
              <w:rPr>
                <w:rFonts w:asciiTheme="majorHAnsi" w:hAnsiTheme="majorHAnsi" w:cstheme="majorHAnsi"/>
                <w:lang w:val="ro-MD"/>
              </w:rPr>
            </w:pPr>
            <w:r w:rsidRPr="002052A0">
              <w:rPr>
                <w:rFonts w:asciiTheme="majorHAnsi" w:hAnsiTheme="majorHAnsi" w:cstheme="majorHAnsi"/>
                <w:lang w:val="ro-MD"/>
              </w:rPr>
              <w:t xml:space="preserve">Astfel, </w:t>
            </w:r>
            <w:r w:rsidR="00A444C1">
              <w:rPr>
                <w:rFonts w:asciiTheme="majorHAnsi" w:hAnsiTheme="majorHAnsi" w:cstheme="majorHAnsi"/>
                <w:lang w:val="ro-MD"/>
              </w:rPr>
              <w:t xml:space="preserve">în </w:t>
            </w:r>
            <w:r w:rsidRPr="002052A0">
              <w:rPr>
                <w:rFonts w:asciiTheme="majorHAnsi" w:hAnsiTheme="majorHAnsi" w:cstheme="majorHAnsi"/>
                <w:lang w:val="ro-MD"/>
              </w:rPr>
              <w:t>anul 2020</w:t>
            </w:r>
            <w:r w:rsidR="00A444C1">
              <w:rPr>
                <w:rFonts w:asciiTheme="majorHAnsi" w:hAnsiTheme="majorHAnsi" w:cstheme="majorHAnsi"/>
                <w:lang w:val="ro-MD"/>
              </w:rPr>
              <w:t xml:space="preserve"> </w:t>
            </w:r>
            <w:r w:rsidRPr="002052A0">
              <w:rPr>
                <w:rFonts w:asciiTheme="majorHAnsi" w:hAnsiTheme="majorHAnsi" w:cstheme="majorHAnsi"/>
                <w:lang w:val="ro-MD"/>
              </w:rPr>
              <w:t>-</w:t>
            </w:r>
            <w:r w:rsidR="00A444C1">
              <w:rPr>
                <w:rFonts w:asciiTheme="majorHAnsi" w:hAnsiTheme="majorHAnsi" w:cstheme="majorHAnsi"/>
                <w:lang w:val="ro-MD"/>
              </w:rPr>
              <w:t xml:space="preserve"> </w:t>
            </w:r>
            <w:r w:rsidRPr="002052A0">
              <w:rPr>
                <w:rFonts w:asciiTheme="majorHAnsi" w:hAnsiTheme="majorHAnsi" w:cstheme="majorHAnsi"/>
                <w:lang w:val="ro-MD"/>
              </w:rPr>
              <w:t>12 tranzacții în valoare de 71,0 mii lei;</w:t>
            </w:r>
          </w:p>
          <w:p w14:paraId="6BC13E50" w14:textId="59CBC641" w:rsidR="004D496F" w:rsidRPr="002052A0" w:rsidRDefault="00A444C1" w:rsidP="004D496F">
            <w:pPr>
              <w:rPr>
                <w:rFonts w:asciiTheme="majorHAnsi" w:hAnsiTheme="majorHAnsi" w:cstheme="majorHAnsi"/>
                <w:lang w:val="ro-MD"/>
              </w:rPr>
            </w:pPr>
            <w:r>
              <w:rPr>
                <w:rFonts w:asciiTheme="majorHAnsi" w:hAnsiTheme="majorHAnsi" w:cstheme="majorHAnsi"/>
                <w:lang w:val="ro-MD"/>
              </w:rPr>
              <w:t xml:space="preserve">în </w:t>
            </w:r>
            <w:r w:rsidR="004D496F" w:rsidRPr="002052A0">
              <w:rPr>
                <w:rFonts w:asciiTheme="majorHAnsi" w:hAnsiTheme="majorHAnsi" w:cstheme="majorHAnsi"/>
                <w:lang w:val="ro-MD"/>
              </w:rPr>
              <w:t>anul 2021-14 tranzacții</w:t>
            </w:r>
            <w:r>
              <w:rPr>
                <w:rFonts w:asciiTheme="majorHAnsi" w:hAnsiTheme="majorHAnsi" w:cstheme="majorHAnsi"/>
                <w:lang w:val="ro-MD"/>
              </w:rPr>
              <w:t xml:space="preserve"> în valoare de</w:t>
            </w:r>
            <w:r w:rsidR="004D496F" w:rsidRPr="002052A0">
              <w:rPr>
                <w:rFonts w:asciiTheme="majorHAnsi" w:hAnsiTheme="majorHAnsi" w:cstheme="majorHAnsi"/>
                <w:lang w:val="ro-MD"/>
              </w:rPr>
              <w:t xml:space="preserve"> 64,2 mii lei.</w:t>
            </w:r>
          </w:p>
          <w:p w14:paraId="6F80788C" w14:textId="17698DBE" w:rsidR="004D496F" w:rsidRPr="0030783B" w:rsidRDefault="004D496F" w:rsidP="004D496F">
            <w:pPr>
              <w:rPr>
                <w:rFonts w:asciiTheme="majorHAnsi" w:hAnsiTheme="majorHAnsi" w:cstheme="majorHAnsi"/>
                <w:lang w:val="ro-MD"/>
              </w:rPr>
            </w:pPr>
            <w:r w:rsidRPr="002052A0">
              <w:rPr>
                <w:rFonts w:asciiTheme="majorHAnsi" w:hAnsiTheme="majorHAnsi" w:cstheme="majorHAnsi"/>
                <w:lang w:val="ro-MD"/>
              </w:rPr>
              <w:t>ISM</w:t>
            </w:r>
            <w:r>
              <w:rPr>
                <w:rFonts w:asciiTheme="majorHAnsi" w:hAnsiTheme="majorHAnsi" w:cstheme="majorHAnsi"/>
                <w:lang w:val="ro-MD"/>
              </w:rPr>
              <w:t xml:space="preserve">: </w:t>
            </w:r>
            <w:r w:rsidRPr="0030783B">
              <w:rPr>
                <w:rFonts w:asciiTheme="majorHAnsi" w:hAnsiTheme="majorHAnsi" w:cstheme="majorHAnsi"/>
                <w:lang w:val="ro-MD"/>
              </w:rPr>
              <w:t>Pentru testarea serviciilor de comercializare</w:t>
            </w:r>
            <w:r w:rsidR="00A444C1">
              <w:rPr>
                <w:rFonts w:asciiTheme="majorHAnsi" w:hAnsiTheme="majorHAnsi" w:cstheme="majorHAnsi"/>
                <w:lang w:val="ro-MD"/>
              </w:rPr>
              <w:t xml:space="preserve"> </w:t>
            </w:r>
            <w:r>
              <w:rPr>
                <w:rFonts w:asciiTheme="majorHAnsi" w:hAnsiTheme="majorHAnsi" w:cstheme="majorHAnsi"/>
                <w:lang w:val="ro-MD"/>
              </w:rPr>
              <w:t>a</w:t>
            </w:r>
            <w:r w:rsidRPr="0030783B">
              <w:rPr>
                <w:rFonts w:asciiTheme="majorHAnsi" w:hAnsiTheme="majorHAnsi" w:cstheme="majorHAnsi"/>
                <w:lang w:val="ro-MD"/>
              </w:rPr>
              <w:t xml:space="preserve"> standardelor au fost selectate câte 2 tranzacții din lun</w:t>
            </w:r>
            <w:r w:rsidR="00A444C1">
              <w:rPr>
                <w:rFonts w:asciiTheme="majorHAnsi" w:hAnsiTheme="majorHAnsi" w:cstheme="majorHAnsi"/>
                <w:lang w:val="ro-MD"/>
              </w:rPr>
              <w:t>ă</w:t>
            </w:r>
            <w:r w:rsidRPr="0030783B">
              <w:rPr>
                <w:rFonts w:asciiTheme="majorHAnsi" w:hAnsiTheme="majorHAnsi" w:cstheme="majorHAnsi"/>
                <w:lang w:val="ro-MD"/>
              </w:rPr>
              <w:t xml:space="preserve"> (2020-2021) pentru fiecare tip de serviciu (actualizare, vizualizare, procurare, actualizare</w:t>
            </w:r>
            <w:r>
              <w:rPr>
                <w:rFonts w:asciiTheme="majorHAnsi" w:hAnsiTheme="majorHAnsi" w:cstheme="majorHAnsi"/>
                <w:lang w:val="ro-MD"/>
              </w:rPr>
              <w:t xml:space="preserve"> </w:t>
            </w:r>
            <w:r w:rsidRPr="0030783B">
              <w:rPr>
                <w:rFonts w:asciiTheme="majorHAnsi" w:hAnsiTheme="majorHAnsi" w:cstheme="majorHAnsi"/>
                <w:lang w:val="ro-MD"/>
              </w:rPr>
              <w:t>+</w:t>
            </w:r>
            <w:r>
              <w:rPr>
                <w:rFonts w:asciiTheme="majorHAnsi" w:hAnsiTheme="majorHAnsi" w:cstheme="majorHAnsi"/>
                <w:lang w:val="ro-MD"/>
              </w:rPr>
              <w:t xml:space="preserve"> </w:t>
            </w:r>
            <w:r w:rsidRPr="0030783B">
              <w:rPr>
                <w:rFonts w:asciiTheme="majorHAnsi" w:hAnsiTheme="majorHAnsi" w:cstheme="majorHAnsi"/>
                <w:lang w:val="ro-MD"/>
              </w:rPr>
              <w:t xml:space="preserve">procurare). Astfel, </w:t>
            </w:r>
            <w:r w:rsidR="00A444C1">
              <w:rPr>
                <w:rFonts w:asciiTheme="majorHAnsi" w:hAnsiTheme="majorHAnsi" w:cstheme="majorHAnsi"/>
                <w:lang w:val="ro-MD"/>
              </w:rPr>
              <w:t xml:space="preserve">în </w:t>
            </w:r>
            <w:r w:rsidRPr="0030783B">
              <w:rPr>
                <w:rFonts w:asciiTheme="majorHAnsi" w:hAnsiTheme="majorHAnsi" w:cstheme="majorHAnsi"/>
                <w:lang w:val="ro-MD"/>
              </w:rPr>
              <w:t>anul 2020 – 77 tranzacții,</w:t>
            </w:r>
          </w:p>
          <w:p w14:paraId="2E9D8BDF" w14:textId="4924F18B" w:rsidR="004D496F" w:rsidRPr="0030783B" w:rsidRDefault="00A444C1" w:rsidP="004D496F">
            <w:pPr>
              <w:rPr>
                <w:rFonts w:asciiTheme="majorHAnsi" w:hAnsiTheme="majorHAnsi" w:cstheme="majorHAnsi"/>
                <w:lang w:val="ro-MD"/>
              </w:rPr>
            </w:pPr>
            <w:r>
              <w:rPr>
                <w:rFonts w:asciiTheme="majorHAnsi" w:hAnsiTheme="majorHAnsi" w:cstheme="majorHAnsi"/>
                <w:lang w:val="ro-MD"/>
              </w:rPr>
              <w:t xml:space="preserve">în </w:t>
            </w:r>
            <w:r w:rsidR="004D496F" w:rsidRPr="0030783B">
              <w:rPr>
                <w:rFonts w:asciiTheme="majorHAnsi" w:hAnsiTheme="majorHAnsi" w:cstheme="majorHAnsi"/>
                <w:lang w:val="ro-MD"/>
              </w:rPr>
              <w:t>anul 2021 – 82 tranzacții.</w:t>
            </w:r>
          </w:p>
          <w:p w14:paraId="6D0BAAF9" w14:textId="77777777" w:rsidR="004D496F" w:rsidRPr="0030783B" w:rsidRDefault="004D496F" w:rsidP="004D496F">
            <w:pPr>
              <w:rPr>
                <w:rFonts w:asciiTheme="majorHAnsi" w:hAnsiTheme="majorHAnsi" w:cstheme="majorHAnsi"/>
                <w:lang w:val="ro-MD"/>
              </w:rPr>
            </w:pPr>
            <w:r w:rsidRPr="0030783B">
              <w:rPr>
                <w:rFonts w:asciiTheme="majorHAnsi" w:hAnsiTheme="majorHAnsi" w:cstheme="majorHAnsi"/>
                <w:lang w:val="ro-MD"/>
              </w:rPr>
              <w:t>Pentru serviciile de instruire</w:t>
            </w:r>
          </w:p>
          <w:p w14:paraId="73AAFECD" w14:textId="3C6D1C1F" w:rsidR="004D496F" w:rsidRPr="0030783B" w:rsidRDefault="004D496F" w:rsidP="004D496F">
            <w:pPr>
              <w:rPr>
                <w:rFonts w:asciiTheme="majorHAnsi" w:hAnsiTheme="majorHAnsi" w:cstheme="majorHAnsi"/>
                <w:lang w:val="ro-MD"/>
              </w:rPr>
            </w:pPr>
            <w:r w:rsidRPr="0030783B">
              <w:rPr>
                <w:rFonts w:asciiTheme="majorHAnsi" w:hAnsiTheme="majorHAnsi" w:cstheme="majorHAnsi"/>
                <w:lang w:val="ro-MD"/>
              </w:rPr>
              <w:t xml:space="preserve">au fost selectate câte 2 tranzacții din fiecare curs de instruire (din perioada </w:t>
            </w:r>
            <w:r w:rsidR="00A444C1">
              <w:rPr>
                <w:rFonts w:asciiTheme="majorHAnsi" w:hAnsiTheme="majorHAnsi" w:cstheme="majorHAnsi"/>
                <w:lang w:val="ro-MD"/>
              </w:rPr>
              <w:t xml:space="preserve">anilor </w:t>
            </w:r>
            <w:r w:rsidRPr="0030783B">
              <w:rPr>
                <w:rFonts w:asciiTheme="majorHAnsi" w:hAnsiTheme="majorHAnsi" w:cstheme="majorHAnsi"/>
                <w:lang w:val="ro-MD"/>
              </w:rPr>
              <w:t xml:space="preserve">2020-2021). </w:t>
            </w:r>
          </w:p>
          <w:p w14:paraId="01FDF17E" w14:textId="3A2C078C" w:rsidR="004D496F" w:rsidRPr="0030783B" w:rsidRDefault="004D496F" w:rsidP="004D496F">
            <w:pPr>
              <w:rPr>
                <w:rFonts w:asciiTheme="majorHAnsi" w:hAnsiTheme="majorHAnsi" w:cstheme="majorHAnsi"/>
                <w:lang w:val="ro-MD"/>
              </w:rPr>
            </w:pPr>
            <w:r w:rsidRPr="0030783B">
              <w:rPr>
                <w:rFonts w:asciiTheme="majorHAnsi" w:hAnsiTheme="majorHAnsi" w:cstheme="majorHAnsi"/>
                <w:lang w:val="ro-MD"/>
              </w:rPr>
              <w:t xml:space="preserve">Astfel, </w:t>
            </w:r>
            <w:r w:rsidR="00A444C1">
              <w:rPr>
                <w:rFonts w:asciiTheme="majorHAnsi" w:hAnsiTheme="majorHAnsi" w:cstheme="majorHAnsi"/>
                <w:lang w:val="ro-MD"/>
              </w:rPr>
              <w:t xml:space="preserve">în </w:t>
            </w:r>
            <w:r w:rsidRPr="0030783B">
              <w:rPr>
                <w:rFonts w:asciiTheme="majorHAnsi" w:hAnsiTheme="majorHAnsi" w:cstheme="majorHAnsi"/>
                <w:lang w:val="ro-MD"/>
              </w:rPr>
              <w:t>anul 2020</w:t>
            </w:r>
            <w:r w:rsidR="00A444C1">
              <w:rPr>
                <w:rFonts w:asciiTheme="majorHAnsi" w:hAnsiTheme="majorHAnsi" w:cstheme="majorHAnsi"/>
                <w:lang w:val="ro-MD"/>
              </w:rPr>
              <w:t xml:space="preserve"> </w:t>
            </w:r>
            <w:r w:rsidRPr="0030783B">
              <w:rPr>
                <w:rFonts w:asciiTheme="majorHAnsi" w:hAnsiTheme="majorHAnsi" w:cstheme="majorHAnsi"/>
                <w:lang w:val="ro-MD"/>
              </w:rPr>
              <w:t>-</w:t>
            </w:r>
            <w:r w:rsidR="00A444C1">
              <w:rPr>
                <w:rFonts w:asciiTheme="majorHAnsi" w:hAnsiTheme="majorHAnsi" w:cstheme="majorHAnsi"/>
                <w:lang w:val="ro-MD"/>
              </w:rPr>
              <w:t xml:space="preserve"> </w:t>
            </w:r>
            <w:r w:rsidRPr="0030783B">
              <w:rPr>
                <w:rFonts w:asciiTheme="majorHAnsi" w:hAnsiTheme="majorHAnsi" w:cstheme="majorHAnsi"/>
                <w:lang w:val="ro-MD"/>
              </w:rPr>
              <w:t xml:space="preserve">9 tranzacții, </w:t>
            </w:r>
          </w:p>
          <w:p w14:paraId="06261B5C" w14:textId="5F08DC14" w:rsidR="004D496F" w:rsidRPr="00CA16BD" w:rsidRDefault="00A444C1" w:rsidP="004D496F">
            <w:pPr>
              <w:rPr>
                <w:rFonts w:asciiTheme="majorHAnsi" w:hAnsiTheme="majorHAnsi" w:cstheme="majorHAnsi"/>
                <w:lang w:val="ro-MD"/>
              </w:rPr>
            </w:pPr>
            <w:r>
              <w:rPr>
                <w:rFonts w:asciiTheme="majorHAnsi" w:hAnsiTheme="majorHAnsi" w:cstheme="majorHAnsi"/>
                <w:lang w:val="ro-MD"/>
              </w:rPr>
              <w:t xml:space="preserve">în </w:t>
            </w:r>
            <w:r w:rsidR="004D496F" w:rsidRPr="0030783B">
              <w:rPr>
                <w:rFonts w:asciiTheme="majorHAnsi" w:hAnsiTheme="majorHAnsi" w:cstheme="majorHAnsi"/>
                <w:lang w:val="ro-MD"/>
              </w:rPr>
              <w:t>anul 2021-20 tranzacții.</w:t>
            </w:r>
          </w:p>
          <w:p w14:paraId="7EF44ED2" w14:textId="299B15A4" w:rsidR="004D496F" w:rsidRPr="00D5551C" w:rsidRDefault="004D496F" w:rsidP="004D496F">
            <w:pPr>
              <w:rPr>
                <w:rFonts w:asciiTheme="majorHAnsi" w:hAnsiTheme="majorHAnsi" w:cstheme="majorHAnsi"/>
                <w:lang w:val="ro-MD"/>
              </w:rPr>
            </w:pPr>
            <w:r w:rsidRPr="00446CE8">
              <w:rPr>
                <w:rFonts w:asciiTheme="majorHAnsi" w:hAnsiTheme="majorHAnsi" w:cstheme="majorHAnsi"/>
                <w:lang w:val="ro-MD"/>
              </w:rPr>
              <w:t>MOLDAC</w:t>
            </w:r>
            <w:r>
              <w:rPr>
                <w:rFonts w:asciiTheme="majorHAnsi" w:hAnsiTheme="majorHAnsi" w:cstheme="majorHAnsi"/>
                <w:lang w:val="ro-MD"/>
              </w:rPr>
              <w:t>: P</w:t>
            </w:r>
            <w:r w:rsidRPr="0094701A">
              <w:rPr>
                <w:rFonts w:asciiTheme="majorHAnsi" w:hAnsiTheme="majorHAnsi" w:cstheme="majorHAnsi"/>
                <w:lang w:val="ro-MD"/>
              </w:rPr>
              <w:t>entru testarea serviciilor de</w:t>
            </w:r>
            <w:r>
              <w:rPr>
                <w:rFonts w:asciiTheme="majorHAnsi" w:hAnsiTheme="majorHAnsi" w:cstheme="majorHAnsi"/>
                <w:lang w:val="ro-MD"/>
              </w:rPr>
              <w:t xml:space="preserve"> acreditare/atestare au fost selectate câte </w:t>
            </w:r>
            <w:r w:rsidRPr="00D5551C">
              <w:rPr>
                <w:rFonts w:asciiTheme="majorHAnsi" w:hAnsiTheme="majorHAnsi" w:cstheme="majorHAnsi"/>
                <w:lang w:val="ro-MD"/>
              </w:rPr>
              <w:t>1 tranzacție din fiecare lună pentru fiecare etap</w:t>
            </w:r>
            <w:r w:rsidR="00A444C1">
              <w:rPr>
                <w:rFonts w:asciiTheme="majorHAnsi" w:hAnsiTheme="majorHAnsi" w:cstheme="majorHAnsi"/>
                <w:lang w:val="ro-MD"/>
              </w:rPr>
              <w:t>ă a</w:t>
            </w:r>
            <w:r w:rsidRPr="00D5551C">
              <w:rPr>
                <w:rFonts w:asciiTheme="majorHAnsi" w:hAnsiTheme="majorHAnsi" w:cstheme="majorHAnsi"/>
                <w:lang w:val="ro-MD"/>
              </w:rPr>
              <w:t xml:space="preserve"> ciclului de acreditare/atestare, și anume</w:t>
            </w:r>
            <w:r w:rsidR="00A444C1">
              <w:rPr>
                <w:rFonts w:asciiTheme="majorHAnsi" w:hAnsiTheme="majorHAnsi" w:cstheme="majorHAnsi"/>
                <w:lang w:val="ro-MD"/>
              </w:rPr>
              <w:t>,</w:t>
            </w:r>
            <w:r w:rsidRPr="00D5551C">
              <w:rPr>
                <w:rFonts w:asciiTheme="majorHAnsi" w:hAnsiTheme="majorHAnsi" w:cstheme="majorHAnsi"/>
                <w:lang w:val="ro-MD"/>
              </w:rPr>
              <w:t xml:space="preserve"> acreditare/atestare inițială, reacreditare/reatestare, supraveghere, extindere. Astfel</w:t>
            </w:r>
            <w:r w:rsidR="00A444C1">
              <w:rPr>
                <w:rFonts w:asciiTheme="majorHAnsi" w:hAnsiTheme="majorHAnsi" w:cstheme="majorHAnsi"/>
                <w:lang w:val="ro-MD"/>
              </w:rPr>
              <w:t>,</w:t>
            </w:r>
            <w:r w:rsidRPr="00D5551C">
              <w:rPr>
                <w:rFonts w:asciiTheme="majorHAnsi" w:hAnsiTheme="majorHAnsi" w:cstheme="majorHAnsi"/>
                <w:lang w:val="ro-MD"/>
              </w:rPr>
              <w:t xml:space="preserve"> pentru serviciile de acreditare în a</w:t>
            </w:r>
            <w:r w:rsidR="00A444C1">
              <w:rPr>
                <w:rFonts w:asciiTheme="majorHAnsi" w:hAnsiTheme="majorHAnsi" w:cstheme="majorHAnsi"/>
                <w:lang w:val="ro-MD"/>
              </w:rPr>
              <w:t xml:space="preserve">nul </w:t>
            </w:r>
            <w:r w:rsidRPr="00D5551C">
              <w:rPr>
                <w:rFonts w:asciiTheme="majorHAnsi" w:hAnsiTheme="majorHAnsi" w:cstheme="majorHAnsi"/>
                <w:lang w:val="ro-MD"/>
              </w:rPr>
              <w:t>2020</w:t>
            </w:r>
            <w:r w:rsidR="00A444C1">
              <w:rPr>
                <w:rFonts w:asciiTheme="majorHAnsi" w:hAnsiTheme="majorHAnsi" w:cstheme="majorHAnsi"/>
                <w:lang w:val="ro-MD"/>
              </w:rPr>
              <w:t xml:space="preserve"> </w:t>
            </w:r>
            <w:r w:rsidRPr="00D5551C">
              <w:rPr>
                <w:rFonts w:asciiTheme="majorHAnsi" w:hAnsiTheme="majorHAnsi" w:cstheme="majorHAnsi"/>
                <w:lang w:val="ro-MD"/>
              </w:rPr>
              <w:t>-12 tranzacții</w:t>
            </w:r>
            <w:r w:rsidR="00A444C1">
              <w:rPr>
                <w:rFonts w:asciiTheme="majorHAnsi" w:hAnsiTheme="majorHAnsi" w:cstheme="majorHAnsi"/>
                <w:lang w:val="ro-MD"/>
              </w:rPr>
              <w:t>,</w:t>
            </w:r>
            <w:r w:rsidRPr="00D5551C">
              <w:rPr>
                <w:rFonts w:asciiTheme="majorHAnsi" w:hAnsiTheme="majorHAnsi" w:cstheme="majorHAnsi"/>
                <w:lang w:val="ro-MD"/>
              </w:rPr>
              <w:t xml:space="preserve"> și a</w:t>
            </w:r>
            <w:r w:rsidR="00A444C1">
              <w:rPr>
                <w:rFonts w:asciiTheme="majorHAnsi" w:hAnsiTheme="majorHAnsi" w:cstheme="majorHAnsi"/>
                <w:lang w:val="ro-MD"/>
              </w:rPr>
              <w:t xml:space="preserve">nul </w:t>
            </w:r>
            <w:r w:rsidRPr="00D5551C">
              <w:rPr>
                <w:rFonts w:asciiTheme="majorHAnsi" w:hAnsiTheme="majorHAnsi" w:cstheme="majorHAnsi"/>
                <w:lang w:val="ro-MD"/>
              </w:rPr>
              <w:t xml:space="preserve">2021-12 tranzacții. </w:t>
            </w:r>
          </w:p>
          <w:p w14:paraId="7D80BA2C" w14:textId="59D1B46C" w:rsidR="004D496F" w:rsidRDefault="004D496F" w:rsidP="004D496F">
            <w:pPr>
              <w:rPr>
                <w:rFonts w:asciiTheme="majorHAnsi" w:hAnsiTheme="majorHAnsi" w:cstheme="majorHAnsi"/>
                <w:lang w:val="ro-MD"/>
              </w:rPr>
            </w:pPr>
            <w:r w:rsidRPr="00D5551C">
              <w:rPr>
                <w:rFonts w:asciiTheme="majorHAnsi" w:hAnsiTheme="majorHAnsi" w:cstheme="majorHAnsi"/>
                <w:lang w:val="ro-MD"/>
              </w:rPr>
              <w:t>Pentru serviciile de atestare în a</w:t>
            </w:r>
            <w:r w:rsidR="00A444C1">
              <w:rPr>
                <w:rFonts w:asciiTheme="majorHAnsi" w:hAnsiTheme="majorHAnsi" w:cstheme="majorHAnsi"/>
                <w:lang w:val="ro-MD"/>
              </w:rPr>
              <w:t xml:space="preserve">nul </w:t>
            </w:r>
            <w:r w:rsidRPr="00D5551C">
              <w:rPr>
                <w:rFonts w:asciiTheme="majorHAnsi" w:hAnsiTheme="majorHAnsi" w:cstheme="majorHAnsi"/>
                <w:lang w:val="ro-MD"/>
              </w:rPr>
              <w:t>2020</w:t>
            </w:r>
            <w:r w:rsidR="00A444C1">
              <w:rPr>
                <w:rFonts w:asciiTheme="majorHAnsi" w:hAnsiTheme="majorHAnsi" w:cstheme="majorHAnsi"/>
                <w:lang w:val="ro-MD"/>
              </w:rPr>
              <w:t xml:space="preserve"> </w:t>
            </w:r>
            <w:r w:rsidRPr="00D5551C">
              <w:rPr>
                <w:rFonts w:asciiTheme="majorHAnsi" w:hAnsiTheme="majorHAnsi" w:cstheme="majorHAnsi"/>
                <w:lang w:val="ro-MD"/>
              </w:rPr>
              <w:t xml:space="preserve">-10 tranzacții, </w:t>
            </w:r>
            <w:r w:rsidR="00A444C1">
              <w:rPr>
                <w:rFonts w:asciiTheme="majorHAnsi" w:hAnsiTheme="majorHAnsi" w:cstheme="majorHAnsi"/>
                <w:lang w:val="ro-MD"/>
              </w:rPr>
              <w:t xml:space="preserve">în </w:t>
            </w:r>
            <w:r w:rsidRPr="00D5551C">
              <w:rPr>
                <w:rFonts w:asciiTheme="majorHAnsi" w:hAnsiTheme="majorHAnsi" w:cstheme="majorHAnsi"/>
                <w:lang w:val="ro-MD"/>
              </w:rPr>
              <w:t>a</w:t>
            </w:r>
            <w:r w:rsidR="00A444C1">
              <w:rPr>
                <w:rFonts w:asciiTheme="majorHAnsi" w:hAnsiTheme="majorHAnsi" w:cstheme="majorHAnsi"/>
                <w:lang w:val="ro-MD"/>
              </w:rPr>
              <w:t xml:space="preserve">nul </w:t>
            </w:r>
            <w:r w:rsidRPr="00D5551C">
              <w:rPr>
                <w:rFonts w:asciiTheme="majorHAnsi" w:hAnsiTheme="majorHAnsi" w:cstheme="majorHAnsi"/>
                <w:lang w:val="ro-MD"/>
              </w:rPr>
              <w:t>2021-11 tranzacții.</w:t>
            </w:r>
          </w:p>
          <w:p w14:paraId="4E7330A1" w14:textId="77777777" w:rsidR="004D496F" w:rsidRPr="0030783B" w:rsidRDefault="004D496F" w:rsidP="004D496F">
            <w:pPr>
              <w:rPr>
                <w:rFonts w:asciiTheme="majorHAnsi" w:hAnsiTheme="majorHAnsi" w:cstheme="majorHAnsi"/>
                <w:lang w:val="ro-MD"/>
              </w:rPr>
            </w:pPr>
            <w:r>
              <w:rPr>
                <w:rFonts w:asciiTheme="majorHAnsi" w:hAnsiTheme="majorHAnsi" w:cstheme="majorHAnsi"/>
                <w:lang w:val="ro-MD"/>
              </w:rPr>
              <w:t xml:space="preserve">La </w:t>
            </w:r>
            <w:r w:rsidRPr="0030783B">
              <w:rPr>
                <w:rFonts w:asciiTheme="majorHAnsi" w:hAnsiTheme="majorHAnsi" w:cstheme="majorHAnsi"/>
                <w:lang w:val="ro-MD"/>
              </w:rPr>
              <w:t>serviciile de instruire</w:t>
            </w:r>
          </w:p>
          <w:p w14:paraId="341D7A10" w14:textId="2AEDE3FC" w:rsidR="004D496F" w:rsidRPr="00492394" w:rsidRDefault="004D496F" w:rsidP="004D496F">
            <w:pPr>
              <w:rPr>
                <w:rFonts w:asciiTheme="majorHAnsi" w:hAnsiTheme="majorHAnsi" w:cstheme="majorHAnsi"/>
                <w:highlight w:val="yellow"/>
                <w:lang w:val="ro-MD"/>
              </w:rPr>
            </w:pPr>
            <w:r w:rsidRPr="0030783B">
              <w:rPr>
                <w:rFonts w:asciiTheme="majorHAnsi" w:hAnsiTheme="majorHAnsi" w:cstheme="majorHAnsi"/>
                <w:lang w:val="ro-MD"/>
              </w:rPr>
              <w:t xml:space="preserve">au fost </w:t>
            </w:r>
            <w:r>
              <w:rPr>
                <w:rFonts w:asciiTheme="majorHAnsi" w:hAnsiTheme="majorHAnsi" w:cstheme="majorHAnsi"/>
                <w:lang w:val="ro-MD"/>
              </w:rPr>
              <w:t>selectate toate 4 cursuri organizate în a</w:t>
            </w:r>
            <w:r w:rsidR="00A444C1">
              <w:rPr>
                <w:rFonts w:asciiTheme="majorHAnsi" w:hAnsiTheme="majorHAnsi" w:cstheme="majorHAnsi"/>
                <w:lang w:val="ro-MD"/>
              </w:rPr>
              <w:t xml:space="preserve">nul </w:t>
            </w:r>
            <w:r>
              <w:rPr>
                <w:rFonts w:asciiTheme="majorHAnsi" w:hAnsiTheme="majorHAnsi" w:cstheme="majorHAnsi"/>
                <w:lang w:val="ro-MD"/>
              </w:rPr>
              <w:t xml:space="preserve">2020 (în valoare de 633,6 mii lei) și 6 cursuri </w:t>
            </w:r>
            <w:r w:rsidR="00A444C1">
              <w:rPr>
                <w:rFonts w:asciiTheme="majorHAnsi" w:hAnsiTheme="majorHAnsi" w:cstheme="majorHAnsi"/>
                <w:lang w:val="ro-MD"/>
              </w:rPr>
              <w:t xml:space="preserve">- </w:t>
            </w:r>
            <w:r>
              <w:rPr>
                <w:rFonts w:asciiTheme="majorHAnsi" w:hAnsiTheme="majorHAnsi" w:cstheme="majorHAnsi"/>
                <w:lang w:val="ro-MD"/>
              </w:rPr>
              <w:t>în a</w:t>
            </w:r>
            <w:r w:rsidR="00A444C1">
              <w:rPr>
                <w:rFonts w:asciiTheme="majorHAnsi" w:hAnsiTheme="majorHAnsi" w:cstheme="majorHAnsi"/>
                <w:lang w:val="ro-MD"/>
              </w:rPr>
              <w:t xml:space="preserve">nul </w:t>
            </w:r>
            <w:r>
              <w:rPr>
                <w:rFonts w:asciiTheme="majorHAnsi" w:hAnsiTheme="majorHAnsi" w:cstheme="majorHAnsi"/>
                <w:lang w:val="ro-MD"/>
              </w:rPr>
              <w:t>2021 (în valoare de 437,9 mii lei).</w:t>
            </w:r>
          </w:p>
        </w:tc>
      </w:tr>
      <w:tr w:rsidR="00136F09" w:rsidRPr="000B69E2" w14:paraId="54246B13" w14:textId="77777777" w:rsidTr="002E6540">
        <w:trPr>
          <w:trHeight w:val="203"/>
        </w:trPr>
        <w:tc>
          <w:tcPr>
            <w:tcW w:w="14174" w:type="dxa"/>
            <w:gridSpan w:val="5"/>
          </w:tcPr>
          <w:p w14:paraId="27D5E7A5" w14:textId="2B2FF5FD" w:rsidR="00136F09" w:rsidRPr="00136F09" w:rsidRDefault="00136F09" w:rsidP="004D496F">
            <w:pPr>
              <w:rPr>
                <w:rFonts w:asciiTheme="majorHAnsi" w:hAnsiTheme="majorHAnsi" w:cstheme="majorHAnsi"/>
                <w:b/>
                <w:lang w:val="ro-MD"/>
              </w:rPr>
            </w:pPr>
            <w:r w:rsidRPr="00136F09">
              <w:rPr>
                <w:rFonts w:asciiTheme="majorHAnsi" w:hAnsiTheme="majorHAnsi" w:cstheme="majorHAnsi"/>
                <w:b/>
                <w:lang w:val="ro-MD"/>
              </w:rPr>
              <w:t>Resursele bugetare alocate (subsidiile) au fost utilizate conform necesităților reale ale instituțiilor, cu respectarea legalității cheltuielilor?</w:t>
            </w:r>
          </w:p>
        </w:tc>
      </w:tr>
      <w:tr w:rsidR="004D496F" w:rsidRPr="000B69E2" w14:paraId="71600621" w14:textId="77777777" w:rsidTr="002E6540">
        <w:trPr>
          <w:trHeight w:val="203"/>
        </w:trPr>
        <w:tc>
          <w:tcPr>
            <w:tcW w:w="1779" w:type="dxa"/>
          </w:tcPr>
          <w:p w14:paraId="66DBE9DD" w14:textId="03500AE0" w:rsidR="004D496F" w:rsidRPr="000B69E2" w:rsidRDefault="004D496F" w:rsidP="004D496F">
            <w:pPr>
              <w:jc w:val="both"/>
              <w:rPr>
                <w:rFonts w:asciiTheme="majorHAnsi" w:hAnsiTheme="majorHAnsi" w:cstheme="majorHAnsi"/>
                <w:lang w:val="ro-MD"/>
              </w:rPr>
            </w:pPr>
            <w:r>
              <w:rPr>
                <w:rFonts w:asciiTheme="majorHAnsi" w:hAnsiTheme="majorHAnsi" w:cstheme="majorHAnsi"/>
                <w:b/>
                <w:lang w:val="ro-MD"/>
              </w:rPr>
              <w:t>4.2</w:t>
            </w:r>
            <w:r w:rsidR="00A444C1">
              <w:rPr>
                <w:rFonts w:asciiTheme="majorHAnsi" w:hAnsiTheme="majorHAnsi" w:cstheme="majorHAnsi"/>
                <w:b/>
                <w:lang w:val="ro-MD"/>
              </w:rPr>
              <w:t>.</w:t>
            </w:r>
            <w:r w:rsidRPr="000B69E2">
              <w:rPr>
                <w:rFonts w:asciiTheme="majorHAnsi" w:hAnsiTheme="majorHAnsi" w:cstheme="majorHAnsi"/>
                <w:lang w:val="ro-MD"/>
              </w:rPr>
              <w:t xml:space="preserve"> Insuficiența surselor de venituri pentru asigurarea activității entității </w:t>
            </w:r>
          </w:p>
          <w:p w14:paraId="1DA7B9D3" w14:textId="5D4598CA" w:rsidR="004D496F" w:rsidRPr="000B69E2" w:rsidRDefault="00E048B0" w:rsidP="004D496F">
            <w:pPr>
              <w:jc w:val="both"/>
              <w:rPr>
                <w:rFonts w:asciiTheme="majorHAnsi" w:hAnsiTheme="majorHAnsi" w:cstheme="majorHAnsi"/>
                <w:lang w:val="ro-MD"/>
              </w:rPr>
            </w:pPr>
            <w:r>
              <w:rPr>
                <w:rFonts w:asciiTheme="majorHAnsi" w:hAnsiTheme="majorHAnsi" w:cstheme="majorHAnsi"/>
                <w:lang w:val="ro-MD"/>
              </w:rPr>
              <w:t xml:space="preserve">(tarife învechite) </w:t>
            </w:r>
          </w:p>
        </w:tc>
        <w:tc>
          <w:tcPr>
            <w:tcW w:w="3603" w:type="dxa"/>
          </w:tcPr>
          <w:p w14:paraId="469094C4" w14:textId="3F269D3A" w:rsidR="004D496F" w:rsidRPr="000B69E2" w:rsidRDefault="004D496F" w:rsidP="004D496F">
            <w:pPr>
              <w:rPr>
                <w:rFonts w:asciiTheme="majorHAnsi" w:hAnsiTheme="majorHAnsi" w:cstheme="majorHAnsi"/>
                <w:b/>
                <w:lang w:val="ro-MD"/>
              </w:rPr>
            </w:pPr>
            <w:r w:rsidRPr="000B69E2">
              <w:rPr>
                <w:rFonts w:asciiTheme="majorHAnsi" w:hAnsiTheme="majorHAnsi" w:cstheme="majorHAnsi"/>
                <w:lang w:val="ro-MD"/>
              </w:rPr>
              <w:t>Metodologia de calcul a</w:t>
            </w:r>
            <w:r w:rsidR="00256F47">
              <w:rPr>
                <w:rFonts w:asciiTheme="majorHAnsi" w:hAnsiTheme="majorHAnsi" w:cstheme="majorHAnsi"/>
                <w:lang w:val="ro-MD"/>
              </w:rPr>
              <w:t>l</w:t>
            </w:r>
            <w:r w:rsidRPr="000B69E2">
              <w:rPr>
                <w:rFonts w:asciiTheme="majorHAnsi" w:hAnsiTheme="majorHAnsi" w:cstheme="majorHAnsi"/>
                <w:lang w:val="ro-MD"/>
              </w:rPr>
              <w:t xml:space="preserve"> tarifelor pentru serviciile prestate</w:t>
            </w:r>
            <w:r w:rsidR="00256F47">
              <w:rPr>
                <w:rFonts w:asciiTheme="majorHAnsi" w:hAnsiTheme="majorHAnsi" w:cstheme="majorHAnsi"/>
                <w:lang w:val="ro-MD"/>
              </w:rPr>
              <w:t>,</w:t>
            </w:r>
            <w:r w:rsidRPr="000B69E2">
              <w:rPr>
                <w:rFonts w:asciiTheme="majorHAnsi" w:hAnsiTheme="majorHAnsi" w:cstheme="majorHAnsi"/>
                <w:lang w:val="ro-MD"/>
              </w:rPr>
              <w:t xml:space="preserve"> care  este aprobată conform cadrului legislativ.</w:t>
            </w:r>
            <w:r w:rsidRPr="000B69E2">
              <w:rPr>
                <w:rFonts w:asciiTheme="majorHAnsi" w:hAnsiTheme="majorHAnsi" w:cstheme="majorHAnsi"/>
                <w:lang w:val="ro-MD"/>
              </w:rPr>
              <w:br/>
              <w:t>Nomenclatorul serviciilor prestate.</w:t>
            </w:r>
          </w:p>
        </w:tc>
        <w:tc>
          <w:tcPr>
            <w:tcW w:w="2126" w:type="dxa"/>
          </w:tcPr>
          <w:p w14:paraId="486E2DF5" w14:textId="456846C9" w:rsidR="00E048B0" w:rsidRPr="00AD589A" w:rsidRDefault="00E048B0" w:rsidP="007E002D">
            <w:pPr>
              <w:pStyle w:val="ListParagraph"/>
              <w:numPr>
                <w:ilvl w:val="0"/>
                <w:numId w:val="34"/>
              </w:numPr>
              <w:tabs>
                <w:tab w:val="left" w:pos="191"/>
              </w:tabs>
              <w:ind w:left="49" w:firstLine="0"/>
              <w:jc w:val="both"/>
              <w:rPr>
                <w:rFonts w:asciiTheme="majorHAnsi" w:hAnsiTheme="majorHAnsi" w:cstheme="majorHAnsi"/>
              </w:rPr>
            </w:pPr>
            <w:r w:rsidRPr="00AD589A">
              <w:rPr>
                <w:rFonts w:asciiTheme="majorHAnsi" w:hAnsiTheme="majorHAnsi" w:cstheme="majorHAnsi"/>
              </w:rPr>
              <w:t xml:space="preserve">Legea </w:t>
            </w:r>
            <w:r w:rsidR="00256F47">
              <w:rPr>
                <w:rFonts w:asciiTheme="majorHAnsi" w:hAnsiTheme="majorHAnsi" w:cstheme="majorHAnsi"/>
              </w:rPr>
              <w:t>n</w:t>
            </w:r>
            <w:r w:rsidRPr="00AD589A">
              <w:rPr>
                <w:rFonts w:asciiTheme="majorHAnsi" w:hAnsiTheme="majorHAnsi" w:cstheme="majorHAnsi"/>
              </w:rPr>
              <w:t>r. 181 din 25</w:t>
            </w:r>
            <w:r w:rsidR="00256F47">
              <w:rPr>
                <w:rFonts w:asciiTheme="majorHAnsi" w:hAnsiTheme="majorHAnsi" w:cstheme="majorHAnsi"/>
              </w:rPr>
              <w:t>.</w:t>
            </w:r>
            <w:r w:rsidRPr="00AD589A">
              <w:rPr>
                <w:rFonts w:asciiTheme="majorHAnsi" w:hAnsiTheme="majorHAnsi" w:cstheme="majorHAnsi"/>
              </w:rPr>
              <w:t>07</w:t>
            </w:r>
            <w:r w:rsidR="00256F47">
              <w:rPr>
                <w:rFonts w:asciiTheme="majorHAnsi" w:hAnsiTheme="majorHAnsi" w:cstheme="majorHAnsi"/>
              </w:rPr>
              <w:t>.</w:t>
            </w:r>
            <w:r w:rsidRPr="00AD589A">
              <w:rPr>
                <w:rFonts w:asciiTheme="majorHAnsi" w:hAnsiTheme="majorHAnsi" w:cstheme="majorHAnsi"/>
              </w:rPr>
              <w:t>2014, art.43, alin.(1),(2).</w:t>
            </w:r>
          </w:p>
          <w:p w14:paraId="45E5D95C" w14:textId="10421DCB" w:rsidR="00E048B0" w:rsidRPr="00AD589A" w:rsidRDefault="00E048B0" w:rsidP="007E002D">
            <w:pPr>
              <w:pStyle w:val="ListParagraph"/>
              <w:numPr>
                <w:ilvl w:val="0"/>
                <w:numId w:val="34"/>
              </w:numPr>
              <w:tabs>
                <w:tab w:val="left" w:pos="191"/>
              </w:tabs>
              <w:ind w:left="49" w:firstLine="0"/>
              <w:jc w:val="both"/>
              <w:rPr>
                <w:rFonts w:asciiTheme="majorHAnsi" w:hAnsiTheme="majorHAnsi" w:cstheme="majorHAnsi"/>
              </w:rPr>
            </w:pPr>
            <w:r w:rsidRPr="00AD589A">
              <w:rPr>
                <w:rFonts w:asciiTheme="majorHAnsi" w:hAnsiTheme="majorHAnsi" w:cstheme="majorHAnsi"/>
              </w:rPr>
              <w:t>Legea nr.19 din 04.03.2016, Metodologia de calcul a</w:t>
            </w:r>
            <w:r w:rsidR="00256F47">
              <w:rPr>
                <w:rFonts w:asciiTheme="majorHAnsi" w:hAnsiTheme="majorHAnsi" w:cstheme="majorHAnsi"/>
              </w:rPr>
              <w:t>l</w:t>
            </w:r>
            <w:r w:rsidRPr="00AD589A">
              <w:rPr>
                <w:rFonts w:asciiTheme="majorHAnsi" w:hAnsiTheme="majorHAnsi" w:cstheme="majorHAnsi"/>
              </w:rPr>
              <w:t xml:space="preserve"> tarifelor la serviciile metrologice prestate de INM; </w:t>
            </w:r>
          </w:p>
          <w:p w14:paraId="1DD07198" w14:textId="4C7068F5" w:rsidR="00E048B0" w:rsidRPr="00AD589A" w:rsidRDefault="00E048B0" w:rsidP="007E002D">
            <w:pPr>
              <w:pStyle w:val="ListParagraph"/>
              <w:numPr>
                <w:ilvl w:val="0"/>
                <w:numId w:val="34"/>
              </w:numPr>
              <w:tabs>
                <w:tab w:val="left" w:pos="191"/>
              </w:tabs>
              <w:ind w:left="49" w:firstLine="0"/>
              <w:jc w:val="both"/>
              <w:rPr>
                <w:rFonts w:asciiTheme="majorHAnsi" w:hAnsiTheme="majorHAnsi" w:cstheme="majorHAnsi"/>
                <w:bCs/>
              </w:rPr>
            </w:pPr>
            <w:r w:rsidRPr="00AD589A">
              <w:rPr>
                <w:rFonts w:asciiTheme="majorHAnsi" w:hAnsiTheme="majorHAnsi" w:cstheme="majorHAnsi"/>
              </w:rPr>
              <w:t xml:space="preserve">Legea nr.235 din 01.12.2011, </w:t>
            </w:r>
            <w:r w:rsidR="00256F47">
              <w:rPr>
                <w:rFonts w:asciiTheme="majorHAnsi" w:hAnsiTheme="majorHAnsi" w:cstheme="majorHAnsi"/>
              </w:rPr>
              <w:t>A</w:t>
            </w:r>
            <w:r w:rsidRPr="00AD589A">
              <w:rPr>
                <w:rFonts w:asciiTheme="majorHAnsi" w:hAnsiTheme="majorHAnsi" w:cstheme="majorHAnsi"/>
              </w:rPr>
              <w:t xml:space="preserve">nexa nr.1, </w:t>
            </w:r>
            <w:r w:rsidRPr="00AD589A">
              <w:rPr>
                <w:rFonts w:asciiTheme="majorHAnsi" w:hAnsiTheme="majorHAnsi" w:cstheme="majorHAnsi"/>
                <w:bCs/>
              </w:rPr>
              <w:t>Schema de calculare a plăţilor pentru serviciile de acreditare.</w:t>
            </w:r>
          </w:p>
          <w:p w14:paraId="60A29F85" w14:textId="6FDD508B" w:rsidR="00E048B0" w:rsidRPr="00AD589A" w:rsidRDefault="00E048B0" w:rsidP="007E002D">
            <w:pPr>
              <w:pStyle w:val="ListParagraph"/>
              <w:numPr>
                <w:ilvl w:val="0"/>
                <w:numId w:val="34"/>
              </w:numPr>
              <w:ind w:left="0" w:firstLine="47"/>
              <w:jc w:val="both"/>
              <w:rPr>
                <w:rFonts w:asciiTheme="majorHAnsi" w:hAnsiTheme="majorHAnsi" w:cstheme="majorHAnsi"/>
                <w:bCs/>
              </w:rPr>
            </w:pPr>
            <w:r w:rsidRPr="00AD589A">
              <w:rPr>
                <w:rFonts w:asciiTheme="majorHAnsi" w:hAnsiTheme="majorHAnsi" w:cstheme="majorHAnsi"/>
                <w:bCs/>
              </w:rPr>
              <w:t>HG nr. 1213 din 04</w:t>
            </w:r>
            <w:r w:rsidR="00256F47">
              <w:rPr>
                <w:rFonts w:asciiTheme="majorHAnsi" w:hAnsiTheme="majorHAnsi" w:cstheme="majorHAnsi"/>
                <w:bCs/>
              </w:rPr>
              <w:t>.</w:t>
            </w:r>
            <w:r w:rsidRPr="00AD589A">
              <w:rPr>
                <w:rFonts w:asciiTheme="majorHAnsi" w:hAnsiTheme="majorHAnsi" w:cstheme="majorHAnsi"/>
                <w:bCs/>
              </w:rPr>
              <w:t>11</w:t>
            </w:r>
            <w:r w:rsidR="00256F47">
              <w:rPr>
                <w:rFonts w:asciiTheme="majorHAnsi" w:hAnsiTheme="majorHAnsi" w:cstheme="majorHAnsi"/>
                <w:bCs/>
              </w:rPr>
              <w:t>.</w:t>
            </w:r>
            <w:r w:rsidRPr="00AD589A">
              <w:rPr>
                <w:rFonts w:asciiTheme="majorHAnsi" w:hAnsiTheme="majorHAnsi" w:cstheme="majorHAnsi"/>
                <w:bCs/>
              </w:rPr>
              <w:t>2016</w:t>
            </w:r>
            <w:r w:rsidRPr="00AD589A">
              <w:rPr>
                <w:rFonts w:asciiTheme="majorHAnsi" w:eastAsia="Times New Roman" w:hAnsiTheme="majorHAnsi" w:cstheme="majorHAnsi"/>
                <w:i/>
                <w:iCs/>
                <w:sz w:val="24"/>
                <w:szCs w:val="24"/>
              </w:rPr>
              <w:t xml:space="preserve"> </w:t>
            </w:r>
            <w:r w:rsidRPr="00AD589A">
              <w:rPr>
                <w:rFonts w:asciiTheme="majorHAnsi" w:hAnsiTheme="majorHAnsi" w:cstheme="majorHAnsi"/>
                <w:bCs/>
              </w:rPr>
              <w:t>cu privire la serviciile în domeniul standardizării prestate contra plată de către Institutul de Standardizare din Moldova.</w:t>
            </w:r>
          </w:p>
          <w:p w14:paraId="6505AC25" w14:textId="2B7CC3EB" w:rsidR="004D496F" w:rsidRPr="00E048B0" w:rsidRDefault="00E048B0" w:rsidP="007E002D">
            <w:pPr>
              <w:pStyle w:val="ListParagraph"/>
              <w:numPr>
                <w:ilvl w:val="0"/>
                <w:numId w:val="34"/>
              </w:numPr>
              <w:ind w:left="0" w:firstLine="47"/>
              <w:jc w:val="both"/>
              <w:rPr>
                <w:rFonts w:asciiTheme="majorHAnsi" w:hAnsiTheme="majorHAnsi" w:cstheme="majorHAnsi"/>
                <w:bCs/>
              </w:rPr>
            </w:pPr>
            <w:r w:rsidRPr="00AD589A">
              <w:rPr>
                <w:rFonts w:asciiTheme="majorHAnsi" w:hAnsiTheme="majorHAnsi" w:cstheme="majorHAnsi"/>
                <w:bCs/>
              </w:rPr>
              <w:t>HG nr.1074 din 22.09.2016 cu privire la aprobarea Nomenclatorului serviciilor prestate în domeniul metrologiei de către Institutul Naţional de Metrologie</w:t>
            </w:r>
            <w:r>
              <w:rPr>
                <w:rFonts w:asciiTheme="majorHAnsi" w:hAnsiTheme="majorHAnsi" w:cstheme="majorHAnsi"/>
                <w:bCs/>
              </w:rPr>
              <w:t>.</w:t>
            </w:r>
          </w:p>
        </w:tc>
        <w:tc>
          <w:tcPr>
            <w:tcW w:w="2100" w:type="dxa"/>
          </w:tcPr>
          <w:p w14:paraId="25AA04CC" w14:textId="2A8CE578"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xml:space="preserve">• Examinarea documentelor </w:t>
            </w:r>
            <w:r>
              <w:rPr>
                <w:rFonts w:asciiTheme="majorHAnsi" w:hAnsiTheme="majorHAnsi" w:cstheme="majorHAnsi"/>
                <w:lang w:val="ro-MD"/>
              </w:rPr>
              <w:t>și registrelor contabile</w:t>
            </w:r>
            <w:r w:rsidR="00256F47">
              <w:rPr>
                <w:rFonts w:asciiTheme="majorHAnsi" w:hAnsiTheme="majorHAnsi" w:cstheme="majorHAnsi"/>
                <w:lang w:val="ro-MD"/>
              </w:rPr>
              <w:t>.</w:t>
            </w:r>
          </w:p>
          <w:p w14:paraId="0686DB88" w14:textId="353CDD31" w:rsidR="004D496F" w:rsidRPr="000B69E2" w:rsidRDefault="004D496F" w:rsidP="004D496F">
            <w:pPr>
              <w:rPr>
                <w:rFonts w:asciiTheme="majorHAnsi" w:hAnsiTheme="majorHAnsi" w:cstheme="majorHAnsi"/>
                <w:lang w:val="ro-MD"/>
              </w:rPr>
            </w:pPr>
            <w:r w:rsidRPr="000B69E2">
              <w:rPr>
                <w:rFonts w:asciiTheme="majorHAnsi" w:hAnsiTheme="majorHAnsi" w:cstheme="majorHAnsi"/>
                <w:lang w:val="ro-MD"/>
              </w:rPr>
              <w:t>• Intervievarea conducerii</w:t>
            </w:r>
            <w:r>
              <w:rPr>
                <w:rFonts w:asciiTheme="majorHAnsi" w:hAnsiTheme="majorHAnsi" w:cstheme="majorHAnsi"/>
                <w:lang w:val="ro-MD"/>
              </w:rPr>
              <w:t xml:space="preserve"> și persoanelor responsabile</w:t>
            </w:r>
            <w:r w:rsidR="00256F47">
              <w:rPr>
                <w:rFonts w:asciiTheme="majorHAnsi" w:hAnsiTheme="majorHAnsi" w:cstheme="majorHAnsi"/>
                <w:lang w:val="ro-MD"/>
              </w:rPr>
              <w:t>.</w:t>
            </w:r>
          </w:p>
          <w:p w14:paraId="7EA0A693" w14:textId="1867E394" w:rsidR="004D496F" w:rsidRPr="000B69E2" w:rsidRDefault="004D496F" w:rsidP="004D496F">
            <w:pPr>
              <w:rPr>
                <w:rFonts w:asciiTheme="majorHAnsi" w:hAnsiTheme="majorHAnsi" w:cstheme="majorHAnsi"/>
                <w:lang w:val="ro-MD"/>
              </w:rPr>
            </w:pPr>
            <w:r>
              <w:rPr>
                <w:rFonts w:asciiTheme="majorHAnsi" w:hAnsiTheme="majorHAnsi" w:cstheme="majorHAnsi"/>
                <w:lang w:val="ro-MD"/>
              </w:rPr>
              <w:t xml:space="preserve">• </w:t>
            </w:r>
            <w:r w:rsidR="00256F47">
              <w:rPr>
                <w:rFonts w:asciiTheme="majorHAnsi" w:hAnsiTheme="majorHAnsi" w:cstheme="majorHAnsi"/>
                <w:lang w:val="ro-MD"/>
              </w:rPr>
              <w:t>E</w:t>
            </w:r>
            <w:r w:rsidRPr="000B69E2">
              <w:rPr>
                <w:rFonts w:asciiTheme="majorHAnsi" w:hAnsiTheme="majorHAnsi" w:cstheme="majorHAnsi"/>
                <w:lang w:val="ro-MD"/>
              </w:rPr>
              <w:t>xplicații scrise</w:t>
            </w:r>
            <w:r w:rsidR="00256F47">
              <w:rPr>
                <w:rFonts w:asciiTheme="majorHAnsi" w:hAnsiTheme="majorHAnsi" w:cstheme="majorHAnsi"/>
                <w:lang w:val="ro-MD"/>
              </w:rPr>
              <w:t>.</w:t>
            </w:r>
          </w:p>
        </w:tc>
        <w:tc>
          <w:tcPr>
            <w:tcW w:w="4563" w:type="dxa"/>
          </w:tcPr>
          <w:p w14:paraId="7423621D" w14:textId="77777777" w:rsidR="004D496F" w:rsidRDefault="004D496F" w:rsidP="004D496F">
            <w:pPr>
              <w:rPr>
                <w:rFonts w:asciiTheme="majorHAnsi" w:hAnsiTheme="majorHAnsi" w:cstheme="majorHAnsi"/>
                <w:lang w:val="ro-MD"/>
              </w:rPr>
            </w:pPr>
            <w:r w:rsidRPr="000B69E2">
              <w:rPr>
                <w:rFonts w:asciiTheme="majorHAnsi" w:hAnsiTheme="majorHAnsi" w:cstheme="majorHAnsi"/>
                <w:lang w:val="ro-MD"/>
              </w:rPr>
              <w:t>Se vor examina toate actele normative aferente  ajustării cost</w:t>
            </w:r>
            <w:r>
              <w:rPr>
                <w:rFonts w:asciiTheme="majorHAnsi" w:hAnsiTheme="majorHAnsi" w:cstheme="majorHAnsi"/>
                <w:lang w:val="ro-MD"/>
              </w:rPr>
              <w:t>ului pentru serviciile prestate unde acestea au fost întocmite:</w:t>
            </w:r>
          </w:p>
          <w:p w14:paraId="0C77F789" w14:textId="64925AA3" w:rsidR="004D496F" w:rsidRPr="000B69E2" w:rsidRDefault="004D496F" w:rsidP="004D496F">
            <w:pPr>
              <w:rPr>
                <w:rFonts w:asciiTheme="majorHAnsi" w:hAnsiTheme="majorHAnsi" w:cstheme="majorHAnsi"/>
                <w:lang w:val="ro-MD"/>
              </w:rPr>
            </w:pPr>
            <w:r>
              <w:rPr>
                <w:rFonts w:asciiTheme="majorHAnsi" w:hAnsiTheme="majorHAnsi" w:cstheme="majorHAnsi"/>
                <w:lang w:val="ro-MD"/>
              </w:rPr>
              <w:t>ISM- 1 document propus spre ajustare din anul 2022</w:t>
            </w:r>
            <w:r w:rsidR="00256F47">
              <w:rPr>
                <w:rFonts w:asciiTheme="majorHAnsi" w:hAnsiTheme="majorHAnsi" w:cstheme="majorHAnsi"/>
                <w:lang w:val="ro-MD"/>
              </w:rPr>
              <w:t>.</w:t>
            </w:r>
          </w:p>
        </w:tc>
      </w:tr>
      <w:tr w:rsidR="004D496F" w:rsidRPr="00FA49BB" w14:paraId="5E3784A8" w14:textId="77777777" w:rsidTr="002E6540">
        <w:trPr>
          <w:trHeight w:val="203"/>
        </w:trPr>
        <w:tc>
          <w:tcPr>
            <w:tcW w:w="1779" w:type="dxa"/>
          </w:tcPr>
          <w:p w14:paraId="0BD80525" w14:textId="518C9A84" w:rsidR="004D496F" w:rsidRPr="000B69E2" w:rsidRDefault="004D496F" w:rsidP="004D496F">
            <w:pPr>
              <w:jc w:val="both"/>
              <w:rPr>
                <w:rFonts w:asciiTheme="majorHAnsi" w:hAnsiTheme="majorHAnsi" w:cstheme="majorHAnsi"/>
                <w:b/>
                <w:lang w:val="ro-MD"/>
              </w:rPr>
            </w:pPr>
            <w:r>
              <w:rPr>
                <w:rFonts w:asciiTheme="majorHAnsi" w:hAnsiTheme="majorHAnsi" w:cstheme="majorHAnsi"/>
                <w:b/>
                <w:lang w:val="ro-MD"/>
              </w:rPr>
              <w:t>4.3</w:t>
            </w:r>
            <w:r w:rsidR="00256F47">
              <w:rPr>
                <w:rFonts w:asciiTheme="majorHAnsi" w:hAnsiTheme="majorHAnsi" w:cstheme="majorHAnsi"/>
                <w:b/>
                <w:lang w:val="ro-MD"/>
              </w:rPr>
              <w:t>.</w:t>
            </w:r>
            <w:r w:rsidRPr="000B69E2">
              <w:rPr>
                <w:rFonts w:asciiTheme="majorHAnsi" w:hAnsiTheme="majorHAnsi" w:cstheme="majorHAnsi"/>
                <w:b/>
                <w:lang w:val="ro-MD"/>
              </w:rPr>
              <w:t xml:space="preserve"> </w:t>
            </w:r>
            <w:r w:rsidRPr="000B69E2">
              <w:rPr>
                <w:rFonts w:asciiTheme="majorHAnsi" w:hAnsiTheme="majorHAnsi" w:cstheme="majorHAnsi"/>
                <w:lang w:val="ro-MD"/>
              </w:rPr>
              <w:t>Resursele bugetare  alocate</w:t>
            </w:r>
            <w:r>
              <w:rPr>
                <w:rFonts w:asciiTheme="majorHAnsi" w:hAnsiTheme="majorHAnsi" w:cstheme="majorHAnsi"/>
                <w:lang w:val="ro-MD"/>
              </w:rPr>
              <w:t>(subsidiile)</w:t>
            </w:r>
            <w:r w:rsidRPr="000B69E2">
              <w:rPr>
                <w:rFonts w:asciiTheme="majorHAnsi" w:hAnsiTheme="majorHAnsi" w:cstheme="majorHAnsi"/>
                <w:lang w:val="ro-MD"/>
              </w:rPr>
              <w:t xml:space="preserve">  nu au fost </w:t>
            </w:r>
            <w:r w:rsidRPr="00784ECD">
              <w:rPr>
                <w:rFonts w:asciiTheme="majorHAnsi" w:hAnsiTheme="majorHAnsi" w:cstheme="majorHAnsi"/>
                <w:lang w:val="ro-MD"/>
              </w:rPr>
              <w:t>utilizate  conform destinației.</w:t>
            </w:r>
          </w:p>
        </w:tc>
        <w:tc>
          <w:tcPr>
            <w:tcW w:w="3603" w:type="dxa"/>
          </w:tcPr>
          <w:p w14:paraId="794A184E" w14:textId="5DAC100E" w:rsidR="004D496F" w:rsidRDefault="004D496F" w:rsidP="004D496F">
            <w:pPr>
              <w:pStyle w:val="ListParagraph"/>
              <w:ind w:left="92"/>
              <w:rPr>
                <w:rFonts w:asciiTheme="majorHAnsi" w:eastAsia="Times New Roman" w:hAnsiTheme="majorHAnsi" w:cstheme="majorHAnsi"/>
                <w:iCs/>
                <w:lang w:val="ro-MD" w:eastAsia="ro-MD"/>
              </w:rPr>
            </w:pPr>
            <w:r w:rsidRPr="000B69E2">
              <w:rPr>
                <w:rFonts w:asciiTheme="majorHAnsi" w:hAnsiTheme="majorHAnsi" w:cstheme="majorHAnsi"/>
                <w:lang w:val="ro-MD"/>
              </w:rPr>
              <w:t xml:space="preserve"> </w:t>
            </w:r>
            <w:r w:rsidRPr="000B69E2">
              <w:rPr>
                <w:rFonts w:asciiTheme="majorHAnsi" w:eastAsia="Times New Roman" w:hAnsiTheme="majorHAnsi" w:cstheme="majorHAnsi"/>
                <w:iCs/>
                <w:lang w:val="ro-MD" w:eastAsia="ro-MD"/>
              </w:rPr>
              <w:t>Structura organizatorică, a statelor de personal și efectivului- limită de unități de personal</w:t>
            </w:r>
            <w:r w:rsidR="00256F47">
              <w:rPr>
                <w:rFonts w:asciiTheme="majorHAnsi" w:eastAsia="Times New Roman" w:hAnsiTheme="majorHAnsi" w:cstheme="majorHAnsi"/>
                <w:iCs/>
                <w:lang w:val="ro-MD" w:eastAsia="ro-MD"/>
              </w:rPr>
              <w:t>.</w:t>
            </w:r>
          </w:p>
          <w:p w14:paraId="2A936D8F" w14:textId="2CF0D80E" w:rsidR="004D496F" w:rsidRDefault="004D496F" w:rsidP="004D496F">
            <w:pPr>
              <w:pStyle w:val="ListParagraph"/>
              <w:ind w:left="92"/>
              <w:rPr>
                <w:rFonts w:asciiTheme="majorHAnsi" w:eastAsia="Times New Roman" w:hAnsiTheme="majorHAnsi" w:cstheme="majorHAnsi"/>
                <w:iCs/>
                <w:lang w:val="ro-MD" w:eastAsia="ro-MD"/>
              </w:rPr>
            </w:pPr>
            <w:r w:rsidRPr="000B69E2">
              <w:rPr>
                <w:rFonts w:asciiTheme="majorHAnsi" w:hAnsiTheme="majorHAnsi" w:cstheme="majorHAnsi"/>
                <w:lang w:val="ro-MD"/>
              </w:rPr>
              <w:t>Actele normative interne ale instituției</w:t>
            </w:r>
            <w:r w:rsidR="00256F47">
              <w:rPr>
                <w:rFonts w:asciiTheme="majorHAnsi" w:hAnsiTheme="majorHAnsi" w:cstheme="majorHAnsi"/>
                <w:lang w:val="ro-MD"/>
              </w:rPr>
              <w:t>.</w:t>
            </w:r>
          </w:p>
          <w:p w14:paraId="74DEDF49" w14:textId="682A371F" w:rsidR="004D496F" w:rsidRDefault="004D496F" w:rsidP="004D496F">
            <w:pPr>
              <w:pStyle w:val="ListParagraph"/>
              <w:ind w:left="92"/>
              <w:rPr>
                <w:rFonts w:asciiTheme="majorHAnsi" w:hAnsiTheme="majorHAnsi" w:cstheme="majorHAnsi"/>
                <w:lang w:val="ro-MD"/>
              </w:rPr>
            </w:pPr>
            <w:r w:rsidRPr="000B69E2">
              <w:rPr>
                <w:rFonts w:asciiTheme="majorHAnsi" w:hAnsiTheme="majorHAnsi" w:cstheme="majorHAnsi"/>
                <w:lang w:val="ro-MD"/>
              </w:rPr>
              <w:t>Ordin</w:t>
            </w:r>
            <w:r w:rsidR="00256F47">
              <w:rPr>
                <w:rFonts w:asciiTheme="majorHAnsi" w:hAnsiTheme="majorHAnsi" w:cstheme="majorHAnsi"/>
                <w:lang w:val="ro-MD"/>
              </w:rPr>
              <w:t>e</w:t>
            </w:r>
            <w:r w:rsidRPr="000B69E2">
              <w:rPr>
                <w:rFonts w:asciiTheme="majorHAnsi" w:hAnsiTheme="majorHAnsi" w:cstheme="majorHAnsi"/>
                <w:lang w:val="ro-MD"/>
              </w:rPr>
              <w:t>le interne aprobate de conducător</w:t>
            </w:r>
            <w:r w:rsidR="00256F47">
              <w:rPr>
                <w:rFonts w:asciiTheme="majorHAnsi" w:hAnsiTheme="majorHAnsi" w:cstheme="majorHAnsi"/>
                <w:lang w:val="ro-MD"/>
              </w:rPr>
              <w:t>.</w:t>
            </w:r>
          </w:p>
          <w:p w14:paraId="2528F9A5" w14:textId="174D2C06" w:rsidR="004D496F" w:rsidRDefault="004D496F" w:rsidP="004D496F">
            <w:pPr>
              <w:pStyle w:val="ListParagraph"/>
              <w:ind w:left="92"/>
              <w:rPr>
                <w:rFonts w:asciiTheme="majorHAnsi" w:hAnsiTheme="majorHAnsi" w:cstheme="majorHAnsi"/>
                <w:lang w:val="ro-MD"/>
              </w:rPr>
            </w:pPr>
            <w:r>
              <w:rPr>
                <w:rFonts w:asciiTheme="majorHAnsi" w:hAnsiTheme="majorHAnsi" w:cstheme="majorHAnsi"/>
                <w:lang w:val="ro-MD"/>
              </w:rPr>
              <w:t>Tabelele de pontaj contrasemnate de către persoanele responsabile</w:t>
            </w:r>
            <w:r w:rsidR="00256F47">
              <w:rPr>
                <w:rFonts w:asciiTheme="majorHAnsi" w:hAnsiTheme="majorHAnsi" w:cstheme="majorHAnsi"/>
                <w:lang w:val="ro-MD"/>
              </w:rPr>
              <w:t>.</w:t>
            </w:r>
          </w:p>
          <w:p w14:paraId="2FFDE7D0" w14:textId="77777777" w:rsidR="004D496F" w:rsidRDefault="004D496F" w:rsidP="004D496F">
            <w:pPr>
              <w:pStyle w:val="ListParagraph"/>
              <w:ind w:left="92"/>
              <w:rPr>
                <w:rFonts w:asciiTheme="majorHAnsi" w:hAnsiTheme="majorHAnsi" w:cstheme="majorHAnsi"/>
                <w:lang w:val="ro-MD"/>
              </w:rPr>
            </w:pPr>
          </w:p>
          <w:p w14:paraId="3AB2EB3B" w14:textId="77777777" w:rsidR="004D496F" w:rsidRDefault="004D496F" w:rsidP="004D496F">
            <w:pPr>
              <w:pStyle w:val="ListParagraph"/>
              <w:ind w:left="92"/>
              <w:rPr>
                <w:rFonts w:asciiTheme="majorHAnsi" w:hAnsiTheme="majorHAnsi" w:cstheme="majorHAnsi"/>
                <w:lang w:val="ro-MD"/>
              </w:rPr>
            </w:pPr>
          </w:p>
          <w:p w14:paraId="7CF71A03" w14:textId="77777777" w:rsidR="004D496F" w:rsidRDefault="004D496F" w:rsidP="004D496F">
            <w:pPr>
              <w:pStyle w:val="ListParagraph"/>
              <w:ind w:left="92"/>
              <w:rPr>
                <w:rFonts w:asciiTheme="majorHAnsi" w:hAnsiTheme="majorHAnsi" w:cstheme="majorHAnsi"/>
                <w:lang w:val="ro-MD"/>
              </w:rPr>
            </w:pPr>
          </w:p>
          <w:p w14:paraId="2EADCE4A" w14:textId="77777777" w:rsidR="004D496F" w:rsidRDefault="004D496F" w:rsidP="004D496F">
            <w:pPr>
              <w:pStyle w:val="ListParagraph"/>
              <w:ind w:left="92"/>
              <w:rPr>
                <w:rFonts w:asciiTheme="majorHAnsi" w:hAnsiTheme="majorHAnsi" w:cstheme="majorHAnsi"/>
                <w:lang w:val="ro-MD"/>
              </w:rPr>
            </w:pPr>
          </w:p>
          <w:p w14:paraId="5CCFC79F" w14:textId="77777777" w:rsidR="004D496F" w:rsidRDefault="004D496F" w:rsidP="004D496F">
            <w:pPr>
              <w:pStyle w:val="ListParagraph"/>
              <w:ind w:left="92"/>
              <w:rPr>
                <w:rFonts w:asciiTheme="majorHAnsi" w:hAnsiTheme="majorHAnsi" w:cstheme="majorHAnsi"/>
                <w:lang w:val="ro-MD"/>
              </w:rPr>
            </w:pPr>
          </w:p>
          <w:p w14:paraId="2A29F754" w14:textId="77777777" w:rsidR="004D496F" w:rsidRDefault="004D496F" w:rsidP="004D496F">
            <w:pPr>
              <w:pStyle w:val="ListParagraph"/>
              <w:ind w:left="92"/>
              <w:rPr>
                <w:rFonts w:asciiTheme="majorHAnsi" w:hAnsiTheme="majorHAnsi" w:cstheme="majorHAnsi"/>
                <w:lang w:val="ro-MD"/>
              </w:rPr>
            </w:pPr>
          </w:p>
          <w:p w14:paraId="27021FD1" w14:textId="77777777" w:rsidR="004D496F" w:rsidRDefault="004D496F" w:rsidP="004D496F">
            <w:pPr>
              <w:pStyle w:val="ListParagraph"/>
              <w:ind w:left="92"/>
              <w:rPr>
                <w:rFonts w:asciiTheme="majorHAnsi" w:hAnsiTheme="majorHAnsi" w:cstheme="majorHAnsi"/>
                <w:lang w:val="ro-MD"/>
              </w:rPr>
            </w:pPr>
          </w:p>
          <w:p w14:paraId="178B67A6" w14:textId="77777777" w:rsidR="004D496F" w:rsidRDefault="004D496F" w:rsidP="004D496F">
            <w:pPr>
              <w:pStyle w:val="ListParagraph"/>
              <w:ind w:left="92"/>
              <w:rPr>
                <w:rFonts w:asciiTheme="majorHAnsi" w:hAnsiTheme="majorHAnsi" w:cstheme="majorHAnsi"/>
                <w:lang w:val="ro-MD"/>
              </w:rPr>
            </w:pPr>
          </w:p>
          <w:p w14:paraId="5A141329" w14:textId="77777777" w:rsidR="004D496F" w:rsidRDefault="004D496F" w:rsidP="004D496F">
            <w:pPr>
              <w:pStyle w:val="ListParagraph"/>
              <w:ind w:left="92"/>
              <w:rPr>
                <w:rFonts w:asciiTheme="majorHAnsi" w:hAnsiTheme="majorHAnsi" w:cstheme="majorHAnsi"/>
                <w:lang w:val="ro-MD"/>
              </w:rPr>
            </w:pPr>
          </w:p>
          <w:p w14:paraId="4F2FED27" w14:textId="77777777" w:rsidR="004D496F" w:rsidRDefault="004D496F" w:rsidP="004D496F">
            <w:pPr>
              <w:pStyle w:val="ListParagraph"/>
              <w:ind w:left="92"/>
              <w:rPr>
                <w:rFonts w:asciiTheme="majorHAnsi" w:hAnsiTheme="majorHAnsi" w:cstheme="majorHAnsi"/>
                <w:lang w:val="ro-MD"/>
              </w:rPr>
            </w:pPr>
          </w:p>
          <w:p w14:paraId="7CA9C229" w14:textId="77777777" w:rsidR="004D496F" w:rsidRDefault="004D496F" w:rsidP="004D496F">
            <w:pPr>
              <w:pStyle w:val="ListParagraph"/>
              <w:ind w:left="92"/>
              <w:rPr>
                <w:rFonts w:asciiTheme="majorHAnsi" w:hAnsiTheme="majorHAnsi" w:cstheme="majorHAnsi"/>
                <w:lang w:val="ro-MD"/>
              </w:rPr>
            </w:pPr>
          </w:p>
          <w:p w14:paraId="178AACA9" w14:textId="77777777" w:rsidR="004D496F" w:rsidRDefault="004D496F" w:rsidP="004D496F">
            <w:pPr>
              <w:pStyle w:val="ListParagraph"/>
              <w:ind w:left="92"/>
              <w:rPr>
                <w:rFonts w:asciiTheme="majorHAnsi" w:hAnsiTheme="majorHAnsi" w:cstheme="majorHAnsi"/>
                <w:lang w:val="ro-MD"/>
              </w:rPr>
            </w:pPr>
          </w:p>
          <w:p w14:paraId="3E0E9C59" w14:textId="77777777" w:rsidR="004D496F" w:rsidRDefault="004D496F" w:rsidP="004D496F">
            <w:pPr>
              <w:pStyle w:val="ListParagraph"/>
              <w:ind w:left="92"/>
              <w:rPr>
                <w:rFonts w:asciiTheme="majorHAnsi" w:hAnsiTheme="majorHAnsi" w:cstheme="majorHAnsi"/>
                <w:lang w:val="ro-MD"/>
              </w:rPr>
            </w:pPr>
          </w:p>
          <w:p w14:paraId="5190CAB6" w14:textId="77777777" w:rsidR="004D496F" w:rsidRDefault="004D496F" w:rsidP="004D496F">
            <w:pPr>
              <w:pStyle w:val="ListParagraph"/>
              <w:ind w:left="92"/>
              <w:rPr>
                <w:rFonts w:asciiTheme="majorHAnsi" w:hAnsiTheme="majorHAnsi" w:cstheme="majorHAnsi"/>
                <w:lang w:val="ro-MD"/>
              </w:rPr>
            </w:pPr>
          </w:p>
          <w:p w14:paraId="3ABD93CA" w14:textId="77777777" w:rsidR="004D496F" w:rsidRDefault="004D496F" w:rsidP="004D496F">
            <w:pPr>
              <w:pStyle w:val="ListParagraph"/>
              <w:ind w:left="92"/>
              <w:rPr>
                <w:rFonts w:asciiTheme="majorHAnsi" w:hAnsiTheme="majorHAnsi" w:cstheme="majorHAnsi"/>
                <w:lang w:val="ro-MD"/>
              </w:rPr>
            </w:pPr>
          </w:p>
          <w:p w14:paraId="15DB86E6" w14:textId="77777777" w:rsidR="004D496F" w:rsidRDefault="004D496F" w:rsidP="004D496F">
            <w:pPr>
              <w:pStyle w:val="ListParagraph"/>
              <w:ind w:left="92"/>
              <w:rPr>
                <w:rFonts w:asciiTheme="majorHAnsi" w:hAnsiTheme="majorHAnsi" w:cstheme="majorHAnsi"/>
                <w:lang w:val="ro-MD"/>
              </w:rPr>
            </w:pPr>
          </w:p>
          <w:p w14:paraId="21D2E938" w14:textId="77777777" w:rsidR="004D496F" w:rsidRDefault="004D496F" w:rsidP="004D496F">
            <w:pPr>
              <w:pStyle w:val="ListParagraph"/>
              <w:ind w:left="92"/>
              <w:rPr>
                <w:rFonts w:asciiTheme="majorHAnsi" w:hAnsiTheme="majorHAnsi" w:cstheme="majorHAnsi"/>
                <w:lang w:val="ro-MD"/>
              </w:rPr>
            </w:pPr>
          </w:p>
          <w:p w14:paraId="3349BDA5" w14:textId="77777777" w:rsidR="004D496F" w:rsidRDefault="004D496F" w:rsidP="004D496F">
            <w:pPr>
              <w:pStyle w:val="ListParagraph"/>
              <w:ind w:left="92"/>
              <w:rPr>
                <w:rFonts w:asciiTheme="majorHAnsi" w:hAnsiTheme="majorHAnsi" w:cstheme="majorHAnsi"/>
                <w:lang w:val="ro-MD"/>
              </w:rPr>
            </w:pPr>
          </w:p>
          <w:p w14:paraId="2EFD348A" w14:textId="77777777" w:rsidR="004D496F" w:rsidRDefault="004D496F" w:rsidP="004D496F">
            <w:pPr>
              <w:pStyle w:val="ListParagraph"/>
              <w:ind w:left="92"/>
              <w:rPr>
                <w:rFonts w:asciiTheme="majorHAnsi" w:hAnsiTheme="majorHAnsi" w:cstheme="majorHAnsi"/>
                <w:lang w:val="ro-MD"/>
              </w:rPr>
            </w:pPr>
          </w:p>
          <w:p w14:paraId="42D5648E" w14:textId="77777777" w:rsidR="004D496F" w:rsidRDefault="004D496F" w:rsidP="004D496F">
            <w:pPr>
              <w:pStyle w:val="ListParagraph"/>
              <w:ind w:left="92"/>
              <w:rPr>
                <w:rFonts w:asciiTheme="majorHAnsi" w:hAnsiTheme="majorHAnsi" w:cstheme="majorHAnsi"/>
                <w:lang w:val="ro-MD"/>
              </w:rPr>
            </w:pPr>
          </w:p>
          <w:p w14:paraId="0F7F6DEF" w14:textId="77777777" w:rsidR="004D496F" w:rsidRDefault="004D496F" w:rsidP="004D496F">
            <w:pPr>
              <w:pStyle w:val="ListParagraph"/>
              <w:ind w:left="92"/>
              <w:rPr>
                <w:rFonts w:asciiTheme="majorHAnsi" w:hAnsiTheme="majorHAnsi" w:cstheme="majorHAnsi"/>
                <w:lang w:val="ro-MD"/>
              </w:rPr>
            </w:pPr>
          </w:p>
          <w:p w14:paraId="26A93534" w14:textId="77777777" w:rsidR="004D496F" w:rsidRDefault="004D496F" w:rsidP="004D496F">
            <w:pPr>
              <w:pStyle w:val="ListParagraph"/>
              <w:ind w:left="92"/>
              <w:rPr>
                <w:rFonts w:asciiTheme="majorHAnsi" w:hAnsiTheme="majorHAnsi" w:cstheme="majorHAnsi"/>
                <w:lang w:val="ro-MD"/>
              </w:rPr>
            </w:pPr>
          </w:p>
          <w:p w14:paraId="446ADB64" w14:textId="77777777" w:rsidR="004D496F" w:rsidRDefault="004D496F" w:rsidP="004D496F">
            <w:pPr>
              <w:pStyle w:val="ListParagraph"/>
              <w:ind w:left="92"/>
              <w:rPr>
                <w:rFonts w:asciiTheme="majorHAnsi" w:hAnsiTheme="majorHAnsi" w:cstheme="majorHAnsi"/>
                <w:lang w:val="ro-MD"/>
              </w:rPr>
            </w:pPr>
          </w:p>
          <w:p w14:paraId="526F5A74" w14:textId="77777777" w:rsidR="004D496F" w:rsidRDefault="004D496F" w:rsidP="004D496F">
            <w:pPr>
              <w:pStyle w:val="ListParagraph"/>
              <w:ind w:left="92"/>
              <w:rPr>
                <w:rFonts w:asciiTheme="majorHAnsi" w:hAnsiTheme="majorHAnsi" w:cstheme="majorHAnsi"/>
                <w:lang w:val="ro-MD"/>
              </w:rPr>
            </w:pPr>
          </w:p>
          <w:p w14:paraId="14EDE6CA" w14:textId="77777777" w:rsidR="004D496F" w:rsidRDefault="004D496F" w:rsidP="004D496F">
            <w:pPr>
              <w:pStyle w:val="ListParagraph"/>
              <w:ind w:left="92"/>
              <w:rPr>
                <w:rFonts w:asciiTheme="majorHAnsi" w:hAnsiTheme="majorHAnsi" w:cstheme="majorHAnsi"/>
                <w:lang w:val="ro-MD"/>
              </w:rPr>
            </w:pPr>
          </w:p>
          <w:p w14:paraId="05BB9446" w14:textId="77777777" w:rsidR="004D496F" w:rsidRDefault="004D496F" w:rsidP="004D496F">
            <w:pPr>
              <w:pStyle w:val="ListParagraph"/>
              <w:ind w:left="92"/>
              <w:rPr>
                <w:rFonts w:asciiTheme="majorHAnsi" w:hAnsiTheme="majorHAnsi" w:cstheme="majorHAnsi"/>
                <w:lang w:val="ro-MD"/>
              </w:rPr>
            </w:pPr>
          </w:p>
          <w:p w14:paraId="08340073" w14:textId="36918B69" w:rsidR="004D496F" w:rsidRPr="000B69E2" w:rsidRDefault="004D496F" w:rsidP="004D496F">
            <w:pPr>
              <w:pStyle w:val="ListParagraph"/>
              <w:ind w:left="92"/>
              <w:rPr>
                <w:rFonts w:asciiTheme="majorHAnsi" w:hAnsiTheme="majorHAnsi" w:cstheme="majorHAnsi"/>
                <w:lang w:val="ro-MD"/>
              </w:rPr>
            </w:pPr>
            <w:r w:rsidRPr="000B69E2">
              <w:rPr>
                <w:rFonts w:asciiTheme="majorHAnsi" w:hAnsiTheme="majorHAnsi" w:cstheme="majorHAnsi"/>
                <w:lang w:val="ro-MD"/>
              </w:rPr>
              <w:t>Contracte de prestări servicii; Acte de predare</w:t>
            </w:r>
            <w:r w:rsidR="00777FC4">
              <w:rPr>
                <w:rFonts w:asciiTheme="majorHAnsi" w:hAnsiTheme="majorHAnsi" w:cstheme="majorHAnsi"/>
                <w:lang w:val="ro-MD"/>
              </w:rPr>
              <w:t>-</w:t>
            </w:r>
            <w:r w:rsidRPr="000B69E2">
              <w:rPr>
                <w:rFonts w:asciiTheme="majorHAnsi" w:hAnsiTheme="majorHAnsi" w:cstheme="majorHAnsi"/>
                <w:lang w:val="ro-MD"/>
              </w:rPr>
              <w:t>primire a serviciilor; Facturi fiscale; Ordine de plată;</w:t>
            </w:r>
          </w:p>
          <w:p w14:paraId="4E01E609" w14:textId="77777777" w:rsidR="004D496F" w:rsidRPr="000B69E2" w:rsidRDefault="004D496F" w:rsidP="004D496F">
            <w:pPr>
              <w:pStyle w:val="ListParagraph"/>
              <w:ind w:left="92"/>
              <w:rPr>
                <w:rFonts w:asciiTheme="majorHAnsi" w:hAnsiTheme="majorHAnsi" w:cstheme="majorHAnsi"/>
                <w:lang w:val="ro-MD"/>
              </w:rPr>
            </w:pPr>
          </w:p>
        </w:tc>
        <w:tc>
          <w:tcPr>
            <w:tcW w:w="2126" w:type="dxa"/>
          </w:tcPr>
          <w:p w14:paraId="4DB31A8F" w14:textId="77777777" w:rsidR="00E048B0" w:rsidRPr="00AD589A" w:rsidRDefault="00E048B0" w:rsidP="00E048B0">
            <w:pPr>
              <w:pStyle w:val="ListParagraph"/>
              <w:ind w:left="49" w:hanging="49"/>
              <w:rPr>
                <w:rFonts w:asciiTheme="majorHAnsi" w:hAnsiTheme="majorHAnsi" w:cstheme="majorHAnsi"/>
              </w:rPr>
            </w:pPr>
            <w:r w:rsidRPr="00AD589A">
              <w:rPr>
                <w:rFonts w:asciiTheme="majorHAnsi" w:hAnsiTheme="majorHAnsi" w:cstheme="majorHAnsi"/>
              </w:rPr>
              <w:t>Art.11 alin.(1) din Legea finanțelor publice și responsabilității bugetar-fiscale nr.181/2014.</w:t>
            </w:r>
          </w:p>
          <w:p w14:paraId="6B0EAE19" w14:textId="63B34CF2" w:rsidR="00E048B0" w:rsidRPr="00AD589A" w:rsidRDefault="00E048B0" w:rsidP="007E002D">
            <w:pPr>
              <w:pStyle w:val="ListParagraph"/>
              <w:numPr>
                <w:ilvl w:val="0"/>
                <w:numId w:val="34"/>
              </w:numPr>
              <w:ind w:left="49" w:hanging="142"/>
              <w:rPr>
                <w:rFonts w:asciiTheme="majorHAnsi" w:hAnsiTheme="majorHAnsi" w:cstheme="majorHAnsi"/>
              </w:rPr>
            </w:pPr>
            <w:r w:rsidRPr="00AD589A">
              <w:rPr>
                <w:rFonts w:asciiTheme="majorHAnsi" w:hAnsiTheme="majorHAnsi" w:cstheme="majorHAnsi"/>
              </w:rPr>
              <w:t>Legea nr.19 din 04</w:t>
            </w:r>
            <w:r w:rsidR="00256F47">
              <w:rPr>
                <w:rFonts w:asciiTheme="majorHAnsi" w:hAnsiTheme="majorHAnsi" w:cstheme="majorHAnsi"/>
              </w:rPr>
              <w:t>.</w:t>
            </w:r>
            <w:r w:rsidRPr="00AD589A">
              <w:rPr>
                <w:rFonts w:asciiTheme="majorHAnsi" w:hAnsiTheme="majorHAnsi" w:cstheme="majorHAnsi"/>
              </w:rPr>
              <w:t>03</w:t>
            </w:r>
            <w:r w:rsidR="00256F47">
              <w:rPr>
                <w:rFonts w:asciiTheme="majorHAnsi" w:hAnsiTheme="majorHAnsi" w:cstheme="majorHAnsi"/>
              </w:rPr>
              <w:t>.</w:t>
            </w:r>
            <w:r w:rsidRPr="00AD589A">
              <w:rPr>
                <w:rFonts w:asciiTheme="majorHAnsi" w:hAnsiTheme="majorHAnsi" w:cstheme="majorHAnsi"/>
              </w:rPr>
              <w:t>2016, art.23,24</w:t>
            </w:r>
            <w:r w:rsidR="00256F47">
              <w:rPr>
                <w:rFonts w:asciiTheme="majorHAnsi" w:hAnsiTheme="majorHAnsi" w:cstheme="majorHAnsi"/>
              </w:rPr>
              <w:t>.</w:t>
            </w:r>
          </w:p>
          <w:p w14:paraId="2D39E03B" w14:textId="20EE4E63" w:rsidR="00E048B0" w:rsidRPr="00AD589A" w:rsidRDefault="00E048B0" w:rsidP="007E002D">
            <w:pPr>
              <w:pStyle w:val="ListParagraph"/>
              <w:numPr>
                <w:ilvl w:val="0"/>
                <w:numId w:val="34"/>
              </w:numPr>
              <w:ind w:left="49" w:hanging="142"/>
              <w:rPr>
                <w:rFonts w:asciiTheme="majorHAnsi" w:hAnsiTheme="majorHAnsi" w:cstheme="majorHAnsi"/>
              </w:rPr>
            </w:pPr>
            <w:r w:rsidRPr="00AD589A">
              <w:rPr>
                <w:rFonts w:asciiTheme="majorHAnsi" w:hAnsiTheme="majorHAnsi" w:cstheme="majorHAnsi"/>
              </w:rPr>
              <w:t>Legea nr.20 din  04.03.2016</w:t>
            </w:r>
            <w:r w:rsidR="00256F47">
              <w:rPr>
                <w:rFonts w:asciiTheme="majorHAnsi" w:hAnsiTheme="majorHAnsi" w:cstheme="majorHAnsi"/>
              </w:rPr>
              <w:t>,</w:t>
            </w:r>
            <w:r w:rsidRPr="00AD589A">
              <w:rPr>
                <w:rFonts w:asciiTheme="majorHAnsi" w:hAnsiTheme="majorHAnsi" w:cstheme="majorHAnsi"/>
              </w:rPr>
              <w:t xml:space="preserve"> art.21,22.</w:t>
            </w:r>
          </w:p>
          <w:p w14:paraId="205C07AF" w14:textId="525297D6" w:rsidR="00E048B0" w:rsidRPr="00AD589A" w:rsidRDefault="00E048B0" w:rsidP="007E002D">
            <w:pPr>
              <w:pStyle w:val="ListParagraph"/>
              <w:numPr>
                <w:ilvl w:val="0"/>
                <w:numId w:val="34"/>
              </w:numPr>
              <w:ind w:left="49" w:hanging="142"/>
              <w:rPr>
                <w:rFonts w:asciiTheme="majorHAnsi" w:hAnsiTheme="majorHAnsi" w:cstheme="majorHAnsi"/>
                <w:color w:val="000000" w:themeColor="text1"/>
              </w:rPr>
            </w:pPr>
            <w:r w:rsidRPr="00AD589A">
              <w:rPr>
                <w:rFonts w:asciiTheme="majorHAnsi" w:hAnsiTheme="majorHAnsi" w:cstheme="majorHAnsi"/>
                <w:color w:val="000000" w:themeColor="text1"/>
              </w:rPr>
              <w:t>Legea nr.235 din 01.12.2011</w:t>
            </w:r>
            <w:r w:rsidR="00256F47">
              <w:rPr>
                <w:rFonts w:asciiTheme="majorHAnsi" w:hAnsiTheme="majorHAnsi" w:cstheme="majorHAnsi"/>
                <w:color w:val="000000" w:themeColor="text1"/>
              </w:rPr>
              <w:t>,</w:t>
            </w:r>
            <w:r w:rsidRPr="00AD589A">
              <w:rPr>
                <w:rFonts w:asciiTheme="majorHAnsi" w:hAnsiTheme="majorHAnsi" w:cstheme="majorHAnsi"/>
                <w:color w:val="000000" w:themeColor="text1"/>
              </w:rPr>
              <w:t xml:space="preserve"> art.7 (8)b).</w:t>
            </w:r>
          </w:p>
          <w:p w14:paraId="61755BD1" w14:textId="77777777" w:rsidR="004D496F" w:rsidRPr="00E048B0" w:rsidRDefault="004D496F" w:rsidP="004D496F">
            <w:pPr>
              <w:pStyle w:val="ListParagraph"/>
              <w:ind w:left="92"/>
              <w:rPr>
                <w:rFonts w:asciiTheme="majorHAnsi" w:hAnsiTheme="majorHAnsi" w:cstheme="majorHAnsi"/>
              </w:rPr>
            </w:pPr>
          </w:p>
          <w:p w14:paraId="6E503897" w14:textId="77777777" w:rsidR="004D496F" w:rsidRPr="00255E9C" w:rsidRDefault="004D496F" w:rsidP="004D496F">
            <w:pPr>
              <w:pStyle w:val="ListParagraph"/>
              <w:ind w:left="92"/>
              <w:rPr>
                <w:rFonts w:asciiTheme="majorHAnsi" w:hAnsiTheme="majorHAnsi" w:cstheme="majorHAnsi"/>
              </w:rPr>
            </w:pPr>
          </w:p>
          <w:p w14:paraId="1697E6A1" w14:textId="77777777" w:rsidR="004D496F" w:rsidRDefault="004D496F" w:rsidP="004D496F">
            <w:pPr>
              <w:pStyle w:val="ListParagraph"/>
              <w:ind w:left="92"/>
              <w:rPr>
                <w:rFonts w:asciiTheme="majorHAnsi" w:hAnsiTheme="majorHAnsi" w:cstheme="majorHAnsi"/>
                <w:lang w:val="ro-MD"/>
              </w:rPr>
            </w:pPr>
          </w:p>
          <w:p w14:paraId="5C776602" w14:textId="77777777" w:rsidR="004D496F" w:rsidRDefault="004D496F" w:rsidP="004D496F">
            <w:pPr>
              <w:pStyle w:val="ListParagraph"/>
              <w:ind w:left="92"/>
              <w:rPr>
                <w:rFonts w:asciiTheme="majorHAnsi" w:hAnsiTheme="majorHAnsi" w:cstheme="majorHAnsi"/>
                <w:lang w:val="ro-MD"/>
              </w:rPr>
            </w:pPr>
          </w:p>
          <w:p w14:paraId="6B914B6B" w14:textId="77777777" w:rsidR="004D496F" w:rsidRDefault="004D496F" w:rsidP="004D496F">
            <w:pPr>
              <w:pStyle w:val="ListParagraph"/>
              <w:ind w:left="92"/>
              <w:rPr>
                <w:rFonts w:asciiTheme="majorHAnsi" w:hAnsiTheme="majorHAnsi" w:cstheme="majorHAnsi"/>
                <w:lang w:val="ro-MD"/>
              </w:rPr>
            </w:pPr>
          </w:p>
          <w:p w14:paraId="400728E7" w14:textId="77777777" w:rsidR="004D496F" w:rsidRDefault="004D496F" w:rsidP="004D496F">
            <w:pPr>
              <w:pStyle w:val="ListParagraph"/>
              <w:ind w:left="92"/>
              <w:rPr>
                <w:rFonts w:asciiTheme="majorHAnsi" w:hAnsiTheme="majorHAnsi" w:cstheme="majorHAnsi"/>
                <w:lang w:val="ro-MD"/>
              </w:rPr>
            </w:pPr>
          </w:p>
          <w:p w14:paraId="6DB90872" w14:textId="77777777" w:rsidR="004D496F" w:rsidRDefault="004D496F" w:rsidP="004D496F">
            <w:pPr>
              <w:pStyle w:val="ListParagraph"/>
              <w:ind w:left="92"/>
              <w:rPr>
                <w:rFonts w:asciiTheme="majorHAnsi" w:hAnsiTheme="majorHAnsi" w:cstheme="majorHAnsi"/>
                <w:lang w:val="ro-MD"/>
              </w:rPr>
            </w:pPr>
          </w:p>
          <w:p w14:paraId="6E85F825" w14:textId="77777777" w:rsidR="004D496F" w:rsidRDefault="004D496F" w:rsidP="004D496F">
            <w:pPr>
              <w:pStyle w:val="ListParagraph"/>
              <w:ind w:left="92"/>
              <w:rPr>
                <w:rFonts w:asciiTheme="majorHAnsi" w:hAnsiTheme="majorHAnsi" w:cstheme="majorHAnsi"/>
                <w:lang w:val="ro-MD"/>
              </w:rPr>
            </w:pPr>
          </w:p>
          <w:p w14:paraId="248D91AA" w14:textId="77777777" w:rsidR="004D496F" w:rsidRDefault="004D496F" w:rsidP="004D496F">
            <w:pPr>
              <w:pStyle w:val="ListParagraph"/>
              <w:ind w:left="92"/>
              <w:rPr>
                <w:rFonts w:asciiTheme="majorHAnsi" w:hAnsiTheme="majorHAnsi" w:cstheme="majorHAnsi"/>
                <w:lang w:val="ro-MD"/>
              </w:rPr>
            </w:pPr>
          </w:p>
          <w:p w14:paraId="6619E1B9" w14:textId="77777777" w:rsidR="004D496F" w:rsidRDefault="004D496F" w:rsidP="004D496F">
            <w:pPr>
              <w:pStyle w:val="ListParagraph"/>
              <w:ind w:left="92"/>
              <w:rPr>
                <w:rFonts w:asciiTheme="majorHAnsi" w:hAnsiTheme="majorHAnsi" w:cstheme="majorHAnsi"/>
                <w:lang w:val="ro-MD"/>
              </w:rPr>
            </w:pPr>
          </w:p>
          <w:p w14:paraId="71F11B40" w14:textId="54120E36" w:rsidR="004D496F" w:rsidRPr="000B69E2" w:rsidRDefault="004D496F" w:rsidP="00885D4D">
            <w:pPr>
              <w:pStyle w:val="ListParagraph"/>
              <w:ind w:left="33"/>
              <w:rPr>
                <w:rFonts w:asciiTheme="majorHAnsi" w:hAnsiTheme="majorHAnsi" w:cstheme="majorHAnsi"/>
                <w:lang w:val="ro-MD"/>
              </w:rPr>
            </w:pPr>
          </w:p>
        </w:tc>
        <w:tc>
          <w:tcPr>
            <w:tcW w:w="2100" w:type="dxa"/>
          </w:tcPr>
          <w:p w14:paraId="49AF627B" w14:textId="709BCA29" w:rsidR="004D496F" w:rsidRPr="00433218" w:rsidRDefault="004D496F" w:rsidP="007E002D">
            <w:pPr>
              <w:pStyle w:val="ListParagraph"/>
              <w:numPr>
                <w:ilvl w:val="0"/>
                <w:numId w:val="25"/>
              </w:numPr>
              <w:ind w:left="33" w:firstLine="0"/>
              <w:rPr>
                <w:rFonts w:asciiTheme="majorHAnsi" w:hAnsiTheme="majorHAnsi" w:cstheme="majorHAnsi"/>
                <w:lang w:val="ro-MD"/>
              </w:rPr>
            </w:pPr>
            <w:r w:rsidRPr="00433218">
              <w:rPr>
                <w:rFonts w:asciiTheme="majorHAnsi" w:hAnsiTheme="majorHAnsi" w:cstheme="majorHAnsi"/>
                <w:lang w:val="ro-MD"/>
              </w:rPr>
              <w:t>Interogare verbală și explicații scrise</w:t>
            </w:r>
            <w:r w:rsidR="00256F47">
              <w:rPr>
                <w:rFonts w:asciiTheme="majorHAnsi" w:hAnsiTheme="majorHAnsi" w:cstheme="majorHAnsi"/>
                <w:lang w:val="ro-MD"/>
              </w:rPr>
              <w:t>.</w:t>
            </w:r>
          </w:p>
          <w:p w14:paraId="6861E8D0" w14:textId="2AB520A6" w:rsidR="004D496F" w:rsidRDefault="004D496F" w:rsidP="007E002D">
            <w:pPr>
              <w:pStyle w:val="ListParagraph"/>
              <w:numPr>
                <w:ilvl w:val="0"/>
                <w:numId w:val="25"/>
              </w:numPr>
              <w:spacing w:line="276" w:lineRule="auto"/>
              <w:ind w:left="170" w:hanging="141"/>
              <w:jc w:val="both"/>
              <w:rPr>
                <w:rFonts w:asciiTheme="majorHAnsi" w:hAnsiTheme="majorHAnsi" w:cstheme="majorHAnsi"/>
                <w:lang w:val="ro-MD"/>
              </w:rPr>
            </w:pPr>
            <w:r w:rsidRPr="003A7A34">
              <w:rPr>
                <w:rFonts w:asciiTheme="majorHAnsi" w:hAnsiTheme="majorHAnsi" w:cstheme="majorHAnsi"/>
                <w:lang w:val="ro-MD"/>
              </w:rPr>
              <w:t xml:space="preserve">Solicitarea și obținerea </w:t>
            </w:r>
            <w:r>
              <w:rPr>
                <w:rFonts w:asciiTheme="majorHAnsi" w:hAnsiTheme="majorHAnsi" w:cstheme="majorHAnsi"/>
                <w:lang w:val="ro-MD"/>
              </w:rPr>
              <w:t>informațiilor</w:t>
            </w:r>
            <w:r w:rsidRPr="003A7A34">
              <w:rPr>
                <w:rFonts w:asciiTheme="majorHAnsi" w:hAnsiTheme="majorHAnsi" w:cstheme="majorHAnsi"/>
                <w:lang w:val="ro-MD"/>
              </w:rPr>
              <w:t xml:space="preserve"> privind remunerarea muncii și docu</w:t>
            </w:r>
            <w:r>
              <w:rPr>
                <w:rFonts w:asciiTheme="majorHAnsi" w:hAnsiTheme="majorHAnsi" w:cstheme="majorHAnsi"/>
                <w:lang w:val="ro-MD"/>
              </w:rPr>
              <w:t>mentele justificative aferente</w:t>
            </w:r>
            <w:r w:rsidRPr="003A7A34">
              <w:rPr>
                <w:rFonts w:asciiTheme="majorHAnsi" w:hAnsiTheme="majorHAnsi" w:cstheme="majorHAnsi"/>
                <w:lang w:val="ro-MD"/>
              </w:rPr>
              <w:t xml:space="preserve"> (actele</w:t>
            </w:r>
            <w:r>
              <w:rPr>
                <w:rFonts w:asciiTheme="majorHAnsi" w:hAnsiTheme="majorHAnsi" w:cstheme="majorHAnsi"/>
                <w:lang w:val="ro-MD"/>
              </w:rPr>
              <w:t>/ordinele/dispozițiile</w:t>
            </w:r>
            <w:r w:rsidRPr="003A7A34">
              <w:rPr>
                <w:rFonts w:asciiTheme="majorHAnsi" w:hAnsiTheme="majorHAnsi" w:cstheme="majorHAnsi"/>
                <w:lang w:val="ro-MD"/>
              </w:rPr>
              <w:t xml:space="preserve"> administrative privind personalul; tabele</w:t>
            </w:r>
            <w:r>
              <w:rPr>
                <w:rFonts w:asciiTheme="majorHAnsi" w:hAnsiTheme="majorHAnsi" w:cstheme="majorHAnsi"/>
                <w:lang w:val="ro-MD"/>
              </w:rPr>
              <w:t>le</w:t>
            </w:r>
            <w:r w:rsidRPr="003A7A34">
              <w:rPr>
                <w:rFonts w:asciiTheme="majorHAnsi" w:hAnsiTheme="majorHAnsi" w:cstheme="majorHAnsi"/>
                <w:lang w:val="ro-MD"/>
              </w:rPr>
              <w:t>/</w:t>
            </w:r>
            <w:r>
              <w:rPr>
                <w:rFonts w:asciiTheme="majorHAnsi" w:hAnsiTheme="majorHAnsi" w:cstheme="majorHAnsi"/>
                <w:lang w:val="ro-MD"/>
              </w:rPr>
              <w:t xml:space="preserve"> </w:t>
            </w:r>
            <w:r w:rsidRPr="003A7A34">
              <w:rPr>
                <w:rFonts w:asciiTheme="majorHAnsi" w:hAnsiTheme="majorHAnsi" w:cstheme="majorHAnsi"/>
                <w:lang w:val="ro-MD"/>
              </w:rPr>
              <w:t>fișe</w:t>
            </w:r>
            <w:r>
              <w:rPr>
                <w:rFonts w:asciiTheme="majorHAnsi" w:hAnsiTheme="majorHAnsi" w:cstheme="majorHAnsi"/>
                <w:lang w:val="ro-MD"/>
              </w:rPr>
              <w:t>le de pontaj, borderourile lunare/anuale</w:t>
            </w:r>
            <w:r w:rsidRPr="003A7A34">
              <w:rPr>
                <w:rFonts w:asciiTheme="majorHAnsi" w:hAnsiTheme="majorHAnsi" w:cstheme="majorHAnsi"/>
                <w:lang w:val="ro-MD"/>
              </w:rPr>
              <w:t xml:space="preserve"> de calcul</w:t>
            </w:r>
            <w:r w:rsidR="00256F47">
              <w:rPr>
                <w:rFonts w:asciiTheme="majorHAnsi" w:hAnsiTheme="majorHAnsi" w:cstheme="majorHAnsi"/>
                <w:lang w:val="ro-MD"/>
              </w:rPr>
              <w:t xml:space="preserve"> </w:t>
            </w:r>
            <w:r w:rsidRPr="003A7A34">
              <w:rPr>
                <w:rFonts w:asciiTheme="majorHAnsi" w:hAnsiTheme="majorHAnsi" w:cstheme="majorHAnsi"/>
                <w:lang w:val="ro-MD"/>
              </w:rPr>
              <w:t xml:space="preserve">etc.); </w:t>
            </w:r>
            <w:r>
              <w:rPr>
                <w:rFonts w:asciiTheme="majorHAnsi" w:hAnsiTheme="majorHAnsi" w:cstheme="majorHAnsi"/>
                <w:lang w:val="ro-MD"/>
              </w:rPr>
              <w:t xml:space="preserve">planificarea și </w:t>
            </w:r>
            <w:r w:rsidRPr="003A7A34">
              <w:rPr>
                <w:rFonts w:asciiTheme="majorHAnsi" w:hAnsiTheme="majorHAnsi" w:cstheme="majorHAnsi"/>
                <w:lang w:val="ro-MD"/>
              </w:rPr>
              <w:t>structura fondului privind retribuirea muncii (salariu</w:t>
            </w:r>
            <w:r w:rsidR="00256F47">
              <w:rPr>
                <w:rFonts w:asciiTheme="majorHAnsi" w:hAnsiTheme="majorHAnsi" w:cstheme="majorHAnsi"/>
                <w:lang w:val="ro-MD"/>
              </w:rPr>
              <w:t>l</w:t>
            </w:r>
            <w:r w:rsidRPr="003A7A34">
              <w:rPr>
                <w:rFonts w:asciiTheme="majorHAnsi" w:hAnsiTheme="majorHAnsi" w:cstheme="majorHAnsi"/>
                <w:lang w:val="ro-MD"/>
              </w:rPr>
              <w:t xml:space="preserve"> de funcție, </w:t>
            </w:r>
            <w:r>
              <w:rPr>
                <w:rFonts w:asciiTheme="majorHAnsi" w:hAnsiTheme="majorHAnsi" w:cstheme="majorHAnsi"/>
                <w:lang w:val="ro-MD"/>
              </w:rPr>
              <w:t xml:space="preserve">coeficienții de multiplicare; </w:t>
            </w:r>
            <w:r w:rsidRPr="003A7A34">
              <w:rPr>
                <w:rFonts w:asciiTheme="majorHAnsi" w:hAnsiTheme="majorHAnsi" w:cstheme="majorHAnsi"/>
                <w:lang w:val="ro-MD"/>
              </w:rPr>
              <w:t>suplimente și plăți stimulatoare, premii, ajutoare materiale, indemnizații, etc.)</w:t>
            </w:r>
            <w:r w:rsidR="00256F47">
              <w:rPr>
                <w:rFonts w:asciiTheme="majorHAnsi" w:hAnsiTheme="majorHAnsi" w:cstheme="majorHAnsi"/>
                <w:lang w:val="ro-MD"/>
              </w:rPr>
              <w:t>.</w:t>
            </w:r>
          </w:p>
          <w:p w14:paraId="0F2D757E" w14:textId="77777777" w:rsidR="004D496F" w:rsidRDefault="004D496F" w:rsidP="007E002D">
            <w:pPr>
              <w:pStyle w:val="ListParagraph"/>
              <w:numPr>
                <w:ilvl w:val="0"/>
                <w:numId w:val="25"/>
              </w:numPr>
              <w:ind w:left="170" w:hanging="141"/>
              <w:rPr>
                <w:rFonts w:asciiTheme="majorHAnsi" w:hAnsiTheme="majorHAnsi" w:cstheme="majorHAnsi"/>
                <w:lang w:val="ro-MD"/>
              </w:rPr>
            </w:pPr>
            <w:r w:rsidRPr="00433218">
              <w:rPr>
                <w:rFonts w:asciiTheme="majorHAnsi" w:hAnsiTheme="majorHAnsi" w:cstheme="majorHAnsi"/>
                <w:lang w:val="ro-MD"/>
              </w:rPr>
              <w:t xml:space="preserve">Contrapunerea </w:t>
            </w:r>
          </w:p>
          <w:p w14:paraId="5E0114E6" w14:textId="01B243F8" w:rsidR="004D496F" w:rsidRPr="007C2DA0" w:rsidRDefault="004D496F" w:rsidP="004D496F">
            <w:pPr>
              <w:ind w:left="29"/>
              <w:rPr>
                <w:rFonts w:asciiTheme="majorHAnsi" w:hAnsiTheme="majorHAnsi" w:cstheme="majorHAnsi"/>
                <w:lang w:val="ro-MD"/>
              </w:rPr>
            </w:pPr>
            <w:r w:rsidRPr="007C2DA0">
              <w:rPr>
                <w:rFonts w:asciiTheme="majorHAnsi" w:hAnsiTheme="majorHAnsi" w:cstheme="majorHAnsi"/>
                <w:lang w:val="ro-MD"/>
              </w:rPr>
              <w:t>informațiilor din tabelele de evidență a timpului efectiv lucrat cu informațiile din contractele individuale de muncă, ordin</w:t>
            </w:r>
            <w:r w:rsidR="00777FC4">
              <w:rPr>
                <w:rFonts w:asciiTheme="majorHAnsi" w:hAnsiTheme="majorHAnsi" w:cstheme="majorHAnsi"/>
                <w:lang w:val="ro-MD"/>
              </w:rPr>
              <w:t>e</w:t>
            </w:r>
            <w:r w:rsidRPr="007C2DA0">
              <w:rPr>
                <w:rFonts w:asciiTheme="majorHAnsi" w:hAnsiTheme="majorHAnsi" w:cstheme="majorHAnsi"/>
                <w:lang w:val="ro-MD"/>
              </w:rPr>
              <w:t>le de concediu, foile de boală, borderourile de calcul lunare și  recalcularea</w:t>
            </w:r>
            <w:r w:rsidR="00777FC4">
              <w:rPr>
                <w:rFonts w:asciiTheme="majorHAnsi" w:hAnsiTheme="majorHAnsi" w:cstheme="majorHAnsi"/>
                <w:lang w:val="ro-MD"/>
              </w:rPr>
              <w:t>,</w:t>
            </w:r>
            <w:r w:rsidRPr="007C2DA0">
              <w:rPr>
                <w:rFonts w:asciiTheme="majorHAnsi" w:hAnsiTheme="majorHAnsi" w:cstheme="majorHAnsi"/>
                <w:lang w:val="ro-MD"/>
              </w:rPr>
              <w:t xml:space="preserve"> corectitudinea stabilirii și achitării salariului către angajați. </w:t>
            </w:r>
          </w:p>
          <w:p w14:paraId="6A8BA93F" w14:textId="77777777" w:rsidR="004D496F" w:rsidRDefault="004D496F" w:rsidP="004D496F">
            <w:pPr>
              <w:pStyle w:val="ListParagraph"/>
              <w:ind w:left="170"/>
              <w:rPr>
                <w:rFonts w:asciiTheme="majorHAnsi" w:hAnsiTheme="majorHAnsi" w:cstheme="majorHAnsi"/>
                <w:lang w:val="ro-MD"/>
              </w:rPr>
            </w:pPr>
          </w:p>
          <w:p w14:paraId="0AE8D318" w14:textId="77777777" w:rsidR="004D496F" w:rsidRDefault="004D496F" w:rsidP="007E002D">
            <w:pPr>
              <w:pStyle w:val="ListParagraph"/>
              <w:numPr>
                <w:ilvl w:val="0"/>
                <w:numId w:val="25"/>
              </w:numPr>
              <w:ind w:left="33" w:firstLine="0"/>
              <w:rPr>
                <w:rFonts w:asciiTheme="majorHAnsi" w:hAnsiTheme="majorHAnsi" w:cstheme="majorHAnsi"/>
                <w:lang w:val="ro-MD"/>
              </w:rPr>
            </w:pPr>
            <w:r w:rsidRPr="000B69E2">
              <w:rPr>
                <w:rFonts w:asciiTheme="majorHAnsi" w:hAnsiTheme="majorHAnsi" w:cstheme="majorHAnsi"/>
                <w:lang w:val="ro-MD"/>
              </w:rPr>
              <w:t xml:space="preserve">Examinarea documentelor </w:t>
            </w:r>
            <w:r>
              <w:rPr>
                <w:rFonts w:asciiTheme="majorHAnsi" w:hAnsiTheme="majorHAnsi" w:cstheme="majorHAnsi"/>
                <w:lang w:val="ro-MD"/>
              </w:rPr>
              <w:t>și registrelor contabile pe diferite tipuri de cheltuieli.</w:t>
            </w:r>
          </w:p>
          <w:p w14:paraId="20F70734" w14:textId="509B354A" w:rsidR="004D496F" w:rsidRDefault="004D496F" w:rsidP="007E002D">
            <w:pPr>
              <w:pStyle w:val="ListParagraph"/>
              <w:numPr>
                <w:ilvl w:val="0"/>
                <w:numId w:val="25"/>
              </w:numPr>
              <w:ind w:left="33" w:firstLine="0"/>
              <w:rPr>
                <w:rFonts w:asciiTheme="majorHAnsi" w:hAnsiTheme="majorHAnsi" w:cstheme="majorHAnsi"/>
                <w:lang w:val="ro-MD"/>
              </w:rPr>
            </w:pPr>
            <w:r>
              <w:rPr>
                <w:rFonts w:asciiTheme="majorHAnsi" w:hAnsiTheme="majorHAnsi" w:cstheme="majorHAnsi"/>
                <w:lang w:val="ro-MD"/>
              </w:rPr>
              <w:t>Examinarea facturilor, actelor de primire</w:t>
            </w:r>
            <w:r w:rsidR="00777FC4">
              <w:rPr>
                <w:rFonts w:asciiTheme="majorHAnsi" w:hAnsiTheme="majorHAnsi" w:cstheme="majorHAnsi"/>
                <w:lang w:val="ro-MD"/>
              </w:rPr>
              <w:t>-</w:t>
            </w:r>
            <w:r>
              <w:rPr>
                <w:rFonts w:asciiTheme="majorHAnsi" w:hAnsiTheme="majorHAnsi" w:cstheme="majorHAnsi"/>
                <w:lang w:val="ro-MD"/>
              </w:rPr>
              <w:t>predare</w:t>
            </w:r>
            <w:r w:rsidR="00777FC4">
              <w:rPr>
                <w:rFonts w:asciiTheme="majorHAnsi" w:hAnsiTheme="majorHAnsi" w:cstheme="majorHAnsi"/>
                <w:lang w:val="ro-MD"/>
              </w:rPr>
              <w:t xml:space="preserve"> a </w:t>
            </w:r>
            <w:r>
              <w:rPr>
                <w:rFonts w:asciiTheme="majorHAnsi" w:hAnsiTheme="majorHAnsi" w:cstheme="majorHAnsi"/>
                <w:lang w:val="ro-MD"/>
              </w:rPr>
              <w:t xml:space="preserve">  serviciilor, contractelor de achiziționare a serviciilor</w:t>
            </w:r>
            <w:r w:rsidR="00777FC4">
              <w:rPr>
                <w:rFonts w:asciiTheme="majorHAnsi" w:hAnsiTheme="majorHAnsi" w:cstheme="majorHAnsi"/>
                <w:lang w:val="ro-MD"/>
              </w:rPr>
              <w:t>.</w:t>
            </w:r>
          </w:p>
          <w:p w14:paraId="3FDC144E" w14:textId="6D58414E" w:rsidR="004D496F" w:rsidRDefault="004D496F" w:rsidP="007E002D">
            <w:pPr>
              <w:pStyle w:val="ListParagraph"/>
              <w:numPr>
                <w:ilvl w:val="0"/>
                <w:numId w:val="25"/>
              </w:numPr>
              <w:ind w:left="33" w:firstLine="0"/>
              <w:rPr>
                <w:rFonts w:asciiTheme="majorHAnsi" w:hAnsiTheme="majorHAnsi" w:cstheme="majorHAnsi"/>
                <w:lang w:val="ro-MD"/>
              </w:rPr>
            </w:pPr>
            <w:r>
              <w:rPr>
                <w:rFonts w:asciiTheme="majorHAnsi" w:hAnsiTheme="majorHAnsi" w:cstheme="majorHAnsi"/>
                <w:lang w:val="ro-MD"/>
              </w:rPr>
              <w:t>Recalcularea arendei pentru contractele de locațiune</w:t>
            </w:r>
            <w:r w:rsidR="00777FC4">
              <w:rPr>
                <w:rFonts w:asciiTheme="majorHAnsi" w:hAnsiTheme="majorHAnsi" w:cstheme="majorHAnsi"/>
                <w:lang w:val="ro-MD"/>
              </w:rPr>
              <w:t>.</w:t>
            </w:r>
          </w:p>
          <w:p w14:paraId="7903D9EF" w14:textId="6DCE3CFA" w:rsidR="004D496F" w:rsidRDefault="004D496F" w:rsidP="007E002D">
            <w:pPr>
              <w:pStyle w:val="ListParagraph"/>
              <w:numPr>
                <w:ilvl w:val="0"/>
                <w:numId w:val="25"/>
              </w:numPr>
              <w:ind w:left="33" w:firstLine="0"/>
              <w:rPr>
                <w:rFonts w:asciiTheme="majorHAnsi" w:hAnsiTheme="majorHAnsi" w:cstheme="majorHAnsi"/>
                <w:lang w:val="ro-MD"/>
              </w:rPr>
            </w:pPr>
            <w:r>
              <w:rPr>
                <w:rFonts w:asciiTheme="majorHAnsi" w:hAnsiTheme="majorHAnsi" w:cstheme="majorHAnsi"/>
                <w:lang w:val="ro-MD"/>
              </w:rPr>
              <w:t>Recalcularea normelor de consum pentru combustibil</w:t>
            </w:r>
            <w:r w:rsidR="00777FC4">
              <w:rPr>
                <w:rFonts w:asciiTheme="majorHAnsi" w:hAnsiTheme="majorHAnsi" w:cstheme="majorHAnsi"/>
                <w:lang w:val="ro-MD"/>
              </w:rPr>
              <w:t>.</w:t>
            </w:r>
          </w:p>
          <w:p w14:paraId="23CCB1B8" w14:textId="1C06358A" w:rsidR="004D496F" w:rsidRDefault="004D496F" w:rsidP="007E002D">
            <w:pPr>
              <w:pStyle w:val="ListParagraph"/>
              <w:numPr>
                <w:ilvl w:val="0"/>
                <w:numId w:val="25"/>
              </w:numPr>
              <w:ind w:left="33" w:firstLine="0"/>
              <w:rPr>
                <w:rFonts w:asciiTheme="majorHAnsi" w:hAnsiTheme="majorHAnsi" w:cstheme="majorHAnsi"/>
                <w:lang w:val="ro-MD"/>
              </w:rPr>
            </w:pPr>
            <w:r>
              <w:rPr>
                <w:rFonts w:asciiTheme="majorHAnsi" w:hAnsiTheme="majorHAnsi" w:cstheme="majorHAnsi"/>
                <w:lang w:val="ro-MD"/>
              </w:rPr>
              <w:t>Verificarea calculării, completării foilor de parcurs</w:t>
            </w:r>
            <w:r w:rsidR="00777FC4">
              <w:rPr>
                <w:rFonts w:asciiTheme="majorHAnsi" w:hAnsiTheme="majorHAnsi" w:cstheme="majorHAnsi"/>
                <w:lang w:val="ro-MD"/>
              </w:rPr>
              <w:t>.</w:t>
            </w:r>
          </w:p>
          <w:p w14:paraId="7ECA981D" w14:textId="3540A635" w:rsidR="004D496F" w:rsidRPr="00433218" w:rsidRDefault="004D496F" w:rsidP="007E002D">
            <w:pPr>
              <w:pStyle w:val="ListParagraph"/>
              <w:numPr>
                <w:ilvl w:val="0"/>
                <w:numId w:val="25"/>
              </w:numPr>
              <w:ind w:left="33" w:firstLine="0"/>
              <w:rPr>
                <w:rFonts w:asciiTheme="majorHAnsi" w:hAnsiTheme="majorHAnsi" w:cstheme="majorHAnsi"/>
                <w:lang w:val="ro-MD"/>
              </w:rPr>
            </w:pPr>
            <w:r>
              <w:rPr>
                <w:rFonts w:asciiTheme="majorHAnsi" w:hAnsiTheme="majorHAnsi" w:cstheme="majorHAnsi"/>
                <w:lang w:val="ro-MD"/>
              </w:rPr>
              <w:t>Contrapunerea informațiilor din sistemul contabil cu registrele contabile</w:t>
            </w:r>
            <w:r w:rsidR="00777FC4">
              <w:rPr>
                <w:rFonts w:asciiTheme="majorHAnsi" w:hAnsiTheme="majorHAnsi" w:cstheme="majorHAnsi"/>
                <w:lang w:val="ro-MD"/>
              </w:rPr>
              <w:t>.</w:t>
            </w:r>
          </w:p>
          <w:p w14:paraId="3D3A7A2F" w14:textId="77777777" w:rsidR="004D496F" w:rsidRPr="0005555C" w:rsidRDefault="004D496F" w:rsidP="004D496F">
            <w:pPr>
              <w:rPr>
                <w:rFonts w:asciiTheme="majorHAnsi" w:hAnsiTheme="majorHAnsi" w:cstheme="majorHAnsi"/>
                <w:lang w:val="ro-MD"/>
              </w:rPr>
            </w:pPr>
          </w:p>
          <w:p w14:paraId="076E3B6A" w14:textId="77777777" w:rsidR="004D496F" w:rsidRPr="000B69E2" w:rsidRDefault="004D496F" w:rsidP="004D496F">
            <w:pPr>
              <w:rPr>
                <w:rFonts w:asciiTheme="majorHAnsi" w:hAnsiTheme="majorHAnsi" w:cstheme="majorHAnsi"/>
                <w:lang w:val="ro-MD"/>
              </w:rPr>
            </w:pPr>
          </w:p>
        </w:tc>
        <w:tc>
          <w:tcPr>
            <w:tcW w:w="4563" w:type="dxa"/>
          </w:tcPr>
          <w:p w14:paraId="2AE9F8EC" w14:textId="77777777" w:rsidR="004D496F" w:rsidRPr="00D503BD" w:rsidRDefault="004D496F" w:rsidP="004D496F">
            <w:pPr>
              <w:rPr>
                <w:rFonts w:asciiTheme="majorHAnsi" w:hAnsiTheme="majorHAnsi" w:cstheme="majorHAnsi"/>
                <w:b/>
                <w:lang w:val="ro-MD"/>
              </w:rPr>
            </w:pPr>
            <w:r w:rsidRPr="00D503BD">
              <w:rPr>
                <w:rFonts w:asciiTheme="majorHAnsi" w:hAnsiTheme="majorHAnsi" w:cstheme="majorHAnsi"/>
                <w:b/>
                <w:lang w:val="ro-MD"/>
              </w:rPr>
              <w:t>Cheltuieli pentru remunerarea muncii:</w:t>
            </w:r>
          </w:p>
          <w:p w14:paraId="6CFF3E0A" w14:textId="77777777" w:rsidR="004D496F" w:rsidRPr="00492394" w:rsidRDefault="004D496F" w:rsidP="004D496F">
            <w:pPr>
              <w:rPr>
                <w:rFonts w:cstheme="majorHAnsi"/>
              </w:rPr>
            </w:pPr>
            <w:r w:rsidRPr="00D503BD">
              <w:rPr>
                <w:rFonts w:asciiTheme="majorHAnsi" w:hAnsiTheme="majorHAnsi" w:cstheme="majorHAnsi"/>
                <w:b/>
                <w:lang w:val="ro-MD"/>
              </w:rPr>
              <w:t>INM:</w:t>
            </w:r>
            <w:r>
              <w:rPr>
                <w:rFonts w:asciiTheme="majorHAnsi" w:hAnsiTheme="majorHAnsi" w:cstheme="majorHAnsi"/>
                <w:lang w:val="ro-MD"/>
              </w:rPr>
              <w:t xml:space="preserve">  21 din 50 pers. în anul 2020; 26 din 50 pers. în anul 2021</w:t>
            </w:r>
            <w:r w:rsidRPr="00556C67">
              <w:rPr>
                <w:rFonts w:asciiTheme="majorHAnsi" w:hAnsiTheme="majorHAnsi" w:cstheme="majorHAnsi"/>
                <w:lang w:val="ro-MD"/>
              </w:rPr>
              <w:t xml:space="preserve">, </w:t>
            </w:r>
            <w:r w:rsidRPr="00191B9C">
              <w:rPr>
                <w:rFonts w:asciiTheme="majorHAnsi" w:hAnsiTheme="majorHAnsi" w:cstheme="majorHAnsi"/>
                <w:lang w:val="ro-MD"/>
              </w:rPr>
              <w:t>care dețin diferite categorii de funcții: funcții de conducere, de execuție; angajați în perioade anterioare, precum și în perioada auditată</w:t>
            </w:r>
            <w:r>
              <w:rPr>
                <w:rFonts w:cstheme="majorHAnsi"/>
              </w:rPr>
              <w:t>.</w:t>
            </w:r>
          </w:p>
          <w:p w14:paraId="16FBEA57" w14:textId="77777777" w:rsidR="004D496F" w:rsidRPr="00D41620" w:rsidRDefault="004D496F" w:rsidP="004D496F">
            <w:pPr>
              <w:ind w:hanging="25"/>
              <w:jc w:val="both"/>
              <w:rPr>
                <w:rFonts w:asciiTheme="majorHAnsi" w:hAnsiTheme="majorHAnsi" w:cstheme="majorHAnsi"/>
                <w:b/>
                <w:lang w:val="ro-MD"/>
              </w:rPr>
            </w:pPr>
            <w:r>
              <w:rPr>
                <w:rFonts w:asciiTheme="majorHAnsi" w:hAnsiTheme="majorHAnsi" w:cstheme="majorHAnsi"/>
                <w:lang w:val="ro-MD"/>
              </w:rPr>
              <w:t xml:space="preserve"> </w:t>
            </w:r>
            <w:r w:rsidRPr="00D41620">
              <w:rPr>
                <w:rFonts w:asciiTheme="majorHAnsi" w:hAnsiTheme="majorHAnsi" w:cstheme="majorHAnsi"/>
                <w:b/>
                <w:lang w:val="ro-MD"/>
              </w:rPr>
              <w:t xml:space="preserve">ISM: </w:t>
            </w:r>
          </w:p>
          <w:p w14:paraId="5959C3E0" w14:textId="77777777" w:rsidR="004D496F" w:rsidRPr="00BB4A98" w:rsidRDefault="004D496F" w:rsidP="004D496F">
            <w:pPr>
              <w:ind w:hanging="25"/>
              <w:jc w:val="both"/>
              <w:rPr>
                <w:rFonts w:asciiTheme="majorHAnsi" w:hAnsiTheme="majorHAnsi" w:cstheme="majorHAnsi"/>
                <w:u w:val="single"/>
                <w:lang w:val="ro-MD"/>
              </w:rPr>
            </w:pPr>
            <w:r w:rsidRPr="00BB4A98">
              <w:rPr>
                <w:rFonts w:asciiTheme="majorHAnsi" w:hAnsiTheme="majorHAnsi" w:cstheme="majorHAnsi"/>
                <w:u w:val="single"/>
                <w:lang w:val="ro-MD"/>
              </w:rPr>
              <w:t>Salariul de funcție:</w:t>
            </w:r>
          </w:p>
          <w:p w14:paraId="63BC5206" w14:textId="77777777" w:rsidR="004D496F" w:rsidRPr="00556C67" w:rsidRDefault="004D496F" w:rsidP="004D496F">
            <w:pPr>
              <w:ind w:hanging="25"/>
              <w:jc w:val="both"/>
              <w:rPr>
                <w:rFonts w:asciiTheme="majorHAnsi" w:hAnsiTheme="majorHAnsi" w:cstheme="majorHAnsi"/>
                <w:lang w:val="ro-MD"/>
              </w:rPr>
            </w:pPr>
            <w:r>
              <w:rPr>
                <w:rFonts w:asciiTheme="majorHAnsi" w:hAnsiTheme="majorHAnsi" w:cstheme="majorHAnsi"/>
                <w:lang w:val="ro-MD"/>
              </w:rPr>
              <w:t xml:space="preserve">Anul 2020: </w:t>
            </w:r>
            <w:r w:rsidRPr="00556C67">
              <w:rPr>
                <w:rFonts w:asciiTheme="majorHAnsi" w:hAnsiTheme="majorHAnsi" w:cstheme="majorHAnsi"/>
                <w:lang w:val="ro-MD"/>
              </w:rPr>
              <w:t>16 din 22 pers. încadrate la 31.12.2020;</w:t>
            </w:r>
          </w:p>
          <w:p w14:paraId="4AA38E5D" w14:textId="77777777" w:rsidR="004D496F" w:rsidRDefault="004D496F" w:rsidP="004D496F">
            <w:pPr>
              <w:ind w:hanging="25"/>
              <w:jc w:val="both"/>
              <w:rPr>
                <w:rFonts w:cstheme="majorHAnsi"/>
              </w:rPr>
            </w:pPr>
            <w:r>
              <w:rPr>
                <w:rFonts w:asciiTheme="majorHAnsi" w:hAnsiTheme="majorHAnsi" w:cstheme="majorHAnsi"/>
                <w:lang w:val="ro-MD"/>
              </w:rPr>
              <w:t xml:space="preserve"> Anul 2021: </w:t>
            </w:r>
            <w:r w:rsidRPr="00556C67">
              <w:rPr>
                <w:rFonts w:asciiTheme="majorHAnsi" w:hAnsiTheme="majorHAnsi" w:cstheme="majorHAnsi"/>
                <w:lang w:val="ro-MD"/>
              </w:rPr>
              <w:t xml:space="preserve">14 din 23 pers. încadrate la 31.12.2021, </w:t>
            </w:r>
            <w:r w:rsidRPr="00191B9C">
              <w:rPr>
                <w:rFonts w:asciiTheme="majorHAnsi" w:hAnsiTheme="majorHAnsi" w:cstheme="majorHAnsi"/>
                <w:lang w:val="ro-MD"/>
              </w:rPr>
              <w:t>care dețin diferite categorii de funcții: funcții de conducere, de execuție; angajați în perioade anterioare, precum și în perioada auditată</w:t>
            </w:r>
            <w:r>
              <w:rPr>
                <w:rFonts w:cstheme="majorHAnsi"/>
              </w:rPr>
              <w:t>.</w:t>
            </w:r>
          </w:p>
          <w:p w14:paraId="7F996BFC" w14:textId="77777777" w:rsidR="004D496F" w:rsidRPr="00782710" w:rsidRDefault="004D496F" w:rsidP="004D496F">
            <w:pPr>
              <w:ind w:hanging="25"/>
              <w:jc w:val="both"/>
              <w:rPr>
                <w:rFonts w:asciiTheme="majorHAnsi" w:hAnsiTheme="majorHAnsi" w:cstheme="majorHAnsi"/>
                <w:u w:val="single"/>
                <w:lang w:val="ro-MD"/>
              </w:rPr>
            </w:pPr>
            <w:r w:rsidRPr="00782710">
              <w:rPr>
                <w:rFonts w:asciiTheme="majorHAnsi" w:hAnsiTheme="majorHAnsi" w:cstheme="majorHAnsi"/>
                <w:u w:val="single"/>
                <w:lang w:val="ro-MD"/>
              </w:rPr>
              <w:t xml:space="preserve">Spor pentru activități suplimentare: </w:t>
            </w:r>
          </w:p>
          <w:p w14:paraId="3BD09975" w14:textId="77777777" w:rsidR="004D496F" w:rsidRPr="00D41620" w:rsidRDefault="004D496F" w:rsidP="004D496F">
            <w:pPr>
              <w:ind w:hanging="25"/>
              <w:jc w:val="both"/>
              <w:rPr>
                <w:rFonts w:asciiTheme="majorHAnsi" w:hAnsiTheme="majorHAnsi" w:cstheme="majorHAnsi"/>
                <w:lang w:val="ro-MD"/>
              </w:rPr>
            </w:pPr>
            <w:r w:rsidRPr="00D41620">
              <w:rPr>
                <w:rFonts w:asciiTheme="majorHAnsi" w:hAnsiTheme="majorHAnsi" w:cstheme="majorHAnsi"/>
                <w:lang w:val="ro-MD"/>
              </w:rPr>
              <w:t>Anul 2020: 12 din 22 persoane.</w:t>
            </w:r>
          </w:p>
          <w:p w14:paraId="4C9C0188" w14:textId="77777777" w:rsidR="004D496F" w:rsidRPr="00D41620" w:rsidRDefault="004D496F" w:rsidP="004D496F">
            <w:pPr>
              <w:ind w:hanging="25"/>
              <w:jc w:val="both"/>
              <w:rPr>
                <w:rFonts w:asciiTheme="majorHAnsi" w:hAnsiTheme="majorHAnsi" w:cstheme="majorHAnsi"/>
                <w:lang w:val="ro-MD"/>
              </w:rPr>
            </w:pPr>
            <w:r w:rsidRPr="00D41620">
              <w:rPr>
                <w:rFonts w:asciiTheme="majorHAnsi" w:hAnsiTheme="majorHAnsi" w:cstheme="majorHAnsi"/>
                <w:lang w:val="ro-MD"/>
              </w:rPr>
              <w:t>Anul 2021: 12 din 23 pers. încadrate în 2021.</w:t>
            </w:r>
          </w:p>
          <w:p w14:paraId="17F3AB0E" w14:textId="77777777" w:rsidR="004D496F" w:rsidRPr="00D41620" w:rsidRDefault="004D496F" w:rsidP="004D496F">
            <w:pPr>
              <w:ind w:hanging="25"/>
              <w:jc w:val="both"/>
              <w:rPr>
                <w:rFonts w:asciiTheme="majorHAnsi" w:hAnsiTheme="majorHAnsi" w:cstheme="majorHAnsi"/>
                <w:u w:val="single"/>
                <w:lang w:val="ro-MD"/>
              </w:rPr>
            </w:pPr>
            <w:r w:rsidRPr="00D41620">
              <w:rPr>
                <w:rFonts w:asciiTheme="majorHAnsi" w:hAnsiTheme="majorHAnsi" w:cstheme="majorHAnsi"/>
                <w:u w:val="single"/>
                <w:lang w:val="ro-MD"/>
              </w:rPr>
              <w:t>Premii unice:</w:t>
            </w:r>
          </w:p>
          <w:p w14:paraId="79F5FA18" w14:textId="77777777" w:rsidR="004D496F" w:rsidRDefault="004D496F" w:rsidP="004D496F">
            <w:pPr>
              <w:ind w:hanging="25"/>
              <w:jc w:val="both"/>
              <w:rPr>
                <w:rFonts w:asciiTheme="majorHAnsi" w:hAnsiTheme="majorHAnsi" w:cstheme="majorHAnsi"/>
                <w:lang w:val="ro-MD"/>
              </w:rPr>
            </w:pPr>
            <w:r>
              <w:rPr>
                <w:rFonts w:asciiTheme="majorHAnsi" w:hAnsiTheme="majorHAnsi" w:cstheme="majorHAnsi"/>
                <w:lang w:val="ro-MD"/>
              </w:rPr>
              <w:t xml:space="preserve">Anul 2020: </w:t>
            </w:r>
            <w:r w:rsidRPr="00D41620">
              <w:rPr>
                <w:rFonts w:asciiTheme="majorHAnsi" w:hAnsiTheme="majorHAnsi" w:cstheme="majorHAnsi"/>
                <w:lang w:val="ro-MD"/>
              </w:rPr>
              <w:t>9 din 9 stabilite, în cuantum de 218,9 mii lei.</w:t>
            </w:r>
          </w:p>
          <w:p w14:paraId="6C886BE5" w14:textId="0C350624" w:rsidR="004D496F" w:rsidRPr="00D41620" w:rsidRDefault="004D496F" w:rsidP="004D496F">
            <w:pPr>
              <w:ind w:hanging="25"/>
              <w:jc w:val="both"/>
              <w:rPr>
                <w:rFonts w:asciiTheme="majorHAnsi" w:hAnsiTheme="majorHAnsi" w:cstheme="majorHAnsi"/>
                <w:lang w:val="ro-MD"/>
              </w:rPr>
            </w:pPr>
            <w:r>
              <w:rPr>
                <w:rFonts w:asciiTheme="majorHAnsi" w:hAnsiTheme="majorHAnsi" w:cstheme="majorHAnsi"/>
                <w:lang w:val="ro-MD"/>
              </w:rPr>
              <w:t>Anul 2021: 10 din 10 premii unice stabilite salariaților, în cuantum de 303,9 mii lei.</w:t>
            </w:r>
          </w:p>
          <w:p w14:paraId="48A00FBA" w14:textId="77777777" w:rsidR="004D496F" w:rsidRPr="00D41620" w:rsidRDefault="004D496F" w:rsidP="004D496F">
            <w:pPr>
              <w:ind w:hanging="25"/>
              <w:jc w:val="both"/>
              <w:rPr>
                <w:rFonts w:asciiTheme="majorHAnsi" w:hAnsiTheme="majorHAnsi" w:cstheme="majorHAnsi"/>
                <w:b/>
                <w:lang w:val="ro-MD"/>
              </w:rPr>
            </w:pPr>
            <w:r w:rsidRPr="00D41620">
              <w:rPr>
                <w:rFonts w:asciiTheme="majorHAnsi" w:hAnsiTheme="majorHAnsi" w:cstheme="majorHAnsi"/>
                <w:b/>
                <w:lang w:val="ro-MD"/>
              </w:rPr>
              <w:t xml:space="preserve">MOLDAC: </w:t>
            </w:r>
          </w:p>
          <w:p w14:paraId="3F881CD3" w14:textId="77777777" w:rsidR="004D496F" w:rsidRPr="00D41620" w:rsidRDefault="004D496F" w:rsidP="004D496F">
            <w:pPr>
              <w:ind w:hanging="25"/>
              <w:jc w:val="both"/>
              <w:rPr>
                <w:rFonts w:asciiTheme="majorHAnsi" w:hAnsiTheme="majorHAnsi" w:cstheme="majorHAnsi"/>
                <w:lang w:val="ro-MD"/>
              </w:rPr>
            </w:pPr>
            <w:r w:rsidRPr="00D41620">
              <w:rPr>
                <w:rFonts w:asciiTheme="majorHAnsi" w:hAnsiTheme="majorHAnsi" w:cstheme="majorHAnsi"/>
                <w:lang w:val="ro-MD"/>
              </w:rPr>
              <w:t xml:space="preserve">Salariul de funcție: </w:t>
            </w:r>
          </w:p>
          <w:p w14:paraId="63C6A4B7" w14:textId="2A36CD42" w:rsidR="004D496F" w:rsidRPr="00782710" w:rsidRDefault="004D496F" w:rsidP="004D496F">
            <w:pPr>
              <w:ind w:hanging="25"/>
              <w:jc w:val="both"/>
              <w:rPr>
                <w:rFonts w:asciiTheme="majorHAnsi" w:hAnsiTheme="majorHAnsi" w:cstheme="majorHAnsi"/>
              </w:rPr>
            </w:pPr>
            <w:r w:rsidRPr="00782710">
              <w:rPr>
                <w:rFonts w:asciiTheme="majorHAnsi" w:hAnsiTheme="majorHAnsi" w:cstheme="majorHAnsi"/>
              </w:rPr>
              <w:t>Anul 2020: 14 din 21 pers. încadrate la 31.12.2020</w:t>
            </w:r>
            <w:r w:rsidR="00556E85">
              <w:rPr>
                <w:rFonts w:asciiTheme="majorHAnsi" w:hAnsiTheme="majorHAnsi" w:cstheme="majorHAnsi"/>
              </w:rPr>
              <w:t>.</w:t>
            </w:r>
          </w:p>
          <w:p w14:paraId="56A9E70E" w14:textId="77777777" w:rsidR="004D496F" w:rsidRDefault="004D496F" w:rsidP="004D496F">
            <w:pPr>
              <w:ind w:hanging="25"/>
              <w:jc w:val="both"/>
              <w:rPr>
                <w:rFonts w:cstheme="majorHAnsi"/>
              </w:rPr>
            </w:pPr>
            <w:r w:rsidRPr="00782710">
              <w:rPr>
                <w:rFonts w:asciiTheme="majorHAnsi" w:hAnsiTheme="majorHAnsi" w:cstheme="majorHAnsi"/>
              </w:rPr>
              <w:t>Anul 2021: 14 din 21,</w:t>
            </w:r>
            <w:r>
              <w:rPr>
                <w:rFonts w:cstheme="majorHAnsi"/>
              </w:rPr>
              <w:t xml:space="preserve"> </w:t>
            </w:r>
            <w:r w:rsidRPr="00191B9C">
              <w:rPr>
                <w:rFonts w:asciiTheme="majorHAnsi" w:hAnsiTheme="majorHAnsi" w:cstheme="majorHAnsi"/>
                <w:lang w:val="ro-MD"/>
              </w:rPr>
              <w:t>care dețin diferite categorii de funcții: fu</w:t>
            </w:r>
            <w:r>
              <w:rPr>
                <w:rFonts w:asciiTheme="majorHAnsi" w:hAnsiTheme="majorHAnsi" w:cstheme="majorHAnsi"/>
                <w:lang w:val="ro-MD"/>
              </w:rPr>
              <w:t>ncții de conducere, de execuție,</w:t>
            </w:r>
            <w:r w:rsidRPr="00191B9C">
              <w:rPr>
                <w:rFonts w:asciiTheme="majorHAnsi" w:hAnsiTheme="majorHAnsi" w:cstheme="majorHAnsi"/>
                <w:lang w:val="ro-MD"/>
              </w:rPr>
              <w:t xml:space="preserve"> angajați în perioade anterioare, precum și în perioada auditată</w:t>
            </w:r>
            <w:r>
              <w:rPr>
                <w:rFonts w:cstheme="majorHAnsi"/>
              </w:rPr>
              <w:t>.</w:t>
            </w:r>
          </w:p>
          <w:p w14:paraId="4F11F77A" w14:textId="77777777" w:rsidR="004D496F" w:rsidRPr="00782710" w:rsidRDefault="004D496F" w:rsidP="004D496F">
            <w:pPr>
              <w:ind w:hanging="25"/>
              <w:jc w:val="both"/>
              <w:rPr>
                <w:rFonts w:asciiTheme="majorHAnsi" w:hAnsiTheme="majorHAnsi" w:cstheme="majorHAnsi"/>
                <w:u w:val="single"/>
                <w:lang w:val="ro-MD"/>
              </w:rPr>
            </w:pPr>
            <w:r w:rsidRPr="00782710">
              <w:rPr>
                <w:rFonts w:asciiTheme="majorHAnsi" w:hAnsiTheme="majorHAnsi" w:cstheme="majorHAnsi"/>
                <w:u w:val="single"/>
                <w:lang w:val="ro-MD"/>
              </w:rPr>
              <w:t xml:space="preserve">Spor pentru activități suplimentare: </w:t>
            </w:r>
          </w:p>
          <w:p w14:paraId="7F4FD2AA" w14:textId="7650CC76" w:rsidR="004D496F" w:rsidRPr="00782710" w:rsidRDefault="004D496F" w:rsidP="004D496F">
            <w:pPr>
              <w:ind w:hanging="25"/>
              <w:jc w:val="both"/>
              <w:rPr>
                <w:rFonts w:asciiTheme="majorHAnsi" w:hAnsiTheme="majorHAnsi" w:cstheme="majorHAnsi"/>
                <w:lang w:val="ro-MD"/>
              </w:rPr>
            </w:pPr>
            <w:r w:rsidRPr="00782710">
              <w:rPr>
                <w:rFonts w:asciiTheme="majorHAnsi" w:hAnsiTheme="majorHAnsi" w:cstheme="majorHAnsi"/>
                <w:lang w:val="ro-MD"/>
              </w:rPr>
              <w:t>Anul 2020: 14 din 21 pers., ceea ce reprezintă 38 tranzacții înregistrate în lunile iunie, iul</w:t>
            </w:r>
            <w:r>
              <w:rPr>
                <w:rFonts w:asciiTheme="majorHAnsi" w:hAnsiTheme="majorHAnsi" w:cstheme="majorHAnsi"/>
                <w:lang w:val="ro-MD"/>
              </w:rPr>
              <w:t>i</w:t>
            </w:r>
            <w:r w:rsidRPr="00782710">
              <w:rPr>
                <w:rFonts w:asciiTheme="majorHAnsi" w:hAnsiTheme="majorHAnsi" w:cstheme="majorHAnsi"/>
                <w:lang w:val="ro-MD"/>
              </w:rPr>
              <w:t>e, septembrie, decembrie</w:t>
            </w:r>
            <w:r w:rsidR="00556E85">
              <w:rPr>
                <w:rFonts w:asciiTheme="majorHAnsi" w:hAnsiTheme="majorHAnsi" w:cstheme="majorHAnsi"/>
                <w:lang w:val="ro-MD"/>
              </w:rPr>
              <w:t>.</w:t>
            </w:r>
          </w:p>
          <w:p w14:paraId="3451D1AC" w14:textId="77777777" w:rsidR="004D496F" w:rsidRPr="00782710" w:rsidRDefault="004D496F" w:rsidP="004D496F">
            <w:pPr>
              <w:ind w:hanging="25"/>
              <w:jc w:val="both"/>
              <w:rPr>
                <w:rFonts w:asciiTheme="majorHAnsi" w:hAnsiTheme="majorHAnsi" w:cstheme="majorHAnsi"/>
                <w:lang w:val="ro-MD"/>
              </w:rPr>
            </w:pPr>
            <w:r w:rsidRPr="00782710">
              <w:rPr>
                <w:rFonts w:asciiTheme="majorHAnsi" w:hAnsiTheme="majorHAnsi" w:cstheme="majorHAnsi"/>
                <w:lang w:val="ro-MD"/>
              </w:rPr>
              <w:t xml:space="preserve">Anul 2021: 12 din 21 pers., sau 33 tranzacții în lunile: </w:t>
            </w:r>
            <w:r>
              <w:rPr>
                <w:rFonts w:asciiTheme="majorHAnsi" w:hAnsiTheme="majorHAnsi" w:cstheme="majorHAnsi"/>
                <w:lang w:val="ro-MD"/>
              </w:rPr>
              <w:t>februarie, aprilie, septembrie, decembrie</w:t>
            </w:r>
            <w:r w:rsidRPr="00782710">
              <w:rPr>
                <w:rFonts w:asciiTheme="majorHAnsi" w:hAnsiTheme="majorHAnsi" w:cstheme="majorHAnsi"/>
                <w:lang w:val="ro-MD"/>
              </w:rPr>
              <w:t>.</w:t>
            </w:r>
          </w:p>
          <w:p w14:paraId="41E58E86" w14:textId="77777777" w:rsidR="004D496F" w:rsidRPr="00782710" w:rsidRDefault="004D496F" w:rsidP="004D496F">
            <w:pPr>
              <w:ind w:hanging="25"/>
              <w:jc w:val="both"/>
              <w:rPr>
                <w:rFonts w:asciiTheme="majorHAnsi" w:hAnsiTheme="majorHAnsi" w:cstheme="majorHAnsi"/>
                <w:u w:val="single"/>
                <w:lang w:val="ro-MD"/>
              </w:rPr>
            </w:pPr>
            <w:r w:rsidRPr="00782710">
              <w:rPr>
                <w:rFonts w:asciiTheme="majorHAnsi" w:hAnsiTheme="majorHAnsi" w:cstheme="majorHAnsi"/>
                <w:u w:val="single"/>
                <w:lang w:val="ro-MD"/>
              </w:rPr>
              <w:t xml:space="preserve">Supliment pentru cumularea atribuțiilor: </w:t>
            </w:r>
          </w:p>
          <w:p w14:paraId="1E9978C2" w14:textId="77777777" w:rsidR="004D496F" w:rsidRPr="00782710" w:rsidRDefault="004D496F" w:rsidP="004D496F">
            <w:pPr>
              <w:ind w:hanging="25"/>
              <w:jc w:val="both"/>
              <w:rPr>
                <w:rFonts w:asciiTheme="majorHAnsi" w:hAnsiTheme="majorHAnsi" w:cstheme="majorHAnsi"/>
                <w:lang w:val="ro-MD"/>
              </w:rPr>
            </w:pPr>
            <w:r w:rsidRPr="00782710">
              <w:rPr>
                <w:rFonts w:asciiTheme="majorHAnsi" w:hAnsiTheme="majorHAnsi" w:cstheme="majorHAnsi"/>
                <w:lang w:val="ro-MD"/>
              </w:rPr>
              <w:t>Anul 2020: 15 din 21 angajați</w:t>
            </w:r>
          </w:p>
          <w:p w14:paraId="00BA684C" w14:textId="77777777" w:rsidR="004D496F" w:rsidRPr="00782710" w:rsidRDefault="004D496F" w:rsidP="004D496F">
            <w:pPr>
              <w:ind w:hanging="25"/>
              <w:jc w:val="both"/>
              <w:rPr>
                <w:rFonts w:asciiTheme="majorHAnsi" w:hAnsiTheme="majorHAnsi" w:cstheme="majorHAnsi"/>
                <w:lang w:val="ro-MD"/>
              </w:rPr>
            </w:pPr>
            <w:r w:rsidRPr="00782710">
              <w:rPr>
                <w:rFonts w:asciiTheme="majorHAnsi" w:hAnsiTheme="majorHAnsi" w:cstheme="majorHAnsi"/>
                <w:lang w:val="ro-MD"/>
              </w:rPr>
              <w:t>Anul 2021: 6 din 21 angajați</w:t>
            </w:r>
          </w:p>
          <w:p w14:paraId="0A3FD978" w14:textId="77777777" w:rsidR="004D496F" w:rsidRPr="00782710" w:rsidRDefault="004D496F" w:rsidP="004D496F">
            <w:pPr>
              <w:ind w:hanging="25"/>
              <w:jc w:val="both"/>
              <w:rPr>
                <w:rFonts w:asciiTheme="majorHAnsi" w:hAnsiTheme="majorHAnsi" w:cstheme="majorHAnsi"/>
                <w:lang w:val="ro-MD"/>
              </w:rPr>
            </w:pPr>
            <w:r w:rsidRPr="00782710">
              <w:rPr>
                <w:rFonts w:asciiTheme="majorHAnsi" w:hAnsiTheme="majorHAnsi" w:cstheme="majorHAnsi"/>
                <w:lang w:val="ro-MD"/>
              </w:rPr>
              <w:t>Ajutor material suplimentar:</w:t>
            </w:r>
          </w:p>
          <w:p w14:paraId="4E868A5D" w14:textId="77777777" w:rsidR="004D496F" w:rsidRPr="00782710" w:rsidRDefault="004D496F" w:rsidP="004D496F">
            <w:pPr>
              <w:jc w:val="both"/>
              <w:rPr>
                <w:rFonts w:asciiTheme="majorHAnsi" w:hAnsiTheme="majorHAnsi" w:cstheme="majorHAnsi"/>
                <w:lang w:val="ro-MD"/>
              </w:rPr>
            </w:pPr>
            <w:r w:rsidRPr="00782710">
              <w:rPr>
                <w:rFonts w:asciiTheme="majorHAnsi" w:hAnsiTheme="majorHAnsi" w:cstheme="majorHAnsi"/>
                <w:lang w:val="ro-MD"/>
              </w:rPr>
              <w:t>Anul 2020: 7 din 7 salariați, în sumă de 34,5 mii lei;</w:t>
            </w:r>
          </w:p>
          <w:p w14:paraId="1A76F8DA" w14:textId="77777777" w:rsidR="004D496F" w:rsidRPr="00782710" w:rsidRDefault="004D496F" w:rsidP="004D496F">
            <w:pPr>
              <w:jc w:val="both"/>
              <w:rPr>
                <w:rFonts w:asciiTheme="majorHAnsi" w:hAnsiTheme="majorHAnsi" w:cstheme="majorHAnsi"/>
                <w:lang w:val="ro-MD"/>
              </w:rPr>
            </w:pPr>
            <w:r w:rsidRPr="00782710">
              <w:rPr>
                <w:rFonts w:asciiTheme="majorHAnsi" w:hAnsiTheme="majorHAnsi" w:cstheme="majorHAnsi"/>
                <w:lang w:val="ro-MD"/>
              </w:rPr>
              <w:t>Anul 2021: 8 din 8, în sumă de 40,5 mii lei.</w:t>
            </w:r>
          </w:p>
          <w:p w14:paraId="613583EF" w14:textId="2F0FBFE7" w:rsidR="004D496F" w:rsidRPr="00782710" w:rsidRDefault="004D496F" w:rsidP="004D496F">
            <w:pPr>
              <w:jc w:val="both"/>
              <w:rPr>
                <w:rFonts w:asciiTheme="majorHAnsi" w:hAnsiTheme="majorHAnsi" w:cstheme="majorHAnsi"/>
                <w:lang w:val="ro-MD"/>
              </w:rPr>
            </w:pPr>
            <w:r w:rsidRPr="00782710">
              <w:rPr>
                <w:rFonts w:asciiTheme="majorHAnsi" w:hAnsiTheme="majorHAnsi" w:cstheme="majorHAnsi"/>
                <w:u w:val="single"/>
                <w:lang w:val="ro-MD"/>
              </w:rPr>
              <w:t>Premii unice</w:t>
            </w:r>
            <w:r w:rsidRPr="00782710">
              <w:rPr>
                <w:rFonts w:asciiTheme="majorHAnsi" w:hAnsiTheme="majorHAnsi" w:cstheme="majorHAnsi"/>
                <w:lang w:val="ro-MD"/>
              </w:rPr>
              <w:t>: 100% în valoare de 456</w:t>
            </w:r>
            <w:r w:rsidR="00556E85">
              <w:rPr>
                <w:rFonts w:asciiTheme="majorHAnsi" w:hAnsiTheme="majorHAnsi" w:cstheme="majorHAnsi"/>
                <w:lang w:val="ro-MD"/>
              </w:rPr>
              <w:t>,0</w:t>
            </w:r>
            <w:r w:rsidRPr="00782710">
              <w:rPr>
                <w:rFonts w:asciiTheme="majorHAnsi" w:hAnsiTheme="majorHAnsi" w:cstheme="majorHAnsi"/>
                <w:lang w:val="ro-MD"/>
              </w:rPr>
              <w:t xml:space="preserve"> mii lei</w:t>
            </w:r>
          </w:p>
          <w:p w14:paraId="5D133F44" w14:textId="77777777" w:rsidR="004D496F" w:rsidRDefault="004D496F" w:rsidP="004D496F">
            <w:pPr>
              <w:ind w:hanging="25"/>
              <w:jc w:val="both"/>
              <w:rPr>
                <w:rFonts w:asciiTheme="majorHAnsi" w:hAnsiTheme="majorHAnsi" w:cstheme="majorHAnsi"/>
                <w:lang w:val="ro-MD"/>
              </w:rPr>
            </w:pPr>
            <w:r w:rsidRPr="00782710">
              <w:rPr>
                <w:rFonts w:asciiTheme="majorHAnsi" w:hAnsiTheme="majorHAnsi" w:cstheme="majorHAnsi"/>
                <w:b/>
                <w:lang w:val="ro-MD"/>
              </w:rPr>
              <w:t>APCSP:</w:t>
            </w:r>
            <w:r w:rsidRPr="00782710">
              <w:rPr>
                <w:rFonts w:asciiTheme="majorHAnsi" w:hAnsiTheme="majorHAnsi" w:cstheme="majorHAnsi"/>
                <w:lang w:val="ro-MD"/>
              </w:rPr>
              <w:t xml:space="preserve"> </w:t>
            </w:r>
          </w:p>
          <w:p w14:paraId="466EEC91" w14:textId="77777777" w:rsidR="004D496F" w:rsidRPr="00782710" w:rsidRDefault="004D496F" w:rsidP="004D496F">
            <w:pPr>
              <w:ind w:hanging="25"/>
              <w:jc w:val="both"/>
              <w:rPr>
                <w:rFonts w:asciiTheme="majorHAnsi" w:hAnsiTheme="majorHAnsi" w:cstheme="majorHAnsi"/>
              </w:rPr>
            </w:pPr>
            <w:r w:rsidRPr="00782710">
              <w:rPr>
                <w:rFonts w:asciiTheme="majorHAnsi" w:hAnsiTheme="majorHAnsi" w:cstheme="majorHAnsi"/>
                <w:u w:val="single"/>
              </w:rPr>
              <w:t>Salariul de funcție</w:t>
            </w:r>
            <w:r>
              <w:rPr>
                <w:rFonts w:asciiTheme="majorHAnsi" w:hAnsiTheme="majorHAnsi" w:cstheme="majorHAnsi"/>
                <w:u w:val="single"/>
              </w:rPr>
              <w:t>; Spor pentru grad de calificare</w:t>
            </w:r>
            <w:r w:rsidRPr="00782710">
              <w:rPr>
                <w:rFonts w:asciiTheme="majorHAnsi" w:hAnsiTheme="majorHAnsi" w:cstheme="majorHAnsi"/>
              </w:rPr>
              <w:t xml:space="preserve">: </w:t>
            </w:r>
          </w:p>
          <w:p w14:paraId="287660DA" w14:textId="6939401C" w:rsidR="004D496F" w:rsidRDefault="004D496F" w:rsidP="004D496F">
            <w:pPr>
              <w:ind w:hanging="25"/>
              <w:jc w:val="both"/>
              <w:rPr>
                <w:rFonts w:asciiTheme="majorHAnsi" w:hAnsiTheme="majorHAnsi" w:cstheme="majorHAnsi"/>
              </w:rPr>
            </w:pPr>
            <w:r w:rsidRPr="00782710">
              <w:rPr>
                <w:rFonts w:asciiTheme="majorHAnsi" w:hAnsiTheme="majorHAnsi" w:cstheme="majorHAnsi"/>
              </w:rPr>
              <w:t xml:space="preserve">Anul 2020: </w:t>
            </w:r>
            <w:r>
              <w:rPr>
                <w:rFonts w:asciiTheme="majorHAnsi" w:hAnsiTheme="majorHAnsi" w:cstheme="majorHAnsi"/>
              </w:rPr>
              <w:t>11 din 44</w:t>
            </w:r>
            <w:r w:rsidRPr="00782710">
              <w:rPr>
                <w:rFonts w:asciiTheme="majorHAnsi" w:hAnsiTheme="majorHAnsi" w:cstheme="majorHAnsi"/>
              </w:rPr>
              <w:t xml:space="preserve"> pers. încadrate la 31.12.2020</w:t>
            </w:r>
            <w:r>
              <w:rPr>
                <w:rFonts w:asciiTheme="majorHAnsi" w:hAnsiTheme="majorHAnsi" w:cstheme="majorHAnsi"/>
              </w:rPr>
              <w:t>, ceea</w:t>
            </w:r>
            <w:r w:rsidR="00556E85">
              <w:rPr>
                <w:rFonts w:asciiTheme="majorHAnsi" w:hAnsiTheme="majorHAnsi" w:cstheme="majorHAnsi"/>
              </w:rPr>
              <w:t xml:space="preserve"> </w:t>
            </w:r>
            <w:r>
              <w:rPr>
                <w:rFonts w:asciiTheme="majorHAnsi" w:hAnsiTheme="majorHAnsi" w:cstheme="majorHAnsi"/>
              </w:rPr>
              <w:t>ce reprezintă 44 tranzacții înregistrate în lunile: 02,05,09,12.</w:t>
            </w:r>
          </w:p>
          <w:p w14:paraId="606E4D6E" w14:textId="77777777" w:rsidR="004D496F" w:rsidRPr="00782710" w:rsidRDefault="004D496F" w:rsidP="004D496F">
            <w:pPr>
              <w:ind w:hanging="25"/>
              <w:jc w:val="both"/>
              <w:rPr>
                <w:rFonts w:asciiTheme="majorHAnsi" w:hAnsiTheme="majorHAnsi" w:cstheme="majorHAnsi"/>
              </w:rPr>
            </w:pPr>
            <w:r>
              <w:rPr>
                <w:rFonts w:asciiTheme="majorHAnsi" w:hAnsiTheme="majorHAnsi" w:cstheme="majorHAnsi"/>
              </w:rPr>
              <w:t>Anul 2021: 20 din 39 pers. încadrate la 31.12.2021.</w:t>
            </w:r>
          </w:p>
          <w:p w14:paraId="029D64AF" w14:textId="77777777" w:rsidR="004D496F" w:rsidRPr="007D0361" w:rsidRDefault="004D496F" w:rsidP="004D496F">
            <w:pPr>
              <w:ind w:hanging="25"/>
              <w:jc w:val="both"/>
              <w:rPr>
                <w:rFonts w:asciiTheme="majorHAnsi" w:hAnsiTheme="majorHAnsi" w:cstheme="majorHAnsi"/>
                <w:u w:val="single"/>
                <w:lang w:val="ro-MD"/>
              </w:rPr>
            </w:pPr>
            <w:r w:rsidRPr="007D0361">
              <w:rPr>
                <w:rFonts w:asciiTheme="majorHAnsi" w:hAnsiTheme="majorHAnsi" w:cstheme="majorHAnsi"/>
                <w:u w:val="single"/>
                <w:lang w:val="ro-MD"/>
              </w:rPr>
              <w:t>Spor pentru performanță:</w:t>
            </w:r>
          </w:p>
          <w:p w14:paraId="6B2C3A61" w14:textId="77777777" w:rsidR="004D496F" w:rsidRDefault="004D496F" w:rsidP="004D496F">
            <w:pPr>
              <w:autoSpaceDE w:val="0"/>
              <w:autoSpaceDN w:val="0"/>
              <w:adjustRightInd w:val="0"/>
              <w:jc w:val="both"/>
              <w:rPr>
                <w:rFonts w:asciiTheme="majorHAnsi" w:hAnsiTheme="majorHAnsi" w:cstheme="majorHAnsi"/>
                <w:lang w:val="ro-MD"/>
              </w:rPr>
            </w:pPr>
            <w:r>
              <w:rPr>
                <w:rFonts w:asciiTheme="majorHAnsi" w:hAnsiTheme="majorHAnsi" w:cstheme="majorHAnsi"/>
                <w:lang w:val="ro-MD"/>
              </w:rPr>
              <w:t xml:space="preserve">Anul 2020: 27 din </w:t>
            </w:r>
            <w:r w:rsidRPr="00DB5ECC">
              <w:rPr>
                <w:rFonts w:asciiTheme="majorHAnsi" w:hAnsiTheme="majorHAnsi" w:cstheme="majorHAnsi"/>
                <w:lang w:val="ro-MD"/>
              </w:rPr>
              <w:t>44</w:t>
            </w:r>
            <w:r>
              <w:rPr>
                <w:rFonts w:asciiTheme="majorHAnsi" w:hAnsiTheme="majorHAnsi" w:cstheme="majorHAnsi"/>
                <w:lang w:val="ro-MD"/>
              </w:rPr>
              <w:t xml:space="preserve"> salariați efectiv încadrați la 31.12.2020.</w:t>
            </w:r>
          </w:p>
          <w:p w14:paraId="1AC88CE9" w14:textId="77777777" w:rsidR="004D496F" w:rsidRDefault="004D496F" w:rsidP="004D496F">
            <w:pPr>
              <w:autoSpaceDE w:val="0"/>
              <w:autoSpaceDN w:val="0"/>
              <w:adjustRightInd w:val="0"/>
              <w:jc w:val="both"/>
              <w:rPr>
                <w:rFonts w:asciiTheme="majorHAnsi" w:hAnsiTheme="majorHAnsi" w:cstheme="majorHAnsi"/>
                <w:lang w:val="ro-MD"/>
              </w:rPr>
            </w:pPr>
            <w:r>
              <w:rPr>
                <w:rFonts w:asciiTheme="majorHAnsi" w:hAnsiTheme="majorHAnsi" w:cstheme="majorHAnsi"/>
                <w:lang w:val="ro-MD"/>
              </w:rPr>
              <w:t>Anul 2021: 24 din 39 salariați efectiv încadrați la 31.12.2021.</w:t>
            </w:r>
          </w:p>
          <w:p w14:paraId="1AD27FD1" w14:textId="77777777" w:rsidR="004D496F" w:rsidRPr="00BB4A98" w:rsidRDefault="004D496F" w:rsidP="004D496F">
            <w:pPr>
              <w:autoSpaceDE w:val="0"/>
              <w:autoSpaceDN w:val="0"/>
              <w:adjustRightInd w:val="0"/>
              <w:jc w:val="both"/>
              <w:rPr>
                <w:rFonts w:asciiTheme="majorHAnsi" w:hAnsiTheme="majorHAnsi" w:cstheme="majorHAnsi"/>
                <w:u w:val="single"/>
                <w:lang w:val="ro-MD"/>
              </w:rPr>
            </w:pPr>
            <w:r w:rsidRPr="00BB4A98">
              <w:rPr>
                <w:rFonts w:asciiTheme="majorHAnsi" w:hAnsiTheme="majorHAnsi" w:cstheme="majorHAnsi"/>
                <w:u w:val="single"/>
                <w:lang w:val="ro-MD"/>
              </w:rPr>
              <w:t>Supliment pentru cumularea atribuțiilor:</w:t>
            </w:r>
          </w:p>
          <w:p w14:paraId="187E3F1C" w14:textId="77777777" w:rsidR="004D496F" w:rsidRDefault="004D496F" w:rsidP="004D496F">
            <w:pPr>
              <w:autoSpaceDE w:val="0"/>
              <w:autoSpaceDN w:val="0"/>
              <w:adjustRightInd w:val="0"/>
              <w:jc w:val="both"/>
              <w:rPr>
                <w:rFonts w:asciiTheme="majorHAnsi" w:hAnsiTheme="majorHAnsi" w:cstheme="majorHAnsi"/>
                <w:lang w:val="ro-MD"/>
              </w:rPr>
            </w:pPr>
            <w:r>
              <w:rPr>
                <w:rFonts w:asciiTheme="majorHAnsi" w:hAnsiTheme="majorHAnsi" w:cstheme="majorHAnsi"/>
                <w:lang w:val="ro-MD"/>
              </w:rPr>
              <w:t xml:space="preserve">Anul 2020: 11 din 23 funcții vacante; </w:t>
            </w:r>
          </w:p>
          <w:p w14:paraId="3E47C1E8" w14:textId="77777777" w:rsidR="004D496F" w:rsidRDefault="004D496F" w:rsidP="004D496F">
            <w:pPr>
              <w:autoSpaceDE w:val="0"/>
              <w:autoSpaceDN w:val="0"/>
              <w:adjustRightInd w:val="0"/>
              <w:jc w:val="both"/>
              <w:rPr>
                <w:rFonts w:asciiTheme="majorHAnsi" w:hAnsiTheme="majorHAnsi" w:cstheme="majorHAnsi"/>
                <w:lang w:val="ro-MD"/>
              </w:rPr>
            </w:pPr>
            <w:r>
              <w:rPr>
                <w:rFonts w:asciiTheme="majorHAnsi" w:hAnsiTheme="majorHAnsi" w:cstheme="majorHAnsi"/>
                <w:lang w:val="ro-MD"/>
              </w:rPr>
              <w:t>11 funcționari publici din 44.</w:t>
            </w:r>
          </w:p>
          <w:p w14:paraId="61E6A59D" w14:textId="77777777" w:rsidR="004D496F" w:rsidRDefault="004D496F" w:rsidP="004D496F">
            <w:pPr>
              <w:autoSpaceDE w:val="0"/>
              <w:autoSpaceDN w:val="0"/>
              <w:adjustRightInd w:val="0"/>
              <w:jc w:val="both"/>
              <w:rPr>
                <w:rFonts w:asciiTheme="majorHAnsi" w:hAnsiTheme="majorHAnsi" w:cstheme="majorHAnsi"/>
                <w:lang w:val="ro-MD"/>
              </w:rPr>
            </w:pPr>
            <w:r>
              <w:rPr>
                <w:rFonts w:asciiTheme="majorHAnsi" w:hAnsiTheme="majorHAnsi" w:cstheme="majorHAnsi"/>
                <w:lang w:val="ro-MD"/>
              </w:rPr>
              <w:t>Anul 2021: 9 din 28 funcții vacante; 13 din 39 funcționari care au beneficiat de sporuri în lunile care au format dimensiunea eșantionului.</w:t>
            </w:r>
          </w:p>
          <w:p w14:paraId="686C6B0C" w14:textId="77777777" w:rsidR="004D496F" w:rsidRPr="00BB4A98" w:rsidRDefault="004D496F" w:rsidP="004D496F">
            <w:pPr>
              <w:ind w:hanging="25"/>
              <w:jc w:val="both"/>
              <w:rPr>
                <w:rFonts w:asciiTheme="majorHAnsi" w:hAnsiTheme="majorHAnsi" w:cstheme="majorHAnsi"/>
                <w:u w:val="single"/>
                <w:lang w:val="ro-MD"/>
              </w:rPr>
            </w:pPr>
            <w:r w:rsidRPr="00BB4A98">
              <w:rPr>
                <w:rFonts w:asciiTheme="majorHAnsi" w:hAnsiTheme="majorHAnsi" w:cstheme="majorHAnsi"/>
                <w:u w:val="single"/>
                <w:lang w:val="ro-MD"/>
              </w:rPr>
              <w:t xml:space="preserve">Premii unice: </w:t>
            </w:r>
          </w:p>
          <w:p w14:paraId="2253A498" w14:textId="77777777" w:rsidR="004D496F" w:rsidRDefault="004D496F" w:rsidP="004D496F">
            <w:pPr>
              <w:ind w:hanging="25"/>
              <w:jc w:val="both"/>
              <w:rPr>
                <w:rFonts w:asciiTheme="majorHAnsi" w:hAnsiTheme="majorHAnsi" w:cstheme="majorHAnsi"/>
                <w:lang w:val="ro-MD"/>
              </w:rPr>
            </w:pPr>
            <w:r>
              <w:rPr>
                <w:rFonts w:asciiTheme="majorHAnsi" w:hAnsiTheme="majorHAnsi" w:cstheme="majorHAnsi"/>
                <w:lang w:val="ro-MD"/>
              </w:rPr>
              <w:t>Anul 2021 – 1 primă unică  din 1, în sumă de 257,9 mii lei.</w:t>
            </w:r>
          </w:p>
          <w:p w14:paraId="7DDE3102" w14:textId="1DAC0CB6" w:rsidR="004D496F" w:rsidRPr="00782710" w:rsidRDefault="004D496F" w:rsidP="004D496F">
            <w:pPr>
              <w:ind w:hanging="25"/>
              <w:jc w:val="both"/>
              <w:rPr>
                <w:rFonts w:asciiTheme="majorHAnsi" w:hAnsiTheme="majorHAnsi" w:cstheme="majorHAnsi"/>
                <w:lang w:val="ro-MD"/>
              </w:rPr>
            </w:pPr>
            <w:r>
              <w:rPr>
                <w:rFonts w:asciiTheme="majorHAnsi" w:hAnsiTheme="majorHAnsi" w:cstheme="majorHAnsi"/>
                <w:lang w:val="ro-MD"/>
              </w:rPr>
              <w:t>Anul 2021 – 2 premii unice din 2, în cuantum de 203,2 mii lei</w:t>
            </w:r>
            <w:r w:rsidR="00556E85">
              <w:rPr>
                <w:rFonts w:asciiTheme="majorHAnsi" w:hAnsiTheme="majorHAnsi" w:cstheme="majorHAnsi"/>
                <w:lang w:val="ro-MD"/>
              </w:rPr>
              <w:t>.</w:t>
            </w:r>
          </w:p>
          <w:p w14:paraId="500B191B" w14:textId="56D19AEF" w:rsidR="004D496F" w:rsidRPr="00560879" w:rsidRDefault="004D496F" w:rsidP="004D496F">
            <w:pPr>
              <w:rPr>
                <w:rFonts w:asciiTheme="majorHAnsi" w:hAnsiTheme="majorHAnsi" w:cstheme="majorHAnsi"/>
                <w:lang w:val="ro-MD"/>
              </w:rPr>
            </w:pPr>
            <w:r w:rsidRPr="00CD64F6">
              <w:rPr>
                <w:rFonts w:asciiTheme="majorHAnsi" w:hAnsiTheme="majorHAnsi" w:cstheme="majorHAnsi"/>
                <w:lang w:val="ro-MD"/>
              </w:rPr>
              <w:t xml:space="preserve">INM: </w:t>
            </w:r>
            <w:r>
              <w:rPr>
                <w:rFonts w:asciiTheme="majorHAnsi" w:hAnsiTheme="majorHAnsi" w:cstheme="majorHAnsi"/>
                <w:lang w:val="ro-MD"/>
              </w:rPr>
              <w:t xml:space="preserve"> </w:t>
            </w:r>
            <w:r w:rsidRPr="00CD64F6">
              <w:rPr>
                <w:rFonts w:asciiTheme="majorHAnsi" w:hAnsiTheme="majorHAnsi" w:cstheme="majorHAnsi"/>
                <w:lang w:val="ro-MD"/>
              </w:rPr>
              <w:t>Cheltuieli privind deplasările peste hotarele țării: 5 deplasări au fost auditate din 5, pentru anul 2020;</w:t>
            </w:r>
            <w:r w:rsidR="00556E85">
              <w:rPr>
                <w:rFonts w:asciiTheme="majorHAnsi" w:hAnsiTheme="majorHAnsi" w:cstheme="majorHAnsi"/>
                <w:lang w:val="ro-MD"/>
              </w:rPr>
              <w:t xml:space="preserve"> </w:t>
            </w:r>
            <w:r w:rsidRPr="00CD64F6">
              <w:rPr>
                <w:rFonts w:asciiTheme="majorHAnsi" w:hAnsiTheme="majorHAnsi" w:cstheme="majorHAnsi"/>
                <w:lang w:val="ro-MD"/>
              </w:rPr>
              <w:t>3 deplasări din 3 pentru anul 2021;</w:t>
            </w:r>
            <w:r w:rsidR="00556E85">
              <w:rPr>
                <w:rFonts w:asciiTheme="majorHAnsi" w:hAnsiTheme="majorHAnsi" w:cstheme="majorHAnsi"/>
                <w:lang w:val="ro-MD"/>
              </w:rPr>
              <w:t xml:space="preserve"> a</w:t>
            </w:r>
            <w:r w:rsidRPr="00CD64F6">
              <w:rPr>
                <w:rFonts w:asciiTheme="majorHAnsi" w:hAnsiTheme="majorHAnsi" w:cstheme="majorHAnsi"/>
                <w:lang w:val="ro-MD"/>
              </w:rPr>
              <w:t>lte cheltuieli administrative: 14 tranzacții (facturi, acte de primire</w:t>
            </w:r>
            <w:r w:rsidR="00556E85">
              <w:rPr>
                <w:rFonts w:asciiTheme="majorHAnsi" w:hAnsiTheme="majorHAnsi" w:cstheme="majorHAnsi"/>
                <w:lang w:val="ro-MD"/>
              </w:rPr>
              <w:t>-</w:t>
            </w:r>
            <w:r w:rsidRPr="00CD64F6">
              <w:rPr>
                <w:rFonts w:asciiTheme="majorHAnsi" w:hAnsiTheme="majorHAnsi" w:cstheme="majorHAnsi"/>
                <w:lang w:val="ro-MD"/>
              </w:rPr>
              <w:t>predare a serviciilor, contracte) în valoare de 302.563,65 lei din 805 tranzacții în valoare de 1.059.109,93 lei pentru anul 2020;</w:t>
            </w:r>
            <w:r>
              <w:rPr>
                <w:rFonts w:asciiTheme="majorHAnsi" w:hAnsiTheme="majorHAnsi" w:cstheme="majorHAnsi"/>
                <w:lang w:val="ro-MD"/>
              </w:rPr>
              <w:t xml:space="preserve"> </w:t>
            </w:r>
            <w:r w:rsidRPr="00CD64F6">
              <w:rPr>
                <w:rFonts w:asciiTheme="majorHAnsi" w:hAnsiTheme="majorHAnsi" w:cstheme="majorHAnsi"/>
                <w:lang w:val="ro-MD"/>
              </w:rPr>
              <w:t>30 tranzacții (facturi, acte de primire</w:t>
            </w:r>
            <w:r w:rsidR="00556E85">
              <w:rPr>
                <w:rFonts w:asciiTheme="majorHAnsi" w:hAnsiTheme="majorHAnsi" w:cstheme="majorHAnsi"/>
                <w:lang w:val="ro-MD"/>
              </w:rPr>
              <w:t>-</w:t>
            </w:r>
            <w:r w:rsidRPr="00CD64F6">
              <w:rPr>
                <w:rFonts w:asciiTheme="majorHAnsi" w:hAnsiTheme="majorHAnsi" w:cstheme="majorHAnsi"/>
                <w:lang w:val="ro-MD"/>
              </w:rPr>
              <w:t>predare a serviciilor, contracte) în valoare de 1.441.041,10 lei din 879 tranzacții în valoare de 2.573.995,41 lei pentru anul 2021;</w:t>
            </w:r>
          </w:p>
          <w:p w14:paraId="2CA9FAF2" w14:textId="78C0C143" w:rsidR="004D496F" w:rsidRPr="00560879" w:rsidRDefault="004D496F" w:rsidP="00255E9C">
            <w:pPr>
              <w:rPr>
                <w:rFonts w:asciiTheme="majorHAnsi" w:hAnsiTheme="majorHAnsi" w:cstheme="majorHAnsi"/>
                <w:lang w:val="ro-MD"/>
              </w:rPr>
            </w:pPr>
            <w:r w:rsidRPr="00560879">
              <w:rPr>
                <w:rFonts w:asciiTheme="majorHAnsi" w:hAnsiTheme="majorHAnsi" w:cstheme="majorHAnsi"/>
                <w:lang w:val="ro-MD"/>
              </w:rPr>
              <w:t>ISM:</w:t>
            </w:r>
            <w:r>
              <w:rPr>
                <w:rFonts w:asciiTheme="majorHAnsi" w:hAnsiTheme="majorHAnsi" w:cstheme="majorHAnsi"/>
                <w:lang w:val="ro-MD"/>
              </w:rPr>
              <w:t xml:space="preserve"> </w:t>
            </w:r>
            <w:r w:rsidRPr="00CD64F6">
              <w:rPr>
                <w:rFonts w:asciiTheme="majorHAnsi" w:hAnsiTheme="majorHAnsi" w:cstheme="majorHAnsi"/>
                <w:lang w:val="ro-MD"/>
              </w:rPr>
              <w:t>Cheltuieli privind</w:t>
            </w:r>
            <w:r w:rsidR="00556E85">
              <w:rPr>
                <w:rFonts w:asciiTheme="majorHAnsi" w:hAnsiTheme="majorHAnsi" w:cstheme="majorHAnsi"/>
                <w:lang w:val="ro-MD"/>
              </w:rPr>
              <w:t xml:space="preserve"> d</w:t>
            </w:r>
            <w:r w:rsidRPr="00CD64F6">
              <w:rPr>
                <w:rFonts w:asciiTheme="majorHAnsi" w:hAnsiTheme="majorHAnsi" w:cstheme="majorHAnsi"/>
                <w:lang w:val="ro-MD"/>
              </w:rPr>
              <w:t>eplasările peste hotarele țării: 5 deplasări din 5 pentru anul 2020;</w:t>
            </w:r>
            <w:r>
              <w:rPr>
                <w:rFonts w:asciiTheme="majorHAnsi" w:hAnsiTheme="majorHAnsi" w:cstheme="majorHAnsi"/>
                <w:lang w:val="ro-MD"/>
              </w:rPr>
              <w:t xml:space="preserve"> </w:t>
            </w:r>
            <w:r w:rsidRPr="00CD64F6">
              <w:rPr>
                <w:rFonts w:asciiTheme="majorHAnsi" w:hAnsiTheme="majorHAnsi" w:cstheme="majorHAnsi"/>
                <w:lang w:val="ro-MD"/>
              </w:rPr>
              <w:t>3 deplasări din 3 pentru</w:t>
            </w:r>
            <w:r w:rsidR="00556E85">
              <w:rPr>
                <w:rFonts w:asciiTheme="majorHAnsi" w:hAnsiTheme="majorHAnsi" w:cstheme="majorHAnsi"/>
                <w:lang w:val="ro-MD"/>
              </w:rPr>
              <w:t xml:space="preserve"> </w:t>
            </w:r>
            <w:r w:rsidRPr="00CD64F6">
              <w:rPr>
                <w:rFonts w:asciiTheme="majorHAnsi" w:hAnsiTheme="majorHAnsi" w:cstheme="majorHAnsi"/>
                <w:lang w:val="ro-MD"/>
              </w:rPr>
              <w:t>anul 2021;</w:t>
            </w:r>
            <w:r>
              <w:rPr>
                <w:rFonts w:asciiTheme="majorHAnsi" w:hAnsiTheme="majorHAnsi" w:cstheme="majorHAnsi"/>
                <w:lang w:val="ro-MD"/>
              </w:rPr>
              <w:t xml:space="preserve"> </w:t>
            </w:r>
            <w:r w:rsidRPr="00CD64F6">
              <w:rPr>
                <w:rFonts w:asciiTheme="majorHAnsi" w:hAnsiTheme="majorHAnsi" w:cstheme="majorHAnsi"/>
                <w:lang w:val="ro-MD"/>
              </w:rPr>
              <w:t>Cheltuieli privind</w:t>
            </w:r>
            <w:r>
              <w:rPr>
                <w:rFonts w:asciiTheme="majorHAnsi" w:hAnsiTheme="majorHAnsi" w:cstheme="majorHAnsi"/>
                <w:lang w:val="ro-MD"/>
              </w:rPr>
              <w:t xml:space="preserve"> </w:t>
            </w:r>
            <w:r w:rsidRPr="00CD64F6">
              <w:rPr>
                <w:rFonts w:asciiTheme="majorHAnsi" w:hAnsiTheme="majorHAnsi" w:cstheme="majorHAnsi"/>
                <w:lang w:val="ro-MD"/>
              </w:rPr>
              <w:t>serviciile cu destinație administrativă: 14 tranzacții (facturi, acte de primire</w:t>
            </w:r>
            <w:r w:rsidR="00556E85">
              <w:rPr>
                <w:rFonts w:asciiTheme="majorHAnsi" w:hAnsiTheme="majorHAnsi" w:cstheme="majorHAnsi"/>
                <w:lang w:val="ro-MD"/>
              </w:rPr>
              <w:t>-</w:t>
            </w:r>
            <w:r w:rsidRPr="00CD64F6">
              <w:rPr>
                <w:rFonts w:asciiTheme="majorHAnsi" w:hAnsiTheme="majorHAnsi" w:cstheme="majorHAnsi"/>
                <w:lang w:val="ro-MD"/>
              </w:rPr>
              <w:t>predare a serviciilor, contracte) în valoare de 83.364,00 lei din 211 tranzacții în valoare de 348.743,62 lei pentru anul 2020;</w:t>
            </w:r>
            <w:r>
              <w:rPr>
                <w:rFonts w:asciiTheme="majorHAnsi" w:hAnsiTheme="majorHAnsi" w:cstheme="majorHAnsi"/>
                <w:lang w:val="ro-MD"/>
              </w:rPr>
              <w:t xml:space="preserve"> </w:t>
            </w:r>
            <w:r w:rsidRPr="00CD64F6">
              <w:rPr>
                <w:rFonts w:asciiTheme="majorHAnsi" w:hAnsiTheme="majorHAnsi" w:cstheme="majorHAnsi"/>
                <w:lang w:val="ro-MD"/>
              </w:rPr>
              <w:t>15 tranzacții în valoare</w:t>
            </w:r>
            <w:r w:rsidR="00556E85">
              <w:rPr>
                <w:rFonts w:asciiTheme="majorHAnsi" w:hAnsiTheme="majorHAnsi" w:cstheme="majorHAnsi"/>
                <w:lang w:val="ro-MD"/>
              </w:rPr>
              <w:t xml:space="preserve"> </w:t>
            </w:r>
            <w:r w:rsidRPr="00CD64F6">
              <w:rPr>
                <w:rFonts w:asciiTheme="majorHAnsi" w:hAnsiTheme="majorHAnsi" w:cstheme="majorHAnsi"/>
                <w:lang w:val="ro-MD"/>
              </w:rPr>
              <w:t>de 109.674,16 lei din 186 de tranzacții în valoare de 443.009,41 lei pentru anul 2021.</w:t>
            </w:r>
          </w:p>
          <w:p w14:paraId="100CDE5F" w14:textId="77777777" w:rsidR="004D496F" w:rsidRPr="00CD64F6" w:rsidRDefault="004D496F" w:rsidP="004D496F">
            <w:pPr>
              <w:tabs>
                <w:tab w:val="left" w:pos="0"/>
                <w:tab w:val="left" w:pos="336"/>
              </w:tabs>
              <w:rPr>
                <w:rFonts w:asciiTheme="majorHAnsi" w:hAnsiTheme="majorHAnsi" w:cstheme="majorHAnsi"/>
                <w:lang w:val="ro-MD"/>
              </w:rPr>
            </w:pPr>
            <w:r w:rsidRPr="00560879">
              <w:rPr>
                <w:rFonts w:asciiTheme="majorHAnsi" w:hAnsiTheme="majorHAnsi" w:cstheme="majorHAnsi"/>
                <w:lang w:val="ro-MD"/>
              </w:rPr>
              <w:t>MOLDAC:</w:t>
            </w:r>
            <w:r>
              <w:rPr>
                <w:rFonts w:asciiTheme="majorHAnsi" w:hAnsiTheme="majorHAnsi" w:cstheme="majorHAnsi"/>
                <w:lang w:val="ro-MD"/>
              </w:rPr>
              <w:t xml:space="preserve"> </w:t>
            </w:r>
            <w:r w:rsidRPr="00CD64F6">
              <w:rPr>
                <w:rFonts w:asciiTheme="majorHAnsi" w:hAnsiTheme="majorHAnsi" w:cstheme="majorHAnsi"/>
                <w:lang w:val="ro-MD"/>
              </w:rPr>
              <w:t>Alte cheltuieli financiare:</w:t>
            </w:r>
          </w:p>
          <w:p w14:paraId="58BBAECA" w14:textId="77777777" w:rsidR="004D496F" w:rsidRPr="00A63741" w:rsidRDefault="004D496F" w:rsidP="007E002D">
            <w:pPr>
              <w:pStyle w:val="ListParagraph"/>
              <w:numPr>
                <w:ilvl w:val="0"/>
                <w:numId w:val="27"/>
              </w:numPr>
              <w:tabs>
                <w:tab w:val="left" w:pos="0"/>
                <w:tab w:val="left" w:pos="77"/>
              </w:tabs>
              <w:ind w:left="0" w:firstLine="0"/>
              <w:rPr>
                <w:rFonts w:asciiTheme="majorHAnsi" w:hAnsiTheme="majorHAnsi" w:cstheme="majorHAnsi"/>
                <w:lang w:val="ro-MD"/>
              </w:rPr>
            </w:pPr>
            <w:r>
              <w:rPr>
                <w:rFonts w:asciiTheme="majorHAnsi" w:hAnsiTheme="majorHAnsi" w:cstheme="majorHAnsi"/>
                <w:lang w:val="ro-MD"/>
              </w:rPr>
              <w:t>t</w:t>
            </w:r>
            <w:r w:rsidRPr="00A63741">
              <w:rPr>
                <w:rFonts w:asciiTheme="majorHAnsi" w:hAnsiTheme="majorHAnsi" w:cstheme="majorHAnsi"/>
                <w:lang w:val="ro-MD"/>
              </w:rPr>
              <w:t xml:space="preserve">ranzacții (facturi, acte de primire-predare a serviciilor, contracte) în valoare de 2.722.905,12 lei din 72 tranzacții pentru anul 2020; 59 tranzacții în </w:t>
            </w:r>
          </w:p>
          <w:p w14:paraId="332D51C7" w14:textId="77777777" w:rsidR="004D496F" w:rsidRPr="00560879" w:rsidRDefault="004D496F" w:rsidP="004D496F">
            <w:pPr>
              <w:tabs>
                <w:tab w:val="left" w:pos="0"/>
                <w:tab w:val="left" w:pos="336"/>
              </w:tabs>
              <w:rPr>
                <w:rFonts w:asciiTheme="majorHAnsi" w:hAnsiTheme="majorHAnsi" w:cstheme="majorHAnsi"/>
                <w:lang w:val="ro-MD"/>
              </w:rPr>
            </w:pPr>
            <w:r w:rsidRPr="00CD64F6">
              <w:rPr>
                <w:rFonts w:asciiTheme="majorHAnsi" w:hAnsiTheme="majorHAnsi" w:cstheme="majorHAnsi"/>
                <w:lang w:val="ro-MD"/>
              </w:rPr>
              <w:t>valoare de 2.571.222,06 lei din 59 tranzacții pentru anul 2021.</w:t>
            </w:r>
          </w:p>
          <w:p w14:paraId="6CA70353" w14:textId="295681BC" w:rsidR="004D496F" w:rsidRPr="000B69E2" w:rsidRDefault="004D496F" w:rsidP="004D496F">
            <w:pPr>
              <w:tabs>
                <w:tab w:val="left" w:pos="62"/>
              </w:tabs>
              <w:rPr>
                <w:rFonts w:asciiTheme="majorHAnsi" w:hAnsiTheme="majorHAnsi" w:cstheme="majorHAnsi"/>
                <w:lang w:val="ro-MD"/>
              </w:rPr>
            </w:pPr>
            <w:r w:rsidRPr="001F735B">
              <w:rPr>
                <w:rFonts w:asciiTheme="majorHAnsi" w:hAnsiTheme="majorHAnsi" w:cstheme="majorHAnsi"/>
                <w:lang w:val="ro-MD"/>
              </w:rPr>
              <w:t xml:space="preserve">APCSP: 1 contract de locațiune în valoare de 2,57 mil. lei; </w:t>
            </w:r>
            <w:r w:rsidR="00556E85">
              <w:rPr>
                <w:rFonts w:asciiTheme="majorHAnsi" w:hAnsiTheme="majorHAnsi" w:cstheme="majorHAnsi"/>
                <w:lang w:val="ro-MD"/>
              </w:rPr>
              <w:t>v</w:t>
            </w:r>
            <w:r w:rsidRPr="001F735B">
              <w:rPr>
                <w:rFonts w:asciiTheme="majorHAnsi" w:hAnsiTheme="majorHAnsi" w:cstheme="majorHAnsi"/>
                <w:lang w:val="ro-MD"/>
              </w:rPr>
              <w:t>or fi analizate c</w:t>
            </w:r>
            <w:r w:rsidR="00556E85">
              <w:rPr>
                <w:rFonts w:asciiTheme="majorHAnsi" w:hAnsiTheme="majorHAnsi" w:cstheme="majorHAnsi"/>
                <w:lang w:val="ro-MD"/>
              </w:rPr>
              <w:t>â</w:t>
            </w:r>
            <w:r w:rsidRPr="001F735B">
              <w:rPr>
                <w:rFonts w:asciiTheme="majorHAnsi" w:hAnsiTheme="majorHAnsi" w:cstheme="majorHAnsi"/>
                <w:lang w:val="ro-MD"/>
              </w:rPr>
              <w:t>te 30  foi de parcurs pentru anii 2020-2021</w:t>
            </w:r>
            <w:r w:rsidR="00556E85">
              <w:rPr>
                <w:rFonts w:asciiTheme="majorHAnsi" w:hAnsiTheme="majorHAnsi" w:cstheme="majorHAnsi"/>
                <w:lang w:val="ro-MD"/>
              </w:rPr>
              <w:t>,</w:t>
            </w:r>
            <w:r w:rsidRPr="001F735B">
              <w:rPr>
                <w:rFonts w:asciiTheme="majorHAnsi" w:hAnsiTheme="majorHAnsi" w:cstheme="majorHAnsi"/>
                <w:lang w:val="ro-MD"/>
              </w:rPr>
              <w:t xml:space="preserve"> în valoare de 61,48 mii lei</w:t>
            </w:r>
            <w:r w:rsidR="00556E85">
              <w:rPr>
                <w:rFonts w:asciiTheme="majorHAnsi" w:hAnsiTheme="majorHAnsi" w:cstheme="majorHAnsi"/>
                <w:lang w:val="ro-MD"/>
              </w:rPr>
              <w:t>,</w:t>
            </w:r>
            <w:r w:rsidRPr="001F735B">
              <w:rPr>
                <w:rFonts w:asciiTheme="majorHAnsi" w:hAnsiTheme="majorHAnsi" w:cstheme="majorHAnsi"/>
                <w:lang w:val="ro-MD"/>
              </w:rPr>
              <w:t xml:space="preserve"> și</w:t>
            </w:r>
            <w:r w:rsidR="00556E85">
              <w:rPr>
                <w:rFonts w:asciiTheme="majorHAnsi" w:hAnsiTheme="majorHAnsi" w:cstheme="majorHAnsi"/>
                <w:lang w:val="ro-MD"/>
              </w:rPr>
              <w:t>,</w:t>
            </w:r>
            <w:r w:rsidRPr="001F735B">
              <w:rPr>
                <w:rFonts w:asciiTheme="majorHAnsi" w:hAnsiTheme="majorHAnsi" w:cstheme="majorHAnsi"/>
                <w:lang w:val="ro-MD"/>
              </w:rPr>
              <w:t xml:space="preserve"> respectiv</w:t>
            </w:r>
            <w:r w:rsidR="00556E85">
              <w:rPr>
                <w:rFonts w:asciiTheme="majorHAnsi" w:hAnsiTheme="majorHAnsi" w:cstheme="majorHAnsi"/>
                <w:lang w:val="ro-MD"/>
              </w:rPr>
              <w:t>,</w:t>
            </w:r>
            <w:r w:rsidRPr="001F735B">
              <w:rPr>
                <w:rFonts w:asciiTheme="majorHAnsi" w:hAnsiTheme="majorHAnsi" w:cstheme="majorHAnsi"/>
                <w:lang w:val="ro-MD"/>
              </w:rPr>
              <w:t xml:space="preserve"> 72,89 mii lei;  </w:t>
            </w:r>
            <w:r w:rsidR="00556E85">
              <w:rPr>
                <w:rFonts w:asciiTheme="majorHAnsi" w:hAnsiTheme="majorHAnsi" w:cstheme="majorHAnsi"/>
                <w:lang w:val="ro-MD"/>
              </w:rPr>
              <w:t>t</w:t>
            </w:r>
            <w:r w:rsidRPr="001F735B">
              <w:rPr>
                <w:rFonts w:asciiTheme="majorHAnsi" w:hAnsiTheme="majorHAnsi" w:cstheme="majorHAnsi"/>
                <w:lang w:val="ro-MD"/>
              </w:rPr>
              <w:t xml:space="preserve">oate cele 4 deplasări din anul 2020  și 2 </w:t>
            </w:r>
            <w:r w:rsidR="00556E85">
              <w:rPr>
                <w:rFonts w:asciiTheme="majorHAnsi" w:hAnsiTheme="majorHAnsi" w:cstheme="majorHAnsi"/>
                <w:lang w:val="ro-MD"/>
              </w:rPr>
              <w:t xml:space="preserve">- </w:t>
            </w:r>
            <w:r w:rsidRPr="001F735B">
              <w:rPr>
                <w:rFonts w:asciiTheme="majorHAnsi" w:hAnsiTheme="majorHAnsi" w:cstheme="majorHAnsi"/>
                <w:lang w:val="ro-MD"/>
              </w:rPr>
              <w:t xml:space="preserve">din anul 2021; </w:t>
            </w:r>
            <w:r w:rsidR="00556E85">
              <w:rPr>
                <w:rFonts w:asciiTheme="majorHAnsi" w:hAnsiTheme="majorHAnsi" w:cstheme="majorHAnsi"/>
                <w:lang w:val="ro-MD"/>
              </w:rPr>
              <w:t>a</w:t>
            </w:r>
            <w:r w:rsidRPr="001F735B">
              <w:rPr>
                <w:rFonts w:asciiTheme="majorHAnsi" w:hAnsiTheme="majorHAnsi" w:cstheme="majorHAnsi"/>
                <w:lang w:val="ro-MD"/>
              </w:rPr>
              <w:t>lte cheltuieli pentru servicii : 40 tranzacții în valoare de 2,57 mil</w:t>
            </w:r>
            <w:r w:rsidR="00556E85">
              <w:rPr>
                <w:rFonts w:asciiTheme="majorHAnsi" w:hAnsiTheme="majorHAnsi" w:cstheme="majorHAnsi"/>
                <w:lang w:val="ro-MD"/>
              </w:rPr>
              <w:t>.</w:t>
            </w:r>
            <w:r w:rsidRPr="001F735B">
              <w:rPr>
                <w:rFonts w:asciiTheme="majorHAnsi" w:hAnsiTheme="majorHAnsi" w:cstheme="majorHAnsi"/>
                <w:lang w:val="ro-MD"/>
              </w:rPr>
              <w:t xml:space="preserve"> lei din 608 tranzacții în valoare de 3,42 mil</w:t>
            </w:r>
            <w:r w:rsidR="00556E85">
              <w:rPr>
                <w:rFonts w:asciiTheme="majorHAnsi" w:hAnsiTheme="majorHAnsi" w:cstheme="majorHAnsi"/>
                <w:lang w:val="ro-MD"/>
              </w:rPr>
              <w:t>.</w:t>
            </w:r>
            <w:r w:rsidRPr="001F735B">
              <w:rPr>
                <w:rFonts w:asciiTheme="majorHAnsi" w:hAnsiTheme="majorHAnsi" w:cstheme="majorHAnsi"/>
                <w:lang w:val="ro-MD"/>
              </w:rPr>
              <w:t xml:space="preserve"> lei pentru anul 2020 și 47 tranzacții în valoare de 3,07 mil</w:t>
            </w:r>
            <w:r w:rsidR="00FA49BB">
              <w:rPr>
                <w:rFonts w:asciiTheme="majorHAnsi" w:hAnsiTheme="majorHAnsi" w:cstheme="majorHAnsi"/>
                <w:lang w:val="ro-MD"/>
              </w:rPr>
              <w:t>.</w:t>
            </w:r>
            <w:r w:rsidRPr="001F735B">
              <w:rPr>
                <w:rFonts w:asciiTheme="majorHAnsi" w:hAnsiTheme="majorHAnsi" w:cstheme="majorHAnsi"/>
                <w:lang w:val="ro-MD"/>
              </w:rPr>
              <w:t xml:space="preserve"> lei din 358 de tranzacții în valoare de 3,59 mil</w:t>
            </w:r>
            <w:r w:rsidR="00FA49BB">
              <w:rPr>
                <w:rFonts w:asciiTheme="majorHAnsi" w:hAnsiTheme="majorHAnsi" w:cstheme="majorHAnsi"/>
                <w:lang w:val="ro-MD"/>
              </w:rPr>
              <w:t>.</w:t>
            </w:r>
            <w:r w:rsidRPr="001F735B">
              <w:rPr>
                <w:rFonts w:asciiTheme="majorHAnsi" w:hAnsiTheme="majorHAnsi" w:cstheme="majorHAnsi"/>
                <w:lang w:val="ro-MD"/>
              </w:rPr>
              <w:t xml:space="preserve"> lei pentru anul 2021. Servicii cu persoane fizice: 5 contracte în valoare de 176</w:t>
            </w:r>
            <w:r w:rsidR="00FA49BB">
              <w:rPr>
                <w:rFonts w:asciiTheme="majorHAnsi" w:hAnsiTheme="majorHAnsi" w:cstheme="majorHAnsi"/>
                <w:lang w:val="ro-MD"/>
              </w:rPr>
              <w:t>,0</w:t>
            </w:r>
            <w:r w:rsidRPr="001F735B">
              <w:rPr>
                <w:rFonts w:asciiTheme="majorHAnsi" w:hAnsiTheme="majorHAnsi" w:cstheme="majorHAnsi"/>
                <w:lang w:val="ro-MD"/>
              </w:rPr>
              <w:t xml:space="preserve"> mii lei din anul 2020 și 1 contract în valoare de 56</w:t>
            </w:r>
            <w:r w:rsidR="00FA49BB">
              <w:rPr>
                <w:rFonts w:asciiTheme="majorHAnsi" w:hAnsiTheme="majorHAnsi" w:cstheme="majorHAnsi"/>
                <w:lang w:val="ro-MD"/>
              </w:rPr>
              <w:t>,0</w:t>
            </w:r>
            <w:r w:rsidRPr="001F735B">
              <w:rPr>
                <w:rFonts w:asciiTheme="majorHAnsi" w:hAnsiTheme="majorHAnsi" w:cstheme="majorHAnsi"/>
                <w:lang w:val="ro-MD"/>
              </w:rPr>
              <w:t xml:space="preserve"> mii lei din anul 2021.</w:t>
            </w:r>
          </w:p>
        </w:tc>
      </w:tr>
    </w:tbl>
    <w:p w14:paraId="6C94D79E" w14:textId="77777777" w:rsidR="009736AB" w:rsidRDefault="009736AB" w:rsidP="005A1FA4">
      <w:pPr>
        <w:rPr>
          <w:rFonts w:asciiTheme="majorHAnsi" w:hAnsiTheme="majorHAnsi" w:cstheme="majorHAnsi"/>
          <w:sz w:val="24"/>
          <w:szCs w:val="24"/>
          <w:lang w:eastAsia="ro-MD"/>
        </w:rPr>
      </w:pPr>
    </w:p>
    <w:p w14:paraId="79A82A2C" w14:textId="77777777" w:rsidR="00D35492" w:rsidRDefault="00D35492" w:rsidP="009736AB">
      <w:pPr>
        <w:jc w:val="right"/>
        <w:rPr>
          <w:rFonts w:asciiTheme="majorHAnsi" w:hAnsiTheme="majorHAnsi" w:cstheme="majorHAnsi"/>
          <w:sz w:val="24"/>
          <w:szCs w:val="24"/>
          <w:lang w:eastAsia="ro-MD"/>
        </w:rPr>
        <w:sectPr w:rsidR="00D35492" w:rsidSect="00D35492">
          <w:pgSz w:w="16838" w:h="11906" w:orient="landscape" w:code="9"/>
          <w:pgMar w:top="1699" w:right="1138" w:bottom="566" w:left="1411" w:header="720" w:footer="720" w:gutter="0"/>
          <w:cols w:space="708"/>
          <w:docGrid w:linePitch="360"/>
        </w:sectPr>
      </w:pPr>
    </w:p>
    <w:p w14:paraId="42113440" w14:textId="414AE66F" w:rsidR="004C6157" w:rsidRPr="004C6157" w:rsidRDefault="004C6157" w:rsidP="005129B8">
      <w:pPr>
        <w:pStyle w:val="Heading2"/>
        <w:spacing w:before="0" w:after="240"/>
        <w:rPr>
          <w:rFonts w:cstheme="majorHAnsi"/>
          <w:b/>
          <w:color w:val="00B0F0"/>
          <w:sz w:val="24"/>
          <w:szCs w:val="24"/>
          <w:lang w:val="ro-MD"/>
        </w:rPr>
      </w:pPr>
      <w:bookmarkStart w:id="147" w:name="_Toc123116724"/>
      <w:r w:rsidRPr="004C6157">
        <w:rPr>
          <w:rFonts w:cstheme="majorHAnsi"/>
          <w:b/>
          <w:color w:val="00B0F0"/>
          <w:sz w:val="24"/>
          <w:szCs w:val="24"/>
          <w:lang w:val="ro-MD"/>
        </w:rPr>
        <w:t>Anexa nr.3</w:t>
      </w:r>
      <w:r w:rsidR="00FA49BB">
        <w:rPr>
          <w:rFonts w:cstheme="majorHAnsi"/>
          <w:b/>
          <w:color w:val="00B0F0"/>
          <w:sz w:val="24"/>
          <w:szCs w:val="24"/>
          <w:lang w:val="ro-MD"/>
        </w:rPr>
        <w:t>.</w:t>
      </w:r>
      <w:r w:rsidRPr="004C6157">
        <w:rPr>
          <w:rFonts w:cstheme="majorHAnsi"/>
          <w:b/>
          <w:color w:val="00B0F0"/>
          <w:sz w:val="24"/>
          <w:szCs w:val="24"/>
          <w:lang w:val="ro-MD"/>
        </w:rPr>
        <w:t xml:space="preserve"> Lista imobilizărilor amortizate integral</w:t>
      </w:r>
      <w:bookmarkEnd w:id="147"/>
    </w:p>
    <w:p w14:paraId="345B8D10" w14:textId="77777777" w:rsidR="00130B94" w:rsidRPr="00255E9C" w:rsidRDefault="00130B94" w:rsidP="00130B94">
      <w:pPr>
        <w:spacing w:after="0" w:line="240" w:lineRule="auto"/>
        <w:jc w:val="right"/>
        <w:rPr>
          <w:rFonts w:ascii="Calibri Light" w:eastAsia="Times New Roman" w:hAnsi="Calibri Light" w:cs="Calibri Light"/>
          <w:b/>
          <w:bCs/>
          <w:i/>
          <w:color w:val="000000"/>
          <w:sz w:val="24"/>
          <w:szCs w:val="24"/>
          <w:lang w:val="ro-MD"/>
        </w:rPr>
      </w:pPr>
      <w:r w:rsidRPr="00255E9C">
        <w:rPr>
          <w:rFonts w:ascii="Calibri Light" w:eastAsia="Times New Roman" w:hAnsi="Calibri Light" w:cs="Calibri Light"/>
          <w:b/>
          <w:bCs/>
          <w:i/>
          <w:color w:val="000000"/>
          <w:sz w:val="24"/>
          <w:szCs w:val="24"/>
          <w:lang w:val="ro-MD"/>
        </w:rPr>
        <w:t>Tabelul nr.3.1.</w:t>
      </w:r>
    </w:p>
    <w:p w14:paraId="27F9CCF9" w14:textId="37257DE5" w:rsidR="004C6157" w:rsidRPr="0080493F" w:rsidRDefault="004C6157" w:rsidP="004C6157">
      <w:pPr>
        <w:spacing w:after="0" w:line="240" w:lineRule="auto"/>
        <w:jc w:val="center"/>
        <w:rPr>
          <w:rFonts w:ascii="Calibri Light" w:eastAsia="Times New Roman" w:hAnsi="Calibri Light" w:cs="Calibri Light"/>
          <w:b/>
          <w:bCs/>
          <w:sz w:val="24"/>
          <w:szCs w:val="24"/>
          <w:lang w:val="ro-MD"/>
        </w:rPr>
      </w:pPr>
      <w:r w:rsidRPr="0080493F">
        <w:rPr>
          <w:rFonts w:ascii="Calibri Light" w:eastAsia="Times New Roman" w:hAnsi="Calibri Light" w:cs="Calibri Light"/>
          <w:b/>
          <w:bCs/>
          <w:sz w:val="24"/>
          <w:szCs w:val="24"/>
          <w:lang w:val="ro-MD"/>
        </w:rPr>
        <w:t>Lista imobilizărilor amortizate integral în cadrul ISM</w:t>
      </w:r>
    </w:p>
    <w:p w14:paraId="62CFE2C5" w14:textId="6A32EA38" w:rsidR="004C6157" w:rsidRPr="00255E9C" w:rsidRDefault="00EA7932" w:rsidP="00EA7932">
      <w:pPr>
        <w:spacing w:after="0" w:line="240" w:lineRule="auto"/>
        <w:jc w:val="center"/>
        <w:rPr>
          <w:rFonts w:ascii="Calibri" w:eastAsia="Times New Roman" w:hAnsi="Calibri" w:cs="Times New Roman"/>
          <w:bCs/>
          <w:color w:val="000000"/>
          <w:sz w:val="20"/>
          <w:szCs w:val="20"/>
        </w:rPr>
      </w:pPr>
      <w:r w:rsidRPr="00255E9C">
        <w:rPr>
          <w:rFonts w:ascii="Calibri" w:eastAsia="Times New Roman" w:hAnsi="Calibri" w:cs="Times New Roman"/>
          <w:bCs/>
          <w:color w:val="000000"/>
          <w:sz w:val="20"/>
          <w:szCs w:val="20"/>
        </w:rPr>
        <w:t xml:space="preserve">                                                                                                                                                                                          </w:t>
      </w:r>
      <w:r w:rsidR="00130B94" w:rsidRPr="00255E9C">
        <w:rPr>
          <w:rFonts w:ascii="Calibri" w:eastAsia="Times New Roman" w:hAnsi="Calibri" w:cs="Times New Roman"/>
          <w:bCs/>
          <w:color w:val="000000"/>
          <w:sz w:val="20"/>
          <w:szCs w:val="20"/>
        </w:rPr>
        <w:t>(mii lei)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86"/>
        <w:gridCol w:w="1482"/>
        <w:gridCol w:w="1233"/>
        <w:gridCol w:w="1286"/>
        <w:gridCol w:w="1068"/>
        <w:gridCol w:w="1218"/>
      </w:tblGrid>
      <w:tr w:rsidR="004C6157" w:rsidRPr="00130B94" w14:paraId="2409E79F" w14:textId="77777777" w:rsidTr="00EA7932">
        <w:trPr>
          <w:trHeight w:val="373"/>
        </w:trPr>
        <w:tc>
          <w:tcPr>
            <w:tcW w:w="1857" w:type="dxa"/>
            <w:vMerge w:val="restart"/>
            <w:shd w:val="clear" w:color="000000" w:fill="FFFFFF"/>
            <w:vAlign w:val="center"/>
            <w:hideMark/>
          </w:tcPr>
          <w:p w14:paraId="2EC12344"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Cont de  evidenţă  a imobilizărilor necorporale și corporale</w:t>
            </w:r>
          </w:p>
        </w:tc>
        <w:tc>
          <w:tcPr>
            <w:tcW w:w="2768" w:type="dxa"/>
            <w:gridSpan w:val="2"/>
            <w:shd w:val="clear" w:color="000000" w:fill="FFFFFF"/>
            <w:vAlign w:val="center"/>
            <w:hideMark/>
          </w:tcPr>
          <w:p w14:paraId="4818BBED" w14:textId="5A829026" w:rsidR="004C6157" w:rsidRPr="00130B94" w:rsidRDefault="004C6157" w:rsidP="00130B94">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Valoarea totală a imobilizărilor la 31.12.2021</w:t>
            </w:r>
          </w:p>
        </w:tc>
        <w:tc>
          <w:tcPr>
            <w:tcW w:w="2519" w:type="dxa"/>
            <w:gridSpan w:val="2"/>
            <w:shd w:val="clear" w:color="000000" w:fill="FFFFFF"/>
            <w:vAlign w:val="center"/>
            <w:hideMark/>
          </w:tcPr>
          <w:p w14:paraId="0BE226AC" w14:textId="7E352C82" w:rsidR="004C6157" w:rsidRPr="00130B94" w:rsidRDefault="004C6157" w:rsidP="00130B94">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Valoarea imobilizărilor amortizate integral la 31.12.2021</w:t>
            </w:r>
          </w:p>
        </w:tc>
        <w:tc>
          <w:tcPr>
            <w:tcW w:w="2286" w:type="dxa"/>
            <w:gridSpan w:val="2"/>
            <w:shd w:val="clear" w:color="auto" w:fill="auto"/>
            <w:vAlign w:val="center"/>
            <w:hideMark/>
          </w:tcPr>
          <w:p w14:paraId="5593D973" w14:textId="31396FD3" w:rsidR="004C6157" w:rsidRPr="00130B94" w:rsidRDefault="004C6157" w:rsidP="00130B94">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Bunurile care se utilizează în activitate</w:t>
            </w:r>
          </w:p>
        </w:tc>
      </w:tr>
      <w:tr w:rsidR="004C6157" w:rsidRPr="00130B94" w14:paraId="37338DA9" w14:textId="77777777" w:rsidTr="00EA7932">
        <w:trPr>
          <w:trHeight w:val="129"/>
        </w:trPr>
        <w:tc>
          <w:tcPr>
            <w:tcW w:w="1857" w:type="dxa"/>
            <w:vMerge/>
            <w:vAlign w:val="center"/>
            <w:hideMark/>
          </w:tcPr>
          <w:p w14:paraId="2B07863F" w14:textId="77777777" w:rsidR="004C6157" w:rsidRPr="00130B94" w:rsidRDefault="004C6157" w:rsidP="0062749B">
            <w:pPr>
              <w:spacing w:after="0" w:line="240" w:lineRule="auto"/>
              <w:rPr>
                <w:rFonts w:ascii="Calibri Light" w:eastAsia="Times New Roman" w:hAnsi="Calibri Light" w:cs="Calibri Light"/>
                <w:b/>
                <w:bCs/>
                <w:color w:val="000000"/>
                <w:sz w:val="20"/>
                <w:szCs w:val="20"/>
              </w:rPr>
            </w:pPr>
          </w:p>
        </w:tc>
        <w:tc>
          <w:tcPr>
            <w:tcW w:w="1286" w:type="dxa"/>
            <w:shd w:val="clear" w:color="000000" w:fill="FFFFFF"/>
            <w:vAlign w:val="center"/>
            <w:hideMark/>
          </w:tcPr>
          <w:p w14:paraId="5AB5DD4D"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Unit.</w:t>
            </w:r>
          </w:p>
        </w:tc>
        <w:tc>
          <w:tcPr>
            <w:tcW w:w="1481" w:type="dxa"/>
            <w:shd w:val="clear" w:color="auto" w:fill="auto"/>
            <w:noWrap/>
            <w:vAlign w:val="center"/>
            <w:hideMark/>
          </w:tcPr>
          <w:p w14:paraId="0DF7B894"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Suma</w:t>
            </w:r>
          </w:p>
        </w:tc>
        <w:tc>
          <w:tcPr>
            <w:tcW w:w="1233" w:type="dxa"/>
            <w:shd w:val="clear" w:color="000000" w:fill="FFFFFF"/>
            <w:vAlign w:val="center"/>
            <w:hideMark/>
          </w:tcPr>
          <w:p w14:paraId="7370C4ED"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Unit.</w:t>
            </w:r>
          </w:p>
        </w:tc>
        <w:tc>
          <w:tcPr>
            <w:tcW w:w="1286" w:type="dxa"/>
            <w:shd w:val="clear" w:color="auto" w:fill="auto"/>
            <w:noWrap/>
            <w:vAlign w:val="center"/>
            <w:hideMark/>
          </w:tcPr>
          <w:p w14:paraId="483FBD05"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Suma</w:t>
            </w:r>
          </w:p>
        </w:tc>
        <w:tc>
          <w:tcPr>
            <w:tcW w:w="1068" w:type="dxa"/>
            <w:shd w:val="clear" w:color="auto" w:fill="auto"/>
            <w:vAlign w:val="center"/>
            <w:hideMark/>
          </w:tcPr>
          <w:p w14:paraId="50434BA5" w14:textId="55420699" w:rsidR="004C6157" w:rsidRPr="00130B94" w:rsidRDefault="00FA49BB" w:rsidP="0062749B">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U</w:t>
            </w:r>
            <w:r w:rsidR="004C6157" w:rsidRPr="00130B94">
              <w:rPr>
                <w:rFonts w:ascii="Calibri Light" w:eastAsia="Times New Roman" w:hAnsi="Calibri Light" w:cs="Calibri Light"/>
                <w:b/>
                <w:bCs/>
                <w:color w:val="000000"/>
                <w:sz w:val="20"/>
                <w:szCs w:val="20"/>
              </w:rPr>
              <w:t>nit.</w:t>
            </w:r>
          </w:p>
        </w:tc>
        <w:tc>
          <w:tcPr>
            <w:tcW w:w="1218" w:type="dxa"/>
            <w:shd w:val="clear" w:color="auto" w:fill="auto"/>
            <w:noWrap/>
            <w:vAlign w:val="center"/>
            <w:hideMark/>
          </w:tcPr>
          <w:p w14:paraId="40B9E92F"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Suma</w:t>
            </w:r>
          </w:p>
        </w:tc>
      </w:tr>
      <w:tr w:rsidR="004C6157" w:rsidRPr="00130B94" w14:paraId="2F9D22AF" w14:textId="77777777" w:rsidTr="00EA7932">
        <w:trPr>
          <w:trHeight w:val="129"/>
        </w:trPr>
        <w:tc>
          <w:tcPr>
            <w:tcW w:w="1857" w:type="dxa"/>
            <w:shd w:val="clear" w:color="000000" w:fill="FFFFFF"/>
            <w:vAlign w:val="center"/>
            <w:hideMark/>
          </w:tcPr>
          <w:p w14:paraId="4FCE613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112.1</w:t>
            </w:r>
          </w:p>
        </w:tc>
        <w:tc>
          <w:tcPr>
            <w:tcW w:w="1286" w:type="dxa"/>
            <w:shd w:val="clear" w:color="000000" w:fill="FFFFFF"/>
            <w:vAlign w:val="center"/>
            <w:hideMark/>
          </w:tcPr>
          <w:p w14:paraId="3B744622"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w:t>
            </w:r>
          </w:p>
        </w:tc>
        <w:tc>
          <w:tcPr>
            <w:tcW w:w="1481" w:type="dxa"/>
            <w:shd w:val="clear" w:color="auto" w:fill="auto"/>
            <w:noWrap/>
            <w:vAlign w:val="center"/>
            <w:hideMark/>
          </w:tcPr>
          <w:p w14:paraId="76B3674E"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150,02</w:t>
            </w:r>
          </w:p>
        </w:tc>
        <w:tc>
          <w:tcPr>
            <w:tcW w:w="1233" w:type="dxa"/>
            <w:shd w:val="clear" w:color="000000" w:fill="FFFFFF"/>
            <w:vAlign w:val="center"/>
            <w:hideMark/>
          </w:tcPr>
          <w:p w14:paraId="5B8F1D2F" w14:textId="67D211E0"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 </w:t>
            </w:r>
            <w:r w:rsidR="00130B94">
              <w:rPr>
                <w:rFonts w:ascii="Calibri Light" w:eastAsia="Times New Roman" w:hAnsi="Calibri Light" w:cs="Calibri Light"/>
                <w:b/>
                <w:bCs/>
                <w:color w:val="000000"/>
                <w:sz w:val="20"/>
                <w:szCs w:val="20"/>
              </w:rPr>
              <w:t>x</w:t>
            </w:r>
          </w:p>
        </w:tc>
        <w:tc>
          <w:tcPr>
            <w:tcW w:w="1286" w:type="dxa"/>
            <w:shd w:val="clear" w:color="auto" w:fill="auto"/>
            <w:noWrap/>
            <w:vAlign w:val="center"/>
            <w:hideMark/>
          </w:tcPr>
          <w:p w14:paraId="1C5F8C09" w14:textId="722BA50A"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 </w:t>
            </w:r>
            <w:r w:rsidR="00130B94">
              <w:rPr>
                <w:rFonts w:ascii="Calibri Light" w:eastAsia="Times New Roman" w:hAnsi="Calibri Light" w:cs="Calibri Light"/>
                <w:b/>
                <w:bCs/>
                <w:color w:val="000000"/>
                <w:sz w:val="20"/>
                <w:szCs w:val="20"/>
              </w:rPr>
              <w:t>x</w:t>
            </w:r>
          </w:p>
        </w:tc>
        <w:tc>
          <w:tcPr>
            <w:tcW w:w="1068" w:type="dxa"/>
            <w:shd w:val="clear" w:color="auto" w:fill="auto"/>
            <w:vAlign w:val="center"/>
            <w:hideMark/>
          </w:tcPr>
          <w:p w14:paraId="188C07B2" w14:textId="7BCD73BC"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 </w:t>
            </w:r>
            <w:r w:rsidR="00130B94">
              <w:rPr>
                <w:rFonts w:ascii="Calibri Light" w:eastAsia="Times New Roman" w:hAnsi="Calibri Light" w:cs="Calibri Light"/>
                <w:b/>
                <w:bCs/>
                <w:color w:val="000000"/>
                <w:sz w:val="20"/>
                <w:szCs w:val="20"/>
              </w:rPr>
              <w:t>x</w:t>
            </w:r>
          </w:p>
        </w:tc>
        <w:tc>
          <w:tcPr>
            <w:tcW w:w="1218" w:type="dxa"/>
            <w:shd w:val="clear" w:color="auto" w:fill="auto"/>
            <w:noWrap/>
            <w:vAlign w:val="center"/>
            <w:hideMark/>
          </w:tcPr>
          <w:p w14:paraId="4F0FE3A5" w14:textId="5B43B07A"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 </w:t>
            </w:r>
            <w:r w:rsidR="00A444C1">
              <w:rPr>
                <w:rFonts w:ascii="Calibri Light" w:eastAsia="Times New Roman" w:hAnsi="Calibri Light" w:cs="Calibri Light"/>
                <w:b/>
                <w:bCs/>
                <w:color w:val="000000"/>
                <w:sz w:val="20"/>
                <w:szCs w:val="20"/>
              </w:rPr>
              <w:t>X</w:t>
            </w:r>
          </w:p>
        </w:tc>
      </w:tr>
      <w:tr w:rsidR="004C6157" w:rsidRPr="00130B94" w14:paraId="22780F9B" w14:textId="77777777" w:rsidTr="00EA7932">
        <w:trPr>
          <w:trHeight w:val="129"/>
        </w:trPr>
        <w:tc>
          <w:tcPr>
            <w:tcW w:w="1857" w:type="dxa"/>
            <w:shd w:val="clear" w:color="000000" w:fill="FFFFFF"/>
            <w:vAlign w:val="center"/>
            <w:hideMark/>
          </w:tcPr>
          <w:p w14:paraId="3A486313"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112.3</w:t>
            </w:r>
          </w:p>
        </w:tc>
        <w:tc>
          <w:tcPr>
            <w:tcW w:w="1286" w:type="dxa"/>
            <w:shd w:val="clear" w:color="000000" w:fill="FFFFFF"/>
            <w:vAlign w:val="center"/>
            <w:hideMark/>
          </w:tcPr>
          <w:p w14:paraId="060D9F08"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5</w:t>
            </w:r>
          </w:p>
        </w:tc>
        <w:tc>
          <w:tcPr>
            <w:tcW w:w="1481" w:type="dxa"/>
            <w:shd w:val="clear" w:color="000000" w:fill="FFFFFF"/>
            <w:noWrap/>
            <w:vAlign w:val="center"/>
            <w:hideMark/>
          </w:tcPr>
          <w:p w14:paraId="539AA23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610,36</w:t>
            </w:r>
          </w:p>
        </w:tc>
        <w:tc>
          <w:tcPr>
            <w:tcW w:w="1233" w:type="dxa"/>
            <w:shd w:val="clear" w:color="000000" w:fill="FFFFFF"/>
            <w:vAlign w:val="center"/>
            <w:hideMark/>
          </w:tcPr>
          <w:p w14:paraId="6E4CF2B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w:t>
            </w:r>
          </w:p>
        </w:tc>
        <w:tc>
          <w:tcPr>
            <w:tcW w:w="1286" w:type="dxa"/>
            <w:shd w:val="clear" w:color="000000" w:fill="FFFFFF"/>
            <w:vAlign w:val="center"/>
            <w:hideMark/>
          </w:tcPr>
          <w:p w14:paraId="19072F51"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47,97</w:t>
            </w:r>
          </w:p>
        </w:tc>
        <w:tc>
          <w:tcPr>
            <w:tcW w:w="1068" w:type="dxa"/>
            <w:shd w:val="clear" w:color="auto" w:fill="auto"/>
            <w:noWrap/>
            <w:vAlign w:val="center"/>
            <w:hideMark/>
          </w:tcPr>
          <w:p w14:paraId="43AF072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w:t>
            </w:r>
          </w:p>
        </w:tc>
        <w:tc>
          <w:tcPr>
            <w:tcW w:w="1218" w:type="dxa"/>
            <w:shd w:val="clear" w:color="auto" w:fill="auto"/>
            <w:noWrap/>
            <w:vAlign w:val="center"/>
            <w:hideMark/>
          </w:tcPr>
          <w:p w14:paraId="2CB12227"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47,97</w:t>
            </w:r>
          </w:p>
        </w:tc>
      </w:tr>
      <w:tr w:rsidR="004C6157" w:rsidRPr="00130B94" w14:paraId="2BE89726" w14:textId="77777777" w:rsidTr="00EA7932">
        <w:trPr>
          <w:trHeight w:val="129"/>
        </w:trPr>
        <w:tc>
          <w:tcPr>
            <w:tcW w:w="1857" w:type="dxa"/>
            <w:shd w:val="clear" w:color="000000" w:fill="FFFFFF"/>
            <w:vAlign w:val="center"/>
            <w:hideMark/>
          </w:tcPr>
          <w:p w14:paraId="72FB743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112.4</w:t>
            </w:r>
          </w:p>
        </w:tc>
        <w:tc>
          <w:tcPr>
            <w:tcW w:w="1286" w:type="dxa"/>
            <w:shd w:val="clear" w:color="000000" w:fill="FFFFFF"/>
            <w:vAlign w:val="center"/>
            <w:hideMark/>
          </w:tcPr>
          <w:p w14:paraId="33A54F32"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45</w:t>
            </w:r>
          </w:p>
        </w:tc>
        <w:tc>
          <w:tcPr>
            <w:tcW w:w="1481" w:type="dxa"/>
            <w:shd w:val="clear" w:color="000000" w:fill="FFFFFF"/>
            <w:noWrap/>
            <w:vAlign w:val="center"/>
            <w:hideMark/>
          </w:tcPr>
          <w:p w14:paraId="67DC1172"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4.696,09</w:t>
            </w:r>
          </w:p>
        </w:tc>
        <w:tc>
          <w:tcPr>
            <w:tcW w:w="1233" w:type="dxa"/>
            <w:shd w:val="clear" w:color="000000" w:fill="FFFFFF"/>
            <w:vAlign w:val="center"/>
            <w:hideMark/>
          </w:tcPr>
          <w:p w14:paraId="00962BEB"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34</w:t>
            </w:r>
          </w:p>
        </w:tc>
        <w:tc>
          <w:tcPr>
            <w:tcW w:w="1286" w:type="dxa"/>
            <w:shd w:val="clear" w:color="000000" w:fill="FFFFFF"/>
            <w:vAlign w:val="center"/>
            <w:hideMark/>
          </w:tcPr>
          <w:p w14:paraId="1C1F8042"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2.853,90</w:t>
            </w:r>
          </w:p>
        </w:tc>
        <w:tc>
          <w:tcPr>
            <w:tcW w:w="1068" w:type="dxa"/>
            <w:shd w:val="clear" w:color="auto" w:fill="auto"/>
            <w:noWrap/>
            <w:vAlign w:val="center"/>
            <w:hideMark/>
          </w:tcPr>
          <w:p w14:paraId="7F882C0E"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30</w:t>
            </w:r>
          </w:p>
        </w:tc>
        <w:tc>
          <w:tcPr>
            <w:tcW w:w="1218" w:type="dxa"/>
            <w:shd w:val="clear" w:color="auto" w:fill="auto"/>
            <w:noWrap/>
            <w:vAlign w:val="center"/>
            <w:hideMark/>
          </w:tcPr>
          <w:p w14:paraId="260F16C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2.853,50</w:t>
            </w:r>
          </w:p>
        </w:tc>
      </w:tr>
      <w:tr w:rsidR="004C6157" w:rsidRPr="00130B94" w14:paraId="3399F5A6" w14:textId="77777777" w:rsidTr="00EA7932">
        <w:trPr>
          <w:trHeight w:val="129"/>
        </w:trPr>
        <w:tc>
          <w:tcPr>
            <w:tcW w:w="1857" w:type="dxa"/>
            <w:shd w:val="clear" w:color="000000" w:fill="F2F2F2"/>
            <w:noWrap/>
            <w:vAlign w:val="center"/>
            <w:hideMark/>
          </w:tcPr>
          <w:p w14:paraId="14FB46A7" w14:textId="6103F81E"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Total imobilizări neco</w:t>
            </w:r>
            <w:r w:rsidR="00FA49BB">
              <w:rPr>
                <w:rFonts w:ascii="Calibri Light" w:eastAsia="Times New Roman" w:hAnsi="Calibri Light" w:cs="Calibri Light"/>
                <w:b/>
                <w:bCs/>
                <w:color w:val="000000"/>
                <w:sz w:val="20"/>
                <w:szCs w:val="20"/>
              </w:rPr>
              <w:t>rp</w:t>
            </w:r>
            <w:r w:rsidRPr="00130B94">
              <w:rPr>
                <w:rFonts w:ascii="Calibri Light" w:eastAsia="Times New Roman" w:hAnsi="Calibri Light" w:cs="Calibri Light"/>
                <w:b/>
                <w:bCs/>
                <w:color w:val="000000"/>
                <w:sz w:val="20"/>
                <w:szCs w:val="20"/>
              </w:rPr>
              <w:t>orale</w:t>
            </w:r>
          </w:p>
        </w:tc>
        <w:tc>
          <w:tcPr>
            <w:tcW w:w="1286" w:type="dxa"/>
            <w:shd w:val="clear" w:color="000000" w:fill="F2F2F2"/>
            <w:vAlign w:val="center"/>
            <w:hideMark/>
          </w:tcPr>
          <w:p w14:paraId="06D230D7"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54</w:t>
            </w:r>
          </w:p>
        </w:tc>
        <w:tc>
          <w:tcPr>
            <w:tcW w:w="1481" w:type="dxa"/>
            <w:shd w:val="clear" w:color="000000" w:fill="F2F2F2"/>
            <w:vAlign w:val="center"/>
            <w:hideMark/>
          </w:tcPr>
          <w:p w14:paraId="48A8561C"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5.456,47</w:t>
            </w:r>
          </w:p>
        </w:tc>
        <w:tc>
          <w:tcPr>
            <w:tcW w:w="1233" w:type="dxa"/>
            <w:shd w:val="clear" w:color="000000" w:fill="F2F2F2"/>
            <w:vAlign w:val="center"/>
            <w:hideMark/>
          </w:tcPr>
          <w:p w14:paraId="7CFC5E3D"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37</w:t>
            </w:r>
          </w:p>
        </w:tc>
        <w:tc>
          <w:tcPr>
            <w:tcW w:w="1286" w:type="dxa"/>
            <w:shd w:val="clear" w:color="000000" w:fill="F2F2F2"/>
            <w:vAlign w:val="center"/>
            <w:hideMark/>
          </w:tcPr>
          <w:p w14:paraId="78B843D7"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2.901,87</w:t>
            </w:r>
          </w:p>
        </w:tc>
        <w:tc>
          <w:tcPr>
            <w:tcW w:w="1068" w:type="dxa"/>
            <w:shd w:val="clear" w:color="000000" w:fill="F2F2F2"/>
            <w:vAlign w:val="center"/>
            <w:hideMark/>
          </w:tcPr>
          <w:p w14:paraId="500F8EB5"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33</w:t>
            </w:r>
          </w:p>
        </w:tc>
        <w:tc>
          <w:tcPr>
            <w:tcW w:w="1218" w:type="dxa"/>
            <w:shd w:val="clear" w:color="000000" w:fill="F2F2F2"/>
            <w:vAlign w:val="center"/>
            <w:hideMark/>
          </w:tcPr>
          <w:p w14:paraId="7FE29C7A"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2.901,47</w:t>
            </w:r>
          </w:p>
        </w:tc>
      </w:tr>
      <w:tr w:rsidR="004C6157" w:rsidRPr="00130B94" w14:paraId="0A7D54AF" w14:textId="77777777" w:rsidTr="00EA7932">
        <w:trPr>
          <w:trHeight w:val="129"/>
        </w:trPr>
        <w:tc>
          <w:tcPr>
            <w:tcW w:w="1857" w:type="dxa"/>
            <w:shd w:val="clear" w:color="000000" w:fill="FFFFFF"/>
            <w:vAlign w:val="center"/>
            <w:hideMark/>
          </w:tcPr>
          <w:p w14:paraId="3471A89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123.1</w:t>
            </w:r>
          </w:p>
        </w:tc>
        <w:tc>
          <w:tcPr>
            <w:tcW w:w="1286" w:type="dxa"/>
            <w:shd w:val="clear" w:color="000000" w:fill="FFFFFF"/>
            <w:vAlign w:val="center"/>
            <w:hideMark/>
          </w:tcPr>
          <w:p w14:paraId="075C6C31"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w:t>
            </w:r>
          </w:p>
        </w:tc>
        <w:tc>
          <w:tcPr>
            <w:tcW w:w="1481" w:type="dxa"/>
            <w:shd w:val="clear" w:color="000000" w:fill="FFFFFF"/>
            <w:noWrap/>
            <w:vAlign w:val="center"/>
            <w:hideMark/>
          </w:tcPr>
          <w:p w14:paraId="7FAF3909"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4.219,23</w:t>
            </w:r>
          </w:p>
        </w:tc>
        <w:tc>
          <w:tcPr>
            <w:tcW w:w="1233" w:type="dxa"/>
            <w:shd w:val="clear" w:color="000000" w:fill="FFFFFF"/>
            <w:vAlign w:val="center"/>
            <w:hideMark/>
          </w:tcPr>
          <w:p w14:paraId="002C190A" w14:textId="3F1F154D"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c>
          <w:tcPr>
            <w:tcW w:w="1286" w:type="dxa"/>
            <w:shd w:val="clear" w:color="000000" w:fill="FFFFFF"/>
            <w:vAlign w:val="center"/>
            <w:hideMark/>
          </w:tcPr>
          <w:p w14:paraId="36C95765" w14:textId="419A7D68"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c>
          <w:tcPr>
            <w:tcW w:w="1068" w:type="dxa"/>
            <w:shd w:val="clear" w:color="auto" w:fill="auto"/>
            <w:noWrap/>
            <w:vAlign w:val="center"/>
            <w:hideMark/>
          </w:tcPr>
          <w:p w14:paraId="652A9176" w14:textId="4B18EC3B"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c>
          <w:tcPr>
            <w:tcW w:w="1218" w:type="dxa"/>
            <w:shd w:val="clear" w:color="auto" w:fill="auto"/>
            <w:noWrap/>
            <w:vAlign w:val="center"/>
            <w:hideMark/>
          </w:tcPr>
          <w:p w14:paraId="2D1B46F1" w14:textId="0B34BF3E"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r>
      <w:tr w:rsidR="004C6157" w:rsidRPr="00130B94" w14:paraId="774BBB65" w14:textId="77777777" w:rsidTr="00EA7932">
        <w:trPr>
          <w:trHeight w:val="129"/>
        </w:trPr>
        <w:tc>
          <w:tcPr>
            <w:tcW w:w="1857" w:type="dxa"/>
            <w:shd w:val="clear" w:color="000000" w:fill="FFFFFF"/>
            <w:vAlign w:val="center"/>
            <w:hideMark/>
          </w:tcPr>
          <w:p w14:paraId="05267BD8"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123.2</w:t>
            </w:r>
          </w:p>
        </w:tc>
        <w:tc>
          <w:tcPr>
            <w:tcW w:w="1286" w:type="dxa"/>
            <w:shd w:val="clear" w:color="000000" w:fill="FFFFFF"/>
            <w:vAlign w:val="center"/>
            <w:hideMark/>
          </w:tcPr>
          <w:p w14:paraId="3069BEC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w:t>
            </w:r>
          </w:p>
        </w:tc>
        <w:tc>
          <w:tcPr>
            <w:tcW w:w="1481" w:type="dxa"/>
            <w:shd w:val="clear" w:color="000000" w:fill="FFFFFF"/>
            <w:noWrap/>
            <w:vAlign w:val="center"/>
            <w:hideMark/>
          </w:tcPr>
          <w:p w14:paraId="63C8795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20,13</w:t>
            </w:r>
          </w:p>
        </w:tc>
        <w:tc>
          <w:tcPr>
            <w:tcW w:w="1233" w:type="dxa"/>
            <w:shd w:val="clear" w:color="000000" w:fill="FFFFFF"/>
            <w:vAlign w:val="center"/>
            <w:hideMark/>
          </w:tcPr>
          <w:p w14:paraId="1CE3B60E" w14:textId="5506A8AE"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 </w:t>
            </w:r>
            <w:r w:rsidR="00130B94">
              <w:rPr>
                <w:rFonts w:ascii="Calibri Light" w:eastAsia="Times New Roman" w:hAnsi="Calibri Light" w:cs="Calibri Light"/>
                <w:color w:val="000000"/>
                <w:sz w:val="20"/>
                <w:szCs w:val="20"/>
              </w:rPr>
              <w:t>x</w:t>
            </w:r>
          </w:p>
        </w:tc>
        <w:tc>
          <w:tcPr>
            <w:tcW w:w="1286" w:type="dxa"/>
            <w:shd w:val="clear" w:color="000000" w:fill="FFFFFF"/>
            <w:vAlign w:val="center"/>
            <w:hideMark/>
          </w:tcPr>
          <w:p w14:paraId="66CBFA72" w14:textId="4EC0AF9F"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c>
          <w:tcPr>
            <w:tcW w:w="1068" w:type="dxa"/>
            <w:shd w:val="clear" w:color="auto" w:fill="auto"/>
            <w:noWrap/>
            <w:vAlign w:val="center"/>
            <w:hideMark/>
          </w:tcPr>
          <w:p w14:paraId="3A53CC91" w14:textId="7C70595C"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 </w:t>
            </w:r>
            <w:r w:rsidR="00130B94">
              <w:rPr>
                <w:rFonts w:ascii="Calibri Light" w:eastAsia="Times New Roman" w:hAnsi="Calibri Light" w:cs="Calibri Light"/>
                <w:color w:val="000000"/>
                <w:sz w:val="20"/>
                <w:szCs w:val="20"/>
              </w:rPr>
              <w:t>x</w:t>
            </w:r>
          </w:p>
        </w:tc>
        <w:tc>
          <w:tcPr>
            <w:tcW w:w="1218" w:type="dxa"/>
            <w:shd w:val="clear" w:color="auto" w:fill="auto"/>
            <w:noWrap/>
            <w:vAlign w:val="center"/>
            <w:hideMark/>
          </w:tcPr>
          <w:p w14:paraId="3BDBB8C2" w14:textId="4BFF42C7" w:rsidR="004C6157" w:rsidRPr="00130B94" w:rsidRDefault="00130B94" w:rsidP="0062749B">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r w:rsidR="004C6157" w:rsidRPr="00130B94">
              <w:rPr>
                <w:rFonts w:ascii="Calibri Light" w:eastAsia="Times New Roman" w:hAnsi="Calibri Light" w:cs="Calibri Light"/>
                <w:color w:val="000000"/>
                <w:sz w:val="20"/>
                <w:szCs w:val="20"/>
              </w:rPr>
              <w:t> </w:t>
            </w:r>
          </w:p>
        </w:tc>
      </w:tr>
      <w:tr w:rsidR="004C6157" w:rsidRPr="00130B94" w14:paraId="1CB0D1C9" w14:textId="77777777" w:rsidTr="00EA7932">
        <w:trPr>
          <w:trHeight w:val="129"/>
        </w:trPr>
        <w:tc>
          <w:tcPr>
            <w:tcW w:w="1857" w:type="dxa"/>
            <w:shd w:val="clear" w:color="000000" w:fill="FFFFFF"/>
            <w:vAlign w:val="center"/>
            <w:hideMark/>
          </w:tcPr>
          <w:p w14:paraId="2F61187D"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123.3</w:t>
            </w:r>
          </w:p>
        </w:tc>
        <w:tc>
          <w:tcPr>
            <w:tcW w:w="1286" w:type="dxa"/>
            <w:shd w:val="clear" w:color="000000" w:fill="FFFFFF"/>
            <w:vAlign w:val="center"/>
            <w:hideMark/>
          </w:tcPr>
          <w:p w14:paraId="3AF5448F"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57</w:t>
            </w:r>
          </w:p>
        </w:tc>
        <w:tc>
          <w:tcPr>
            <w:tcW w:w="1481" w:type="dxa"/>
            <w:shd w:val="clear" w:color="000000" w:fill="FFFFFF"/>
            <w:noWrap/>
            <w:vAlign w:val="center"/>
            <w:hideMark/>
          </w:tcPr>
          <w:p w14:paraId="6E53F0EC"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1.455,19</w:t>
            </w:r>
          </w:p>
        </w:tc>
        <w:tc>
          <w:tcPr>
            <w:tcW w:w="1233" w:type="dxa"/>
            <w:shd w:val="clear" w:color="000000" w:fill="FFFFFF"/>
            <w:noWrap/>
            <w:vAlign w:val="center"/>
            <w:hideMark/>
          </w:tcPr>
          <w:p w14:paraId="254E78CF"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40</w:t>
            </w:r>
          </w:p>
        </w:tc>
        <w:tc>
          <w:tcPr>
            <w:tcW w:w="1286" w:type="dxa"/>
            <w:shd w:val="clear" w:color="000000" w:fill="FFFFFF"/>
            <w:noWrap/>
            <w:vAlign w:val="center"/>
            <w:hideMark/>
          </w:tcPr>
          <w:p w14:paraId="4E7D6667"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1.116,49</w:t>
            </w:r>
          </w:p>
        </w:tc>
        <w:tc>
          <w:tcPr>
            <w:tcW w:w="1068" w:type="dxa"/>
            <w:shd w:val="clear" w:color="auto" w:fill="auto"/>
            <w:noWrap/>
            <w:vAlign w:val="center"/>
            <w:hideMark/>
          </w:tcPr>
          <w:p w14:paraId="3BCE6904"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24</w:t>
            </w:r>
          </w:p>
        </w:tc>
        <w:tc>
          <w:tcPr>
            <w:tcW w:w="1218" w:type="dxa"/>
            <w:shd w:val="clear" w:color="auto" w:fill="auto"/>
            <w:noWrap/>
            <w:vAlign w:val="center"/>
            <w:hideMark/>
          </w:tcPr>
          <w:p w14:paraId="789F91FF"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795,51</w:t>
            </w:r>
          </w:p>
        </w:tc>
      </w:tr>
      <w:tr w:rsidR="004C6157" w:rsidRPr="00130B94" w14:paraId="1EF17B36" w14:textId="77777777" w:rsidTr="00EA7932">
        <w:trPr>
          <w:trHeight w:val="129"/>
        </w:trPr>
        <w:tc>
          <w:tcPr>
            <w:tcW w:w="1857" w:type="dxa"/>
            <w:shd w:val="clear" w:color="000000" w:fill="FFFFFF"/>
            <w:vAlign w:val="center"/>
            <w:hideMark/>
          </w:tcPr>
          <w:p w14:paraId="466CC018"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123.4</w:t>
            </w:r>
          </w:p>
        </w:tc>
        <w:tc>
          <w:tcPr>
            <w:tcW w:w="1286" w:type="dxa"/>
            <w:shd w:val="clear" w:color="000000" w:fill="FFFFFF"/>
            <w:vAlign w:val="center"/>
            <w:hideMark/>
          </w:tcPr>
          <w:p w14:paraId="55123BC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w:t>
            </w:r>
          </w:p>
        </w:tc>
        <w:tc>
          <w:tcPr>
            <w:tcW w:w="1481" w:type="dxa"/>
            <w:shd w:val="clear" w:color="000000" w:fill="FFFFFF"/>
            <w:noWrap/>
            <w:vAlign w:val="center"/>
            <w:hideMark/>
          </w:tcPr>
          <w:p w14:paraId="378BF9B7"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186,00</w:t>
            </w:r>
          </w:p>
        </w:tc>
        <w:tc>
          <w:tcPr>
            <w:tcW w:w="1233" w:type="dxa"/>
            <w:shd w:val="clear" w:color="000000" w:fill="FFFFFF"/>
            <w:vAlign w:val="center"/>
            <w:hideMark/>
          </w:tcPr>
          <w:p w14:paraId="0FF7B2B5"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w:t>
            </w:r>
          </w:p>
        </w:tc>
        <w:tc>
          <w:tcPr>
            <w:tcW w:w="1286" w:type="dxa"/>
            <w:shd w:val="clear" w:color="000000" w:fill="FFFFFF"/>
            <w:vAlign w:val="center"/>
            <w:hideMark/>
          </w:tcPr>
          <w:p w14:paraId="2C8F795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186,00</w:t>
            </w:r>
          </w:p>
        </w:tc>
        <w:tc>
          <w:tcPr>
            <w:tcW w:w="1068" w:type="dxa"/>
            <w:shd w:val="clear" w:color="auto" w:fill="auto"/>
            <w:noWrap/>
            <w:vAlign w:val="center"/>
            <w:hideMark/>
          </w:tcPr>
          <w:p w14:paraId="172E98D5" w14:textId="5113DBED"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 </w:t>
            </w:r>
            <w:r w:rsidR="00130B94">
              <w:rPr>
                <w:rFonts w:ascii="Calibri Light" w:eastAsia="Times New Roman" w:hAnsi="Calibri Light" w:cs="Calibri Light"/>
                <w:color w:val="000000"/>
                <w:sz w:val="20"/>
                <w:szCs w:val="20"/>
              </w:rPr>
              <w:t>x</w:t>
            </w:r>
          </w:p>
        </w:tc>
        <w:tc>
          <w:tcPr>
            <w:tcW w:w="1218" w:type="dxa"/>
            <w:shd w:val="clear" w:color="000000" w:fill="FFFFFF"/>
            <w:vAlign w:val="center"/>
            <w:hideMark/>
          </w:tcPr>
          <w:p w14:paraId="71A9ECE1" w14:textId="0FA1C834"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 </w:t>
            </w:r>
            <w:r w:rsidR="00F124D2">
              <w:rPr>
                <w:rFonts w:ascii="Calibri Light" w:eastAsia="Times New Roman" w:hAnsi="Calibri Light" w:cs="Calibri Light"/>
                <w:color w:val="000000"/>
                <w:sz w:val="20"/>
                <w:szCs w:val="20"/>
              </w:rPr>
              <w:t>X</w:t>
            </w:r>
          </w:p>
        </w:tc>
      </w:tr>
      <w:tr w:rsidR="004C6157" w:rsidRPr="00130B94" w14:paraId="56B41961" w14:textId="77777777" w:rsidTr="00EA7932">
        <w:trPr>
          <w:trHeight w:val="129"/>
        </w:trPr>
        <w:tc>
          <w:tcPr>
            <w:tcW w:w="1857" w:type="dxa"/>
            <w:shd w:val="clear" w:color="000000" w:fill="FFFFFF"/>
            <w:vAlign w:val="center"/>
            <w:hideMark/>
          </w:tcPr>
          <w:p w14:paraId="311089AE"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123.5</w:t>
            </w:r>
          </w:p>
        </w:tc>
        <w:tc>
          <w:tcPr>
            <w:tcW w:w="1286" w:type="dxa"/>
            <w:shd w:val="clear" w:color="000000" w:fill="FFFFFF"/>
            <w:vAlign w:val="center"/>
            <w:hideMark/>
          </w:tcPr>
          <w:p w14:paraId="627EA17D"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w:t>
            </w:r>
          </w:p>
        </w:tc>
        <w:tc>
          <w:tcPr>
            <w:tcW w:w="1481" w:type="dxa"/>
            <w:shd w:val="clear" w:color="000000" w:fill="FFFFFF"/>
            <w:noWrap/>
            <w:vAlign w:val="center"/>
            <w:hideMark/>
          </w:tcPr>
          <w:p w14:paraId="2F062AFA"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21,23</w:t>
            </w:r>
          </w:p>
        </w:tc>
        <w:tc>
          <w:tcPr>
            <w:tcW w:w="1233" w:type="dxa"/>
            <w:shd w:val="clear" w:color="000000" w:fill="FFFFFF"/>
            <w:vAlign w:val="center"/>
            <w:hideMark/>
          </w:tcPr>
          <w:p w14:paraId="1AAB883F"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w:t>
            </w:r>
          </w:p>
        </w:tc>
        <w:tc>
          <w:tcPr>
            <w:tcW w:w="1286" w:type="dxa"/>
            <w:shd w:val="clear" w:color="000000" w:fill="FFFFFF"/>
            <w:vAlign w:val="center"/>
            <w:hideMark/>
          </w:tcPr>
          <w:p w14:paraId="4196A10B"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21,23</w:t>
            </w:r>
          </w:p>
        </w:tc>
        <w:tc>
          <w:tcPr>
            <w:tcW w:w="1068" w:type="dxa"/>
            <w:shd w:val="clear" w:color="auto" w:fill="auto"/>
            <w:noWrap/>
            <w:vAlign w:val="center"/>
            <w:hideMark/>
          </w:tcPr>
          <w:p w14:paraId="4AACF9C3"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3</w:t>
            </w:r>
          </w:p>
        </w:tc>
        <w:tc>
          <w:tcPr>
            <w:tcW w:w="1218" w:type="dxa"/>
            <w:shd w:val="clear" w:color="auto" w:fill="auto"/>
            <w:noWrap/>
            <w:vAlign w:val="center"/>
            <w:hideMark/>
          </w:tcPr>
          <w:p w14:paraId="68F694B7"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21,23</w:t>
            </w:r>
          </w:p>
        </w:tc>
      </w:tr>
      <w:tr w:rsidR="004C6157" w:rsidRPr="00130B94" w14:paraId="036CDF5D" w14:textId="77777777" w:rsidTr="00EA7932">
        <w:trPr>
          <w:trHeight w:val="129"/>
        </w:trPr>
        <w:tc>
          <w:tcPr>
            <w:tcW w:w="1857" w:type="dxa"/>
            <w:shd w:val="clear" w:color="000000" w:fill="FFFFFF"/>
            <w:vAlign w:val="center"/>
            <w:hideMark/>
          </w:tcPr>
          <w:p w14:paraId="563E8377"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123.9</w:t>
            </w:r>
          </w:p>
        </w:tc>
        <w:tc>
          <w:tcPr>
            <w:tcW w:w="1286" w:type="dxa"/>
            <w:shd w:val="clear" w:color="000000" w:fill="FFFFFF"/>
            <w:vAlign w:val="center"/>
            <w:hideMark/>
          </w:tcPr>
          <w:p w14:paraId="37465548"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9</w:t>
            </w:r>
          </w:p>
        </w:tc>
        <w:tc>
          <w:tcPr>
            <w:tcW w:w="1481" w:type="dxa"/>
            <w:shd w:val="clear" w:color="000000" w:fill="FFFFFF"/>
            <w:noWrap/>
            <w:vAlign w:val="center"/>
            <w:hideMark/>
          </w:tcPr>
          <w:p w14:paraId="204277F6"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155,24</w:t>
            </w:r>
          </w:p>
        </w:tc>
        <w:tc>
          <w:tcPr>
            <w:tcW w:w="1233" w:type="dxa"/>
            <w:shd w:val="clear" w:color="000000" w:fill="FFFFFF"/>
            <w:vAlign w:val="center"/>
            <w:hideMark/>
          </w:tcPr>
          <w:p w14:paraId="3100D2D0"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8</w:t>
            </w:r>
          </w:p>
        </w:tc>
        <w:tc>
          <w:tcPr>
            <w:tcW w:w="1286" w:type="dxa"/>
            <w:shd w:val="clear" w:color="000000" w:fill="FFFFFF"/>
            <w:vAlign w:val="center"/>
            <w:hideMark/>
          </w:tcPr>
          <w:p w14:paraId="07A4431E"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146,93</w:t>
            </w:r>
          </w:p>
        </w:tc>
        <w:tc>
          <w:tcPr>
            <w:tcW w:w="1068" w:type="dxa"/>
            <w:shd w:val="clear" w:color="auto" w:fill="auto"/>
            <w:noWrap/>
            <w:vAlign w:val="center"/>
            <w:hideMark/>
          </w:tcPr>
          <w:p w14:paraId="43AF894D"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5</w:t>
            </w:r>
          </w:p>
        </w:tc>
        <w:tc>
          <w:tcPr>
            <w:tcW w:w="1218" w:type="dxa"/>
            <w:shd w:val="clear" w:color="auto" w:fill="auto"/>
            <w:noWrap/>
            <w:vAlign w:val="center"/>
            <w:hideMark/>
          </w:tcPr>
          <w:p w14:paraId="403319AD" w14:textId="77777777" w:rsidR="004C6157" w:rsidRPr="00130B94" w:rsidRDefault="004C6157" w:rsidP="0062749B">
            <w:pPr>
              <w:spacing w:after="0" w:line="240" w:lineRule="auto"/>
              <w:jc w:val="center"/>
              <w:rPr>
                <w:rFonts w:ascii="Calibri Light" w:eastAsia="Times New Roman" w:hAnsi="Calibri Light" w:cs="Calibri Light"/>
                <w:color w:val="000000"/>
                <w:sz w:val="20"/>
                <w:szCs w:val="20"/>
              </w:rPr>
            </w:pPr>
            <w:r w:rsidRPr="00130B94">
              <w:rPr>
                <w:rFonts w:ascii="Calibri Light" w:eastAsia="Times New Roman" w:hAnsi="Calibri Light" w:cs="Calibri Light"/>
                <w:color w:val="000000"/>
                <w:sz w:val="20"/>
                <w:szCs w:val="20"/>
              </w:rPr>
              <w:t>77,52</w:t>
            </w:r>
          </w:p>
        </w:tc>
      </w:tr>
      <w:tr w:rsidR="004C6157" w:rsidRPr="00130B94" w14:paraId="3BB7B07D" w14:textId="77777777" w:rsidTr="00EA7932">
        <w:trPr>
          <w:trHeight w:val="129"/>
        </w:trPr>
        <w:tc>
          <w:tcPr>
            <w:tcW w:w="1857" w:type="dxa"/>
            <w:shd w:val="clear" w:color="000000" w:fill="F2F2F2"/>
            <w:noWrap/>
            <w:vAlign w:val="center"/>
            <w:hideMark/>
          </w:tcPr>
          <w:p w14:paraId="02C19A47"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Total imobilizări corporale</w:t>
            </w:r>
          </w:p>
        </w:tc>
        <w:tc>
          <w:tcPr>
            <w:tcW w:w="1286" w:type="dxa"/>
            <w:shd w:val="clear" w:color="000000" w:fill="F2F2F2"/>
            <w:noWrap/>
            <w:vAlign w:val="center"/>
            <w:hideMark/>
          </w:tcPr>
          <w:p w14:paraId="58483EB4"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72</w:t>
            </w:r>
          </w:p>
        </w:tc>
        <w:tc>
          <w:tcPr>
            <w:tcW w:w="1481" w:type="dxa"/>
            <w:shd w:val="clear" w:color="000000" w:fill="F2F2F2"/>
            <w:noWrap/>
            <w:vAlign w:val="center"/>
            <w:hideMark/>
          </w:tcPr>
          <w:p w14:paraId="669A5FF9"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6.057,02</w:t>
            </w:r>
          </w:p>
        </w:tc>
        <w:tc>
          <w:tcPr>
            <w:tcW w:w="1233" w:type="dxa"/>
            <w:shd w:val="clear" w:color="000000" w:fill="F2F2F2"/>
            <w:noWrap/>
            <w:vAlign w:val="center"/>
            <w:hideMark/>
          </w:tcPr>
          <w:p w14:paraId="4B60C978"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52</w:t>
            </w:r>
          </w:p>
        </w:tc>
        <w:tc>
          <w:tcPr>
            <w:tcW w:w="1286" w:type="dxa"/>
            <w:shd w:val="clear" w:color="000000" w:fill="F2F2F2"/>
            <w:noWrap/>
            <w:vAlign w:val="center"/>
            <w:hideMark/>
          </w:tcPr>
          <w:p w14:paraId="5B1DDDA7"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1.470,65</w:t>
            </w:r>
          </w:p>
        </w:tc>
        <w:tc>
          <w:tcPr>
            <w:tcW w:w="1068" w:type="dxa"/>
            <w:shd w:val="clear" w:color="000000" w:fill="F2F2F2"/>
            <w:noWrap/>
            <w:vAlign w:val="center"/>
            <w:hideMark/>
          </w:tcPr>
          <w:p w14:paraId="23CD4070"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32</w:t>
            </w:r>
          </w:p>
        </w:tc>
        <w:tc>
          <w:tcPr>
            <w:tcW w:w="1218" w:type="dxa"/>
            <w:shd w:val="clear" w:color="000000" w:fill="F2F2F2"/>
            <w:noWrap/>
            <w:vAlign w:val="center"/>
            <w:hideMark/>
          </w:tcPr>
          <w:p w14:paraId="142DCA54"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894,26</w:t>
            </w:r>
          </w:p>
        </w:tc>
      </w:tr>
      <w:tr w:rsidR="004C6157" w:rsidRPr="00130B94" w14:paraId="3C0C6B3D" w14:textId="77777777" w:rsidTr="00EA7932">
        <w:trPr>
          <w:trHeight w:val="129"/>
        </w:trPr>
        <w:tc>
          <w:tcPr>
            <w:tcW w:w="1857" w:type="dxa"/>
            <w:shd w:val="clear" w:color="000000" w:fill="D9D9D9"/>
            <w:noWrap/>
            <w:vAlign w:val="center"/>
            <w:hideMark/>
          </w:tcPr>
          <w:p w14:paraId="10FA7930" w14:textId="70527D3F"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TOTAL</w:t>
            </w:r>
            <w:r w:rsidR="00FA49BB">
              <w:rPr>
                <w:rFonts w:ascii="Calibri Light" w:eastAsia="Times New Roman" w:hAnsi="Calibri Light" w:cs="Calibri Light"/>
                <w:b/>
                <w:bCs/>
                <w:color w:val="000000"/>
                <w:sz w:val="20"/>
                <w:szCs w:val="20"/>
              </w:rPr>
              <w:t xml:space="preserve">, </w:t>
            </w:r>
            <w:r w:rsidRPr="00130B94">
              <w:rPr>
                <w:rFonts w:ascii="Calibri Light" w:eastAsia="Times New Roman" w:hAnsi="Calibri Light" w:cs="Calibri Light"/>
                <w:b/>
                <w:bCs/>
                <w:color w:val="000000"/>
                <w:sz w:val="20"/>
                <w:szCs w:val="20"/>
              </w:rPr>
              <w:t>Imobilizări</w:t>
            </w:r>
          </w:p>
        </w:tc>
        <w:tc>
          <w:tcPr>
            <w:tcW w:w="1286" w:type="dxa"/>
            <w:shd w:val="clear" w:color="000000" w:fill="D9D9D9"/>
            <w:noWrap/>
            <w:vAlign w:val="center"/>
            <w:hideMark/>
          </w:tcPr>
          <w:p w14:paraId="7407EEBE"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126</w:t>
            </w:r>
          </w:p>
        </w:tc>
        <w:tc>
          <w:tcPr>
            <w:tcW w:w="1481" w:type="dxa"/>
            <w:shd w:val="clear" w:color="000000" w:fill="D9D9D9"/>
            <w:noWrap/>
            <w:vAlign w:val="center"/>
            <w:hideMark/>
          </w:tcPr>
          <w:p w14:paraId="6F5ED3B9"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11.513,49</w:t>
            </w:r>
          </w:p>
        </w:tc>
        <w:tc>
          <w:tcPr>
            <w:tcW w:w="1233" w:type="dxa"/>
            <w:shd w:val="clear" w:color="000000" w:fill="D9D9D9"/>
            <w:noWrap/>
            <w:vAlign w:val="center"/>
            <w:hideMark/>
          </w:tcPr>
          <w:p w14:paraId="23ED6535"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89</w:t>
            </w:r>
          </w:p>
        </w:tc>
        <w:tc>
          <w:tcPr>
            <w:tcW w:w="1286" w:type="dxa"/>
            <w:shd w:val="clear" w:color="000000" w:fill="D9D9D9"/>
            <w:noWrap/>
            <w:vAlign w:val="center"/>
            <w:hideMark/>
          </w:tcPr>
          <w:p w14:paraId="6550659D"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4.372,52</w:t>
            </w:r>
          </w:p>
        </w:tc>
        <w:tc>
          <w:tcPr>
            <w:tcW w:w="1068" w:type="dxa"/>
            <w:shd w:val="clear" w:color="000000" w:fill="D9D9D9"/>
            <w:noWrap/>
            <w:vAlign w:val="center"/>
            <w:hideMark/>
          </w:tcPr>
          <w:p w14:paraId="58571D30"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65</w:t>
            </w:r>
          </w:p>
        </w:tc>
        <w:tc>
          <w:tcPr>
            <w:tcW w:w="1218" w:type="dxa"/>
            <w:shd w:val="clear" w:color="000000" w:fill="D9D9D9"/>
            <w:noWrap/>
            <w:vAlign w:val="center"/>
            <w:hideMark/>
          </w:tcPr>
          <w:p w14:paraId="21079C85" w14:textId="77777777" w:rsidR="004C6157" w:rsidRPr="00130B94" w:rsidRDefault="004C6157" w:rsidP="0062749B">
            <w:pPr>
              <w:spacing w:after="0" w:line="240" w:lineRule="auto"/>
              <w:jc w:val="center"/>
              <w:rPr>
                <w:rFonts w:ascii="Calibri Light" w:eastAsia="Times New Roman" w:hAnsi="Calibri Light" w:cs="Calibri Light"/>
                <w:b/>
                <w:bCs/>
                <w:color w:val="000000"/>
                <w:sz w:val="20"/>
                <w:szCs w:val="20"/>
              </w:rPr>
            </w:pPr>
            <w:r w:rsidRPr="00130B94">
              <w:rPr>
                <w:rFonts w:ascii="Calibri Light" w:eastAsia="Times New Roman" w:hAnsi="Calibri Light" w:cs="Calibri Light"/>
                <w:b/>
                <w:bCs/>
                <w:color w:val="000000"/>
                <w:sz w:val="20"/>
                <w:szCs w:val="20"/>
              </w:rPr>
              <w:t>3.795,73</w:t>
            </w:r>
          </w:p>
        </w:tc>
      </w:tr>
    </w:tbl>
    <w:p w14:paraId="18097F21" w14:textId="7E430D56" w:rsidR="009736AB" w:rsidRPr="00EA7932" w:rsidRDefault="009736AB" w:rsidP="009736AB">
      <w:pPr>
        <w:spacing w:after="0" w:line="240" w:lineRule="auto"/>
        <w:jc w:val="both"/>
        <w:rPr>
          <w:rFonts w:asciiTheme="majorHAnsi" w:eastAsia="Times New Roman" w:hAnsiTheme="majorHAnsi" w:cstheme="majorHAnsi"/>
          <w:b/>
          <w:bCs/>
          <w:i/>
          <w:color w:val="000000"/>
          <w:sz w:val="20"/>
          <w:szCs w:val="20"/>
        </w:rPr>
      </w:pPr>
      <w:r w:rsidRPr="00EA7932">
        <w:rPr>
          <w:rFonts w:asciiTheme="majorHAnsi" w:eastAsia="Times New Roman" w:hAnsiTheme="majorHAnsi" w:cstheme="majorHAnsi"/>
          <w:b/>
          <w:bCs/>
          <w:i/>
          <w:color w:val="000000"/>
          <w:sz w:val="20"/>
          <w:szCs w:val="20"/>
        </w:rPr>
        <w:t>Sursă:</w:t>
      </w:r>
      <w:r w:rsidRPr="00EA7932">
        <w:rPr>
          <w:rFonts w:asciiTheme="majorHAnsi" w:eastAsia="Times New Roman" w:hAnsiTheme="majorHAnsi" w:cstheme="majorHAnsi"/>
          <w:b/>
          <w:bCs/>
          <w:i/>
          <w:iCs/>
          <w:color w:val="000000"/>
          <w:sz w:val="20"/>
          <w:szCs w:val="20"/>
        </w:rPr>
        <w:t xml:space="preserve"> </w:t>
      </w:r>
      <w:r w:rsidRPr="00EA7932">
        <w:rPr>
          <w:rFonts w:asciiTheme="majorHAnsi" w:eastAsia="Times New Roman" w:hAnsiTheme="majorHAnsi" w:cstheme="majorHAnsi"/>
          <w:bCs/>
          <w:i/>
          <w:iCs/>
          <w:color w:val="000000"/>
          <w:sz w:val="20"/>
          <w:szCs w:val="20"/>
        </w:rPr>
        <w:t>Elaborat de audit în baza raportului de solduri a</w:t>
      </w:r>
      <w:r w:rsidR="00445E48">
        <w:rPr>
          <w:rFonts w:asciiTheme="majorHAnsi" w:eastAsia="Times New Roman" w:hAnsiTheme="majorHAnsi" w:cstheme="majorHAnsi"/>
          <w:bCs/>
          <w:i/>
          <w:iCs/>
          <w:color w:val="000000"/>
          <w:sz w:val="20"/>
          <w:szCs w:val="20"/>
        </w:rPr>
        <w:t>le</w:t>
      </w:r>
      <w:r w:rsidRPr="00EA7932">
        <w:rPr>
          <w:rFonts w:asciiTheme="majorHAnsi" w:eastAsia="Times New Roman" w:hAnsiTheme="majorHAnsi" w:cstheme="majorHAnsi"/>
          <w:bCs/>
          <w:i/>
          <w:iCs/>
          <w:color w:val="000000"/>
          <w:sz w:val="20"/>
          <w:szCs w:val="20"/>
        </w:rPr>
        <w:t xml:space="preserve"> imobilizărilor la data de 31.12.2021</w:t>
      </w:r>
      <w:r w:rsidRPr="00EA7932">
        <w:rPr>
          <w:rFonts w:asciiTheme="majorHAnsi" w:eastAsia="Times New Roman" w:hAnsiTheme="majorHAnsi" w:cstheme="majorHAnsi"/>
          <w:b/>
          <w:bCs/>
          <w:i/>
          <w:iCs/>
          <w:color w:val="000000"/>
          <w:sz w:val="20"/>
          <w:szCs w:val="20"/>
        </w:rPr>
        <w:t>.</w:t>
      </w:r>
    </w:p>
    <w:p w14:paraId="4B6FE940" w14:textId="1CE45360" w:rsidR="009736AB" w:rsidRPr="00EA7932" w:rsidRDefault="009736AB" w:rsidP="000558E2">
      <w:pPr>
        <w:pStyle w:val="ListParagraph"/>
        <w:tabs>
          <w:tab w:val="left" w:pos="270"/>
          <w:tab w:val="left" w:pos="720"/>
        </w:tabs>
        <w:spacing w:after="0" w:line="276" w:lineRule="auto"/>
        <w:ind w:left="0" w:firstLine="720"/>
        <w:jc w:val="both"/>
        <w:rPr>
          <w:rFonts w:asciiTheme="majorHAnsi" w:hAnsiTheme="majorHAnsi" w:cstheme="majorHAnsi"/>
          <w:b/>
          <w:sz w:val="24"/>
          <w:szCs w:val="24"/>
          <w:shd w:val="clear" w:color="auto" w:fill="FFFFFF"/>
          <w:lang w:val="ro-MD"/>
        </w:rPr>
      </w:pPr>
    </w:p>
    <w:p w14:paraId="2743AE4B" w14:textId="5534C4C0" w:rsidR="00EA7932" w:rsidRPr="00255E9C" w:rsidRDefault="00EA7932" w:rsidP="00EA7932">
      <w:pPr>
        <w:spacing w:after="0" w:line="240" w:lineRule="auto"/>
        <w:jc w:val="right"/>
        <w:rPr>
          <w:rFonts w:ascii="Calibri Light" w:eastAsia="Times New Roman" w:hAnsi="Calibri Light" w:cs="Calibri Light"/>
          <w:b/>
          <w:bCs/>
          <w:i/>
          <w:color w:val="000000"/>
          <w:sz w:val="24"/>
          <w:szCs w:val="24"/>
          <w:lang w:val="ro-MD"/>
        </w:rPr>
      </w:pPr>
      <w:r w:rsidRPr="00255E9C">
        <w:rPr>
          <w:rFonts w:ascii="Calibri Light" w:eastAsia="Times New Roman" w:hAnsi="Calibri Light" w:cs="Calibri Light"/>
          <w:b/>
          <w:bCs/>
          <w:i/>
          <w:color w:val="000000"/>
          <w:sz w:val="24"/>
          <w:szCs w:val="24"/>
          <w:lang w:val="ro-MD"/>
        </w:rPr>
        <w:t>Tabelul nr.3.2</w:t>
      </w:r>
      <w:r w:rsidR="00445E48" w:rsidRPr="00255E9C">
        <w:rPr>
          <w:rFonts w:ascii="Calibri Light" w:eastAsia="Times New Roman" w:hAnsi="Calibri Light" w:cs="Calibri Light"/>
          <w:b/>
          <w:bCs/>
          <w:i/>
          <w:color w:val="000000"/>
          <w:sz w:val="24"/>
          <w:szCs w:val="24"/>
          <w:lang w:val="ro-MD"/>
        </w:rPr>
        <w:t>.</w:t>
      </w:r>
    </w:p>
    <w:p w14:paraId="1C819BF2" w14:textId="497BA3B2" w:rsidR="0080493F" w:rsidRDefault="000558E2" w:rsidP="0080493F">
      <w:pPr>
        <w:spacing w:after="0" w:line="240" w:lineRule="auto"/>
        <w:jc w:val="center"/>
        <w:rPr>
          <w:rFonts w:ascii="Calibri Light" w:eastAsia="Times New Roman" w:hAnsi="Calibri Light" w:cs="Calibri Light"/>
          <w:b/>
          <w:bCs/>
          <w:sz w:val="24"/>
          <w:szCs w:val="24"/>
          <w:lang w:val="ro-MD"/>
        </w:rPr>
      </w:pPr>
      <w:r w:rsidRPr="0080493F">
        <w:rPr>
          <w:rFonts w:ascii="Calibri Light" w:eastAsia="Times New Roman" w:hAnsi="Calibri Light" w:cs="Calibri Light"/>
          <w:b/>
          <w:bCs/>
          <w:sz w:val="24"/>
          <w:szCs w:val="24"/>
          <w:lang w:val="ro-MD"/>
        </w:rPr>
        <w:t>Lista imobilizărilor amortizate integral în cadrul INM</w:t>
      </w:r>
    </w:p>
    <w:p w14:paraId="4F3AA7B1" w14:textId="77777777" w:rsidR="00EA7932" w:rsidRPr="00255E9C" w:rsidRDefault="00EA7932" w:rsidP="00EA7932">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i/>
          <w:color w:val="000000"/>
          <w:sz w:val="20"/>
          <w:szCs w:val="20"/>
        </w:rPr>
        <w:t xml:space="preserve">                                                                                                                                                                                          </w:t>
      </w:r>
      <w:r w:rsidRPr="00255E9C">
        <w:rPr>
          <w:rFonts w:ascii="Calibri" w:eastAsia="Times New Roman" w:hAnsi="Calibri" w:cs="Times New Roman"/>
          <w:bCs/>
          <w:color w:val="000000"/>
          <w:sz w:val="20"/>
          <w:szCs w:val="20"/>
        </w:rPr>
        <w:t>(mii lei)</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98"/>
        <w:gridCol w:w="1364"/>
        <w:gridCol w:w="1322"/>
        <w:gridCol w:w="1307"/>
        <w:gridCol w:w="1049"/>
        <w:gridCol w:w="1187"/>
      </w:tblGrid>
      <w:tr w:rsidR="000558E2" w:rsidRPr="00EA7932" w14:paraId="1142270A" w14:textId="77777777" w:rsidTr="00EA7932">
        <w:trPr>
          <w:trHeight w:val="334"/>
        </w:trPr>
        <w:tc>
          <w:tcPr>
            <w:tcW w:w="1810" w:type="dxa"/>
            <w:vMerge w:val="restart"/>
            <w:shd w:val="clear" w:color="000000" w:fill="FFFFFF"/>
            <w:vAlign w:val="center"/>
            <w:hideMark/>
          </w:tcPr>
          <w:p w14:paraId="0ADD5E92"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Cont de  evidenţă  a imobilizărilor necorporale și corporale</w:t>
            </w:r>
          </w:p>
        </w:tc>
        <w:tc>
          <w:tcPr>
            <w:tcW w:w="2662" w:type="dxa"/>
            <w:gridSpan w:val="2"/>
            <w:shd w:val="clear" w:color="000000" w:fill="FFFFFF"/>
            <w:vAlign w:val="center"/>
            <w:hideMark/>
          </w:tcPr>
          <w:p w14:paraId="6981B139" w14:textId="6BB4032B" w:rsidR="00D307BE" w:rsidRPr="00EA7932" w:rsidRDefault="000558E2" w:rsidP="00EA7932">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Valoarea totală a imobilizărilor la 31.12.2021</w:t>
            </w:r>
            <w:r w:rsidR="00EA7932" w:rsidRPr="00EA7932">
              <w:rPr>
                <w:rFonts w:ascii="Calibri Light" w:eastAsia="Times New Roman" w:hAnsi="Calibri Light" w:cs="Calibri Light"/>
                <w:b/>
                <w:bCs/>
                <w:sz w:val="20"/>
                <w:szCs w:val="20"/>
              </w:rPr>
              <w:t xml:space="preserve"> </w:t>
            </w:r>
          </w:p>
        </w:tc>
        <w:tc>
          <w:tcPr>
            <w:tcW w:w="2629" w:type="dxa"/>
            <w:gridSpan w:val="2"/>
            <w:shd w:val="clear" w:color="000000" w:fill="FFFFFF"/>
            <w:vAlign w:val="center"/>
            <w:hideMark/>
          </w:tcPr>
          <w:p w14:paraId="2F78BBAA" w14:textId="60671F97" w:rsidR="00D307BE" w:rsidRPr="00EA7932" w:rsidRDefault="000558E2" w:rsidP="00EA7932">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Valoarea imobilizărilor amortizate integral la 31.12.2021</w:t>
            </w:r>
            <w:r w:rsidR="00EA7932" w:rsidRPr="00EA7932">
              <w:rPr>
                <w:rFonts w:ascii="Calibri Light" w:eastAsia="Times New Roman" w:hAnsi="Calibri Light" w:cs="Calibri Light"/>
                <w:b/>
                <w:bCs/>
                <w:sz w:val="20"/>
                <w:szCs w:val="20"/>
              </w:rPr>
              <w:t xml:space="preserve"> </w:t>
            </w:r>
          </w:p>
        </w:tc>
        <w:tc>
          <w:tcPr>
            <w:tcW w:w="2236" w:type="dxa"/>
            <w:gridSpan w:val="2"/>
            <w:shd w:val="clear" w:color="auto" w:fill="auto"/>
            <w:vAlign w:val="center"/>
            <w:hideMark/>
          </w:tcPr>
          <w:p w14:paraId="45C42812" w14:textId="0BBFACE3" w:rsidR="00D307BE" w:rsidRPr="00EA7932" w:rsidRDefault="000558E2"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Bunurile care se utilizează în activitate</w:t>
            </w:r>
            <w:r w:rsidR="00EA7932" w:rsidRPr="00EA7932">
              <w:rPr>
                <w:rFonts w:ascii="Calibri Light" w:eastAsia="Times New Roman" w:hAnsi="Calibri Light" w:cs="Calibri Light"/>
                <w:b/>
                <w:bCs/>
                <w:color w:val="000000"/>
                <w:sz w:val="20"/>
                <w:szCs w:val="20"/>
              </w:rPr>
              <w:t xml:space="preserve"> </w:t>
            </w:r>
          </w:p>
        </w:tc>
      </w:tr>
      <w:tr w:rsidR="000558E2" w:rsidRPr="00EA7932" w14:paraId="10DFF117" w14:textId="77777777" w:rsidTr="00EA7932">
        <w:trPr>
          <w:trHeight w:val="161"/>
        </w:trPr>
        <w:tc>
          <w:tcPr>
            <w:tcW w:w="1810" w:type="dxa"/>
            <w:vMerge/>
            <w:vAlign w:val="center"/>
            <w:hideMark/>
          </w:tcPr>
          <w:p w14:paraId="31E05EB6" w14:textId="77777777" w:rsidR="000558E2" w:rsidRPr="00EA7932" w:rsidRDefault="000558E2" w:rsidP="00F0708A">
            <w:pPr>
              <w:spacing w:after="0" w:line="240" w:lineRule="auto"/>
              <w:rPr>
                <w:rFonts w:ascii="Calibri Light" w:eastAsia="Times New Roman" w:hAnsi="Calibri Light" w:cs="Calibri Light"/>
                <w:b/>
                <w:bCs/>
                <w:sz w:val="20"/>
                <w:szCs w:val="20"/>
              </w:rPr>
            </w:pPr>
          </w:p>
        </w:tc>
        <w:tc>
          <w:tcPr>
            <w:tcW w:w="1298" w:type="dxa"/>
            <w:shd w:val="clear" w:color="000000" w:fill="FFFFFF"/>
            <w:vAlign w:val="center"/>
            <w:hideMark/>
          </w:tcPr>
          <w:p w14:paraId="079E28D0"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Unit.</w:t>
            </w:r>
          </w:p>
        </w:tc>
        <w:tc>
          <w:tcPr>
            <w:tcW w:w="1364" w:type="dxa"/>
            <w:shd w:val="clear" w:color="auto" w:fill="auto"/>
            <w:noWrap/>
            <w:vAlign w:val="center"/>
            <w:hideMark/>
          </w:tcPr>
          <w:p w14:paraId="59906BFB"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c>
          <w:tcPr>
            <w:tcW w:w="1322" w:type="dxa"/>
            <w:shd w:val="clear" w:color="000000" w:fill="FFFFFF"/>
            <w:vAlign w:val="center"/>
            <w:hideMark/>
          </w:tcPr>
          <w:p w14:paraId="148B73C6"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Unit.</w:t>
            </w:r>
          </w:p>
        </w:tc>
        <w:tc>
          <w:tcPr>
            <w:tcW w:w="1307" w:type="dxa"/>
            <w:shd w:val="clear" w:color="auto" w:fill="auto"/>
            <w:noWrap/>
            <w:vAlign w:val="center"/>
            <w:hideMark/>
          </w:tcPr>
          <w:p w14:paraId="44E52282"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c>
          <w:tcPr>
            <w:tcW w:w="1049" w:type="dxa"/>
            <w:shd w:val="clear" w:color="auto" w:fill="auto"/>
            <w:vAlign w:val="center"/>
            <w:hideMark/>
          </w:tcPr>
          <w:p w14:paraId="2569BC2E" w14:textId="279BDEBD" w:rsidR="000558E2" w:rsidRPr="00EA7932" w:rsidRDefault="00FA49BB" w:rsidP="00F0708A">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U</w:t>
            </w:r>
            <w:r w:rsidR="000558E2" w:rsidRPr="00EA7932">
              <w:rPr>
                <w:rFonts w:ascii="Calibri Light" w:eastAsia="Times New Roman" w:hAnsi="Calibri Light" w:cs="Calibri Light"/>
                <w:b/>
                <w:bCs/>
                <w:color w:val="000000"/>
                <w:sz w:val="20"/>
                <w:szCs w:val="20"/>
              </w:rPr>
              <w:t>nit.</w:t>
            </w:r>
          </w:p>
        </w:tc>
        <w:tc>
          <w:tcPr>
            <w:tcW w:w="1186" w:type="dxa"/>
            <w:shd w:val="clear" w:color="auto" w:fill="auto"/>
            <w:noWrap/>
            <w:vAlign w:val="bottom"/>
            <w:hideMark/>
          </w:tcPr>
          <w:p w14:paraId="6464FA37"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r>
      <w:tr w:rsidR="000558E2" w:rsidRPr="00EA7932" w14:paraId="7C2799B2" w14:textId="77777777" w:rsidTr="00EA7932">
        <w:trPr>
          <w:trHeight w:val="154"/>
        </w:trPr>
        <w:tc>
          <w:tcPr>
            <w:tcW w:w="1810" w:type="dxa"/>
            <w:shd w:val="clear" w:color="000000" w:fill="FFFFFF"/>
            <w:vAlign w:val="center"/>
            <w:hideMark/>
          </w:tcPr>
          <w:p w14:paraId="7A30C26A"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112.2</w:t>
            </w:r>
          </w:p>
        </w:tc>
        <w:tc>
          <w:tcPr>
            <w:tcW w:w="1298" w:type="dxa"/>
            <w:shd w:val="clear" w:color="000000" w:fill="FFFFFF"/>
            <w:vAlign w:val="center"/>
            <w:hideMark/>
          </w:tcPr>
          <w:p w14:paraId="3B9F4C27"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w:t>
            </w:r>
          </w:p>
        </w:tc>
        <w:tc>
          <w:tcPr>
            <w:tcW w:w="1364" w:type="dxa"/>
            <w:shd w:val="clear" w:color="000000" w:fill="FFFFFF"/>
            <w:noWrap/>
            <w:vAlign w:val="bottom"/>
            <w:hideMark/>
          </w:tcPr>
          <w:p w14:paraId="69394085"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367,50</w:t>
            </w:r>
          </w:p>
        </w:tc>
        <w:tc>
          <w:tcPr>
            <w:tcW w:w="1322" w:type="dxa"/>
            <w:shd w:val="clear" w:color="000000" w:fill="FFFFFF"/>
            <w:vAlign w:val="center"/>
            <w:hideMark/>
          </w:tcPr>
          <w:p w14:paraId="546D0BAD"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 </w:t>
            </w:r>
          </w:p>
        </w:tc>
        <w:tc>
          <w:tcPr>
            <w:tcW w:w="1307" w:type="dxa"/>
            <w:shd w:val="clear" w:color="000000" w:fill="FFFFFF"/>
            <w:vAlign w:val="center"/>
            <w:hideMark/>
          </w:tcPr>
          <w:p w14:paraId="7665D21F"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 </w:t>
            </w:r>
          </w:p>
        </w:tc>
        <w:tc>
          <w:tcPr>
            <w:tcW w:w="1049" w:type="dxa"/>
            <w:shd w:val="clear" w:color="auto" w:fill="auto"/>
            <w:noWrap/>
            <w:vAlign w:val="center"/>
            <w:hideMark/>
          </w:tcPr>
          <w:p w14:paraId="3B3AED24"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1186" w:type="dxa"/>
            <w:shd w:val="clear" w:color="auto" w:fill="auto"/>
            <w:noWrap/>
            <w:vAlign w:val="center"/>
            <w:hideMark/>
          </w:tcPr>
          <w:p w14:paraId="5EA85DE9"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r>
      <w:tr w:rsidR="000558E2" w:rsidRPr="00EA7932" w14:paraId="14A2709D" w14:textId="77777777" w:rsidTr="00EA7932">
        <w:trPr>
          <w:trHeight w:val="154"/>
        </w:trPr>
        <w:tc>
          <w:tcPr>
            <w:tcW w:w="1810" w:type="dxa"/>
            <w:shd w:val="clear" w:color="000000" w:fill="FFFFFF"/>
            <w:vAlign w:val="center"/>
            <w:hideMark/>
          </w:tcPr>
          <w:p w14:paraId="16402AA4"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112.3</w:t>
            </w:r>
          </w:p>
        </w:tc>
        <w:tc>
          <w:tcPr>
            <w:tcW w:w="1298" w:type="dxa"/>
            <w:shd w:val="clear" w:color="000000" w:fill="FFFFFF"/>
            <w:vAlign w:val="center"/>
            <w:hideMark/>
          </w:tcPr>
          <w:p w14:paraId="36B09B7D"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4</w:t>
            </w:r>
          </w:p>
        </w:tc>
        <w:tc>
          <w:tcPr>
            <w:tcW w:w="1364" w:type="dxa"/>
            <w:shd w:val="clear" w:color="000000" w:fill="FFFFFF"/>
            <w:noWrap/>
            <w:vAlign w:val="bottom"/>
            <w:hideMark/>
          </w:tcPr>
          <w:p w14:paraId="3049CFF2"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2.176,58</w:t>
            </w:r>
          </w:p>
        </w:tc>
        <w:tc>
          <w:tcPr>
            <w:tcW w:w="1322" w:type="dxa"/>
            <w:shd w:val="clear" w:color="000000" w:fill="FFFFFF"/>
            <w:vAlign w:val="center"/>
            <w:hideMark/>
          </w:tcPr>
          <w:p w14:paraId="1ABB3FF9"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3</w:t>
            </w:r>
          </w:p>
        </w:tc>
        <w:tc>
          <w:tcPr>
            <w:tcW w:w="1307" w:type="dxa"/>
            <w:shd w:val="clear" w:color="000000" w:fill="FFFFFF"/>
            <w:vAlign w:val="center"/>
            <w:hideMark/>
          </w:tcPr>
          <w:p w14:paraId="1C91EAC2"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2.162,96</w:t>
            </w:r>
          </w:p>
        </w:tc>
        <w:tc>
          <w:tcPr>
            <w:tcW w:w="1049" w:type="dxa"/>
            <w:shd w:val="clear" w:color="auto" w:fill="auto"/>
            <w:noWrap/>
            <w:vAlign w:val="center"/>
            <w:hideMark/>
          </w:tcPr>
          <w:p w14:paraId="24E7C9E7"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w:t>
            </w:r>
          </w:p>
        </w:tc>
        <w:tc>
          <w:tcPr>
            <w:tcW w:w="1186" w:type="dxa"/>
            <w:shd w:val="clear" w:color="auto" w:fill="auto"/>
            <w:noWrap/>
            <w:vAlign w:val="center"/>
            <w:hideMark/>
          </w:tcPr>
          <w:p w14:paraId="6B3969F3"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2.162,96</w:t>
            </w:r>
          </w:p>
        </w:tc>
      </w:tr>
      <w:tr w:rsidR="000558E2" w:rsidRPr="00EA7932" w14:paraId="5BEE0AE3" w14:textId="77777777" w:rsidTr="00EA7932">
        <w:trPr>
          <w:trHeight w:val="154"/>
        </w:trPr>
        <w:tc>
          <w:tcPr>
            <w:tcW w:w="1810" w:type="dxa"/>
            <w:shd w:val="clear" w:color="000000" w:fill="FFFFFF"/>
            <w:vAlign w:val="center"/>
            <w:hideMark/>
          </w:tcPr>
          <w:p w14:paraId="36C6E8B7"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112.4</w:t>
            </w:r>
          </w:p>
        </w:tc>
        <w:tc>
          <w:tcPr>
            <w:tcW w:w="1298" w:type="dxa"/>
            <w:shd w:val="clear" w:color="000000" w:fill="FFFFFF"/>
            <w:vAlign w:val="center"/>
            <w:hideMark/>
          </w:tcPr>
          <w:p w14:paraId="07DA785F"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w:t>
            </w:r>
          </w:p>
        </w:tc>
        <w:tc>
          <w:tcPr>
            <w:tcW w:w="1364" w:type="dxa"/>
            <w:shd w:val="clear" w:color="000000" w:fill="FFFFFF"/>
            <w:noWrap/>
            <w:vAlign w:val="bottom"/>
            <w:hideMark/>
          </w:tcPr>
          <w:p w14:paraId="6348775A"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29,30</w:t>
            </w:r>
          </w:p>
        </w:tc>
        <w:tc>
          <w:tcPr>
            <w:tcW w:w="1322" w:type="dxa"/>
            <w:shd w:val="clear" w:color="000000" w:fill="FFFFFF"/>
            <w:vAlign w:val="center"/>
            <w:hideMark/>
          </w:tcPr>
          <w:p w14:paraId="6E17A34A"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w:t>
            </w:r>
          </w:p>
        </w:tc>
        <w:tc>
          <w:tcPr>
            <w:tcW w:w="1307" w:type="dxa"/>
            <w:shd w:val="clear" w:color="000000" w:fill="FFFFFF"/>
            <w:vAlign w:val="center"/>
            <w:hideMark/>
          </w:tcPr>
          <w:p w14:paraId="1BE047CB"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1,03</w:t>
            </w:r>
          </w:p>
        </w:tc>
        <w:tc>
          <w:tcPr>
            <w:tcW w:w="1049" w:type="dxa"/>
            <w:shd w:val="clear" w:color="auto" w:fill="auto"/>
            <w:noWrap/>
            <w:vAlign w:val="center"/>
            <w:hideMark/>
          </w:tcPr>
          <w:p w14:paraId="062EFE9B"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186" w:type="dxa"/>
            <w:shd w:val="clear" w:color="auto" w:fill="auto"/>
            <w:noWrap/>
            <w:vAlign w:val="center"/>
            <w:hideMark/>
          </w:tcPr>
          <w:p w14:paraId="53EA3B34"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1,03</w:t>
            </w:r>
          </w:p>
        </w:tc>
      </w:tr>
      <w:tr w:rsidR="000558E2" w:rsidRPr="00EA7932" w14:paraId="659C08E2" w14:textId="77777777" w:rsidTr="00EA7932">
        <w:trPr>
          <w:trHeight w:val="154"/>
        </w:trPr>
        <w:tc>
          <w:tcPr>
            <w:tcW w:w="1810" w:type="dxa"/>
            <w:shd w:val="clear" w:color="000000" w:fill="F2F2F2"/>
            <w:noWrap/>
            <w:vAlign w:val="center"/>
            <w:hideMark/>
          </w:tcPr>
          <w:p w14:paraId="56248DDD" w14:textId="21BCAE16"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Total imobilizări neco</w:t>
            </w:r>
            <w:r w:rsidR="00FA49BB">
              <w:rPr>
                <w:rFonts w:ascii="Calibri Light" w:eastAsia="Times New Roman" w:hAnsi="Calibri Light" w:cs="Calibri Light"/>
                <w:b/>
                <w:bCs/>
                <w:sz w:val="20"/>
                <w:szCs w:val="20"/>
              </w:rPr>
              <w:t>rp</w:t>
            </w:r>
            <w:r w:rsidRPr="00EA7932">
              <w:rPr>
                <w:rFonts w:ascii="Calibri Light" w:eastAsia="Times New Roman" w:hAnsi="Calibri Light" w:cs="Calibri Light"/>
                <w:b/>
                <w:bCs/>
                <w:sz w:val="20"/>
                <w:szCs w:val="20"/>
              </w:rPr>
              <w:t>orale</w:t>
            </w:r>
          </w:p>
        </w:tc>
        <w:tc>
          <w:tcPr>
            <w:tcW w:w="1298" w:type="dxa"/>
            <w:shd w:val="clear" w:color="000000" w:fill="F2F2F2"/>
            <w:vAlign w:val="center"/>
            <w:hideMark/>
          </w:tcPr>
          <w:p w14:paraId="53634A99"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8</w:t>
            </w:r>
          </w:p>
        </w:tc>
        <w:tc>
          <w:tcPr>
            <w:tcW w:w="1364" w:type="dxa"/>
            <w:shd w:val="clear" w:color="000000" w:fill="F2F2F2"/>
            <w:vAlign w:val="center"/>
            <w:hideMark/>
          </w:tcPr>
          <w:p w14:paraId="2331BE54"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2.573,38</w:t>
            </w:r>
          </w:p>
        </w:tc>
        <w:tc>
          <w:tcPr>
            <w:tcW w:w="1322" w:type="dxa"/>
            <w:shd w:val="clear" w:color="000000" w:fill="F2F2F2"/>
            <w:vAlign w:val="center"/>
            <w:hideMark/>
          </w:tcPr>
          <w:p w14:paraId="465F61D3"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4</w:t>
            </w:r>
          </w:p>
        </w:tc>
        <w:tc>
          <w:tcPr>
            <w:tcW w:w="1307" w:type="dxa"/>
            <w:shd w:val="clear" w:color="000000" w:fill="F2F2F2"/>
            <w:vAlign w:val="center"/>
            <w:hideMark/>
          </w:tcPr>
          <w:p w14:paraId="5438B62A"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2.163,99</w:t>
            </w:r>
          </w:p>
        </w:tc>
        <w:tc>
          <w:tcPr>
            <w:tcW w:w="1049" w:type="dxa"/>
            <w:shd w:val="clear" w:color="000000" w:fill="F2F2F2"/>
            <w:vAlign w:val="center"/>
            <w:hideMark/>
          </w:tcPr>
          <w:p w14:paraId="1EB15349"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4</w:t>
            </w:r>
          </w:p>
        </w:tc>
        <w:tc>
          <w:tcPr>
            <w:tcW w:w="1186" w:type="dxa"/>
            <w:shd w:val="clear" w:color="000000" w:fill="F2F2F2"/>
            <w:vAlign w:val="center"/>
            <w:hideMark/>
          </w:tcPr>
          <w:p w14:paraId="13D4CBD3"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2.163,99</w:t>
            </w:r>
          </w:p>
        </w:tc>
      </w:tr>
      <w:tr w:rsidR="000558E2" w:rsidRPr="00EA7932" w14:paraId="027FF4A0" w14:textId="77777777" w:rsidTr="00EA7932">
        <w:trPr>
          <w:trHeight w:val="154"/>
        </w:trPr>
        <w:tc>
          <w:tcPr>
            <w:tcW w:w="1810" w:type="dxa"/>
            <w:shd w:val="clear" w:color="000000" w:fill="FFFFFF"/>
            <w:vAlign w:val="center"/>
            <w:hideMark/>
          </w:tcPr>
          <w:p w14:paraId="2E0DBEE3"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123.1</w:t>
            </w:r>
          </w:p>
        </w:tc>
        <w:tc>
          <w:tcPr>
            <w:tcW w:w="1298" w:type="dxa"/>
            <w:shd w:val="clear" w:color="000000" w:fill="FFFFFF"/>
            <w:vAlign w:val="center"/>
            <w:hideMark/>
          </w:tcPr>
          <w:p w14:paraId="6060DCCF"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8</w:t>
            </w:r>
          </w:p>
        </w:tc>
        <w:tc>
          <w:tcPr>
            <w:tcW w:w="1364" w:type="dxa"/>
            <w:shd w:val="clear" w:color="000000" w:fill="FFFFFF"/>
            <w:noWrap/>
            <w:vAlign w:val="bottom"/>
            <w:hideMark/>
          </w:tcPr>
          <w:p w14:paraId="7F03E2F0"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11.143,96</w:t>
            </w:r>
          </w:p>
        </w:tc>
        <w:tc>
          <w:tcPr>
            <w:tcW w:w="1322" w:type="dxa"/>
            <w:shd w:val="clear" w:color="000000" w:fill="FFFFFF"/>
            <w:vAlign w:val="center"/>
            <w:hideMark/>
          </w:tcPr>
          <w:p w14:paraId="5326070D"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3</w:t>
            </w:r>
          </w:p>
        </w:tc>
        <w:tc>
          <w:tcPr>
            <w:tcW w:w="1307" w:type="dxa"/>
            <w:shd w:val="clear" w:color="000000" w:fill="FFFFFF"/>
            <w:vAlign w:val="center"/>
            <w:hideMark/>
          </w:tcPr>
          <w:p w14:paraId="74E94CEB"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298,70</w:t>
            </w:r>
          </w:p>
        </w:tc>
        <w:tc>
          <w:tcPr>
            <w:tcW w:w="1049" w:type="dxa"/>
            <w:shd w:val="clear" w:color="auto" w:fill="auto"/>
            <w:noWrap/>
            <w:vAlign w:val="center"/>
            <w:hideMark/>
          </w:tcPr>
          <w:p w14:paraId="3538D359"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w:t>
            </w:r>
          </w:p>
        </w:tc>
        <w:tc>
          <w:tcPr>
            <w:tcW w:w="1186" w:type="dxa"/>
            <w:shd w:val="clear" w:color="auto" w:fill="auto"/>
            <w:noWrap/>
            <w:vAlign w:val="center"/>
            <w:hideMark/>
          </w:tcPr>
          <w:p w14:paraId="6010E076"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298,70</w:t>
            </w:r>
          </w:p>
        </w:tc>
      </w:tr>
      <w:tr w:rsidR="000558E2" w:rsidRPr="00EA7932" w14:paraId="4D551FB2" w14:textId="77777777" w:rsidTr="00EA7932">
        <w:trPr>
          <w:trHeight w:val="154"/>
        </w:trPr>
        <w:tc>
          <w:tcPr>
            <w:tcW w:w="1810" w:type="dxa"/>
            <w:shd w:val="clear" w:color="000000" w:fill="FFFFFF"/>
            <w:vAlign w:val="center"/>
            <w:hideMark/>
          </w:tcPr>
          <w:p w14:paraId="01D844DE"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123.3</w:t>
            </w:r>
          </w:p>
        </w:tc>
        <w:tc>
          <w:tcPr>
            <w:tcW w:w="1298" w:type="dxa"/>
            <w:shd w:val="clear" w:color="000000" w:fill="FFFFFF"/>
            <w:vAlign w:val="center"/>
            <w:hideMark/>
          </w:tcPr>
          <w:p w14:paraId="60D6A89A"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379</w:t>
            </w:r>
          </w:p>
        </w:tc>
        <w:tc>
          <w:tcPr>
            <w:tcW w:w="1364" w:type="dxa"/>
            <w:shd w:val="clear" w:color="000000" w:fill="FFFFFF"/>
            <w:noWrap/>
            <w:vAlign w:val="bottom"/>
            <w:hideMark/>
          </w:tcPr>
          <w:p w14:paraId="260F1660"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68.745,11</w:t>
            </w:r>
          </w:p>
        </w:tc>
        <w:tc>
          <w:tcPr>
            <w:tcW w:w="1322" w:type="dxa"/>
            <w:shd w:val="clear" w:color="000000" w:fill="FFFFFF"/>
            <w:noWrap/>
            <w:vAlign w:val="bottom"/>
            <w:hideMark/>
          </w:tcPr>
          <w:p w14:paraId="2BDA2B6E"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188</w:t>
            </w:r>
          </w:p>
        </w:tc>
        <w:tc>
          <w:tcPr>
            <w:tcW w:w="1307" w:type="dxa"/>
            <w:shd w:val="clear" w:color="000000" w:fill="FFFFFF"/>
            <w:noWrap/>
            <w:vAlign w:val="bottom"/>
            <w:hideMark/>
          </w:tcPr>
          <w:p w14:paraId="6BC0EA88"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42.377,51</w:t>
            </w:r>
          </w:p>
        </w:tc>
        <w:tc>
          <w:tcPr>
            <w:tcW w:w="1049" w:type="dxa"/>
            <w:shd w:val="clear" w:color="auto" w:fill="auto"/>
            <w:noWrap/>
            <w:vAlign w:val="center"/>
            <w:hideMark/>
          </w:tcPr>
          <w:p w14:paraId="62F25FDC"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185</w:t>
            </w:r>
          </w:p>
        </w:tc>
        <w:tc>
          <w:tcPr>
            <w:tcW w:w="1186" w:type="dxa"/>
            <w:shd w:val="clear" w:color="auto" w:fill="auto"/>
            <w:noWrap/>
            <w:vAlign w:val="center"/>
            <w:hideMark/>
          </w:tcPr>
          <w:p w14:paraId="07546FE4"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42.351,35</w:t>
            </w:r>
          </w:p>
        </w:tc>
      </w:tr>
      <w:tr w:rsidR="000558E2" w:rsidRPr="00EA7932" w14:paraId="2B0FA3FE" w14:textId="77777777" w:rsidTr="00EA7932">
        <w:trPr>
          <w:trHeight w:val="154"/>
        </w:trPr>
        <w:tc>
          <w:tcPr>
            <w:tcW w:w="1810" w:type="dxa"/>
            <w:shd w:val="clear" w:color="000000" w:fill="FFFFFF"/>
            <w:vAlign w:val="center"/>
            <w:hideMark/>
          </w:tcPr>
          <w:p w14:paraId="55ADCD66"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123.4</w:t>
            </w:r>
          </w:p>
        </w:tc>
        <w:tc>
          <w:tcPr>
            <w:tcW w:w="1298" w:type="dxa"/>
            <w:shd w:val="clear" w:color="000000" w:fill="FFFFFF"/>
            <w:vAlign w:val="center"/>
            <w:hideMark/>
          </w:tcPr>
          <w:p w14:paraId="07ADA4D0"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4</w:t>
            </w:r>
          </w:p>
        </w:tc>
        <w:tc>
          <w:tcPr>
            <w:tcW w:w="1364" w:type="dxa"/>
            <w:shd w:val="clear" w:color="000000" w:fill="FFFFFF"/>
            <w:noWrap/>
            <w:vAlign w:val="bottom"/>
            <w:hideMark/>
          </w:tcPr>
          <w:p w14:paraId="2B98827A"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1.333,91</w:t>
            </w:r>
          </w:p>
        </w:tc>
        <w:tc>
          <w:tcPr>
            <w:tcW w:w="1322" w:type="dxa"/>
            <w:shd w:val="clear" w:color="000000" w:fill="FFFFFF"/>
            <w:vAlign w:val="center"/>
            <w:hideMark/>
          </w:tcPr>
          <w:p w14:paraId="14D23DAB"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3</w:t>
            </w:r>
          </w:p>
        </w:tc>
        <w:tc>
          <w:tcPr>
            <w:tcW w:w="1307" w:type="dxa"/>
            <w:shd w:val="clear" w:color="000000" w:fill="FFFFFF"/>
            <w:vAlign w:val="center"/>
            <w:hideMark/>
          </w:tcPr>
          <w:p w14:paraId="60947733"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462,67</w:t>
            </w:r>
          </w:p>
        </w:tc>
        <w:tc>
          <w:tcPr>
            <w:tcW w:w="1049" w:type="dxa"/>
            <w:shd w:val="clear" w:color="auto" w:fill="auto"/>
            <w:noWrap/>
            <w:vAlign w:val="center"/>
            <w:hideMark/>
          </w:tcPr>
          <w:p w14:paraId="3AADD491"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w:t>
            </w:r>
          </w:p>
        </w:tc>
        <w:tc>
          <w:tcPr>
            <w:tcW w:w="1186" w:type="dxa"/>
            <w:shd w:val="clear" w:color="auto" w:fill="auto"/>
            <w:noWrap/>
            <w:vAlign w:val="center"/>
            <w:hideMark/>
          </w:tcPr>
          <w:p w14:paraId="39C08DE0"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462,67</w:t>
            </w:r>
          </w:p>
        </w:tc>
      </w:tr>
      <w:tr w:rsidR="000558E2" w:rsidRPr="00EA7932" w14:paraId="331B78DD" w14:textId="77777777" w:rsidTr="00EA7932">
        <w:trPr>
          <w:trHeight w:val="154"/>
        </w:trPr>
        <w:tc>
          <w:tcPr>
            <w:tcW w:w="1810" w:type="dxa"/>
            <w:shd w:val="clear" w:color="000000" w:fill="FFFFFF"/>
            <w:vAlign w:val="center"/>
            <w:hideMark/>
          </w:tcPr>
          <w:p w14:paraId="1213040B"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123.5</w:t>
            </w:r>
          </w:p>
        </w:tc>
        <w:tc>
          <w:tcPr>
            <w:tcW w:w="1298" w:type="dxa"/>
            <w:shd w:val="clear" w:color="000000" w:fill="FFFFFF"/>
            <w:vAlign w:val="center"/>
            <w:hideMark/>
          </w:tcPr>
          <w:p w14:paraId="7E8ED962"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17</w:t>
            </w:r>
          </w:p>
        </w:tc>
        <w:tc>
          <w:tcPr>
            <w:tcW w:w="1364" w:type="dxa"/>
            <w:shd w:val="clear" w:color="000000" w:fill="FFFFFF"/>
            <w:noWrap/>
            <w:vAlign w:val="bottom"/>
            <w:hideMark/>
          </w:tcPr>
          <w:p w14:paraId="49367811"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162,38</w:t>
            </w:r>
          </w:p>
        </w:tc>
        <w:tc>
          <w:tcPr>
            <w:tcW w:w="1322" w:type="dxa"/>
            <w:shd w:val="clear" w:color="000000" w:fill="FFFFFF"/>
            <w:vAlign w:val="center"/>
            <w:hideMark/>
          </w:tcPr>
          <w:p w14:paraId="49A8FA91"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15</w:t>
            </w:r>
          </w:p>
        </w:tc>
        <w:tc>
          <w:tcPr>
            <w:tcW w:w="1307" w:type="dxa"/>
            <w:shd w:val="clear" w:color="000000" w:fill="FFFFFF"/>
            <w:vAlign w:val="center"/>
            <w:hideMark/>
          </w:tcPr>
          <w:p w14:paraId="72A17712" w14:textId="77777777" w:rsidR="000558E2" w:rsidRPr="00EA7932" w:rsidRDefault="000558E2" w:rsidP="00F0708A">
            <w:pPr>
              <w:spacing w:after="0" w:line="240" w:lineRule="auto"/>
              <w:jc w:val="center"/>
              <w:rPr>
                <w:rFonts w:ascii="Calibri Light" w:eastAsia="Times New Roman" w:hAnsi="Calibri Light" w:cs="Calibri Light"/>
                <w:sz w:val="20"/>
                <w:szCs w:val="20"/>
              </w:rPr>
            </w:pPr>
            <w:r w:rsidRPr="00EA7932">
              <w:rPr>
                <w:rFonts w:ascii="Calibri Light" w:eastAsia="Times New Roman" w:hAnsi="Calibri Light" w:cs="Calibri Light"/>
                <w:sz w:val="20"/>
                <w:szCs w:val="20"/>
              </w:rPr>
              <w:t>134,16</w:t>
            </w:r>
          </w:p>
        </w:tc>
        <w:tc>
          <w:tcPr>
            <w:tcW w:w="1049" w:type="dxa"/>
            <w:shd w:val="clear" w:color="auto" w:fill="auto"/>
            <w:noWrap/>
            <w:vAlign w:val="center"/>
            <w:hideMark/>
          </w:tcPr>
          <w:p w14:paraId="3761EB0B"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15</w:t>
            </w:r>
          </w:p>
        </w:tc>
        <w:tc>
          <w:tcPr>
            <w:tcW w:w="1186" w:type="dxa"/>
            <w:shd w:val="clear" w:color="auto" w:fill="auto"/>
            <w:noWrap/>
            <w:vAlign w:val="center"/>
            <w:hideMark/>
          </w:tcPr>
          <w:p w14:paraId="4282E86D" w14:textId="77777777" w:rsidR="000558E2" w:rsidRPr="00EA7932" w:rsidRDefault="000558E2" w:rsidP="00F0708A">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134,16</w:t>
            </w:r>
          </w:p>
        </w:tc>
      </w:tr>
      <w:tr w:rsidR="000558E2" w:rsidRPr="00EA7932" w14:paraId="23EC7006" w14:textId="77777777" w:rsidTr="00EA7932">
        <w:trPr>
          <w:trHeight w:val="161"/>
        </w:trPr>
        <w:tc>
          <w:tcPr>
            <w:tcW w:w="1810" w:type="dxa"/>
            <w:shd w:val="clear" w:color="000000" w:fill="F2F2F2"/>
            <w:noWrap/>
            <w:vAlign w:val="center"/>
            <w:hideMark/>
          </w:tcPr>
          <w:p w14:paraId="3FF872E7"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Total imobilizări corporale</w:t>
            </w:r>
          </w:p>
        </w:tc>
        <w:tc>
          <w:tcPr>
            <w:tcW w:w="1298" w:type="dxa"/>
            <w:shd w:val="clear" w:color="000000" w:fill="F2F2F2"/>
            <w:noWrap/>
            <w:vAlign w:val="center"/>
            <w:hideMark/>
          </w:tcPr>
          <w:p w14:paraId="395CDFBC"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408</w:t>
            </w:r>
          </w:p>
        </w:tc>
        <w:tc>
          <w:tcPr>
            <w:tcW w:w="1364" w:type="dxa"/>
            <w:shd w:val="clear" w:color="000000" w:fill="F2F2F2"/>
            <w:noWrap/>
            <w:vAlign w:val="center"/>
            <w:hideMark/>
          </w:tcPr>
          <w:p w14:paraId="3B0004A4"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81.385,36</w:t>
            </w:r>
          </w:p>
        </w:tc>
        <w:tc>
          <w:tcPr>
            <w:tcW w:w="1322" w:type="dxa"/>
            <w:shd w:val="clear" w:color="000000" w:fill="F2F2F2"/>
            <w:noWrap/>
            <w:vAlign w:val="center"/>
            <w:hideMark/>
          </w:tcPr>
          <w:p w14:paraId="0ABEDD26"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209</w:t>
            </w:r>
          </w:p>
        </w:tc>
        <w:tc>
          <w:tcPr>
            <w:tcW w:w="1307" w:type="dxa"/>
            <w:shd w:val="clear" w:color="000000" w:fill="F2F2F2"/>
            <w:noWrap/>
            <w:vAlign w:val="center"/>
            <w:hideMark/>
          </w:tcPr>
          <w:p w14:paraId="5736BEEA"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43.273,04</w:t>
            </w:r>
          </w:p>
        </w:tc>
        <w:tc>
          <w:tcPr>
            <w:tcW w:w="1049" w:type="dxa"/>
            <w:shd w:val="clear" w:color="000000" w:fill="F2F2F2"/>
            <w:noWrap/>
            <w:vAlign w:val="center"/>
            <w:hideMark/>
          </w:tcPr>
          <w:p w14:paraId="6A46F51E"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206</w:t>
            </w:r>
          </w:p>
        </w:tc>
        <w:tc>
          <w:tcPr>
            <w:tcW w:w="1186" w:type="dxa"/>
            <w:shd w:val="clear" w:color="000000" w:fill="F2F2F2"/>
            <w:noWrap/>
            <w:vAlign w:val="center"/>
            <w:hideMark/>
          </w:tcPr>
          <w:p w14:paraId="3F365F22" w14:textId="77777777" w:rsidR="000558E2" w:rsidRPr="00EA7932" w:rsidRDefault="000558E2" w:rsidP="00F0708A">
            <w:pPr>
              <w:spacing w:after="0" w:line="240" w:lineRule="auto"/>
              <w:jc w:val="center"/>
              <w:rPr>
                <w:rFonts w:ascii="Calibri Light" w:eastAsia="Times New Roman" w:hAnsi="Calibri Light" w:cs="Calibri Light"/>
                <w:b/>
                <w:bCs/>
                <w:sz w:val="20"/>
                <w:szCs w:val="20"/>
              </w:rPr>
            </w:pPr>
            <w:r w:rsidRPr="00EA7932">
              <w:rPr>
                <w:rFonts w:ascii="Calibri Light" w:eastAsia="Times New Roman" w:hAnsi="Calibri Light" w:cs="Calibri Light"/>
                <w:b/>
                <w:bCs/>
                <w:sz w:val="20"/>
                <w:szCs w:val="20"/>
              </w:rPr>
              <w:t>43.246,88</w:t>
            </w:r>
          </w:p>
        </w:tc>
      </w:tr>
      <w:tr w:rsidR="000558E2" w:rsidRPr="00EA7932" w14:paraId="24A0E031" w14:textId="77777777" w:rsidTr="00EA7932">
        <w:trPr>
          <w:trHeight w:val="161"/>
        </w:trPr>
        <w:tc>
          <w:tcPr>
            <w:tcW w:w="1810" w:type="dxa"/>
            <w:shd w:val="clear" w:color="000000" w:fill="D9D9D9"/>
            <w:noWrap/>
            <w:vAlign w:val="center"/>
            <w:hideMark/>
          </w:tcPr>
          <w:p w14:paraId="40925365" w14:textId="511C84E1"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TOTAL</w:t>
            </w:r>
            <w:r w:rsidR="00FA49BB">
              <w:rPr>
                <w:rFonts w:ascii="Calibri Light" w:eastAsia="Times New Roman" w:hAnsi="Calibri Light" w:cs="Calibri Light"/>
                <w:b/>
                <w:bCs/>
                <w:color w:val="000000"/>
                <w:sz w:val="20"/>
                <w:szCs w:val="20"/>
              </w:rPr>
              <w:t>,</w:t>
            </w:r>
            <w:r w:rsidRPr="00EA7932">
              <w:rPr>
                <w:rFonts w:ascii="Calibri Light" w:eastAsia="Times New Roman" w:hAnsi="Calibri Light" w:cs="Calibri Light"/>
                <w:b/>
                <w:bCs/>
                <w:color w:val="000000"/>
                <w:sz w:val="20"/>
                <w:szCs w:val="20"/>
              </w:rPr>
              <w:t xml:space="preserve"> Imobilizări</w:t>
            </w:r>
          </w:p>
        </w:tc>
        <w:tc>
          <w:tcPr>
            <w:tcW w:w="1298" w:type="dxa"/>
            <w:shd w:val="clear" w:color="000000" w:fill="D9D9D9"/>
            <w:noWrap/>
            <w:vAlign w:val="bottom"/>
            <w:hideMark/>
          </w:tcPr>
          <w:p w14:paraId="489632E4"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416</w:t>
            </w:r>
          </w:p>
        </w:tc>
        <w:tc>
          <w:tcPr>
            <w:tcW w:w="1364" w:type="dxa"/>
            <w:shd w:val="clear" w:color="000000" w:fill="D9D9D9"/>
            <w:noWrap/>
            <w:vAlign w:val="bottom"/>
            <w:hideMark/>
          </w:tcPr>
          <w:p w14:paraId="452B2F91"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83.959</w:t>
            </w:r>
          </w:p>
        </w:tc>
        <w:tc>
          <w:tcPr>
            <w:tcW w:w="1322" w:type="dxa"/>
            <w:shd w:val="clear" w:color="000000" w:fill="D9D9D9"/>
            <w:noWrap/>
            <w:vAlign w:val="bottom"/>
            <w:hideMark/>
          </w:tcPr>
          <w:p w14:paraId="24CCA63E"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213</w:t>
            </w:r>
          </w:p>
        </w:tc>
        <w:tc>
          <w:tcPr>
            <w:tcW w:w="1307" w:type="dxa"/>
            <w:shd w:val="clear" w:color="000000" w:fill="D9D9D9"/>
            <w:noWrap/>
            <w:vAlign w:val="bottom"/>
            <w:hideMark/>
          </w:tcPr>
          <w:p w14:paraId="5A1266D2"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45.437</w:t>
            </w:r>
          </w:p>
        </w:tc>
        <w:tc>
          <w:tcPr>
            <w:tcW w:w="1049" w:type="dxa"/>
            <w:shd w:val="clear" w:color="000000" w:fill="D9D9D9"/>
            <w:noWrap/>
            <w:vAlign w:val="center"/>
            <w:hideMark/>
          </w:tcPr>
          <w:p w14:paraId="0EFF7F60"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210</w:t>
            </w:r>
          </w:p>
        </w:tc>
        <w:tc>
          <w:tcPr>
            <w:tcW w:w="1186" w:type="dxa"/>
            <w:shd w:val="clear" w:color="000000" w:fill="D9D9D9"/>
            <w:noWrap/>
            <w:vAlign w:val="center"/>
            <w:hideMark/>
          </w:tcPr>
          <w:p w14:paraId="7AC64DBA" w14:textId="77777777" w:rsidR="000558E2" w:rsidRPr="00EA7932" w:rsidRDefault="000558E2" w:rsidP="00F0708A">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45.410,87</w:t>
            </w:r>
          </w:p>
        </w:tc>
      </w:tr>
    </w:tbl>
    <w:p w14:paraId="4AC588F3" w14:textId="60751C56" w:rsidR="000558E2" w:rsidRPr="00EA7932" w:rsidRDefault="000558E2" w:rsidP="000558E2">
      <w:pPr>
        <w:spacing w:after="0" w:line="240" w:lineRule="auto"/>
        <w:jc w:val="both"/>
        <w:rPr>
          <w:rFonts w:asciiTheme="majorHAnsi" w:eastAsia="Times New Roman" w:hAnsiTheme="majorHAnsi" w:cstheme="majorHAnsi"/>
          <w:bCs/>
          <w:color w:val="000000"/>
          <w:sz w:val="20"/>
          <w:szCs w:val="20"/>
        </w:rPr>
      </w:pPr>
      <w:r w:rsidRPr="00255E9C">
        <w:rPr>
          <w:rFonts w:asciiTheme="majorHAnsi" w:eastAsia="Times New Roman" w:hAnsiTheme="majorHAnsi" w:cstheme="majorHAnsi"/>
          <w:b/>
          <w:bCs/>
          <w:i/>
          <w:color w:val="000000"/>
          <w:sz w:val="20"/>
          <w:szCs w:val="20"/>
        </w:rPr>
        <w:t>Sursă:</w:t>
      </w:r>
      <w:r w:rsidRPr="00EA7932">
        <w:rPr>
          <w:rFonts w:asciiTheme="majorHAnsi" w:eastAsia="Times New Roman" w:hAnsiTheme="majorHAnsi" w:cstheme="majorHAnsi"/>
          <w:b/>
          <w:bCs/>
          <w:i/>
          <w:iCs/>
          <w:color w:val="000000"/>
          <w:sz w:val="20"/>
          <w:szCs w:val="20"/>
        </w:rPr>
        <w:t xml:space="preserve"> </w:t>
      </w:r>
      <w:r w:rsidRPr="00EA7932">
        <w:rPr>
          <w:rFonts w:asciiTheme="majorHAnsi" w:eastAsia="Times New Roman" w:hAnsiTheme="majorHAnsi" w:cstheme="majorHAnsi"/>
          <w:bCs/>
          <w:i/>
          <w:iCs/>
          <w:color w:val="000000"/>
          <w:sz w:val="20"/>
          <w:szCs w:val="20"/>
        </w:rPr>
        <w:t>Elaborat de audit în baza raportului de solduri a</w:t>
      </w:r>
      <w:r w:rsidR="00445E48">
        <w:rPr>
          <w:rFonts w:asciiTheme="majorHAnsi" w:eastAsia="Times New Roman" w:hAnsiTheme="majorHAnsi" w:cstheme="majorHAnsi"/>
          <w:bCs/>
          <w:i/>
          <w:iCs/>
          <w:color w:val="000000"/>
          <w:sz w:val="20"/>
          <w:szCs w:val="20"/>
        </w:rPr>
        <w:t>le</w:t>
      </w:r>
      <w:r w:rsidRPr="00EA7932">
        <w:rPr>
          <w:rFonts w:asciiTheme="majorHAnsi" w:eastAsia="Times New Roman" w:hAnsiTheme="majorHAnsi" w:cstheme="majorHAnsi"/>
          <w:bCs/>
          <w:i/>
          <w:iCs/>
          <w:color w:val="000000"/>
          <w:sz w:val="20"/>
          <w:szCs w:val="20"/>
        </w:rPr>
        <w:t xml:space="preserve"> imobilizărilor la data de 31.12.2021.</w:t>
      </w:r>
    </w:p>
    <w:p w14:paraId="5D544099" w14:textId="77777777" w:rsidR="00EA7932" w:rsidRPr="00EA7932" w:rsidRDefault="00EA7932" w:rsidP="00F63453">
      <w:pPr>
        <w:spacing w:after="0" w:line="240" w:lineRule="auto"/>
        <w:jc w:val="center"/>
        <w:rPr>
          <w:rFonts w:asciiTheme="majorHAnsi" w:eastAsia="Times New Roman" w:hAnsiTheme="majorHAnsi" w:cstheme="majorHAnsi"/>
          <w:b/>
          <w:bCs/>
          <w:color w:val="000000"/>
          <w:sz w:val="24"/>
          <w:szCs w:val="24"/>
        </w:rPr>
      </w:pPr>
    </w:p>
    <w:p w14:paraId="22A1704C"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50EE5402"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738C1111"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2929398A"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2B71FD5E"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030660AD"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2B8056BA"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5937222E" w14:textId="77777777" w:rsidR="00EA7932" w:rsidRDefault="00EA7932" w:rsidP="00EA7932">
      <w:pPr>
        <w:spacing w:after="0" w:line="240" w:lineRule="auto"/>
        <w:jc w:val="right"/>
        <w:rPr>
          <w:rFonts w:ascii="Calibri Light" w:eastAsia="Times New Roman" w:hAnsi="Calibri Light" w:cs="Calibri Light"/>
          <w:b/>
          <w:bCs/>
          <w:color w:val="000000"/>
          <w:sz w:val="24"/>
          <w:szCs w:val="24"/>
        </w:rPr>
      </w:pPr>
    </w:p>
    <w:p w14:paraId="32999A2E" w14:textId="3442ECAE" w:rsidR="00EA7932" w:rsidRPr="00255E9C" w:rsidRDefault="00EA7932" w:rsidP="00EA7932">
      <w:pPr>
        <w:spacing w:after="0" w:line="240" w:lineRule="auto"/>
        <w:jc w:val="right"/>
        <w:rPr>
          <w:rFonts w:ascii="Calibri Light" w:eastAsia="Times New Roman" w:hAnsi="Calibri Light" w:cs="Calibri Light"/>
          <w:b/>
          <w:bCs/>
          <w:i/>
          <w:color w:val="000000"/>
          <w:sz w:val="24"/>
          <w:szCs w:val="24"/>
        </w:rPr>
      </w:pPr>
      <w:r w:rsidRPr="00255E9C">
        <w:rPr>
          <w:rFonts w:ascii="Calibri Light" w:eastAsia="Times New Roman" w:hAnsi="Calibri Light" w:cs="Calibri Light"/>
          <w:b/>
          <w:bCs/>
          <w:i/>
          <w:color w:val="000000"/>
          <w:sz w:val="24"/>
          <w:szCs w:val="24"/>
        </w:rPr>
        <w:t>Tabelul nr.3.3</w:t>
      </w:r>
      <w:r w:rsidR="00445E48" w:rsidRPr="00255E9C">
        <w:rPr>
          <w:rFonts w:ascii="Calibri Light" w:eastAsia="Times New Roman" w:hAnsi="Calibri Light" w:cs="Calibri Light"/>
          <w:b/>
          <w:bCs/>
          <w:i/>
          <w:color w:val="000000"/>
          <w:sz w:val="24"/>
          <w:szCs w:val="24"/>
        </w:rPr>
        <w:t>.</w:t>
      </w:r>
    </w:p>
    <w:p w14:paraId="15683B22" w14:textId="086C021C" w:rsidR="00F63453" w:rsidRDefault="00F63453" w:rsidP="00F63453">
      <w:pPr>
        <w:spacing w:after="0" w:line="240" w:lineRule="auto"/>
        <w:jc w:val="center"/>
        <w:rPr>
          <w:rFonts w:ascii="Calibri Light" w:eastAsia="Times New Roman" w:hAnsi="Calibri Light" w:cs="Calibri Light"/>
          <w:b/>
          <w:bCs/>
          <w:color w:val="000000"/>
          <w:sz w:val="24"/>
          <w:szCs w:val="24"/>
        </w:rPr>
      </w:pPr>
      <w:r w:rsidRPr="006C0982">
        <w:rPr>
          <w:rFonts w:ascii="Calibri Light" w:eastAsia="Times New Roman" w:hAnsi="Calibri Light" w:cs="Calibri Light"/>
          <w:b/>
          <w:bCs/>
          <w:color w:val="000000"/>
          <w:sz w:val="24"/>
          <w:szCs w:val="24"/>
        </w:rPr>
        <w:t>Lista imobilizărilor amortizate integral în cadrul MOLDAC</w:t>
      </w:r>
    </w:p>
    <w:p w14:paraId="5599B953" w14:textId="77777777" w:rsidR="00EA7932" w:rsidRPr="00255E9C" w:rsidRDefault="00EA7932" w:rsidP="00EA7932">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i/>
          <w:color w:val="000000"/>
          <w:sz w:val="20"/>
          <w:szCs w:val="20"/>
        </w:rPr>
        <w:t xml:space="preserve">                                                                                                                                                                                          </w:t>
      </w:r>
      <w:r w:rsidRPr="00255E9C">
        <w:rPr>
          <w:rFonts w:ascii="Calibri" w:eastAsia="Times New Roman" w:hAnsi="Calibri" w:cs="Times New Roman"/>
          <w:bCs/>
          <w:color w:val="000000"/>
          <w:sz w:val="20"/>
          <w:szCs w:val="20"/>
        </w:rPr>
        <w:t>(mii lei)</w:t>
      </w:r>
    </w:p>
    <w:tbl>
      <w:tblPr>
        <w:tblW w:w="92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260"/>
        <w:gridCol w:w="1456"/>
        <w:gridCol w:w="1062"/>
        <w:gridCol w:w="1400"/>
        <w:gridCol w:w="1119"/>
        <w:gridCol w:w="1120"/>
      </w:tblGrid>
      <w:tr w:rsidR="006C0982" w:rsidRPr="00EA7932" w14:paraId="6EC6F5F7" w14:textId="77777777" w:rsidTr="00EA7932">
        <w:trPr>
          <w:trHeight w:val="464"/>
        </w:trPr>
        <w:tc>
          <w:tcPr>
            <w:tcW w:w="1819" w:type="dxa"/>
            <w:vMerge w:val="restart"/>
            <w:shd w:val="clear" w:color="000000" w:fill="FFFFFF"/>
            <w:vAlign w:val="center"/>
            <w:hideMark/>
          </w:tcPr>
          <w:p w14:paraId="23FC22C3"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Cont de  evidenţă  a imobilizărilor necorporale și corporale</w:t>
            </w:r>
          </w:p>
        </w:tc>
        <w:tc>
          <w:tcPr>
            <w:tcW w:w="2716" w:type="dxa"/>
            <w:gridSpan w:val="2"/>
            <w:shd w:val="clear" w:color="000000" w:fill="FFFFFF"/>
            <w:vAlign w:val="center"/>
            <w:hideMark/>
          </w:tcPr>
          <w:p w14:paraId="1ACE474B" w14:textId="070D80C0" w:rsidR="00B8047C" w:rsidRPr="00EA7932" w:rsidRDefault="006C0982"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Valoarea totală a imobilizărilor la 31.12.2021</w:t>
            </w:r>
            <w:r w:rsidR="00EA7932" w:rsidRPr="00EA7932">
              <w:rPr>
                <w:rFonts w:ascii="Calibri Light" w:eastAsia="Times New Roman" w:hAnsi="Calibri Light" w:cs="Calibri Light"/>
                <w:b/>
                <w:bCs/>
                <w:color w:val="000000"/>
                <w:sz w:val="20"/>
                <w:szCs w:val="20"/>
              </w:rPr>
              <w:t xml:space="preserve"> </w:t>
            </w:r>
          </w:p>
        </w:tc>
        <w:tc>
          <w:tcPr>
            <w:tcW w:w="2462" w:type="dxa"/>
            <w:gridSpan w:val="2"/>
            <w:shd w:val="clear" w:color="000000" w:fill="FFFFFF"/>
            <w:vAlign w:val="center"/>
            <w:hideMark/>
          </w:tcPr>
          <w:p w14:paraId="7691C16A" w14:textId="6CBABD4C" w:rsidR="00B8047C" w:rsidRPr="00EA7932" w:rsidRDefault="006C0982"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Valoarea imobilizărilor amortizate integral la 31.12.2021</w:t>
            </w:r>
            <w:r w:rsidR="00EA7932" w:rsidRPr="00EA7932">
              <w:rPr>
                <w:rFonts w:ascii="Calibri Light" w:eastAsia="Times New Roman" w:hAnsi="Calibri Light" w:cs="Calibri Light"/>
                <w:b/>
                <w:bCs/>
                <w:color w:val="000000"/>
                <w:sz w:val="20"/>
                <w:szCs w:val="20"/>
              </w:rPr>
              <w:t xml:space="preserve"> </w:t>
            </w:r>
          </w:p>
        </w:tc>
        <w:tc>
          <w:tcPr>
            <w:tcW w:w="2239" w:type="dxa"/>
            <w:gridSpan w:val="2"/>
            <w:shd w:val="clear" w:color="auto" w:fill="auto"/>
            <w:vAlign w:val="center"/>
            <w:hideMark/>
          </w:tcPr>
          <w:p w14:paraId="50B5F00D" w14:textId="76E8688F" w:rsidR="00B8047C" w:rsidRPr="00EA7932" w:rsidRDefault="006C0982"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Bunurile care se utilizează în activitate</w:t>
            </w:r>
            <w:r w:rsidR="00EA7932" w:rsidRPr="00EA7932">
              <w:rPr>
                <w:rFonts w:ascii="Calibri Light" w:eastAsia="Times New Roman" w:hAnsi="Calibri Light" w:cs="Calibri Light"/>
                <w:b/>
                <w:bCs/>
                <w:color w:val="000000"/>
                <w:sz w:val="20"/>
                <w:szCs w:val="20"/>
              </w:rPr>
              <w:t xml:space="preserve"> </w:t>
            </w:r>
          </w:p>
        </w:tc>
      </w:tr>
      <w:tr w:rsidR="00B8047C" w:rsidRPr="00EA7932" w14:paraId="52939D16" w14:textId="77777777" w:rsidTr="00EA7932">
        <w:trPr>
          <w:trHeight w:val="168"/>
        </w:trPr>
        <w:tc>
          <w:tcPr>
            <w:tcW w:w="1819" w:type="dxa"/>
            <w:vMerge/>
            <w:vAlign w:val="center"/>
            <w:hideMark/>
          </w:tcPr>
          <w:p w14:paraId="61D6FD5D" w14:textId="77777777" w:rsidR="006C0982" w:rsidRPr="00EA7932" w:rsidRDefault="006C0982" w:rsidP="006C0982">
            <w:pPr>
              <w:spacing w:after="0" w:line="240" w:lineRule="auto"/>
              <w:rPr>
                <w:rFonts w:ascii="Calibri Light" w:eastAsia="Times New Roman" w:hAnsi="Calibri Light" w:cs="Calibri Light"/>
                <w:b/>
                <w:bCs/>
                <w:color w:val="000000"/>
                <w:sz w:val="20"/>
                <w:szCs w:val="20"/>
              </w:rPr>
            </w:pPr>
          </w:p>
        </w:tc>
        <w:tc>
          <w:tcPr>
            <w:tcW w:w="1260" w:type="dxa"/>
            <w:shd w:val="clear" w:color="000000" w:fill="FFFFFF"/>
            <w:vAlign w:val="center"/>
            <w:hideMark/>
          </w:tcPr>
          <w:p w14:paraId="0FC2C3B6"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Unit.</w:t>
            </w:r>
          </w:p>
        </w:tc>
        <w:tc>
          <w:tcPr>
            <w:tcW w:w="1456" w:type="dxa"/>
            <w:shd w:val="clear" w:color="auto" w:fill="auto"/>
            <w:noWrap/>
            <w:vAlign w:val="center"/>
            <w:hideMark/>
          </w:tcPr>
          <w:p w14:paraId="3DDAD850"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c>
          <w:tcPr>
            <w:tcW w:w="1062" w:type="dxa"/>
            <w:shd w:val="clear" w:color="000000" w:fill="FFFFFF"/>
            <w:vAlign w:val="center"/>
            <w:hideMark/>
          </w:tcPr>
          <w:p w14:paraId="0FA93B93"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Unit.</w:t>
            </w:r>
          </w:p>
        </w:tc>
        <w:tc>
          <w:tcPr>
            <w:tcW w:w="1400" w:type="dxa"/>
            <w:shd w:val="clear" w:color="auto" w:fill="auto"/>
            <w:noWrap/>
            <w:vAlign w:val="center"/>
            <w:hideMark/>
          </w:tcPr>
          <w:p w14:paraId="6A5F26F4"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c>
          <w:tcPr>
            <w:tcW w:w="1119" w:type="dxa"/>
            <w:shd w:val="clear" w:color="auto" w:fill="auto"/>
            <w:vAlign w:val="center"/>
            <w:hideMark/>
          </w:tcPr>
          <w:p w14:paraId="5F665374" w14:textId="5E6F4906" w:rsidR="006C0982" w:rsidRPr="00EA7932" w:rsidRDefault="00FA49BB" w:rsidP="006C0982">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U</w:t>
            </w:r>
            <w:r w:rsidR="006C0982" w:rsidRPr="00EA7932">
              <w:rPr>
                <w:rFonts w:ascii="Calibri Light" w:eastAsia="Times New Roman" w:hAnsi="Calibri Light" w:cs="Calibri Light"/>
                <w:b/>
                <w:bCs/>
                <w:color w:val="000000"/>
                <w:sz w:val="20"/>
                <w:szCs w:val="20"/>
              </w:rPr>
              <w:t>nit.</w:t>
            </w:r>
          </w:p>
        </w:tc>
        <w:tc>
          <w:tcPr>
            <w:tcW w:w="1119" w:type="dxa"/>
            <w:shd w:val="clear" w:color="auto" w:fill="auto"/>
            <w:noWrap/>
            <w:vAlign w:val="center"/>
            <w:hideMark/>
          </w:tcPr>
          <w:p w14:paraId="739C69CC"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Suma</w:t>
            </w:r>
          </w:p>
        </w:tc>
      </w:tr>
      <w:tr w:rsidR="00B8047C" w:rsidRPr="00EA7932" w14:paraId="54C0774F" w14:textId="77777777" w:rsidTr="00EA7932">
        <w:trPr>
          <w:trHeight w:val="208"/>
        </w:trPr>
        <w:tc>
          <w:tcPr>
            <w:tcW w:w="1819" w:type="dxa"/>
            <w:shd w:val="clear" w:color="000000" w:fill="FFFFFF"/>
            <w:vAlign w:val="center"/>
            <w:hideMark/>
          </w:tcPr>
          <w:p w14:paraId="03FE3714"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112.4</w:t>
            </w:r>
          </w:p>
        </w:tc>
        <w:tc>
          <w:tcPr>
            <w:tcW w:w="1260" w:type="dxa"/>
            <w:shd w:val="clear" w:color="000000" w:fill="FFFFFF"/>
            <w:vAlign w:val="center"/>
            <w:hideMark/>
          </w:tcPr>
          <w:p w14:paraId="4A93A4D3"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456" w:type="dxa"/>
            <w:shd w:val="clear" w:color="auto" w:fill="auto"/>
            <w:noWrap/>
            <w:vAlign w:val="center"/>
            <w:hideMark/>
          </w:tcPr>
          <w:p w14:paraId="1D271316"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6,33</w:t>
            </w:r>
          </w:p>
        </w:tc>
        <w:tc>
          <w:tcPr>
            <w:tcW w:w="1062" w:type="dxa"/>
            <w:shd w:val="clear" w:color="000000" w:fill="FFFFFF"/>
            <w:vAlign w:val="center"/>
            <w:hideMark/>
          </w:tcPr>
          <w:p w14:paraId="7F140410"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w:t>
            </w:r>
          </w:p>
        </w:tc>
        <w:tc>
          <w:tcPr>
            <w:tcW w:w="1400" w:type="dxa"/>
            <w:shd w:val="clear" w:color="auto" w:fill="auto"/>
            <w:noWrap/>
            <w:vAlign w:val="center"/>
            <w:hideMark/>
          </w:tcPr>
          <w:p w14:paraId="3DECC82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6,33</w:t>
            </w:r>
          </w:p>
        </w:tc>
        <w:tc>
          <w:tcPr>
            <w:tcW w:w="1119" w:type="dxa"/>
            <w:shd w:val="clear" w:color="000000" w:fill="FFFFFF"/>
            <w:vAlign w:val="center"/>
            <w:hideMark/>
          </w:tcPr>
          <w:p w14:paraId="3FC87BF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119" w:type="dxa"/>
            <w:shd w:val="clear" w:color="auto" w:fill="auto"/>
            <w:noWrap/>
            <w:vAlign w:val="center"/>
            <w:hideMark/>
          </w:tcPr>
          <w:p w14:paraId="09491BE9"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6,33</w:t>
            </w:r>
          </w:p>
        </w:tc>
      </w:tr>
      <w:tr w:rsidR="00B8047C" w:rsidRPr="00EA7932" w14:paraId="01A8E456" w14:textId="77777777" w:rsidTr="00EA7932">
        <w:trPr>
          <w:trHeight w:val="208"/>
        </w:trPr>
        <w:tc>
          <w:tcPr>
            <w:tcW w:w="1819" w:type="dxa"/>
            <w:shd w:val="clear" w:color="000000" w:fill="FFFFFF"/>
            <w:vAlign w:val="center"/>
            <w:hideMark/>
          </w:tcPr>
          <w:p w14:paraId="76ADFE58"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112.5</w:t>
            </w:r>
          </w:p>
        </w:tc>
        <w:tc>
          <w:tcPr>
            <w:tcW w:w="1260" w:type="dxa"/>
            <w:shd w:val="clear" w:color="000000" w:fill="FFFFFF"/>
            <w:vAlign w:val="center"/>
            <w:hideMark/>
          </w:tcPr>
          <w:p w14:paraId="0C035E59"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w:t>
            </w:r>
          </w:p>
        </w:tc>
        <w:tc>
          <w:tcPr>
            <w:tcW w:w="1456" w:type="dxa"/>
            <w:shd w:val="clear" w:color="000000" w:fill="FFFFFF"/>
            <w:noWrap/>
            <w:vAlign w:val="center"/>
            <w:hideMark/>
          </w:tcPr>
          <w:p w14:paraId="784730D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1.354,36</w:t>
            </w:r>
          </w:p>
        </w:tc>
        <w:tc>
          <w:tcPr>
            <w:tcW w:w="1062" w:type="dxa"/>
            <w:shd w:val="clear" w:color="000000" w:fill="FFFFFF"/>
            <w:vAlign w:val="center"/>
            <w:hideMark/>
          </w:tcPr>
          <w:p w14:paraId="5E2A280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w:t>
            </w:r>
          </w:p>
        </w:tc>
        <w:tc>
          <w:tcPr>
            <w:tcW w:w="1400" w:type="dxa"/>
            <w:shd w:val="clear" w:color="000000" w:fill="FFFFFF"/>
            <w:vAlign w:val="center"/>
            <w:hideMark/>
          </w:tcPr>
          <w:p w14:paraId="124FB3E0"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52,25</w:t>
            </w:r>
          </w:p>
        </w:tc>
        <w:tc>
          <w:tcPr>
            <w:tcW w:w="1119" w:type="dxa"/>
            <w:shd w:val="clear" w:color="000000" w:fill="FFFFFF"/>
            <w:vAlign w:val="center"/>
            <w:hideMark/>
          </w:tcPr>
          <w:p w14:paraId="16B4457C"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w:t>
            </w:r>
          </w:p>
        </w:tc>
        <w:tc>
          <w:tcPr>
            <w:tcW w:w="1119" w:type="dxa"/>
            <w:shd w:val="clear" w:color="000000" w:fill="FFFFFF"/>
            <w:vAlign w:val="center"/>
            <w:hideMark/>
          </w:tcPr>
          <w:p w14:paraId="1CDA66DD"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52,25</w:t>
            </w:r>
          </w:p>
        </w:tc>
      </w:tr>
      <w:tr w:rsidR="00B8047C" w:rsidRPr="00EA7932" w14:paraId="7117C490" w14:textId="77777777" w:rsidTr="00EA7932">
        <w:trPr>
          <w:trHeight w:val="208"/>
        </w:trPr>
        <w:tc>
          <w:tcPr>
            <w:tcW w:w="1819" w:type="dxa"/>
            <w:shd w:val="clear" w:color="000000" w:fill="FFFFFF"/>
            <w:vAlign w:val="center"/>
            <w:hideMark/>
          </w:tcPr>
          <w:p w14:paraId="474C659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112.9</w:t>
            </w:r>
          </w:p>
        </w:tc>
        <w:tc>
          <w:tcPr>
            <w:tcW w:w="1260" w:type="dxa"/>
            <w:shd w:val="clear" w:color="000000" w:fill="FFFFFF"/>
            <w:vAlign w:val="center"/>
            <w:hideMark/>
          </w:tcPr>
          <w:p w14:paraId="58E36F4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w:t>
            </w:r>
          </w:p>
        </w:tc>
        <w:tc>
          <w:tcPr>
            <w:tcW w:w="1456" w:type="dxa"/>
            <w:shd w:val="clear" w:color="000000" w:fill="FFFFFF"/>
            <w:noWrap/>
            <w:vAlign w:val="center"/>
            <w:hideMark/>
          </w:tcPr>
          <w:p w14:paraId="28321A3E"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111,88</w:t>
            </w:r>
          </w:p>
        </w:tc>
        <w:tc>
          <w:tcPr>
            <w:tcW w:w="1062" w:type="dxa"/>
            <w:shd w:val="clear" w:color="000000" w:fill="FFFFFF"/>
            <w:vAlign w:val="center"/>
            <w:hideMark/>
          </w:tcPr>
          <w:p w14:paraId="25258F9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400" w:type="dxa"/>
            <w:shd w:val="clear" w:color="000000" w:fill="FFFFFF"/>
            <w:vAlign w:val="center"/>
            <w:hideMark/>
          </w:tcPr>
          <w:p w14:paraId="2D038B19"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79,60</w:t>
            </w:r>
          </w:p>
        </w:tc>
        <w:tc>
          <w:tcPr>
            <w:tcW w:w="1119" w:type="dxa"/>
            <w:shd w:val="clear" w:color="000000" w:fill="FFFFFF"/>
            <w:vAlign w:val="center"/>
            <w:hideMark/>
          </w:tcPr>
          <w:p w14:paraId="7BFC0AB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119" w:type="dxa"/>
            <w:shd w:val="clear" w:color="000000" w:fill="FFFFFF"/>
            <w:vAlign w:val="center"/>
            <w:hideMark/>
          </w:tcPr>
          <w:p w14:paraId="0F34A12C"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79,60</w:t>
            </w:r>
          </w:p>
        </w:tc>
      </w:tr>
      <w:tr w:rsidR="00B8047C" w:rsidRPr="00EA7932" w14:paraId="1D743976" w14:textId="77777777" w:rsidTr="00EA7932">
        <w:trPr>
          <w:trHeight w:val="208"/>
        </w:trPr>
        <w:tc>
          <w:tcPr>
            <w:tcW w:w="1819" w:type="dxa"/>
            <w:shd w:val="clear" w:color="000000" w:fill="F2F2F2"/>
            <w:noWrap/>
            <w:vAlign w:val="center"/>
            <w:hideMark/>
          </w:tcPr>
          <w:p w14:paraId="37DCAF44" w14:textId="6E514C82"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Total imobilizări neco</w:t>
            </w:r>
            <w:r w:rsidR="00FA49BB">
              <w:rPr>
                <w:rFonts w:ascii="Calibri Light" w:eastAsia="Times New Roman" w:hAnsi="Calibri Light" w:cs="Calibri Light"/>
                <w:b/>
                <w:bCs/>
                <w:color w:val="000000"/>
                <w:sz w:val="20"/>
                <w:szCs w:val="20"/>
              </w:rPr>
              <w:t>rp</w:t>
            </w:r>
            <w:r w:rsidRPr="00EA7932">
              <w:rPr>
                <w:rFonts w:ascii="Calibri Light" w:eastAsia="Times New Roman" w:hAnsi="Calibri Light" w:cs="Calibri Light"/>
                <w:b/>
                <w:bCs/>
                <w:color w:val="000000"/>
                <w:sz w:val="20"/>
                <w:szCs w:val="20"/>
              </w:rPr>
              <w:t>orale</w:t>
            </w:r>
          </w:p>
        </w:tc>
        <w:tc>
          <w:tcPr>
            <w:tcW w:w="1260" w:type="dxa"/>
            <w:shd w:val="clear" w:color="000000" w:fill="F2F2F2"/>
            <w:vAlign w:val="center"/>
            <w:hideMark/>
          </w:tcPr>
          <w:p w14:paraId="283C8D5C"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15</w:t>
            </w:r>
          </w:p>
        </w:tc>
        <w:tc>
          <w:tcPr>
            <w:tcW w:w="1456" w:type="dxa"/>
            <w:shd w:val="clear" w:color="000000" w:fill="F2F2F2"/>
            <w:vAlign w:val="center"/>
            <w:hideMark/>
          </w:tcPr>
          <w:p w14:paraId="3607CB1A"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1.472,57</w:t>
            </w:r>
          </w:p>
        </w:tc>
        <w:tc>
          <w:tcPr>
            <w:tcW w:w="1062" w:type="dxa"/>
            <w:shd w:val="clear" w:color="000000" w:fill="F2F2F2"/>
            <w:vAlign w:val="center"/>
            <w:hideMark/>
          </w:tcPr>
          <w:p w14:paraId="640785A0"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w:t>
            </w:r>
          </w:p>
        </w:tc>
        <w:tc>
          <w:tcPr>
            <w:tcW w:w="1400" w:type="dxa"/>
            <w:shd w:val="clear" w:color="000000" w:fill="F2F2F2"/>
            <w:vAlign w:val="center"/>
            <w:hideMark/>
          </w:tcPr>
          <w:p w14:paraId="0F9E3B85"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138,18</w:t>
            </w:r>
          </w:p>
        </w:tc>
        <w:tc>
          <w:tcPr>
            <w:tcW w:w="1119" w:type="dxa"/>
            <w:shd w:val="clear" w:color="000000" w:fill="F2F2F2"/>
            <w:vAlign w:val="center"/>
            <w:hideMark/>
          </w:tcPr>
          <w:p w14:paraId="445E227A"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w:t>
            </w:r>
          </w:p>
        </w:tc>
        <w:tc>
          <w:tcPr>
            <w:tcW w:w="1119" w:type="dxa"/>
            <w:shd w:val="clear" w:color="000000" w:fill="F2F2F2"/>
            <w:vAlign w:val="center"/>
            <w:hideMark/>
          </w:tcPr>
          <w:p w14:paraId="6A5D6EE5"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138,18</w:t>
            </w:r>
          </w:p>
        </w:tc>
      </w:tr>
      <w:tr w:rsidR="00B8047C" w:rsidRPr="00EA7932" w14:paraId="7A94EB7C" w14:textId="77777777" w:rsidTr="00EA7932">
        <w:trPr>
          <w:trHeight w:val="208"/>
        </w:trPr>
        <w:tc>
          <w:tcPr>
            <w:tcW w:w="1819" w:type="dxa"/>
            <w:shd w:val="clear" w:color="000000" w:fill="FFFFFF"/>
            <w:vAlign w:val="center"/>
            <w:hideMark/>
          </w:tcPr>
          <w:p w14:paraId="0ECD176C"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w:t>
            </w:r>
          </w:p>
        </w:tc>
        <w:tc>
          <w:tcPr>
            <w:tcW w:w="1260" w:type="dxa"/>
            <w:shd w:val="clear" w:color="000000" w:fill="FFFFFF"/>
            <w:vAlign w:val="center"/>
            <w:hideMark/>
          </w:tcPr>
          <w:p w14:paraId="6D083C82"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131</w:t>
            </w:r>
          </w:p>
        </w:tc>
        <w:tc>
          <w:tcPr>
            <w:tcW w:w="1456" w:type="dxa"/>
            <w:shd w:val="clear" w:color="000000" w:fill="FFFFFF"/>
            <w:noWrap/>
            <w:vAlign w:val="center"/>
            <w:hideMark/>
          </w:tcPr>
          <w:p w14:paraId="700642D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1.751,91</w:t>
            </w:r>
          </w:p>
        </w:tc>
        <w:tc>
          <w:tcPr>
            <w:tcW w:w="1062" w:type="dxa"/>
            <w:shd w:val="clear" w:color="auto" w:fill="auto"/>
            <w:noWrap/>
            <w:vAlign w:val="center"/>
            <w:hideMark/>
          </w:tcPr>
          <w:p w14:paraId="3B3FC0AC"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69</w:t>
            </w:r>
          </w:p>
        </w:tc>
        <w:tc>
          <w:tcPr>
            <w:tcW w:w="1400" w:type="dxa"/>
            <w:shd w:val="clear" w:color="auto" w:fill="auto"/>
            <w:noWrap/>
            <w:vAlign w:val="center"/>
            <w:hideMark/>
          </w:tcPr>
          <w:p w14:paraId="17CF5CB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869,21</w:t>
            </w:r>
          </w:p>
        </w:tc>
        <w:tc>
          <w:tcPr>
            <w:tcW w:w="1119" w:type="dxa"/>
            <w:shd w:val="clear" w:color="auto" w:fill="auto"/>
            <w:noWrap/>
            <w:vAlign w:val="center"/>
            <w:hideMark/>
          </w:tcPr>
          <w:p w14:paraId="09252809"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w:t>
            </w:r>
          </w:p>
        </w:tc>
        <w:tc>
          <w:tcPr>
            <w:tcW w:w="1119" w:type="dxa"/>
            <w:shd w:val="clear" w:color="auto" w:fill="auto"/>
            <w:noWrap/>
            <w:vAlign w:val="center"/>
            <w:hideMark/>
          </w:tcPr>
          <w:p w14:paraId="717D9A4A"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380,51</w:t>
            </w:r>
          </w:p>
        </w:tc>
      </w:tr>
      <w:tr w:rsidR="00B8047C" w:rsidRPr="00EA7932" w14:paraId="7BD43945" w14:textId="77777777" w:rsidTr="00EA7932">
        <w:trPr>
          <w:trHeight w:val="208"/>
        </w:trPr>
        <w:tc>
          <w:tcPr>
            <w:tcW w:w="1819" w:type="dxa"/>
            <w:shd w:val="clear" w:color="000000" w:fill="FFFFFF"/>
            <w:vAlign w:val="center"/>
            <w:hideMark/>
          </w:tcPr>
          <w:p w14:paraId="3E1AF5C0"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123.4</w:t>
            </w:r>
          </w:p>
        </w:tc>
        <w:tc>
          <w:tcPr>
            <w:tcW w:w="1260" w:type="dxa"/>
            <w:shd w:val="clear" w:color="000000" w:fill="FFFFFF"/>
            <w:vAlign w:val="center"/>
            <w:hideMark/>
          </w:tcPr>
          <w:p w14:paraId="2B528A69"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456" w:type="dxa"/>
            <w:shd w:val="clear" w:color="000000" w:fill="FFFFFF"/>
            <w:noWrap/>
            <w:vAlign w:val="center"/>
            <w:hideMark/>
          </w:tcPr>
          <w:p w14:paraId="1894B8C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529,47</w:t>
            </w:r>
          </w:p>
        </w:tc>
        <w:tc>
          <w:tcPr>
            <w:tcW w:w="1062" w:type="dxa"/>
            <w:shd w:val="clear" w:color="000000" w:fill="FFFFFF"/>
            <w:vAlign w:val="center"/>
            <w:hideMark/>
          </w:tcPr>
          <w:p w14:paraId="1C82AECC"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1400" w:type="dxa"/>
            <w:shd w:val="clear" w:color="000000" w:fill="FFFFFF"/>
            <w:vAlign w:val="center"/>
            <w:hideMark/>
          </w:tcPr>
          <w:p w14:paraId="5C789A87"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1119" w:type="dxa"/>
            <w:shd w:val="clear" w:color="auto" w:fill="auto"/>
            <w:noWrap/>
            <w:vAlign w:val="center"/>
            <w:hideMark/>
          </w:tcPr>
          <w:p w14:paraId="19CD25C1"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1119" w:type="dxa"/>
            <w:shd w:val="clear" w:color="000000" w:fill="FFFFFF"/>
            <w:vAlign w:val="center"/>
            <w:hideMark/>
          </w:tcPr>
          <w:p w14:paraId="6E2E287D"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r>
      <w:tr w:rsidR="00B8047C" w:rsidRPr="00EA7932" w14:paraId="6CC82312" w14:textId="77777777" w:rsidTr="00EA7932">
        <w:trPr>
          <w:trHeight w:val="208"/>
        </w:trPr>
        <w:tc>
          <w:tcPr>
            <w:tcW w:w="1819" w:type="dxa"/>
            <w:shd w:val="clear" w:color="000000" w:fill="FFFFFF"/>
            <w:vAlign w:val="center"/>
            <w:hideMark/>
          </w:tcPr>
          <w:p w14:paraId="17A601A2"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123.9</w:t>
            </w:r>
          </w:p>
        </w:tc>
        <w:tc>
          <w:tcPr>
            <w:tcW w:w="1260" w:type="dxa"/>
            <w:shd w:val="clear" w:color="000000" w:fill="FFFFFF"/>
            <w:vAlign w:val="center"/>
            <w:hideMark/>
          </w:tcPr>
          <w:p w14:paraId="5699572D"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28</w:t>
            </w:r>
          </w:p>
        </w:tc>
        <w:tc>
          <w:tcPr>
            <w:tcW w:w="1456" w:type="dxa"/>
            <w:shd w:val="clear" w:color="000000" w:fill="FFFFFF"/>
            <w:noWrap/>
            <w:vAlign w:val="center"/>
            <w:hideMark/>
          </w:tcPr>
          <w:p w14:paraId="53B24372"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136,31</w:t>
            </w:r>
          </w:p>
        </w:tc>
        <w:tc>
          <w:tcPr>
            <w:tcW w:w="1062" w:type="dxa"/>
            <w:shd w:val="clear" w:color="000000" w:fill="FFFFFF"/>
            <w:vAlign w:val="center"/>
            <w:hideMark/>
          </w:tcPr>
          <w:p w14:paraId="78D24E0B"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26</w:t>
            </w:r>
          </w:p>
        </w:tc>
        <w:tc>
          <w:tcPr>
            <w:tcW w:w="1400" w:type="dxa"/>
            <w:shd w:val="clear" w:color="000000" w:fill="FFFFFF"/>
            <w:vAlign w:val="center"/>
            <w:hideMark/>
          </w:tcPr>
          <w:p w14:paraId="3708EFD6"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110,18</w:t>
            </w:r>
          </w:p>
        </w:tc>
        <w:tc>
          <w:tcPr>
            <w:tcW w:w="1119" w:type="dxa"/>
            <w:shd w:val="clear" w:color="auto" w:fill="auto"/>
            <w:noWrap/>
            <w:vAlign w:val="center"/>
            <w:hideMark/>
          </w:tcPr>
          <w:p w14:paraId="6CE5B7AF"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1119" w:type="dxa"/>
            <w:shd w:val="clear" w:color="auto" w:fill="auto"/>
            <w:noWrap/>
            <w:vAlign w:val="center"/>
            <w:hideMark/>
          </w:tcPr>
          <w:p w14:paraId="43C4B7B3" w14:textId="77777777" w:rsidR="006C0982" w:rsidRPr="00EA7932" w:rsidRDefault="006C0982" w:rsidP="006C0982">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r>
      <w:tr w:rsidR="00B8047C" w:rsidRPr="00EA7932" w14:paraId="56B01429" w14:textId="77777777" w:rsidTr="00EA7932">
        <w:trPr>
          <w:trHeight w:val="208"/>
        </w:trPr>
        <w:tc>
          <w:tcPr>
            <w:tcW w:w="1819" w:type="dxa"/>
            <w:shd w:val="clear" w:color="000000" w:fill="F2F2F2"/>
            <w:noWrap/>
            <w:vAlign w:val="center"/>
            <w:hideMark/>
          </w:tcPr>
          <w:p w14:paraId="54F64999"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Total imobilizări corporale</w:t>
            </w:r>
          </w:p>
        </w:tc>
        <w:tc>
          <w:tcPr>
            <w:tcW w:w="1260" w:type="dxa"/>
            <w:shd w:val="clear" w:color="000000" w:fill="F2F2F2"/>
            <w:noWrap/>
            <w:vAlign w:val="center"/>
            <w:hideMark/>
          </w:tcPr>
          <w:p w14:paraId="07724754"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160</w:t>
            </w:r>
          </w:p>
        </w:tc>
        <w:tc>
          <w:tcPr>
            <w:tcW w:w="1456" w:type="dxa"/>
            <w:shd w:val="clear" w:color="000000" w:fill="F2F2F2"/>
            <w:noWrap/>
            <w:vAlign w:val="center"/>
            <w:hideMark/>
          </w:tcPr>
          <w:p w14:paraId="462725B3"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2.417,69</w:t>
            </w:r>
          </w:p>
        </w:tc>
        <w:tc>
          <w:tcPr>
            <w:tcW w:w="1062" w:type="dxa"/>
            <w:shd w:val="clear" w:color="000000" w:fill="F2F2F2"/>
            <w:noWrap/>
            <w:vAlign w:val="center"/>
            <w:hideMark/>
          </w:tcPr>
          <w:p w14:paraId="66DE291B"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95</w:t>
            </w:r>
          </w:p>
        </w:tc>
        <w:tc>
          <w:tcPr>
            <w:tcW w:w="1400" w:type="dxa"/>
            <w:shd w:val="clear" w:color="000000" w:fill="F2F2F2"/>
            <w:noWrap/>
            <w:vAlign w:val="center"/>
            <w:hideMark/>
          </w:tcPr>
          <w:p w14:paraId="73DBCBEB"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979,39</w:t>
            </w:r>
          </w:p>
        </w:tc>
        <w:tc>
          <w:tcPr>
            <w:tcW w:w="1119" w:type="dxa"/>
            <w:shd w:val="clear" w:color="000000" w:fill="F2F2F2"/>
            <w:noWrap/>
            <w:vAlign w:val="center"/>
            <w:hideMark/>
          </w:tcPr>
          <w:p w14:paraId="522AF1C7"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29</w:t>
            </w:r>
          </w:p>
        </w:tc>
        <w:tc>
          <w:tcPr>
            <w:tcW w:w="1119" w:type="dxa"/>
            <w:shd w:val="clear" w:color="000000" w:fill="F2F2F2"/>
            <w:noWrap/>
            <w:vAlign w:val="center"/>
            <w:hideMark/>
          </w:tcPr>
          <w:p w14:paraId="548A3F6D"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380,51</w:t>
            </w:r>
          </w:p>
        </w:tc>
      </w:tr>
      <w:tr w:rsidR="00B8047C" w:rsidRPr="00EA7932" w14:paraId="2B9D8237" w14:textId="77777777" w:rsidTr="00EA7932">
        <w:trPr>
          <w:trHeight w:val="208"/>
        </w:trPr>
        <w:tc>
          <w:tcPr>
            <w:tcW w:w="1819" w:type="dxa"/>
            <w:shd w:val="clear" w:color="000000" w:fill="D9D9D9"/>
            <w:noWrap/>
            <w:vAlign w:val="center"/>
            <w:hideMark/>
          </w:tcPr>
          <w:p w14:paraId="3C024163" w14:textId="516FD8E3"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TOTAL</w:t>
            </w:r>
            <w:r w:rsidR="00FA49BB">
              <w:rPr>
                <w:rFonts w:ascii="Calibri Light" w:eastAsia="Times New Roman" w:hAnsi="Calibri Light" w:cs="Calibri Light"/>
                <w:b/>
                <w:bCs/>
                <w:color w:val="000000"/>
                <w:sz w:val="20"/>
                <w:szCs w:val="20"/>
              </w:rPr>
              <w:t>,</w:t>
            </w:r>
            <w:r w:rsidRPr="00EA7932">
              <w:rPr>
                <w:rFonts w:ascii="Calibri Light" w:eastAsia="Times New Roman" w:hAnsi="Calibri Light" w:cs="Calibri Light"/>
                <w:b/>
                <w:bCs/>
                <w:color w:val="000000"/>
                <w:sz w:val="20"/>
                <w:szCs w:val="20"/>
              </w:rPr>
              <w:t xml:space="preserve"> Imobilizări</w:t>
            </w:r>
          </w:p>
        </w:tc>
        <w:tc>
          <w:tcPr>
            <w:tcW w:w="1260" w:type="dxa"/>
            <w:shd w:val="clear" w:color="000000" w:fill="D9D9D9"/>
            <w:noWrap/>
            <w:vAlign w:val="center"/>
            <w:hideMark/>
          </w:tcPr>
          <w:p w14:paraId="3D933A4C"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175</w:t>
            </w:r>
          </w:p>
        </w:tc>
        <w:tc>
          <w:tcPr>
            <w:tcW w:w="1456" w:type="dxa"/>
            <w:shd w:val="clear" w:color="000000" w:fill="D9D9D9"/>
            <w:noWrap/>
            <w:vAlign w:val="center"/>
            <w:hideMark/>
          </w:tcPr>
          <w:p w14:paraId="54304C73"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3.890,26</w:t>
            </w:r>
          </w:p>
        </w:tc>
        <w:tc>
          <w:tcPr>
            <w:tcW w:w="1062" w:type="dxa"/>
            <w:shd w:val="clear" w:color="000000" w:fill="D9D9D9"/>
            <w:noWrap/>
            <w:vAlign w:val="center"/>
            <w:hideMark/>
          </w:tcPr>
          <w:p w14:paraId="5BF1C59F"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99</w:t>
            </w:r>
          </w:p>
        </w:tc>
        <w:tc>
          <w:tcPr>
            <w:tcW w:w="1400" w:type="dxa"/>
            <w:shd w:val="clear" w:color="000000" w:fill="D9D9D9"/>
            <w:noWrap/>
            <w:vAlign w:val="center"/>
            <w:hideMark/>
          </w:tcPr>
          <w:p w14:paraId="6537498A"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1.117,57</w:t>
            </w:r>
          </w:p>
        </w:tc>
        <w:tc>
          <w:tcPr>
            <w:tcW w:w="1119" w:type="dxa"/>
            <w:shd w:val="clear" w:color="000000" w:fill="D9D9D9"/>
            <w:noWrap/>
            <w:vAlign w:val="center"/>
            <w:hideMark/>
          </w:tcPr>
          <w:p w14:paraId="150D18BD"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33</w:t>
            </w:r>
          </w:p>
        </w:tc>
        <w:tc>
          <w:tcPr>
            <w:tcW w:w="1119" w:type="dxa"/>
            <w:shd w:val="clear" w:color="000000" w:fill="D9D9D9"/>
            <w:noWrap/>
            <w:vAlign w:val="center"/>
            <w:hideMark/>
          </w:tcPr>
          <w:p w14:paraId="327AC9D3" w14:textId="77777777" w:rsidR="006C0982" w:rsidRPr="00EA7932" w:rsidRDefault="006C0982" w:rsidP="006C098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518,69</w:t>
            </w:r>
          </w:p>
        </w:tc>
      </w:tr>
    </w:tbl>
    <w:p w14:paraId="5DED1DCC" w14:textId="0EB6A5E0" w:rsidR="001F5E54" w:rsidRPr="00EA7932" w:rsidRDefault="001F5E54" w:rsidP="001F5E54">
      <w:pPr>
        <w:spacing w:after="0" w:line="240" w:lineRule="auto"/>
        <w:jc w:val="both"/>
        <w:rPr>
          <w:rFonts w:asciiTheme="majorHAnsi" w:eastAsia="Times New Roman" w:hAnsiTheme="majorHAnsi" w:cstheme="majorHAnsi"/>
          <w:b/>
          <w:bCs/>
          <w:color w:val="000000"/>
          <w:sz w:val="20"/>
          <w:szCs w:val="20"/>
        </w:rPr>
      </w:pPr>
      <w:r w:rsidRPr="00255E9C">
        <w:rPr>
          <w:rFonts w:asciiTheme="majorHAnsi" w:eastAsia="Times New Roman" w:hAnsiTheme="majorHAnsi" w:cstheme="majorHAnsi"/>
          <w:b/>
          <w:bCs/>
          <w:i/>
          <w:color w:val="000000"/>
          <w:sz w:val="20"/>
          <w:szCs w:val="20"/>
        </w:rPr>
        <w:t>Sursă:</w:t>
      </w:r>
      <w:r w:rsidRPr="00EA7932">
        <w:rPr>
          <w:rFonts w:asciiTheme="majorHAnsi" w:eastAsia="Times New Roman" w:hAnsiTheme="majorHAnsi" w:cstheme="majorHAnsi"/>
          <w:b/>
          <w:bCs/>
          <w:i/>
          <w:iCs/>
          <w:color w:val="000000"/>
          <w:sz w:val="20"/>
          <w:szCs w:val="20"/>
        </w:rPr>
        <w:t xml:space="preserve"> </w:t>
      </w:r>
      <w:r w:rsidRPr="00EA7932">
        <w:rPr>
          <w:rFonts w:asciiTheme="majorHAnsi" w:eastAsia="Times New Roman" w:hAnsiTheme="majorHAnsi" w:cstheme="majorHAnsi"/>
          <w:bCs/>
          <w:i/>
          <w:iCs/>
          <w:color w:val="000000"/>
          <w:sz w:val="20"/>
          <w:szCs w:val="20"/>
        </w:rPr>
        <w:t>Elaborat de audit în baza raportului de solduri a</w:t>
      </w:r>
      <w:r w:rsidR="00445E48">
        <w:rPr>
          <w:rFonts w:asciiTheme="majorHAnsi" w:eastAsia="Times New Roman" w:hAnsiTheme="majorHAnsi" w:cstheme="majorHAnsi"/>
          <w:bCs/>
          <w:i/>
          <w:iCs/>
          <w:color w:val="000000"/>
          <w:sz w:val="20"/>
          <w:szCs w:val="20"/>
        </w:rPr>
        <w:t>le</w:t>
      </w:r>
      <w:r w:rsidRPr="00EA7932">
        <w:rPr>
          <w:rFonts w:asciiTheme="majorHAnsi" w:eastAsia="Times New Roman" w:hAnsiTheme="majorHAnsi" w:cstheme="majorHAnsi"/>
          <w:bCs/>
          <w:i/>
          <w:iCs/>
          <w:color w:val="000000"/>
          <w:sz w:val="20"/>
          <w:szCs w:val="20"/>
        </w:rPr>
        <w:t xml:space="preserve"> imobilizărilor la data de 31.12.2021.</w:t>
      </w:r>
    </w:p>
    <w:p w14:paraId="47372D56" w14:textId="13AF76AD" w:rsidR="00F22FA8" w:rsidRPr="00EA7932" w:rsidRDefault="00F22FA8" w:rsidP="005A1FA4">
      <w:pPr>
        <w:rPr>
          <w:rFonts w:asciiTheme="majorHAnsi" w:hAnsiTheme="majorHAnsi" w:cstheme="majorHAnsi"/>
          <w:sz w:val="24"/>
          <w:szCs w:val="24"/>
          <w:lang w:eastAsia="ro-MD"/>
        </w:rPr>
      </w:pPr>
    </w:p>
    <w:p w14:paraId="4D68958D" w14:textId="48B110DB" w:rsidR="00ED51DA" w:rsidRPr="00EA7932" w:rsidRDefault="00ED51DA" w:rsidP="005A1FA4">
      <w:pPr>
        <w:rPr>
          <w:rFonts w:asciiTheme="majorHAnsi" w:hAnsiTheme="majorHAnsi" w:cstheme="majorHAnsi"/>
          <w:sz w:val="24"/>
          <w:szCs w:val="24"/>
          <w:lang w:eastAsia="ro-MD"/>
        </w:rPr>
      </w:pPr>
      <w:r w:rsidRPr="00EA7932">
        <w:rPr>
          <w:rFonts w:asciiTheme="majorHAnsi" w:hAnsiTheme="majorHAnsi" w:cstheme="majorHAnsi"/>
          <w:sz w:val="24"/>
          <w:szCs w:val="24"/>
          <w:lang w:eastAsia="ro-MD"/>
        </w:rPr>
        <w:br w:type="page"/>
      </w:r>
    </w:p>
    <w:p w14:paraId="099582FD" w14:textId="77777777" w:rsidR="00ED51DA" w:rsidRDefault="00ED51DA" w:rsidP="005A1FA4">
      <w:pPr>
        <w:rPr>
          <w:rFonts w:asciiTheme="majorHAnsi" w:hAnsiTheme="majorHAnsi" w:cstheme="majorHAnsi"/>
          <w:sz w:val="24"/>
          <w:szCs w:val="24"/>
          <w:lang w:eastAsia="ro-MD"/>
        </w:rPr>
        <w:sectPr w:rsidR="00ED51DA" w:rsidSect="00D35492">
          <w:pgSz w:w="11906" w:h="16838" w:code="9"/>
          <w:pgMar w:top="1138" w:right="566" w:bottom="1411" w:left="1699" w:header="720" w:footer="720" w:gutter="0"/>
          <w:cols w:space="708"/>
          <w:docGrid w:linePitch="360"/>
        </w:sectPr>
      </w:pPr>
    </w:p>
    <w:p w14:paraId="4FBBA350" w14:textId="1ED4CC05" w:rsidR="00882FE7" w:rsidRPr="00882FE7" w:rsidRDefault="00882FE7" w:rsidP="00EA7932">
      <w:pPr>
        <w:pStyle w:val="Heading2"/>
        <w:spacing w:before="0" w:after="240"/>
        <w:ind w:firstLine="708"/>
        <w:rPr>
          <w:rFonts w:cstheme="majorHAnsi"/>
          <w:b/>
          <w:color w:val="00B0F0"/>
          <w:sz w:val="24"/>
          <w:szCs w:val="24"/>
          <w:lang w:val="ro-MD"/>
        </w:rPr>
      </w:pPr>
      <w:bookmarkStart w:id="148" w:name="_Toc123116725"/>
      <w:r w:rsidRPr="00882FE7">
        <w:rPr>
          <w:rFonts w:cstheme="majorHAnsi"/>
          <w:b/>
          <w:color w:val="00B0F0"/>
          <w:sz w:val="24"/>
          <w:szCs w:val="24"/>
          <w:lang w:val="ro-MD"/>
        </w:rPr>
        <w:t>Anexa nr.4. Lista mijloacelor fixe spre casare al</w:t>
      </w:r>
      <w:r w:rsidR="00445E48">
        <w:rPr>
          <w:rFonts w:cstheme="majorHAnsi"/>
          <w:b/>
          <w:color w:val="00B0F0"/>
          <w:sz w:val="24"/>
          <w:szCs w:val="24"/>
          <w:lang w:val="ro-MD"/>
        </w:rPr>
        <w:t>e</w:t>
      </w:r>
      <w:r w:rsidRPr="00882FE7">
        <w:rPr>
          <w:rFonts w:cstheme="majorHAnsi"/>
          <w:b/>
          <w:color w:val="00B0F0"/>
          <w:sz w:val="24"/>
          <w:szCs w:val="24"/>
          <w:lang w:val="ro-MD"/>
        </w:rPr>
        <w:t xml:space="preserve"> IP</w:t>
      </w:r>
      <w:r w:rsidR="00445E48">
        <w:rPr>
          <w:rFonts w:cstheme="majorHAnsi"/>
          <w:b/>
          <w:color w:val="00B0F0"/>
          <w:sz w:val="24"/>
          <w:szCs w:val="24"/>
          <w:lang w:val="ro-MD"/>
        </w:rPr>
        <w:t xml:space="preserve"> </w:t>
      </w:r>
      <w:r w:rsidRPr="00882FE7">
        <w:rPr>
          <w:rFonts w:cstheme="majorHAnsi"/>
          <w:b/>
          <w:color w:val="00B0F0"/>
          <w:sz w:val="24"/>
          <w:szCs w:val="24"/>
          <w:lang w:val="ro-MD"/>
        </w:rPr>
        <w:t xml:space="preserve">Centrul National de Acreditare </w:t>
      </w:r>
      <w:r w:rsidR="00445E48">
        <w:rPr>
          <w:rFonts w:cstheme="majorHAnsi"/>
          <w:b/>
          <w:color w:val="00B0F0"/>
          <w:sz w:val="24"/>
          <w:szCs w:val="24"/>
          <w:lang w:val="ro-MD"/>
        </w:rPr>
        <w:t>din Republica Moldova (</w:t>
      </w:r>
      <w:r w:rsidRPr="00882FE7">
        <w:rPr>
          <w:rFonts w:cstheme="majorHAnsi"/>
          <w:b/>
          <w:color w:val="00B0F0"/>
          <w:sz w:val="24"/>
          <w:szCs w:val="24"/>
          <w:lang w:val="ro-MD"/>
        </w:rPr>
        <w:t>MOLDAC</w:t>
      </w:r>
      <w:r w:rsidR="00445E48">
        <w:rPr>
          <w:rFonts w:cstheme="majorHAnsi"/>
          <w:b/>
          <w:color w:val="00B0F0"/>
          <w:sz w:val="24"/>
          <w:szCs w:val="24"/>
          <w:lang w:val="ro-MD"/>
        </w:rPr>
        <w:t>)</w:t>
      </w:r>
      <w:bookmarkEnd w:id="148"/>
    </w:p>
    <w:p w14:paraId="4BE089B5" w14:textId="4FEB0EE1" w:rsidR="008C48DD" w:rsidRPr="00255E9C" w:rsidRDefault="00882FE7" w:rsidP="00882FE7">
      <w:pPr>
        <w:jc w:val="right"/>
        <w:rPr>
          <w:rFonts w:asciiTheme="majorHAnsi" w:hAnsiTheme="majorHAnsi" w:cstheme="majorHAnsi"/>
          <w:i/>
          <w:sz w:val="24"/>
          <w:szCs w:val="24"/>
          <w:lang w:eastAsia="ro-MD"/>
        </w:rPr>
      </w:pPr>
      <w:r w:rsidRPr="00255E9C">
        <w:rPr>
          <w:rFonts w:ascii="Calibri Light" w:eastAsia="Times New Roman" w:hAnsi="Calibri Light" w:cs="Calibri Light"/>
          <w:b/>
          <w:bCs/>
          <w:i/>
          <w:color w:val="000000"/>
          <w:sz w:val="24"/>
          <w:szCs w:val="24"/>
        </w:rPr>
        <w:t>Tabelul nr.4.1.</w:t>
      </w: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946"/>
        <w:gridCol w:w="1409"/>
        <w:gridCol w:w="1450"/>
        <w:gridCol w:w="1051"/>
        <w:gridCol w:w="1202"/>
        <w:gridCol w:w="1000"/>
        <w:gridCol w:w="2124"/>
      </w:tblGrid>
      <w:tr w:rsidR="00EA7932" w:rsidRPr="00EA7932" w14:paraId="506D8139" w14:textId="77777777" w:rsidTr="00EA7932">
        <w:trPr>
          <w:trHeight w:val="231"/>
          <w:jc w:val="center"/>
        </w:trPr>
        <w:tc>
          <w:tcPr>
            <w:tcW w:w="560" w:type="dxa"/>
            <w:vMerge w:val="restart"/>
            <w:shd w:val="clear" w:color="000000" w:fill="FFFFFF"/>
            <w:vAlign w:val="center"/>
            <w:hideMark/>
          </w:tcPr>
          <w:p w14:paraId="6F29A086" w14:textId="5D36766F"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Nr</w:t>
            </w:r>
            <w:r w:rsidR="00FA49BB">
              <w:rPr>
                <w:rFonts w:ascii="Calibri Light" w:eastAsia="Times New Roman" w:hAnsi="Calibri Light" w:cs="Calibri Light"/>
                <w:b/>
                <w:bCs/>
                <w:color w:val="000000"/>
                <w:sz w:val="20"/>
                <w:szCs w:val="20"/>
              </w:rPr>
              <w:t>.</w:t>
            </w:r>
          </w:p>
          <w:p w14:paraId="2B003555"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d/o</w:t>
            </w:r>
          </w:p>
          <w:p w14:paraId="26328BAB" w14:textId="420AD313"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 </w:t>
            </w:r>
          </w:p>
        </w:tc>
        <w:tc>
          <w:tcPr>
            <w:tcW w:w="4946" w:type="dxa"/>
            <w:vMerge w:val="restart"/>
            <w:shd w:val="clear" w:color="000000" w:fill="FFFFFF"/>
            <w:vAlign w:val="center"/>
            <w:hideMark/>
          </w:tcPr>
          <w:p w14:paraId="063D7CED" w14:textId="013C462A"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Denumirea activelor/</w:t>
            </w:r>
          </w:p>
          <w:p w14:paraId="7C24D73D" w14:textId="7FEE3B1A"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imobilizărilor inventariate</w:t>
            </w:r>
          </w:p>
        </w:tc>
        <w:tc>
          <w:tcPr>
            <w:tcW w:w="8236" w:type="dxa"/>
            <w:gridSpan w:val="6"/>
            <w:shd w:val="clear" w:color="000000" w:fill="FFFFFF"/>
            <w:vAlign w:val="center"/>
            <w:hideMark/>
          </w:tcPr>
          <w:p w14:paraId="2C62413D" w14:textId="50A0D26E"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Document</w:t>
            </w:r>
            <w:r w:rsidR="00FA49BB">
              <w:rPr>
                <w:rFonts w:ascii="Calibri Light" w:eastAsia="Times New Roman" w:hAnsi="Calibri Light" w:cs="Calibri Light"/>
                <w:b/>
                <w:bCs/>
                <w:color w:val="000000"/>
                <w:sz w:val="20"/>
                <w:szCs w:val="20"/>
              </w:rPr>
              <w:t>ul</w:t>
            </w:r>
            <w:r w:rsidRPr="00EA7932">
              <w:rPr>
                <w:rFonts w:ascii="Calibri Light" w:eastAsia="Times New Roman" w:hAnsi="Calibri Light" w:cs="Calibri Light"/>
                <w:b/>
                <w:bCs/>
                <w:color w:val="000000"/>
                <w:sz w:val="20"/>
                <w:szCs w:val="20"/>
              </w:rPr>
              <w:t xml:space="preserve"> primar privind imobilizările</w:t>
            </w:r>
          </w:p>
        </w:tc>
      </w:tr>
      <w:tr w:rsidR="00EA7932" w:rsidRPr="00EA7932" w14:paraId="5B0B72C3" w14:textId="77777777" w:rsidTr="00EA7932">
        <w:trPr>
          <w:trHeight w:val="231"/>
          <w:jc w:val="center"/>
        </w:trPr>
        <w:tc>
          <w:tcPr>
            <w:tcW w:w="560" w:type="dxa"/>
            <w:vMerge/>
            <w:shd w:val="clear" w:color="000000" w:fill="FFFFFF"/>
            <w:vAlign w:val="center"/>
            <w:hideMark/>
          </w:tcPr>
          <w:p w14:paraId="14034D2A" w14:textId="539751CA"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p>
        </w:tc>
        <w:tc>
          <w:tcPr>
            <w:tcW w:w="4946" w:type="dxa"/>
            <w:vMerge/>
            <w:shd w:val="clear" w:color="000000" w:fill="FFFFFF"/>
            <w:vAlign w:val="center"/>
            <w:hideMark/>
          </w:tcPr>
          <w:p w14:paraId="5DB3F57C" w14:textId="2A22705E"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p>
        </w:tc>
        <w:tc>
          <w:tcPr>
            <w:tcW w:w="8236" w:type="dxa"/>
            <w:gridSpan w:val="6"/>
            <w:shd w:val="clear" w:color="000000" w:fill="FFFFFF"/>
            <w:vAlign w:val="center"/>
            <w:hideMark/>
          </w:tcPr>
          <w:p w14:paraId="5BDD7CD9"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primite spre utilizare temporară</w:t>
            </w:r>
          </w:p>
        </w:tc>
      </w:tr>
      <w:tr w:rsidR="00EA7932" w:rsidRPr="00EA7932" w14:paraId="2450EB18" w14:textId="77777777" w:rsidTr="00EA7932">
        <w:trPr>
          <w:trHeight w:val="254"/>
          <w:jc w:val="center"/>
        </w:trPr>
        <w:tc>
          <w:tcPr>
            <w:tcW w:w="560" w:type="dxa"/>
            <w:vMerge/>
            <w:shd w:val="clear" w:color="000000" w:fill="FFFFFF"/>
            <w:vAlign w:val="center"/>
            <w:hideMark/>
          </w:tcPr>
          <w:p w14:paraId="6D25CE01" w14:textId="7C2BF4E1"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p>
        </w:tc>
        <w:tc>
          <w:tcPr>
            <w:tcW w:w="4946" w:type="dxa"/>
            <w:vMerge/>
            <w:shd w:val="clear" w:color="000000" w:fill="FFFFFF"/>
            <w:vAlign w:val="center"/>
            <w:hideMark/>
          </w:tcPr>
          <w:p w14:paraId="5E5CDC0C" w14:textId="23A469C4"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p>
        </w:tc>
        <w:tc>
          <w:tcPr>
            <w:tcW w:w="1409" w:type="dxa"/>
            <w:shd w:val="clear" w:color="000000" w:fill="FFFFFF"/>
            <w:vAlign w:val="center"/>
            <w:hideMark/>
          </w:tcPr>
          <w:p w14:paraId="2B72A77B" w14:textId="005C610D" w:rsidR="00EA7932" w:rsidRPr="00EA7932" w:rsidRDefault="00445E48" w:rsidP="0062749B">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D</w:t>
            </w:r>
            <w:r w:rsidR="00EA7932" w:rsidRPr="00EA7932">
              <w:rPr>
                <w:rFonts w:ascii="Calibri Light" w:eastAsia="Times New Roman" w:hAnsi="Calibri Light" w:cs="Calibri Light"/>
                <w:b/>
                <w:bCs/>
                <w:color w:val="000000"/>
                <w:sz w:val="20"/>
                <w:szCs w:val="20"/>
              </w:rPr>
              <w:t>ata</w:t>
            </w:r>
          </w:p>
        </w:tc>
        <w:tc>
          <w:tcPr>
            <w:tcW w:w="1450" w:type="dxa"/>
            <w:shd w:val="clear" w:color="000000" w:fill="FFFFFF"/>
            <w:vAlign w:val="center"/>
            <w:hideMark/>
          </w:tcPr>
          <w:p w14:paraId="688FDB78"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Numărul</w:t>
            </w:r>
          </w:p>
        </w:tc>
        <w:tc>
          <w:tcPr>
            <w:tcW w:w="1047" w:type="dxa"/>
            <w:shd w:val="clear" w:color="000000" w:fill="FFFFFF"/>
            <w:vAlign w:val="center"/>
            <w:hideMark/>
          </w:tcPr>
          <w:p w14:paraId="71E376DD"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Cantitatea</w:t>
            </w:r>
          </w:p>
        </w:tc>
        <w:tc>
          <w:tcPr>
            <w:tcW w:w="1202" w:type="dxa"/>
            <w:shd w:val="clear" w:color="000000" w:fill="FFFFFF"/>
            <w:vAlign w:val="center"/>
            <w:hideMark/>
          </w:tcPr>
          <w:p w14:paraId="3E53E82F" w14:textId="7303CE24"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Pre</w:t>
            </w:r>
            <w:r w:rsidR="00445E48">
              <w:rPr>
                <w:rFonts w:ascii="Calibri Light" w:eastAsia="Times New Roman" w:hAnsi="Calibri Light" w:cs="Calibri Light"/>
                <w:b/>
                <w:bCs/>
                <w:color w:val="000000"/>
                <w:sz w:val="20"/>
                <w:szCs w:val="20"/>
              </w:rPr>
              <w:t>țul</w:t>
            </w:r>
          </w:p>
        </w:tc>
        <w:tc>
          <w:tcPr>
            <w:tcW w:w="1000" w:type="dxa"/>
            <w:shd w:val="clear" w:color="000000" w:fill="FFFFFF"/>
            <w:vAlign w:val="center"/>
            <w:hideMark/>
          </w:tcPr>
          <w:p w14:paraId="33FF1C21"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Uzura</w:t>
            </w:r>
          </w:p>
        </w:tc>
        <w:tc>
          <w:tcPr>
            <w:tcW w:w="2119" w:type="dxa"/>
            <w:shd w:val="clear" w:color="000000" w:fill="FFFFFF"/>
            <w:vAlign w:val="center"/>
            <w:hideMark/>
          </w:tcPr>
          <w:p w14:paraId="5CE6FBA6" w14:textId="77777777" w:rsidR="00EA7932" w:rsidRPr="00EA7932" w:rsidRDefault="00EA7932"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Cauza</w:t>
            </w:r>
          </w:p>
        </w:tc>
      </w:tr>
      <w:tr w:rsidR="00882FE7" w:rsidRPr="00EA7932" w14:paraId="4D282528" w14:textId="77777777" w:rsidTr="00EA7932">
        <w:trPr>
          <w:trHeight w:val="99"/>
          <w:jc w:val="center"/>
        </w:trPr>
        <w:tc>
          <w:tcPr>
            <w:tcW w:w="560" w:type="dxa"/>
            <w:shd w:val="clear" w:color="000000" w:fill="FFFFFF"/>
            <w:noWrap/>
            <w:vAlign w:val="center"/>
            <w:hideMark/>
          </w:tcPr>
          <w:p w14:paraId="4F57BEC0"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А</w:t>
            </w:r>
          </w:p>
        </w:tc>
        <w:tc>
          <w:tcPr>
            <w:tcW w:w="4946" w:type="dxa"/>
            <w:shd w:val="clear" w:color="000000" w:fill="FFFFFF"/>
            <w:noWrap/>
            <w:vAlign w:val="center"/>
            <w:hideMark/>
          </w:tcPr>
          <w:p w14:paraId="743DAD14"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1</w:t>
            </w:r>
          </w:p>
        </w:tc>
        <w:tc>
          <w:tcPr>
            <w:tcW w:w="1409" w:type="dxa"/>
            <w:shd w:val="clear" w:color="000000" w:fill="FFFFFF"/>
            <w:noWrap/>
            <w:vAlign w:val="center"/>
            <w:hideMark/>
          </w:tcPr>
          <w:p w14:paraId="7D25D697"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2</w:t>
            </w:r>
          </w:p>
        </w:tc>
        <w:tc>
          <w:tcPr>
            <w:tcW w:w="1450" w:type="dxa"/>
            <w:shd w:val="clear" w:color="000000" w:fill="FFFFFF"/>
            <w:noWrap/>
            <w:vAlign w:val="center"/>
            <w:hideMark/>
          </w:tcPr>
          <w:p w14:paraId="2FA668A6"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3</w:t>
            </w:r>
          </w:p>
        </w:tc>
        <w:tc>
          <w:tcPr>
            <w:tcW w:w="1047" w:type="dxa"/>
            <w:shd w:val="clear" w:color="000000" w:fill="FFFFFF"/>
            <w:noWrap/>
            <w:vAlign w:val="center"/>
            <w:hideMark/>
          </w:tcPr>
          <w:p w14:paraId="1E0983A5"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4</w:t>
            </w:r>
          </w:p>
        </w:tc>
        <w:tc>
          <w:tcPr>
            <w:tcW w:w="1202" w:type="dxa"/>
            <w:shd w:val="clear" w:color="000000" w:fill="FFFFFF"/>
            <w:noWrap/>
            <w:vAlign w:val="center"/>
            <w:hideMark/>
          </w:tcPr>
          <w:p w14:paraId="6E0C1486"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5</w:t>
            </w:r>
          </w:p>
        </w:tc>
        <w:tc>
          <w:tcPr>
            <w:tcW w:w="1000" w:type="dxa"/>
            <w:shd w:val="clear" w:color="000000" w:fill="FFFFFF"/>
            <w:noWrap/>
            <w:vAlign w:val="center"/>
            <w:hideMark/>
          </w:tcPr>
          <w:p w14:paraId="607C52BC" w14:textId="77777777" w:rsidR="00882FE7" w:rsidRPr="00EA7932" w:rsidRDefault="00882FE7"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6</w:t>
            </w:r>
          </w:p>
        </w:tc>
        <w:tc>
          <w:tcPr>
            <w:tcW w:w="2119" w:type="dxa"/>
            <w:shd w:val="clear" w:color="000000" w:fill="FFFFFF"/>
            <w:noWrap/>
            <w:vAlign w:val="center"/>
            <w:hideMark/>
          </w:tcPr>
          <w:p w14:paraId="1C7EF275" w14:textId="30CD68DF" w:rsidR="00882FE7" w:rsidRPr="00EA7932" w:rsidRDefault="00EA7932" w:rsidP="0062749B">
            <w:pPr>
              <w:spacing w:after="0" w:line="240" w:lineRule="auto"/>
              <w:jc w:val="center"/>
              <w:rPr>
                <w:rFonts w:ascii="Calibri Light" w:eastAsia="Times New Roman" w:hAnsi="Calibri Light" w:cs="Calibri Light"/>
                <w:bCs/>
                <w:i/>
                <w:color w:val="000000"/>
                <w:sz w:val="16"/>
                <w:szCs w:val="16"/>
              </w:rPr>
            </w:pPr>
            <w:r w:rsidRPr="00EA7932">
              <w:rPr>
                <w:rFonts w:ascii="Calibri Light" w:eastAsia="Times New Roman" w:hAnsi="Calibri Light" w:cs="Calibri Light"/>
                <w:bCs/>
                <w:i/>
                <w:color w:val="000000"/>
                <w:sz w:val="16"/>
                <w:szCs w:val="16"/>
              </w:rPr>
              <w:t>7</w:t>
            </w:r>
            <w:r w:rsidR="00882FE7" w:rsidRPr="00EA7932">
              <w:rPr>
                <w:rFonts w:ascii="Calibri Light" w:eastAsia="Times New Roman" w:hAnsi="Calibri Light" w:cs="Calibri Light"/>
                <w:bCs/>
                <w:i/>
                <w:color w:val="000000"/>
                <w:sz w:val="16"/>
                <w:szCs w:val="16"/>
              </w:rPr>
              <w:t> </w:t>
            </w:r>
          </w:p>
        </w:tc>
      </w:tr>
      <w:tr w:rsidR="00882FE7" w:rsidRPr="00EA7932" w14:paraId="27DD1F02" w14:textId="77777777" w:rsidTr="00EA7932">
        <w:trPr>
          <w:trHeight w:val="240"/>
          <w:jc w:val="center"/>
        </w:trPr>
        <w:tc>
          <w:tcPr>
            <w:tcW w:w="560" w:type="dxa"/>
            <w:shd w:val="clear" w:color="auto" w:fill="auto"/>
            <w:noWrap/>
            <w:vAlign w:val="center"/>
            <w:hideMark/>
          </w:tcPr>
          <w:p w14:paraId="18264148"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w:t>
            </w:r>
          </w:p>
        </w:tc>
        <w:tc>
          <w:tcPr>
            <w:tcW w:w="4946" w:type="dxa"/>
            <w:shd w:val="clear" w:color="auto" w:fill="auto"/>
            <w:noWrap/>
            <w:vAlign w:val="center"/>
            <w:hideMark/>
          </w:tcPr>
          <w:p w14:paraId="0EA32127"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Notebook HP Compaq nc2400</w:t>
            </w:r>
          </w:p>
        </w:tc>
        <w:tc>
          <w:tcPr>
            <w:tcW w:w="1409" w:type="dxa"/>
            <w:shd w:val="clear" w:color="auto" w:fill="auto"/>
            <w:noWrap/>
            <w:vAlign w:val="center"/>
            <w:hideMark/>
          </w:tcPr>
          <w:p w14:paraId="233B9F46"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24.12.2007</w:t>
            </w:r>
          </w:p>
        </w:tc>
        <w:tc>
          <w:tcPr>
            <w:tcW w:w="1450" w:type="dxa"/>
            <w:shd w:val="clear" w:color="auto" w:fill="auto"/>
            <w:noWrap/>
            <w:vAlign w:val="center"/>
            <w:hideMark/>
          </w:tcPr>
          <w:p w14:paraId="415A0C8F"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12330071</w:t>
            </w:r>
          </w:p>
        </w:tc>
        <w:tc>
          <w:tcPr>
            <w:tcW w:w="1047" w:type="dxa"/>
            <w:shd w:val="clear" w:color="auto" w:fill="auto"/>
            <w:noWrap/>
            <w:vAlign w:val="center"/>
            <w:hideMark/>
          </w:tcPr>
          <w:p w14:paraId="36A0926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491D6C0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18.236,72</w:t>
            </w:r>
          </w:p>
        </w:tc>
        <w:tc>
          <w:tcPr>
            <w:tcW w:w="1000" w:type="dxa"/>
            <w:shd w:val="clear" w:color="auto" w:fill="auto"/>
            <w:noWrap/>
            <w:vAlign w:val="center"/>
            <w:hideMark/>
          </w:tcPr>
          <w:p w14:paraId="08C751D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619B8F80" w14:textId="74083D09"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3EDE887" w14:textId="77777777" w:rsidTr="00EA7932">
        <w:trPr>
          <w:trHeight w:val="240"/>
          <w:jc w:val="center"/>
        </w:trPr>
        <w:tc>
          <w:tcPr>
            <w:tcW w:w="560" w:type="dxa"/>
            <w:shd w:val="clear" w:color="auto" w:fill="auto"/>
            <w:noWrap/>
            <w:vAlign w:val="center"/>
            <w:hideMark/>
          </w:tcPr>
          <w:p w14:paraId="68FB4CB7"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w:t>
            </w:r>
          </w:p>
        </w:tc>
        <w:tc>
          <w:tcPr>
            <w:tcW w:w="4946" w:type="dxa"/>
            <w:shd w:val="clear" w:color="auto" w:fill="auto"/>
            <w:noWrap/>
            <w:vAlign w:val="center"/>
            <w:hideMark/>
          </w:tcPr>
          <w:p w14:paraId="0BBB0324"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Printer ColorLazerJet 1600 </w:t>
            </w:r>
          </w:p>
        </w:tc>
        <w:tc>
          <w:tcPr>
            <w:tcW w:w="1409" w:type="dxa"/>
            <w:shd w:val="clear" w:color="auto" w:fill="auto"/>
            <w:noWrap/>
            <w:vAlign w:val="center"/>
            <w:hideMark/>
          </w:tcPr>
          <w:p w14:paraId="20743CD2"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24.12.2007</w:t>
            </w:r>
          </w:p>
        </w:tc>
        <w:tc>
          <w:tcPr>
            <w:tcW w:w="1450" w:type="dxa"/>
            <w:shd w:val="clear" w:color="auto" w:fill="auto"/>
            <w:noWrap/>
            <w:vAlign w:val="center"/>
            <w:hideMark/>
          </w:tcPr>
          <w:p w14:paraId="264DF55E"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118</w:t>
            </w:r>
          </w:p>
        </w:tc>
        <w:tc>
          <w:tcPr>
            <w:tcW w:w="1047" w:type="dxa"/>
            <w:shd w:val="clear" w:color="auto" w:fill="auto"/>
            <w:noWrap/>
            <w:vAlign w:val="center"/>
            <w:hideMark/>
          </w:tcPr>
          <w:p w14:paraId="17CAF00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5F668D4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4.085,39</w:t>
            </w:r>
          </w:p>
        </w:tc>
        <w:tc>
          <w:tcPr>
            <w:tcW w:w="1000" w:type="dxa"/>
            <w:shd w:val="clear" w:color="auto" w:fill="auto"/>
            <w:noWrap/>
            <w:vAlign w:val="center"/>
            <w:hideMark/>
          </w:tcPr>
          <w:p w14:paraId="7C462BF0"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2B1085E8"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004D34FB" w14:textId="77777777" w:rsidTr="00EA7932">
        <w:trPr>
          <w:trHeight w:val="240"/>
          <w:jc w:val="center"/>
        </w:trPr>
        <w:tc>
          <w:tcPr>
            <w:tcW w:w="560" w:type="dxa"/>
            <w:shd w:val="clear" w:color="auto" w:fill="auto"/>
            <w:noWrap/>
            <w:vAlign w:val="center"/>
            <w:hideMark/>
          </w:tcPr>
          <w:p w14:paraId="48FE5550"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3</w:t>
            </w:r>
          </w:p>
        </w:tc>
        <w:tc>
          <w:tcPr>
            <w:tcW w:w="4946" w:type="dxa"/>
            <w:shd w:val="clear" w:color="auto" w:fill="auto"/>
            <w:noWrap/>
            <w:vAlign w:val="center"/>
            <w:hideMark/>
          </w:tcPr>
          <w:p w14:paraId="601BC8D5"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Conditioner SRC 40  HJ</w:t>
            </w:r>
          </w:p>
        </w:tc>
        <w:tc>
          <w:tcPr>
            <w:tcW w:w="1409" w:type="dxa"/>
            <w:shd w:val="clear" w:color="auto" w:fill="auto"/>
            <w:noWrap/>
            <w:vAlign w:val="center"/>
            <w:hideMark/>
          </w:tcPr>
          <w:p w14:paraId="24F48D5D"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26.07.2007</w:t>
            </w:r>
          </w:p>
        </w:tc>
        <w:tc>
          <w:tcPr>
            <w:tcW w:w="1450" w:type="dxa"/>
            <w:shd w:val="clear" w:color="auto" w:fill="auto"/>
            <w:noWrap/>
            <w:vAlign w:val="center"/>
            <w:hideMark/>
          </w:tcPr>
          <w:p w14:paraId="54DFF789"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12330023</w:t>
            </w:r>
          </w:p>
        </w:tc>
        <w:tc>
          <w:tcPr>
            <w:tcW w:w="1047" w:type="dxa"/>
            <w:shd w:val="clear" w:color="auto" w:fill="auto"/>
            <w:noWrap/>
            <w:vAlign w:val="center"/>
            <w:hideMark/>
          </w:tcPr>
          <w:p w14:paraId="2F2818F0"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305184A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4.741,67</w:t>
            </w:r>
          </w:p>
        </w:tc>
        <w:tc>
          <w:tcPr>
            <w:tcW w:w="1000" w:type="dxa"/>
            <w:shd w:val="clear" w:color="auto" w:fill="auto"/>
            <w:noWrap/>
            <w:vAlign w:val="center"/>
            <w:hideMark/>
          </w:tcPr>
          <w:p w14:paraId="425BEAB7"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5B4850B6"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370C1BB8" w14:textId="77777777" w:rsidTr="00EA7932">
        <w:trPr>
          <w:trHeight w:val="240"/>
          <w:jc w:val="center"/>
        </w:trPr>
        <w:tc>
          <w:tcPr>
            <w:tcW w:w="560" w:type="dxa"/>
            <w:shd w:val="clear" w:color="auto" w:fill="auto"/>
            <w:noWrap/>
            <w:vAlign w:val="center"/>
            <w:hideMark/>
          </w:tcPr>
          <w:p w14:paraId="2CF63303"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4</w:t>
            </w:r>
          </w:p>
        </w:tc>
        <w:tc>
          <w:tcPr>
            <w:tcW w:w="4946" w:type="dxa"/>
            <w:shd w:val="clear" w:color="auto" w:fill="auto"/>
            <w:noWrap/>
            <w:vAlign w:val="center"/>
            <w:hideMark/>
          </w:tcPr>
          <w:p w14:paraId="7C0FCBE9"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Bloc de sistem AVM Office 2 CPU Intel Core 13-6100</w:t>
            </w:r>
          </w:p>
        </w:tc>
        <w:tc>
          <w:tcPr>
            <w:tcW w:w="1409" w:type="dxa"/>
            <w:shd w:val="clear" w:color="auto" w:fill="auto"/>
            <w:noWrap/>
            <w:vAlign w:val="center"/>
            <w:hideMark/>
          </w:tcPr>
          <w:p w14:paraId="050E9F5C"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22.12.2016</w:t>
            </w:r>
          </w:p>
        </w:tc>
        <w:tc>
          <w:tcPr>
            <w:tcW w:w="1450" w:type="dxa"/>
            <w:shd w:val="clear" w:color="auto" w:fill="auto"/>
            <w:noWrap/>
            <w:vAlign w:val="center"/>
            <w:hideMark/>
          </w:tcPr>
          <w:p w14:paraId="1D044DB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12330153</w:t>
            </w:r>
          </w:p>
        </w:tc>
        <w:tc>
          <w:tcPr>
            <w:tcW w:w="1047" w:type="dxa"/>
            <w:shd w:val="clear" w:color="auto" w:fill="auto"/>
            <w:noWrap/>
            <w:vAlign w:val="center"/>
            <w:hideMark/>
          </w:tcPr>
          <w:p w14:paraId="4925146E"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2E8DA25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10.670,40</w:t>
            </w:r>
          </w:p>
        </w:tc>
        <w:tc>
          <w:tcPr>
            <w:tcW w:w="1000" w:type="dxa"/>
            <w:shd w:val="clear" w:color="auto" w:fill="auto"/>
            <w:noWrap/>
            <w:hideMark/>
          </w:tcPr>
          <w:p w14:paraId="0A99D068"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w:t>
            </w:r>
          </w:p>
        </w:tc>
        <w:tc>
          <w:tcPr>
            <w:tcW w:w="2119" w:type="dxa"/>
            <w:shd w:val="clear" w:color="auto" w:fill="auto"/>
            <w:noWrap/>
            <w:vAlign w:val="center"/>
            <w:hideMark/>
          </w:tcPr>
          <w:p w14:paraId="49DCCF5E"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41282819" w14:textId="77777777" w:rsidTr="00EA7932">
        <w:trPr>
          <w:trHeight w:val="240"/>
          <w:jc w:val="center"/>
        </w:trPr>
        <w:tc>
          <w:tcPr>
            <w:tcW w:w="560" w:type="dxa"/>
            <w:shd w:val="clear" w:color="auto" w:fill="auto"/>
            <w:noWrap/>
            <w:vAlign w:val="center"/>
            <w:hideMark/>
          </w:tcPr>
          <w:p w14:paraId="66904220"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5</w:t>
            </w:r>
          </w:p>
        </w:tc>
        <w:tc>
          <w:tcPr>
            <w:tcW w:w="4946" w:type="dxa"/>
            <w:shd w:val="clear" w:color="auto" w:fill="auto"/>
            <w:noWrap/>
            <w:vAlign w:val="center"/>
            <w:hideMark/>
          </w:tcPr>
          <w:p w14:paraId="4745AF20" w14:textId="7B1A83AB"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Condi</w:t>
            </w:r>
            <w:r w:rsidR="005750EB">
              <w:rPr>
                <w:rFonts w:ascii="Calibri Light" w:eastAsia="Times New Roman" w:hAnsi="Calibri Light" w:cs="Calibri Light"/>
                <w:color w:val="000000"/>
                <w:sz w:val="20"/>
                <w:szCs w:val="20"/>
              </w:rPr>
              <w:t>ț</w:t>
            </w:r>
            <w:r w:rsidRPr="00EA7932">
              <w:rPr>
                <w:rFonts w:ascii="Calibri Light" w:eastAsia="Times New Roman" w:hAnsi="Calibri Light" w:cs="Calibri Light"/>
                <w:color w:val="000000"/>
                <w:sz w:val="20"/>
                <w:szCs w:val="20"/>
              </w:rPr>
              <w:t>ioner  DELFA ACR07</w:t>
            </w:r>
          </w:p>
        </w:tc>
        <w:tc>
          <w:tcPr>
            <w:tcW w:w="1409" w:type="dxa"/>
            <w:shd w:val="clear" w:color="auto" w:fill="auto"/>
            <w:noWrap/>
            <w:vAlign w:val="center"/>
            <w:hideMark/>
          </w:tcPr>
          <w:p w14:paraId="575C2EDF"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31.03.2015</w:t>
            </w:r>
          </w:p>
        </w:tc>
        <w:tc>
          <w:tcPr>
            <w:tcW w:w="1450" w:type="dxa"/>
            <w:shd w:val="clear" w:color="auto" w:fill="auto"/>
            <w:noWrap/>
            <w:vAlign w:val="center"/>
            <w:hideMark/>
          </w:tcPr>
          <w:p w14:paraId="067F0F76"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12330122</w:t>
            </w:r>
          </w:p>
        </w:tc>
        <w:tc>
          <w:tcPr>
            <w:tcW w:w="1047" w:type="dxa"/>
            <w:shd w:val="clear" w:color="auto" w:fill="auto"/>
            <w:noWrap/>
            <w:vAlign w:val="center"/>
            <w:hideMark/>
          </w:tcPr>
          <w:p w14:paraId="5380CB4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0F0433F9"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6.420,00</w:t>
            </w:r>
          </w:p>
        </w:tc>
        <w:tc>
          <w:tcPr>
            <w:tcW w:w="1000" w:type="dxa"/>
            <w:shd w:val="clear" w:color="auto" w:fill="auto"/>
            <w:noWrap/>
            <w:vAlign w:val="center"/>
            <w:hideMark/>
          </w:tcPr>
          <w:p w14:paraId="2F4A999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5BF42B26"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2956AE52" w14:textId="77777777" w:rsidTr="00EA7932">
        <w:trPr>
          <w:trHeight w:val="240"/>
          <w:jc w:val="center"/>
        </w:trPr>
        <w:tc>
          <w:tcPr>
            <w:tcW w:w="560" w:type="dxa"/>
            <w:shd w:val="clear" w:color="auto" w:fill="auto"/>
            <w:noWrap/>
            <w:vAlign w:val="center"/>
            <w:hideMark/>
          </w:tcPr>
          <w:p w14:paraId="3C971203"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6</w:t>
            </w:r>
          </w:p>
        </w:tc>
        <w:tc>
          <w:tcPr>
            <w:tcW w:w="4946" w:type="dxa"/>
            <w:shd w:val="clear" w:color="auto" w:fill="auto"/>
            <w:noWrap/>
            <w:vAlign w:val="center"/>
            <w:hideMark/>
          </w:tcPr>
          <w:p w14:paraId="0A9AC925"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Notebook HP Compaq 6710b CPU T7250-1</w:t>
            </w:r>
          </w:p>
        </w:tc>
        <w:tc>
          <w:tcPr>
            <w:tcW w:w="1409" w:type="dxa"/>
            <w:shd w:val="clear" w:color="auto" w:fill="auto"/>
            <w:noWrap/>
            <w:vAlign w:val="center"/>
            <w:hideMark/>
          </w:tcPr>
          <w:p w14:paraId="6F2351ED"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29.08.2008</w:t>
            </w:r>
          </w:p>
        </w:tc>
        <w:tc>
          <w:tcPr>
            <w:tcW w:w="1450" w:type="dxa"/>
            <w:shd w:val="clear" w:color="auto" w:fill="auto"/>
            <w:noWrap/>
            <w:vAlign w:val="center"/>
            <w:hideMark/>
          </w:tcPr>
          <w:p w14:paraId="390AE7DC"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12330062</w:t>
            </w:r>
          </w:p>
        </w:tc>
        <w:tc>
          <w:tcPr>
            <w:tcW w:w="1047" w:type="dxa"/>
            <w:shd w:val="clear" w:color="auto" w:fill="auto"/>
            <w:noWrap/>
            <w:vAlign w:val="center"/>
            <w:hideMark/>
          </w:tcPr>
          <w:p w14:paraId="726DB90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65F9CF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11.880,82</w:t>
            </w:r>
          </w:p>
        </w:tc>
        <w:tc>
          <w:tcPr>
            <w:tcW w:w="1000" w:type="dxa"/>
            <w:shd w:val="clear" w:color="auto" w:fill="auto"/>
            <w:noWrap/>
            <w:vAlign w:val="center"/>
            <w:hideMark/>
          </w:tcPr>
          <w:p w14:paraId="4D160A7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619B9958" w14:textId="433A2BA2"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17FA6112" w14:textId="77777777" w:rsidTr="00EA7932">
        <w:trPr>
          <w:trHeight w:val="240"/>
          <w:jc w:val="center"/>
        </w:trPr>
        <w:tc>
          <w:tcPr>
            <w:tcW w:w="560" w:type="dxa"/>
            <w:shd w:val="clear" w:color="auto" w:fill="auto"/>
            <w:noWrap/>
            <w:vAlign w:val="center"/>
            <w:hideMark/>
          </w:tcPr>
          <w:p w14:paraId="7D6A4219"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7</w:t>
            </w:r>
          </w:p>
        </w:tc>
        <w:tc>
          <w:tcPr>
            <w:tcW w:w="4946" w:type="dxa"/>
            <w:shd w:val="clear" w:color="auto" w:fill="auto"/>
            <w:noWrap/>
            <w:vAlign w:val="center"/>
            <w:hideMark/>
          </w:tcPr>
          <w:p w14:paraId="7076AFC4"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Printer MFD Laser Color Lexmark X543DN, A4</w:t>
            </w:r>
          </w:p>
        </w:tc>
        <w:tc>
          <w:tcPr>
            <w:tcW w:w="1409" w:type="dxa"/>
            <w:shd w:val="clear" w:color="auto" w:fill="auto"/>
            <w:noWrap/>
            <w:vAlign w:val="center"/>
            <w:hideMark/>
          </w:tcPr>
          <w:p w14:paraId="1441E79E"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31.10.2014</w:t>
            </w:r>
          </w:p>
        </w:tc>
        <w:tc>
          <w:tcPr>
            <w:tcW w:w="1450" w:type="dxa"/>
            <w:shd w:val="clear" w:color="auto" w:fill="auto"/>
            <w:noWrap/>
            <w:vAlign w:val="center"/>
            <w:hideMark/>
          </w:tcPr>
          <w:p w14:paraId="3F5F642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12330089</w:t>
            </w:r>
          </w:p>
        </w:tc>
        <w:tc>
          <w:tcPr>
            <w:tcW w:w="1047" w:type="dxa"/>
            <w:shd w:val="clear" w:color="auto" w:fill="auto"/>
            <w:noWrap/>
            <w:vAlign w:val="center"/>
            <w:hideMark/>
          </w:tcPr>
          <w:p w14:paraId="4991F82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FE9845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6.821,00</w:t>
            </w:r>
          </w:p>
        </w:tc>
        <w:tc>
          <w:tcPr>
            <w:tcW w:w="1000" w:type="dxa"/>
            <w:shd w:val="clear" w:color="auto" w:fill="auto"/>
            <w:noWrap/>
            <w:vAlign w:val="center"/>
            <w:hideMark/>
          </w:tcPr>
          <w:p w14:paraId="3C8638AC"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0438F422" w14:textId="29A8D113"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5EC47589" w14:textId="77777777" w:rsidTr="00EA7932">
        <w:trPr>
          <w:trHeight w:val="240"/>
          <w:jc w:val="center"/>
        </w:trPr>
        <w:tc>
          <w:tcPr>
            <w:tcW w:w="560" w:type="dxa"/>
            <w:shd w:val="clear" w:color="auto" w:fill="auto"/>
            <w:noWrap/>
            <w:vAlign w:val="center"/>
            <w:hideMark/>
          </w:tcPr>
          <w:p w14:paraId="7B6AA329"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8</w:t>
            </w:r>
          </w:p>
        </w:tc>
        <w:tc>
          <w:tcPr>
            <w:tcW w:w="4946" w:type="dxa"/>
            <w:shd w:val="clear" w:color="auto" w:fill="auto"/>
            <w:noWrap/>
            <w:vAlign w:val="center"/>
            <w:hideMark/>
          </w:tcPr>
          <w:p w14:paraId="450261DE"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HP Compaq de5750 Microtower CPU Atlon X2 4200-2</w:t>
            </w:r>
          </w:p>
        </w:tc>
        <w:tc>
          <w:tcPr>
            <w:tcW w:w="1409" w:type="dxa"/>
            <w:shd w:val="clear" w:color="auto" w:fill="auto"/>
            <w:noWrap/>
            <w:vAlign w:val="center"/>
            <w:hideMark/>
          </w:tcPr>
          <w:p w14:paraId="077152CD"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29.08.2008</w:t>
            </w:r>
          </w:p>
        </w:tc>
        <w:tc>
          <w:tcPr>
            <w:tcW w:w="1450" w:type="dxa"/>
            <w:shd w:val="clear" w:color="auto" w:fill="auto"/>
            <w:noWrap/>
            <w:vAlign w:val="center"/>
            <w:hideMark/>
          </w:tcPr>
          <w:p w14:paraId="21822B16"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12330038</w:t>
            </w:r>
          </w:p>
        </w:tc>
        <w:tc>
          <w:tcPr>
            <w:tcW w:w="1047" w:type="dxa"/>
            <w:shd w:val="clear" w:color="auto" w:fill="auto"/>
            <w:noWrap/>
            <w:vAlign w:val="center"/>
            <w:hideMark/>
          </w:tcPr>
          <w:p w14:paraId="19BBAFB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5050558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11.542,74</w:t>
            </w:r>
          </w:p>
        </w:tc>
        <w:tc>
          <w:tcPr>
            <w:tcW w:w="1000" w:type="dxa"/>
            <w:shd w:val="clear" w:color="auto" w:fill="auto"/>
            <w:noWrap/>
            <w:vAlign w:val="center"/>
            <w:hideMark/>
          </w:tcPr>
          <w:p w14:paraId="34EDB3F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1E1D2295" w14:textId="4C699CF8"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9417BD2" w14:textId="77777777" w:rsidTr="00EA7932">
        <w:trPr>
          <w:trHeight w:val="259"/>
          <w:jc w:val="center"/>
        </w:trPr>
        <w:tc>
          <w:tcPr>
            <w:tcW w:w="560" w:type="dxa"/>
            <w:shd w:val="clear" w:color="auto" w:fill="auto"/>
            <w:noWrap/>
            <w:vAlign w:val="center"/>
            <w:hideMark/>
          </w:tcPr>
          <w:p w14:paraId="31DDE695"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9</w:t>
            </w:r>
          </w:p>
        </w:tc>
        <w:tc>
          <w:tcPr>
            <w:tcW w:w="4946" w:type="dxa"/>
            <w:shd w:val="clear" w:color="auto" w:fill="auto"/>
            <w:noWrap/>
            <w:vAlign w:val="center"/>
            <w:hideMark/>
          </w:tcPr>
          <w:p w14:paraId="28E3A57E"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HP Compaq de5750 Microtower CPU Atlon X2 4200-1</w:t>
            </w:r>
          </w:p>
        </w:tc>
        <w:tc>
          <w:tcPr>
            <w:tcW w:w="1409" w:type="dxa"/>
            <w:shd w:val="clear" w:color="auto" w:fill="auto"/>
            <w:noWrap/>
            <w:vAlign w:val="center"/>
            <w:hideMark/>
          </w:tcPr>
          <w:p w14:paraId="4050919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29.08.2008</w:t>
            </w:r>
          </w:p>
        </w:tc>
        <w:tc>
          <w:tcPr>
            <w:tcW w:w="1450" w:type="dxa"/>
            <w:shd w:val="clear" w:color="auto" w:fill="auto"/>
            <w:noWrap/>
            <w:vAlign w:val="center"/>
            <w:hideMark/>
          </w:tcPr>
          <w:p w14:paraId="6DED2364"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12330037</w:t>
            </w:r>
          </w:p>
        </w:tc>
        <w:tc>
          <w:tcPr>
            <w:tcW w:w="1047" w:type="dxa"/>
            <w:shd w:val="clear" w:color="auto" w:fill="auto"/>
            <w:noWrap/>
            <w:vAlign w:val="center"/>
            <w:hideMark/>
          </w:tcPr>
          <w:p w14:paraId="3D73AA9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1965297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11.542,74</w:t>
            </w:r>
          </w:p>
        </w:tc>
        <w:tc>
          <w:tcPr>
            <w:tcW w:w="1000" w:type="dxa"/>
            <w:shd w:val="clear" w:color="auto" w:fill="auto"/>
            <w:noWrap/>
            <w:vAlign w:val="center"/>
            <w:hideMark/>
          </w:tcPr>
          <w:p w14:paraId="58F4B1A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3E50B521" w14:textId="0AB7B27C"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22F68825" w14:textId="77777777" w:rsidTr="00EA7932">
        <w:trPr>
          <w:trHeight w:val="240"/>
          <w:jc w:val="center"/>
        </w:trPr>
        <w:tc>
          <w:tcPr>
            <w:tcW w:w="560" w:type="dxa"/>
            <w:shd w:val="clear" w:color="auto" w:fill="auto"/>
            <w:noWrap/>
            <w:vAlign w:val="center"/>
            <w:hideMark/>
          </w:tcPr>
          <w:p w14:paraId="2037F00C"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10</w:t>
            </w:r>
          </w:p>
        </w:tc>
        <w:tc>
          <w:tcPr>
            <w:tcW w:w="4946" w:type="dxa"/>
            <w:shd w:val="clear" w:color="auto" w:fill="auto"/>
            <w:noWrap/>
            <w:vAlign w:val="center"/>
            <w:hideMark/>
          </w:tcPr>
          <w:p w14:paraId="1D00BE26"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HP Compaq de5750 Microtower CPU Atlon X2 4200-3</w:t>
            </w:r>
          </w:p>
        </w:tc>
        <w:tc>
          <w:tcPr>
            <w:tcW w:w="1409" w:type="dxa"/>
            <w:shd w:val="clear" w:color="auto" w:fill="auto"/>
            <w:noWrap/>
            <w:vAlign w:val="center"/>
            <w:hideMark/>
          </w:tcPr>
          <w:p w14:paraId="408B7DB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29.08.2008</w:t>
            </w:r>
          </w:p>
        </w:tc>
        <w:tc>
          <w:tcPr>
            <w:tcW w:w="1450" w:type="dxa"/>
            <w:shd w:val="clear" w:color="auto" w:fill="auto"/>
            <w:noWrap/>
            <w:vAlign w:val="center"/>
            <w:hideMark/>
          </w:tcPr>
          <w:p w14:paraId="42629B04"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12330039</w:t>
            </w:r>
          </w:p>
        </w:tc>
        <w:tc>
          <w:tcPr>
            <w:tcW w:w="1047" w:type="dxa"/>
            <w:shd w:val="clear" w:color="auto" w:fill="auto"/>
            <w:noWrap/>
            <w:vAlign w:val="center"/>
            <w:hideMark/>
          </w:tcPr>
          <w:p w14:paraId="5BE1B18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C63A5E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11.542,74</w:t>
            </w:r>
          </w:p>
        </w:tc>
        <w:tc>
          <w:tcPr>
            <w:tcW w:w="1000" w:type="dxa"/>
            <w:shd w:val="clear" w:color="auto" w:fill="auto"/>
            <w:noWrap/>
            <w:vAlign w:val="center"/>
            <w:hideMark/>
          </w:tcPr>
          <w:p w14:paraId="15DFD141"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466B71B8" w14:textId="4446F119"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72BEA2A8" w14:textId="77777777" w:rsidTr="00EA7932">
        <w:trPr>
          <w:trHeight w:val="240"/>
          <w:jc w:val="center"/>
        </w:trPr>
        <w:tc>
          <w:tcPr>
            <w:tcW w:w="560" w:type="dxa"/>
            <w:shd w:val="clear" w:color="auto" w:fill="auto"/>
            <w:noWrap/>
            <w:vAlign w:val="center"/>
            <w:hideMark/>
          </w:tcPr>
          <w:p w14:paraId="66D1C749"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11</w:t>
            </w:r>
          </w:p>
        </w:tc>
        <w:tc>
          <w:tcPr>
            <w:tcW w:w="4946" w:type="dxa"/>
            <w:shd w:val="clear" w:color="auto" w:fill="auto"/>
            <w:noWrap/>
            <w:vAlign w:val="center"/>
            <w:hideMark/>
          </w:tcPr>
          <w:p w14:paraId="18D71F2D"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HP Compaq de5750 Microtower CPU Atlon X2 4200-5</w:t>
            </w:r>
          </w:p>
        </w:tc>
        <w:tc>
          <w:tcPr>
            <w:tcW w:w="1409" w:type="dxa"/>
            <w:shd w:val="clear" w:color="auto" w:fill="auto"/>
            <w:noWrap/>
            <w:vAlign w:val="center"/>
            <w:hideMark/>
          </w:tcPr>
          <w:p w14:paraId="0FD3CB28"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29.08.2008</w:t>
            </w:r>
          </w:p>
        </w:tc>
        <w:tc>
          <w:tcPr>
            <w:tcW w:w="1450" w:type="dxa"/>
            <w:shd w:val="clear" w:color="auto" w:fill="auto"/>
            <w:noWrap/>
            <w:vAlign w:val="center"/>
            <w:hideMark/>
          </w:tcPr>
          <w:p w14:paraId="4B256DC9"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12330041</w:t>
            </w:r>
          </w:p>
        </w:tc>
        <w:tc>
          <w:tcPr>
            <w:tcW w:w="1047" w:type="dxa"/>
            <w:shd w:val="clear" w:color="auto" w:fill="auto"/>
            <w:noWrap/>
            <w:vAlign w:val="center"/>
            <w:hideMark/>
          </w:tcPr>
          <w:p w14:paraId="75F190F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4F52F82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11.542,74</w:t>
            </w:r>
          </w:p>
        </w:tc>
        <w:tc>
          <w:tcPr>
            <w:tcW w:w="1000" w:type="dxa"/>
            <w:shd w:val="clear" w:color="auto" w:fill="auto"/>
            <w:noWrap/>
            <w:vAlign w:val="center"/>
            <w:hideMark/>
          </w:tcPr>
          <w:p w14:paraId="3D06881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3E9EF235"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Defectat</w:t>
            </w:r>
          </w:p>
        </w:tc>
      </w:tr>
      <w:tr w:rsidR="00882FE7" w:rsidRPr="00EA7932" w14:paraId="6D948471" w14:textId="77777777" w:rsidTr="00EA7932">
        <w:trPr>
          <w:trHeight w:val="240"/>
          <w:jc w:val="center"/>
        </w:trPr>
        <w:tc>
          <w:tcPr>
            <w:tcW w:w="560" w:type="dxa"/>
            <w:shd w:val="clear" w:color="auto" w:fill="auto"/>
            <w:noWrap/>
            <w:vAlign w:val="center"/>
            <w:hideMark/>
          </w:tcPr>
          <w:p w14:paraId="16730B35"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12</w:t>
            </w:r>
          </w:p>
        </w:tc>
        <w:tc>
          <w:tcPr>
            <w:tcW w:w="4946" w:type="dxa"/>
            <w:shd w:val="clear" w:color="auto" w:fill="auto"/>
            <w:noWrap/>
            <w:vAlign w:val="center"/>
            <w:hideMark/>
          </w:tcPr>
          <w:p w14:paraId="5681B39D"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HP Compaq dx2250 Microtower PC 3</w:t>
            </w:r>
          </w:p>
        </w:tc>
        <w:tc>
          <w:tcPr>
            <w:tcW w:w="1409" w:type="dxa"/>
            <w:shd w:val="clear" w:color="auto" w:fill="auto"/>
            <w:noWrap/>
            <w:vAlign w:val="center"/>
            <w:hideMark/>
          </w:tcPr>
          <w:p w14:paraId="48D4733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24.12.2007</w:t>
            </w:r>
          </w:p>
        </w:tc>
        <w:tc>
          <w:tcPr>
            <w:tcW w:w="1450" w:type="dxa"/>
            <w:shd w:val="clear" w:color="auto" w:fill="auto"/>
            <w:noWrap/>
            <w:vAlign w:val="center"/>
            <w:hideMark/>
          </w:tcPr>
          <w:p w14:paraId="1953DA85"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12330044</w:t>
            </w:r>
          </w:p>
        </w:tc>
        <w:tc>
          <w:tcPr>
            <w:tcW w:w="1047" w:type="dxa"/>
            <w:shd w:val="clear" w:color="auto" w:fill="auto"/>
            <w:noWrap/>
            <w:vAlign w:val="center"/>
            <w:hideMark/>
          </w:tcPr>
          <w:p w14:paraId="40F2F13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431D919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14.979,76</w:t>
            </w:r>
          </w:p>
        </w:tc>
        <w:tc>
          <w:tcPr>
            <w:tcW w:w="1000" w:type="dxa"/>
            <w:shd w:val="clear" w:color="auto" w:fill="auto"/>
            <w:noWrap/>
            <w:vAlign w:val="center"/>
            <w:hideMark/>
          </w:tcPr>
          <w:p w14:paraId="6067454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74DA1640" w14:textId="709C32CE"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9A24B7A" w14:textId="77777777" w:rsidTr="00EA7932">
        <w:trPr>
          <w:trHeight w:val="240"/>
          <w:jc w:val="center"/>
        </w:trPr>
        <w:tc>
          <w:tcPr>
            <w:tcW w:w="560" w:type="dxa"/>
            <w:shd w:val="clear" w:color="auto" w:fill="auto"/>
            <w:noWrap/>
            <w:vAlign w:val="center"/>
            <w:hideMark/>
          </w:tcPr>
          <w:p w14:paraId="75A9D22B"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13</w:t>
            </w:r>
          </w:p>
        </w:tc>
        <w:tc>
          <w:tcPr>
            <w:tcW w:w="4946" w:type="dxa"/>
            <w:shd w:val="clear" w:color="auto" w:fill="auto"/>
            <w:noWrap/>
            <w:vAlign w:val="center"/>
            <w:hideMark/>
          </w:tcPr>
          <w:p w14:paraId="0EF0A3DA"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Xerox WorkCentre 3325 MFP/3974066350 </w:t>
            </w:r>
          </w:p>
        </w:tc>
        <w:tc>
          <w:tcPr>
            <w:tcW w:w="1409" w:type="dxa"/>
            <w:shd w:val="clear" w:color="auto" w:fill="auto"/>
            <w:noWrap/>
            <w:vAlign w:val="center"/>
            <w:hideMark/>
          </w:tcPr>
          <w:p w14:paraId="40CA88C9"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12.03.2013</w:t>
            </w:r>
          </w:p>
        </w:tc>
        <w:tc>
          <w:tcPr>
            <w:tcW w:w="1450" w:type="dxa"/>
            <w:shd w:val="clear" w:color="auto" w:fill="auto"/>
            <w:noWrap/>
            <w:vAlign w:val="center"/>
            <w:hideMark/>
          </w:tcPr>
          <w:p w14:paraId="34EE4F6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12330111</w:t>
            </w:r>
          </w:p>
        </w:tc>
        <w:tc>
          <w:tcPr>
            <w:tcW w:w="1047" w:type="dxa"/>
            <w:shd w:val="clear" w:color="auto" w:fill="auto"/>
            <w:noWrap/>
            <w:vAlign w:val="center"/>
            <w:hideMark/>
          </w:tcPr>
          <w:p w14:paraId="3568E7B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148EA516"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6.983,39</w:t>
            </w:r>
          </w:p>
        </w:tc>
        <w:tc>
          <w:tcPr>
            <w:tcW w:w="1000" w:type="dxa"/>
            <w:shd w:val="clear" w:color="auto" w:fill="auto"/>
            <w:noWrap/>
            <w:vAlign w:val="center"/>
            <w:hideMark/>
          </w:tcPr>
          <w:p w14:paraId="3F6000A7"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6105E154"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2D305077" w14:textId="77777777" w:rsidTr="00EA7932">
        <w:trPr>
          <w:trHeight w:val="240"/>
          <w:jc w:val="center"/>
        </w:trPr>
        <w:tc>
          <w:tcPr>
            <w:tcW w:w="560" w:type="dxa"/>
            <w:shd w:val="clear" w:color="auto" w:fill="auto"/>
            <w:noWrap/>
            <w:vAlign w:val="center"/>
            <w:hideMark/>
          </w:tcPr>
          <w:p w14:paraId="223659BE"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14</w:t>
            </w:r>
          </w:p>
        </w:tc>
        <w:tc>
          <w:tcPr>
            <w:tcW w:w="4946" w:type="dxa"/>
            <w:shd w:val="clear" w:color="auto" w:fill="auto"/>
            <w:noWrap/>
            <w:vAlign w:val="center"/>
            <w:hideMark/>
          </w:tcPr>
          <w:p w14:paraId="1A1DA05F" w14:textId="33560A2A"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Condi</w:t>
            </w:r>
            <w:r w:rsidR="005750EB">
              <w:rPr>
                <w:rFonts w:ascii="Calibri Light" w:eastAsia="Times New Roman" w:hAnsi="Calibri Light" w:cs="Calibri Light"/>
                <w:color w:val="000000"/>
                <w:sz w:val="20"/>
                <w:szCs w:val="20"/>
              </w:rPr>
              <w:t>ț</w:t>
            </w:r>
            <w:r w:rsidRPr="00EA7932">
              <w:rPr>
                <w:rFonts w:ascii="Calibri Light" w:eastAsia="Times New Roman" w:hAnsi="Calibri Light" w:cs="Calibri Light"/>
                <w:color w:val="000000"/>
                <w:sz w:val="20"/>
                <w:szCs w:val="20"/>
              </w:rPr>
              <w:t>ioner 2010 SAMSUNG SH05ZA8 B2MW102335D</w:t>
            </w:r>
          </w:p>
        </w:tc>
        <w:tc>
          <w:tcPr>
            <w:tcW w:w="1409" w:type="dxa"/>
            <w:shd w:val="clear" w:color="auto" w:fill="auto"/>
            <w:noWrap/>
            <w:vAlign w:val="center"/>
            <w:hideMark/>
          </w:tcPr>
          <w:p w14:paraId="7D9E27E3"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10.01.2011</w:t>
            </w:r>
          </w:p>
        </w:tc>
        <w:tc>
          <w:tcPr>
            <w:tcW w:w="1450" w:type="dxa"/>
            <w:shd w:val="clear" w:color="auto" w:fill="auto"/>
            <w:noWrap/>
            <w:vAlign w:val="center"/>
            <w:hideMark/>
          </w:tcPr>
          <w:p w14:paraId="376D2554"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12330016</w:t>
            </w:r>
          </w:p>
        </w:tc>
        <w:tc>
          <w:tcPr>
            <w:tcW w:w="1047" w:type="dxa"/>
            <w:shd w:val="clear" w:color="auto" w:fill="auto"/>
            <w:noWrap/>
            <w:vAlign w:val="center"/>
            <w:hideMark/>
          </w:tcPr>
          <w:p w14:paraId="713DD6B6"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6C63041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5.890,00</w:t>
            </w:r>
          </w:p>
        </w:tc>
        <w:tc>
          <w:tcPr>
            <w:tcW w:w="1000" w:type="dxa"/>
            <w:shd w:val="clear" w:color="auto" w:fill="auto"/>
            <w:noWrap/>
            <w:vAlign w:val="center"/>
            <w:hideMark/>
          </w:tcPr>
          <w:p w14:paraId="2DA0EFD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121E3DAA"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69AFDF91" w14:textId="77777777" w:rsidTr="00EA7932">
        <w:trPr>
          <w:trHeight w:val="240"/>
          <w:jc w:val="center"/>
        </w:trPr>
        <w:tc>
          <w:tcPr>
            <w:tcW w:w="560" w:type="dxa"/>
            <w:shd w:val="clear" w:color="auto" w:fill="auto"/>
            <w:noWrap/>
            <w:vAlign w:val="center"/>
            <w:hideMark/>
          </w:tcPr>
          <w:p w14:paraId="318BB76E"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15</w:t>
            </w:r>
          </w:p>
        </w:tc>
        <w:tc>
          <w:tcPr>
            <w:tcW w:w="4946" w:type="dxa"/>
            <w:shd w:val="clear" w:color="auto" w:fill="auto"/>
            <w:noWrap/>
            <w:vAlign w:val="center"/>
            <w:hideMark/>
          </w:tcPr>
          <w:p w14:paraId="5808B467"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Printer Konika Minolta biznub 250</w:t>
            </w:r>
          </w:p>
        </w:tc>
        <w:tc>
          <w:tcPr>
            <w:tcW w:w="1409" w:type="dxa"/>
            <w:shd w:val="clear" w:color="auto" w:fill="auto"/>
            <w:noWrap/>
            <w:vAlign w:val="center"/>
            <w:hideMark/>
          </w:tcPr>
          <w:p w14:paraId="60FDAB28"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27.12.2007</w:t>
            </w:r>
          </w:p>
        </w:tc>
        <w:tc>
          <w:tcPr>
            <w:tcW w:w="1450" w:type="dxa"/>
            <w:shd w:val="clear" w:color="auto" w:fill="auto"/>
            <w:noWrap/>
            <w:vAlign w:val="center"/>
            <w:hideMark/>
          </w:tcPr>
          <w:p w14:paraId="7E9C1244"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12330088</w:t>
            </w:r>
          </w:p>
        </w:tc>
        <w:tc>
          <w:tcPr>
            <w:tcW w:w="1047" w:type="dxa"/>
            <w:shd w:val="clear" w:color="auto" w:fill="auto"/>
            <w:noWrap/>
            <w:vAlign w:val="center"/>
            <w:hideMark/>
          </w:tcPr>
          <w:p w14:paraId="4475BAC1"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38A6849"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51.186,34</w:t>
            </w:r>
          </w:p>
        </w:tc>
        <w:tc>
          <w:tcPr>
            <w:tcW w:w="1000" w:type="dxa"/>
            <w:shd w:val="clear" w:color="auto" w:fill="auto"/>
            <w:noWrap/>
            <w:vAlign w:val="center"/>
            <w:hideMark/>
          </w:tcPr>
          <w:p w14:paraId="1FCFA11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7B64EB9D" w14:textId="06D0B485"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 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1A64ADBF" w14:textId="77777777" w:rsidTr="00EA7932">
        <w:trPr>
          <w:trHeight w:val="240"/>
          <w:jc w:val="center"/>
        </w:trPr>
        <w:tc>
          <w:tcPr>
            <w:tcW w:w="560" w:type="dxa"/>
            <w:shd w:val="clear" w:color="auto" w:fill="auto"/>
            <w:noWrap/>
            <w:vAlign w:val="center"/>
            <w:hideMark/>
          </w:tcPr>
          <w:p w14:paraId="1B20AF7F"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16</w:t>
            </w:r>
          </w:p>
        </w:tc>
        <w:tc>
          <w:tcPr>
            <w:tcW w:w="4946" w:type="dxa"/>
            <w:shd w:val="clear" w:color="auto" w:fill="auto"/>
            <w:noWrap/>
            <w:vAlign w:val="center"/>
            <w:hideMark/>
          </w:tcPr>
          <w:p w14:paraId="4FF94B3D" w14:textId="0FA9FBD4"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Condi</w:t>
            </w:r>
            <w:r w:rsidR="005750EB">
              <w:rPr>
                <w:rFonts w:ascii="Calibri Light" w:eastAsia="Times New Roman" w:hAnsi="Calibri Light" w:cs="Calibri Light"/>
                <w:color w:val="000000"/>
                <w:sz w:val="20"/>
                <w:szCs w:val="20"/>
              </w:rPr>
              <w:t>ț</w:t>
            </w:r>
            <w:r w:rsidRPr="00EA7932">
              <w:rPr>
                <w:rFonts w:ascii="Calibri Light" w:eastAsia="Times New Roman" w:hAnsi="Calibri Light" w:cs="Calibri Light"/>
                <w:color w:val="000000"/>
                <w:sz w:val="20"/>
                <w:szCs w:val="20"/>
              </w:rPr>
              <w:t>ioner AD18B1EOD</w:t>
            </w:r>
          </w:p>
        </w:tc>
        <w:tc>
          <w:tcPr>
            <w:tcW w:w="1409" w:type="dxa"/>
            <w:shd w:val="clear" w:color="auto" w:fill="auto"/>
            <w:noWrap/>
            <w:vAlign w:val="center"/>
            <w:hideMark/>
          </w:tcPr>
          <w:p w14:paraId="29C8548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12.12.2002</w:t>
            </w:r>
          </w:p>
        </w:tc>
        <w:tc>
          <w:tcPr>
            <w:tcW w:w="1450" w:type="dxa"/>
            <w:shd w:val="clear" w:color="auto" w:fill="auto"/>
            <w:noWrap/>
            <w:vAlign w:val="center"/>
            <w:hideMark/>
          </w:tcPr>
          <w:p w14:paraId="055F9211"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12330021</w:t>
            </w:r>
          </w:p>
        </w:tc>
        <w:tc>
          <w:tcPr>
            <w:tcW w:w="1047" w:type="dxa"/>
            <w:shd w:val="clear" w:color="auto" w:fill="auto"/>
            <w:noWrap/>
            <w:vAlign w:val="center"/>
            <w:hideMark/>
          </w:tcPr>
          <w:p w14:paraId="3E73538B"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6958CC4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6.531,25</w:t>
            </w:r>
          </w:p>
        </w:tc>
        <w:tc>
          <w:tcPr>
            <w:tcW w:w="1000" w:type="dxa"/>
            <w:shd w:val="clear" w:color="auto" w:fill="auto"/>
            <w:noWrap/>
            <w:vAlign w:val="center"/>
            <w:hideMark/>
          </w:tcPr>
          <w:p w14:paraId="0EA14591"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5BF67EA0"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Defectat</w:t>
            </w:r>
          </w:p>
        </w:tc>
      </w:tr>
      <w:tr w:rsidR="00882FE7" w:rsidRPr="00EA7932" w14:paraId="5D3007CA" w14:textId="77777777" w:rsidTr="00EA7932">
        <w:trPr>
          <w:trHeight w:val="240"/>
          <w:jc w:val="center"/>
        </w:trPr>
        <w:tc>
          <w:tcPr>
            <w:tcW w:w="560" w:type="dxa"/>
            <w:shd w:val="clear" w:color="auto" w:fill="auto"/>
            <w:noWrap/>
            <w:vAlign w:val="center"/>
            <w:hideMark/>
          </w:tcPr>
          <w:p w14:paraId="236A4843"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17</w:t>
            </w:r>
          </w:p>
        </w:tc>
        <w:tc>
          <w:tcPr>
            <w:tcW w:w="4946" w:type="dxa"/>
            <w:shd w:val="clear" w:color="auto" w:fill="auto"/>
            <w:noWrap/>
            <w:vAlign w:val="center"/>
            <w:hideMark/>
          </w:tcPr>
          <w:p w14:paraId="3F62FDF1" w14:textId="072EBF9F"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Condi</w:t>
            </w:r>
            <w:r w:rsidR="005750EB">
              <w:rPr>
                <w:rFonts w:ascii="Calibri Light" w:eastAsia="Times New Roman" w:hAnsi="Calibri Light" w:cs="Calibri Light"/>
                <w:color w:val="000000"/>
                <w:sz w:val="20"/>
                <w:szCs w:val="20"/>
              </w:rPr>
              <w:t>ț</w:t>
            </w:r>
            <w:r w:rsidRPr="00EA7932">
              <w:rPr>
                <w:rFonts w:ascii="Calibri Light" w:eastAsia="Times New Roman" w:hAnsi="Calibri Light" w:cs="Calibri Light"/>
                <w:color w:val="000000"/>
                <w:sz w:val="20"/>
                <w:szCs w:val="20"/>
              </w:rPr>
              <w:t>ioner AD 18B1EOD-2</w:t>
            </w:r>
          </w:p>
        </w:tc>
        <w:tc>
          <w:tcPr>
            <w:tcW w:w="1409" w:type="dxa"/>
            <w:shd w:val="clear" w:color="auto" w:fill="auto"/>
            <w:noWrap/>
            <w:vAlign w:val="center"/>
            <w:hideMark/>
          </w:tcPr>
          <w:p w14:paraId="53B4EAF4"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12.12.2002</w:t>
            </w:r>
          </w:p>
        </w:tc>
        <w:tc>
          <w:tcPr>
            <w:tcW w:w="1450" w:type="dxa"/>
            <w:shd w:val="clear" w:color="auto" w:fill="auto"/>
            <w:noWrap/>
            <w:vAlign w:val="center"/>
            <w:hideMark/>
          </w:tcPr>
          <w:p w14:paraId="5EA67BC3"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12330022</w:t>
            </w:r>
          </w:p>
        </w:tc>
        <w:tc>
          <w:tcPr>
            <w:tcW w:w="1047" w:type="dxa"/>
            <w:shd w:val="clear" w:color="auto" w:fill="auto"/>
            <w:noWrap/>
            <w:vAlign w:val="center"/>
            <w:hideMark/>
          </w:tcPr>
          <w:p w14:paraId="33E6E1F9"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3B77EA2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6.531,25</w:t>
            </w:r>
          </w:p>
        </w:tc>
        <w:tc>
          <w:tcPr>
            <w:tcW w:w="1000" w:type="dxa"/>
            <w:shd w:val="clear" w:color="auto" w:fill="auto"/>
            <w:noWrap/>
            <w:vAlign w:val="center"/>
            <w:hideMark/>
          </w:tcPr>
          <w:p w14:paraId="025E5B5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78E3FB63" w14:textId="2779F4CE"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148CD10C" w14:textId="77777777" w:rsidTr="00EA7932">
        <w:trPr>
          <w:trHeight w:val="240"/>
          <w:jc w:val="center"/>
        </w:trPr>
        <w:tc>
          <w:tcPr>
            <w:tcW w:w="560" w:type="dxa"/>
            <w:shd w:val="clear" w:color="auto" w:fill="auto"/>
            <w:noWrap/>
            <w:vAlign w:val="center"/>
            <w:hideMark/>
          </w:tcPr>
          <w:p w14:paraId="16A7C6D9"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18</w:t>
            </w:r>
          </w:p>
        </w:tc>
        <w:tc>
          <w:tcPr>
            <w:tcW w:w="4946" w:type="dxa"/>
            <w:shd w:val="clear" w:color="auto" w:fill="auto"/>
            <w:noWrap/>
            <w:vAlign w:val="center"/>
            <w:hideMark/>
          </w:tcPr>
          <w:p w14:paraId="3D842CFA"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Xerox WorkCentre 3325 MFP/3974066369</w:t>
            </w:r>
          </w:p>
        </w:tc>
        <w:tc>
          <w:tcPr>
            <w:tcW w:w="1409" w:type="dxa"/>
            <w:shd w:val="clear" w:color="auto" w:fill="auto"/>
            <w:noWrap/>
            <w:vAlign w:val="center"/>
            <w:hideMark/>
          </w:tcPr>
          <w:p w14:paraId="12BE4ADD"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10.01.2014</w:t>
            </w:r>
          </w:p>
        </w:tc>
        <w:tc>
          <w:tcPr>
            <w:tcW w:w="1450" w:type="dxa"/>
            <w:shd w:val="clear" w:color="auto" w:fill="auto"/>
            <w:noWrap/>
            <w:vAlign w:val="center"/>
            <w:hideMark/>
          </w:tcPr>
          <w:p w14:paraId="294AC42C"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12330112</w:t>
            </w:r>
          </w:p>
        </w:tc>
        <w:tc>
          <w:tcPr>
            <w:tcW w:w="1047" w:type="dxa"/>
            <w:shd w:val="clear" w:color="auto" w:fill="auto"/>
            <w:noWrap/>
            <w:vAlign w:val="center"/>
            <w:hideMark/>
          </w:tcPr>
          <w:p w14:paraId="34549531"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2BEC3E09"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6.983,39</w:t>
            </w:r>
          </w:p>
        </w:tc>
        <w:tc>
          <w:tcPr>
            <w:tcW w:w="1000" w:type="dxa"/>
            <w:shd w:val="clear" w:color="auto" w:fill="auto"/>
            <w:noWrap/>
            <w:vAlign w:val="center"/>
            <w:hideMark/>
          </w:tcPr>
          <w:p w14:paraId="2114B2D1"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321CC3B5" w14:textId="0CB1459A"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6580D9D8" w14:textId="77777777" w:rsidTr="00EA7932">
        <w:trPr>
          <w:trHeight w:val="240"/>
          <w:jc w:val="center"/>
        </w:trPr>
        <w:tc>
          <w:tcPr>
            <w:tcW w:w="560" w:type="dxa"/>
            <w:shd w:val="clear" w:color="auto" w:fill="auto"/>
            <w:noWrap/>
            <w:vAlign w:val="center"/>
            <w:hideMark/>
          </w:tcPr>
          <w:p w14:paraId="793C681D"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19</w:t>
            </w:r>
          </w:p>
        </w:tc>
        <w:tc>
          <w:tcPr>
            <w:tcW w:w="4946" w:type="dxa"/>
            <w:shd w:val="clear" w:color="auto" w:fill="auto"/>
            <w:noWrap/>
            <w:vAlign w:val="center"/>
            <w:hideMark/>
          </w:tcPr>
          <w:p w14:paraId="1D730790"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NoteBook ASUS - X555</w:t>
            </w:r>
          </w:p>
        </w:tc>
        <w:tc>
          <w:tcPr>
            <w:tcW w:w="1409" w:type="dxa"/>
            <w:shd w:val="clear" w:color="auto" w:fill="auto"/>
            <w:noWrap/>
            <w:vAlign w:val="center"/>
            <w:hideMark/>
          </w:tcPr>
          <w:p w14:paraId="60F5EFDC"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31.03.2015</w:t>
            </w:r>
          </w:p>
        </w:tc>
        <w:tc>
          <w:tcPr>
            <w:tcW w:w="1450" w:type="dxa"/>
            <w:shd w:val="clear" w:color="auto" w:fill="auto"/>
            <w:noWrap/>
            <w:vAlign w:val="center"/>
            <w:hideMark/>
          </w:tcPr>
          <w:p w14:paraId="55FFAEE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12330123</w:t>
            </w:r>
          </w:p>
        </w:tc>
        <w:tc>
          <w:tcPr>
            <w:tcW w:w="1047" w:type="dxa"/>
            <w:shd w:val="clear" w:color="auto" w:fill="auto"/>
            <w:noWrap/>
            <w:vAlign w:val="center"/>
            <w:hideMark/>
          </w:tcPr>
          <w:p w14:paraId="4CE4AD0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BCFB837"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13.675,00</w:t>
            </w:r>
          </w:p>
        </w:tc>
        <w:tc>
          <w:tcPr>
            <w:tcW w:w="1000" w:type="dxa"/>
            <w:shd w:val="clear" w:color="auto" w:fill="auto"/>
            <w:noWrap/>
            <w:vAlign w:val="center"/>
            <w:hideMark/>
          </w:tcPr>
          <w:p w14:paraId="6ADB16C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7205D9C9" w14:textId="07C7D25B"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42754563" w14:textId="77777777" w:rsidTr="00EA7932">
        <w:trPr>
          <w:trHeight w:val="240"/>
          <w:jc w:val="center"/>
        </w:trPr>
        <w:tc>
          <w:tcPr>
            <w:tcW w:w="560" w:type="dxa"/>
            <w:shd w:val="clear" w:color="auto" w:fill="auto"/>
            <w:noWrap/>
            <w:vAlign w:val="center"/>
            <w:hideMark/>
          </w:tcPr>
          <w:p w14:paraId="1B322DFB"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20</w:t>
            </w:r>
          </w:p>
        </w:tc>
        <w:tc>
          <w:tcPr>
            <w:tcW w:w="4946" w:type="dxa"/>
            <w:shd w:val="clear" w:color="auto" w:fill="auto"/>
            <w:noWrap/>
            <w:vAlign w:val="center"/>
            <w:hideMark/>
          </w:tcPr>
          <w:p w14:paraId="6F1AA8FC"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Notebook HP Compaq 6730 Windows Vista</w:t>
            </w:r>
          </w:p>
        </w:tc>
        <w:tc>
          <w:tcPr>
            <w:tcW w:w="1409" w:type="dxa"/>
            <w:shd w:val="clear" w:color="auto" w:fill="auto"/>
            <w:noWrap/>
            <w:vAlign w:val="center"/>
            <w:hideMark/>
          </w:tcPr>
          <w:p w14:paraId="6CD1AB3A"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15.05.2009</w:t>
            </w:r>
          </w:p>
        </w:tc>
        <w:tc>
          <w:tcPr>
            <w:tcW w:w="1450" w:type="dxa"/>
            <w:shd w:val="clear" w:color="auto" w:fill="auto"/>
            <w:noWrap/>
            <w:vAlign w:val="center"/>
            <w:hideMark/>
          </w:tcPr>
          <w:p w14:paraId="42A2CEA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12330069</w:t>
            </w:r>
          </w:p>
        </w:tc>
        <w:tc>
          <w:tcPr>
            <w:tcW w:w="1047" w:type="dxa"/>
            <w:shd w:val="clear" w:color="auto" w:fill="auto"/>
            <w:noWrap/>
            <w:vAlign w:val="center"/>
            <w:hideMark/>
          </w:tcPr>
          <w:p w14:paraId="7ADDA20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239D881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11.401,26</w:t>
            </w:r>
          </w:p>
        </w:tc>
        <w:tc>
          <w:tcPr>
            <w:tcW w:w="1000" w:type="dxa"/>
            <w:shd w:val="clear" w:color="auto" w:fill="auto"/>
            <w:noWrap/>
            <w:vAlign w:val="center"/>
            <w:hideMark/>
          </w:tcPr>
          <w:p w14:paraId="6D7B826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36464FEF" w14:textId="2CD1B48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Moral</w:t>
            </w:r>
            <w:r w:rsidR="005750EB">
              <w:rPr>
                <w:rFonts w:ascii="Calibri Light" w:eastAsia="Times New Roman" w:hAnsi="Calibri Light" w:cs="Calibri Light"/>
                <w:color w:val="000000"/>
                <w:sz w:val="20"/>
                <w:szCs w:val="20"/>
              </w:rPr>
              <w:t xml:space="preserve"> î</w:t>
            </w:r>
            <w:r w:rsidRPr="00EA7932">
              <w:rPr>
                <w:rFonts w:ascii="Calibri Light" w:eastAsia="Times New Roman" w:hAnsi="Calibri Light" w:cs="Calibri Light"/>
                <w:color w:val="000000"/>
                <w:sz w:val="20"/>
                <w:szCs w:val="20"/>
              </w:rPr>
              <w:t>nvechit</w:t>
            </w:r>
          </w:p>
        </w:tc>
      </w:tr>
      <w:tr w:rsidR="00882FE7" w:rsidRPr="00EA7932" w14:paraId="0EA936A7" w14:textId="77777777" w:rsidTr="00EA7932">
        <w:trPr>
          <w:trHeight w:val="240"/>
          <w:jc w:val="center"/>
        </w:trPr>
        <w:tc>
          <w:tcPr>
            <w:tcW w:w="560" w:type="dxa"/>
            <w:shd w:val="clear" w:color="auto" w:fill="auto"/>
            <w:noWrap/>
            <w:vAlign w:val="center"/>
            <w:hideMark/>
          </w:tcPr>
          <w:p w14:paraId="27F3BE55"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21</w:t>
            </w:r>
          </w:p>
        </w:tc>
        <w:tc>
          <w:tcPr>
            <w:tcW w:w="4946" w:type="dxa"/>
            <w:shd w:val="clear" w:color="auto" w:fill="auto"/>
            <w:noWrap/>
            <w:vAlign w:val="center"/>
            <w:hideMark/>
          </w:tcPr>
          <w:p w14:paraId="4CD994C6" w14:textId="77777777"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Notebook PC HPElitBook2570p CNU 3039 LWP </w:t>
            </w:r>
          </w:p>
        </w:tc>
        <w:tc>
          <w:tcPr>
            <w:tcW w:w="1409" w:type="dxa"/>
            <w:shd w:val="clear" w:color="auto" w:fill="auto"/>
            <w:noWrap/>
            <w:vAlign w:val="center"/>
            <w:hideMark/>
          </w:tcPr>
          <w:p w14:paraId="522D5E39"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11.02.2013</w:t>
            </w:r>
          </w:p>
        </w:tc>
        <w:tc>
          <w:tcPr>
            <w:tcW w:w="1450" w:type="dxa"/>
            <w:shd w:val="clear" w:color="auto" w:fill="auto"/>
            <w:noWrap/>
            <w:vAlign w:val="center"/>
            <w:hideMark/>
          </w:tcPr>
          <w:p w14:paraId="318498EF"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12330079</w:t>
            </w:r>
          </w:p>
        </w:tc>
        <w:tc>
          <w:tcPr>
            <w:tcW w:w="1047" w:type="dxa"/>
            <w:shd w:val="clear" w:color="auto" w:fill="auto"/>
            <w:noWrap/>
            <w:vAlign w:val="center"/>
            <w:hideMark/>
          </w:tcPr>
          <w:p w14:paraId="46EBD5B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60721BC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15.813,40</w:t>
            </w:r>
          </w:p>
        </w:tc>
        <w:tc>
          <w:tcPr>
            <w:tcW w:w="1000" w:type="dxa"/>
            <w:shd w:val="clear" w:color="auto" w:fill="auto"/>
            <w:noWrap/>
            <w:vAlign w:val="center"/>
            <w:hideMark/>
          </w:tcPr>
          <w:p w14:paraId="14A1774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116945D8" w14:textId="0407754A"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5757614" w14:textId="77777777" w:rsidTr="00EA7932">
        <w:trPr>
          <w:trHeight w:val="240"/>
          <w:jc w:val="center"/>
        </w:trPr>
        <w:tc>
          <w:tcPr>
            <w:tcW w:w="560" w:type="dxa"/>
            <w:shd w:val="clear" w:color="auto" w:fill="auto"/>
            <w:noWrap/>
            <w:vAlign w:val="center"/>
            <w:hideMark/>
          </w:tcPr>
          <w:p w14:paraId="0CA26D94"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22</w:t>
            </w:r>
          </w:p>
        </w:tc>
        <w:tc>
          <w:tcPr>
            <w:tcW w:w="4946" w:type="dxa"/>
            <w:shd w:val="clear" w:color="auto" w:fill="auto"/>
            <w:noWrap/>
            <w:vAlign w:val="center"/>
            <w:hideMark/>
          </w:tcPr>
          <w:p w14:paraId="4E527020" w14:textId="6B288B7E"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Transmi</w:t>
            </w:r>
            <w:r w:rsidR="00FA49BB">
              <w:rPr>
                <w:rFonts w:ascii="Calibri Light" w:eastAsia="Times New Roman" w:hAnsi="Calibri Light" w:cs="Calibri Light"/>
                <w:color w:val="000000"/>
                <w:sz w:val="20"/>
                <w:szCs w:val="20"/>
              </w:rPr>
              <w:t>ță</w:t>
            </w:r>
            <w:r w:rsidRPr="00EA7932">
              <w:rPr>
                <w:rFonts w:ascii="Calibri Light" w:eastAsia="Times New Roman" w:hAnsi="Calibri Light" w:cs="Calibri Light"/>
                <w:color w:val="000000"/>
                <w:sz w:val="20"/>
                <w:szCs w:val="20"/>
              </w:rPr>
              <w:t>tor digital  f</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r</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fir de semnal de emisie - recep</w:t>
            </w:r>
            <w:r w:rsidR="00FA49BB">
              <w:rPr>
                <w:rFonts w:ascii="Calibri Light" w:eastAsia="Times New Roman" w:hAnsi="Calibri Light" w:cs="Calibri Light"/>
                <w:color w:val="000000"/>
                <w:sz w:val="20"/>
                <w:szCs w:val="20"/>
              </w:rPr>
              <w:t>ț</w:t>
            </w:r>
            <w:r w:rsidRPr="00EA7932">
              <w:rPr>
                <w:rFonts w:ascii="Calibri Light" w:eastAsia="Times New Roman" w:hAnsi="Calibri Light" w:cs="Calibri Light"/>
                <w:color w:val="000000"/>
                <w:sz w:val="20"/>
                <w:szCs w:val="20"/>
              </w:rPr>
              <w:t>ie 1HCS-5300TDS-W Digital IR TRANSCEIVER</w:t>
            </w:r>
          </w:p>
        </w:tc>
        <w:tc>
          <w:tcPr>
            <w:tcW w:w="1409" w:type="dxa"/>
            <w:shd w:val="clear" w:color="auto" w:fill="auto"/>
            <w:noWrap/>
            <w:vAlign w:val="center"/>
            <w:hideMark/>
          </w:tcPr>
          <w:p w14:paraId="4BA45FA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7BF6765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12330103</w:t>
            </w:r>
          </w:p>
        </w:tc>
        <w:tc>
          <w:tcPr>
            <w:tcW w:w="1047" w:type="dxa"/>
            <w:shd w:val="clear" w:color="auto" w:fill="auto"/>
            <w:noWrap/>
            <w:vAlign w:val="center"/>
            <w:hideMark/>
          </w:tcPr>
          <w:p w14:paraId="3925C370"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8C77A9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9.547,61</w:t>
            </w:r>
          </w:p>
        </w:tc>
        <w:tc>
          <w:tcPr>
            <w:tcW w:w="1000" w:type="dxa"/>
            <w:shd w:val="clear" w:color="auto" w:fill="auto"/>
            <w:noWrap/>
            <w:vAlign w:val="center"/>
            <w:hideMark/>
          </w:tcPr>
          <w:p w14:paraId="17B63FE8"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45BE6D57" w14:textId="0D7C4ABA"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2F8F52A1" w14:textId="77777777" w:rsidTr="00EA7932">
        <w:trPr>
          <w:trHeight w:val="240"/>
          <w:jc w:val="center"/>
        </w:trPr>
        <w:tc>
          <w:tcPr>
            <w:tcW w:w="560" w:type="dxa"/>
            <w:shd w:val="clear" w:color="auto" w:fill="auto"/>
            <w:noWrap/>
            <w:vAlign w:val="center"/>
            <w:hideMark/>
          </w:tcPr>
          <w:p w14:paraId="763F9E13"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23</w:t>
            </w:r>
          </w:p>
        </w:tc>
        <w:tc>
          <w:tcPr>
            <w:tcW w:w="4946" w:type="dxa"/>
            <w:shd w:val="clear" w:color="auto" w:fill="auto"/>
            <w:noWrap/>
            <w:vAlign w:val="center"/>
            <w:hideMark/>
          </w:tcPr>
          <w:p w14:paraId="01A043AE" w14:textId="74703831"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Transmi</w:t>
            </w:r>
            <w:r w:rsidR="00FA49BB">
              <w:rPr>
                <w:rFonts w:ascii="Calibri Light" w:eastAsia="Times New Roman" w:hAnsi="Calibri Light" w:cs="Calibri Light"/>
                <w:color w:val="000000"/>
                <w:sz w:val="20"/>
                <w:szCs w:val="20"/>
              </w:rPr>
              <w:t>ță</w:t>
            </w:r>
            <w:r w:rsidRPr="00EA7932">
              <w:rPr>
                <w:rFonts w:ascii="Calibri Light" w:eastAsia="Times New Roman" w:hAnsi="Calibri Light" w:cs="Calibri Light"/>
                <w:color w:val="000000"/>
                <w:sz w:val="20"/>
                <w:szCs w:val="20"/>
              </w:rPr>
              <w:t>tor digital  f</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r</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fir de semnal de emisie - receptie 1HCS-5300TDS-W Digital IR TRANSCEIVER</w:t>
            </w:r>
          </w:p>
        </w:tc>
        <w:tc>
          <w:tcPr>
            <w:tcW w:w="1409" w:type="dxa"/>
            <w:shd w:val="clear" w:color="auto" w:fill="auto"/>
            <w:noWrap/>
            <w:vAlign w:val="center"/>
            <w:hideMark/>
          </w:tcPr>
          <w:p w14:paraId="7C51189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4E29436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12330103</w:t>
            </w:r>
          </w:p>
        </w:tc>
        <w:tc>
          <w:tcPr>
            <w:tcW w:w="1047" w:type="dxa"/>
            <w:shd w:val="clear" w:color="auto" w:fill="auto"/>
            <w:noWrap/>
            <w:vAlign w:val="center"/>
            <w:hideMark/>
          </w:tcPr>
          <w:p w14:paraId="200BB70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C79AE5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9.547,61</w:t>
            </w:r>
          </w:p>
        </w:tc>
        <w:tc>
          <w:tcPr>
            <w:tcW w:w="1000" w:type="dxa"/>
            <w:shd w:val="clear" w:color="auto" w:fill="auto"/>
            <w:noWrap/>
            <w:vAlign w:val="center"/>
            <w:hideMark/>
          </w:tcPr>
          <w:p w14:paraId="6321D97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24A02A9B" w14:textId="1028945C"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3096AE3" w14:textId="77777777" w:rsidTr="00EA7932">
        <w:trPr>
          <w:trHeight w:val="240"/>
          <w:jc w:val="center"/>
        </w:trPr>
        <w:tc>
          <w:tcPr>
            <w:tcW w:w="560" w:type="dxa"/>
            <w:shd w:val="clear" w:color="auto" w:fill="auto"/>
            <w:noWrap/>
            <w:vAlign w:val="center"/>
            <w:hideMark/>
          </w:tcPr>
          <w:p w14:paraId="2861A78E"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24</w:t>
            </w:r>
          </w:p>
        </w:tc>
        <w:tc>
          <w:tcPr>
            <w:tcW w:w="4946" w:type="dxa"/>
            <w:shd w:val="clear" w:color="auto" w:fill="auto"/>
            <w:noWrap/>
            <w:vAlign w:val="center"/>
            <w:hideMark/>
          </w:tcPr>
          <w:p w14:paraId="4565CDD9" w14:textId="28D9ACBB"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Unitatea dijital</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de mas</w:t>
            </w:r>
            <w:r w:rsidR="00FA49B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p</w:t>
            </w:r>
            <w:r w:rsidR="00FA49BB">
              <w:rPr>
                <w:rFonts w:ascii="Calibri Light" w:eastAsia="Times New Roman" w:hAnsi="Calibri Light" w:cs="Calibri Light"/>
                <w:color w:val="000000"/>
                <w:sz w:val="20"/>
                <w:szCs w:val="20"/>
              </w:rPr>
              <w:t>entr</w:t>
            </w:r>
            <w:r w:rsidRPr="00EA7932">
              <w:rPr>
                <w:rFonts w:ascii="Calibri Light" w:eastAsia="Times New Roman" w:hAnsi="Calibri Light" w:cs="Calibri Light"/>
                <w:color w:val="000000"/>
                <w:sz w:val="20"/>
                <w:szCs w:val="20"/>
              </w:rPr>
              <w:t>u presedinte HCS-5300CE_G DEGITAL IR Wireless Chairman Unit</w:t>
            </w:r>
          </w:p>
        </w:tc>
        <w:tc>
          <w:tcPr>
            <w:tcW w:w="1409" w:type="dxa"/>
            <w:shd w:val="clear" w:color="auto" w:fill="auto"/>
            <w:noWrap/>
            <w:vAlign w:val="center"/>
            <w:hideMark/>
          </w:tcPr>
          <w:p w14:paraId="6D96E0CF"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503B6361"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12330107</w:t>
            </w:r>
          </w:p>
        </w:tc>
        <w:tc>
          <w:tcPr>
            <w:tcW w:w="1047" w:type="dxa"/>
            <w:shd w:val="clear" w:color="auto" w:fill="auto"/>
            <w:noWrap/>
            <w:vAlign w:val="center"/>
            <w:hideMark/>
          </w:tcPr>
          <w:p w14:paraId="11605596"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37C00AB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17.439,74</w:t>
            </w:r>
          </w:p>
        </w:tc>
        <w:tc>
          <w:tcPr>
            <w:tcW w:w="1000" w:type="dxa"/>
            <w:shd w:val="clear" w:color="auto" w:fill="auto"/>
            <w:noWrap/>
            <w:vAlign w:val="center"/>
            <w:hideMark/>
          </w:tcPr>
          <w:p w14:paraId="5D67392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5C07D1D3" w14:textId="41C45794"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4CB33581" w14:textId="77777777" w:rsidTr="00EA7932">
        <w:trPr>
          <w:trHeight w:val="240"/>
          <w:jc w:val="center"/>
        </w:trPr>
        <w:tc>
          <w:tcPr>
            <w:tcW w:w="560" w:type="dxa"/>
            <w:shd w:val="clear" w:color="auto" w:fill="auto"/>
            <w:noWrap/>
            <w:vAlign w:val="center"/>
            <w:hideMark/>
          </w:tcPr>
          <w:p w14:paraId="0B565B23"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25</w:t>
            </w:r>
          </w:p>
        </w:tc>
        <w:tc>
          <w:tcPr>
            <w:tcW w:w="4946" w:type="dxa"/>
            <w:shd w:val="clear" w:color="auto" w:fill="auto"/>
            <w:noWrap/>
            <w:vAlign w:val="center"/>
            <w:hideMark/>
          </w:tcPr>
          <w:p w14:paraId="0AF30AEF" w14:textId="3A362B1D"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Unitatea dubl</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de mas</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p</w:t>
            </w:r>
            <w:r w:rsidR="005750EB">
              <w:rPr>
                <w:rFonts w:ascii="Calibri Light" w:eastAsia="Times New Roman" w:hAnsi="Calibri Light" w:cs="Calibri Light"/>
                <w:color w:val="000000"/>
                <w:sz w:val="20"/>
                <w:szCs w:val="20"/>
              </w:rPr>
              <w:t>entr</w:t>
            </w:r>
            <w:r w:rsidRPr="00EA7932">
              <w:rPr>
                <w:rFonts w:ascii="Calibri Light" w:eastAsia="Times New Roman" w:hAnsi="Calibri Light" w:cs="Calibri Light"/>
                <w:color w:val="000000"/>
                <w:sz w:val="20"/>
                <w:szCs w:val="20"/>
              </w:rPr>
              <w:t>u delegat HCS-5301D_G Digital ir WIRELESS DELEGATE UNIT</w:t>
            </w:r>
          </w:p>
        </w:tc>
        <w:tc>
          <w:tcPr>
            <w:tcW w:w="1409" w:type="dxa"/>
            <w:shd w:val="clear" w:color="auto" w:fill="auto"/>
            <w:noWrap/>
            <w:vAlign w:val="center"/>
            <w:hideMark/>
          </w:tcPr>
          <w:p w14:paraId="28F735A9"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2ED26F22"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12330108</w:t>
            </w:r>
          </w:p>
        </w:tc>
        <w:tc>
          <w:tcPr>
            <w:tcW w:w="1047" w:type="dxa"/>
            <w:shd w:val="clear" w:color="auto" w:fill="auto"/>
            <w:noWrap/>
            <w:vAlign w:val="center"/>
            <w:hideMark/>
          </w:tcPr>
          <w:p w14:paraId="59FE43EA"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0A805CA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16.083,94</w:t>
            </w:r>
          </w:p>
        </w:tc>
        <w:tc>
          <w:tcPr>
            <w:tcW w:w="1000" w:type="dxa"/>
            <w:shd w:val="clear" w:color="auto" w:fill="auto"/>
            <w:noWrap/>
            <w:vAlign w:val="center"/>
            <w:hideMark/>
          </w:tcPr>
          <w:p w14:paraId="7970053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59848A1C" w14:textId="4B20C8AF"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4C31417" w14:textId="77777777" w:rsidTr="00EA7932">
        <w:trPr>
          <w:trHeight w:val="240"/>
          <w:jc w:val="center"/>
        </w:trPr>
        <w:tc>
          <w:tcPr>
            <w:tcW w:w="560" w:type="dxa"/>
            <w:shd w:val="clear" w:color="auto" w:fill="auto"/>
            <w:noWrap/>
            <w:vAlign w:val="center"/>
            <w:hideMark/>
          </w:tcPr>
          <w:p w14:paraId="12186DD5"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26</w:t>
            </w:r>
          </w:p>
        </w:tc>
        <w:tc>
          <w:tcPr>
            <w:tcW w:w="4946" w:type="dxa"/>
            <w:shd w:val="clear" w:color="auto" w:fill="auto"/>
            <w:noWrap/>
            <w:vAlign w:val="center"/>
            <w:hideMark/>
          </w:tcPr>
          <w:p w14:paraId="4E3A414C" w14:textId="43BFB08C"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Unitatea simultan</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interpret -1 HCS-4385U/50 Fully Digial Congress System Interpreter Unit</w:t>
            </w:r>
          </w:p>
        </w:tc>
        <w:tc>
          <w:tcPr>
            <w:tcW w:w="1409" w:type="dxa"/>
            <w:shd w:val="clear" w:color="auto" w:fill="auto"/>
            <w:noWrap/>
            <w:vAlign w:val="center"/>
            <w:hideMark/>
          </w:tcPr>
          <w:p w14:paraId="2BE7CDF0"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76D4350B"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12330109</w:t>
            </w:r>
          </w:p>
        </w:tc>
        <w:tc>
          <w:tcPr>
            <w:tcW w:w="1047" w:type="dxa"/>
            <w:shd w:val="clear" w:color="auto" w:fill="auto"/>
            <w:noWrap/>
            <w:vAlign w:val="center"/>
            <w:hideMark/>
          </w:tcPr>
          <w:p w14:paraId="4603E46D"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1E5F0623"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16.897,41</w:t>
            </w:r>
          </w:p>
        </w:tc>
        <w:tc>
          <w:tcPr>
            <w:tcW w:w="1000" w:type="dxa"/>
            <w:shd w:val="clear" w:color="auto" w:fill="auto"/>
            <w:noWrap/>
            <w:vAlign w:val="center"/>
            <w:hideMark/>
          </w:tcPr>
          <w:p w14:paraId="3E7B2CB4"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166ED3E1" w14:textId="04EFFAF5"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Moral</w:t>
            </w:r>
            <w:r w:rsidR="005750EB">
              <w:rPr>
                <w:rFonts w:ascii="Calibri Light" w:eastAsia="Times New Roman" w:hAnsi="Calibri Light" w:cs="Calibri Light"/>
                <w:color w:val="000000"/>
                <w:sz w:val="20"/>
                <w:szCs w:val="20"/>
              </w:rPr>
              <w:t xml:space="preserve"> î</w:t>
            </w:r>
            <w:r w:rsidRPr="00EA7932">
              <w:rPr>
                <w:rFonts w:ascii="Calibri Light" w:eastAsia="Times New Roman" w:hAnsi="Calibri Light" w:cs="Calibri Light"/>
                <w:color w:val="000000"/>
                <w:sz w:val="20"/>
                <w:szCs w:val="20"/>
              </w:rPr>
              <w:t>nvechit</w:t>
            </w:r>
          </w:p>
        </w:tc>
      </w:tr>
      <w:tr w:rsidR="00882FE7" w:rsidRPr="00EA7932" w14:paraId="7542D96A" w14:textId="77777777" w:rsidTr="00EA7932">
        <w:trPr>
          <w:trHeight w:val="240"/>
          <w:jc w:val="center"/>
        </w:trPr>
        <w:tc>
          <w:tcPr>
            <w:tcW w:w="560" w:type="dxa"/>
            <w:shd w:val="clear" w:color="auto" w:fill="auto"/>
            <w:noWrap/>
            <w:vAlign w:val="center"/>
            <w:hideMark/>
          </w:tcPr>
          <w:p w14:paraId="3AE6766B"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27</w:t>
            </w:r>
          </w:p>
        </w:tc>
        <w:tc>
          <w:tcPr>
            <w:tcW w:w="4946" w:type="dxa"/>
            <w:shd w:val="clear" w:color="auto" w:fill="auto"/>
            <w:noWrap/>
            <w:vAlign w:val="center"/>
            <w:hideMark/>
          </w:tcPr>
          <w:p w14:paraId="3659CC53" w14:textId="057B4746"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Unitatea simultan</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interpret -2 HCS-4385U/50 Fully Digial Congress System Interpreter Unit</w:t>
            </w:r>
          </w:p>
        </w:tc>
        <w:tc>
          <w:tcPr>
            <w:tcW w:w="1409" w:type="dxa"/>
            <w:shd w:val="clear" w:color="auto" w:fill="auto"/>
            <w:noWrap/>
            <w:vAlign w:val="center"/>
            <w:hideMark/>
          </w:tcPr>
          <w:p w14:paraId="2E0063BF"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5FFF56D3"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12330109</w:t>
            </w:r>
          </w:p>
        </w:tc>
        <w:tc>
          <w:tcPr>
            <w:tcW w:w="1047" w:type="dxa"/>
            <w:shd w:val="clear" w:color="auto" w:fill="auto"/>
            <w:noWrap/>
            <w:vAlign w:val="center"/>
            <w:hideMark/>
          </w:tcPr>
          <w:p w14:paraId="61B2BE95"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2146437B"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16.897,41</w:t>
            </w:r>
          </w:p>
        </w:tc>
        <w:tc>
          <w:tcPr>
            <w:tcW w:w="1000" w:type="dxa"/>
            <w:shd w:val="clear" w:color="auto" w:fill="auto"/>
            <w:noWrap/>
            <w:vAlign w:val="center"/>
            <w:hideMark/>
          </w:tcPr>
          <w:p w14:paraId="1F9787FF"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134911F7" w14:textId="6569F9BB"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3CDFD937" w14:textId="77777777" w:rsidTr="00EA7932">
        <w:trPr>
          <w:trHeight w:val="240"/>
          <w:jc w:val="center"/>
        </w:trPr>
        <w:tc>
          <w:tcPr>
            <w:tcW w:w="560" w:type="dxa"/>
            <w:shd w:val="clear" w:color="auto" w:fill="auto"/>
            <w:noWrap/>
            <w:vAlign w:val="center"/>
            <w:hideMark/>
          </w:tcPr>
          <w:p w14:paraId="209BA98D"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28</w:t>
            </w:r>
          </w:p>
        </w:tc>
        <w:tc>
          <w:tcPr>
            <w:tcW w:w="4946" w:type="dxa"/>
            <w:shd w:val="clear" w:color="auto" w:fill="auto"/>
            <w:noWrap/>
            <w:vAlign w:val="center"/>
            <w:hideMark/>
          </w:tcPr>
          <w:p w14:paraId="0EC44B63" w14:textId="3E9F5140" w:rsidR="00882FE7" w:rsidRPr="00EA7932" w:rsidRDefault="005750EB" w:rsidP="0062749B">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Î</w:t>
            </w:r>
            <w:r w:rsidR="00882FE7" w:rsidRPr="00EA7932">
              <w:rPr>
                <w:rFonts w:ascii="Calibri Light" w:eastAsia="Times New Roman" w:hAnsi="Calibri Light" w:cs="Calibri Light"/>
                <w:color w:val="000000"/>
                <w:sz w:val="20"/>
                <w:szCs w:val="20"/>
              </w:rPr>
              <w:t>nc</w:t>
            </w:r>
            <w:r>
              <w:rPr>
                <w:rFonts w:ascii="Calibri Light" w:eastAsia="Times New Roman" w:hAnsi="Calibri Light" w:cs="Calibri Light"/>
                <w:color w:val="000000"/>
                <w:sz w:val="20"/>
                <w:szCs w:val="20"/>
              </w:rPr>
              <w:t>ă</w:t>
            </w:r>
            <w:r w:rsidR="00882FE7" w:rsidRPr="00EA7932">
              <w:rPr>
                <w:rFonts w:ascii="Calibri Light" w:eastAsia="Times New Roman" w:hAnsi="Calibri Light" w:cs="Calibri Light"/>
                <w:color w:val="000000"/>
                <w:sz w:val="20"/>
                <w:szCs w:val="20"/>
              </w:rPr>
              <w:t>rc</w:t>
            </w:r>
            <w:r>
              <w:rPr>
                <w:rFonts w:ascii="Calibri Light" w:eastAsia="Times New Roman" w:hAnsi="Calibri Light" w:cs="Calibri Light"/>
                <w:color w:val="000000"/>
                <w:sz w:val="20"/>
                <w:szCs w:val="20"/>
              </w:rPr>
              <w:t>ă</w:t>
            </w:r>
            <w:r w:rsidR="00882FE7" w:rsidRPr="00EA7932">
              <w:rPr>
                <w:rFonts w:ascii="Calibri Light" w:eastAsia="Times New Roman" w:hAnsi="Calibri Light" w:cs="Calibri Light"/>
                <w:color w:val="000000"/>
                <w:sz w:val="20"/>
                <w:szCs w:val="20"/>
              </w:rPr>
              <w:t>tor de baterie HCS-5300CHG/08 Battery Charger</w:t>
            </w:r>
          </w:p>
        </w:tc>
        <w:tc>
          <w:tcPr>
            <w:tcW w:w="1409" w:type="dxa"/>
            <w:shd w:val="clear" w:color="auto" w:fill="auto"/>
            <w:noWrap/>
            <w:vAlign w:val="center"/>
            <w:hideMark/>
          </w:tcPr>
          <w:p w14:paraId="1B8CBB2E"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00F59F9E"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12330047</w:t>
            </w:r>
          </w:p>
        </w:tc>
        <w:tc>
          <w:tcPr>
            <w:tcW w:w="1047" w:type="dxa"/>
            <w:shd w:val="clear" w:color="auto" w:fill="auto"/>
            <w:noWrap/>
            <w:vAlign w:val="center"/>
            <w:hideMark/>
          </w:tcPr>
          <w:p w14:paraId="69F923F2"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15E4F9EC"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10.832,04</w:t>
            </w:r>
          </w:p>
        </w:tc>
        <w:tc>
          <w:tcPr>
            <w:tcW w:w="1000" w:type="dxa"/>
            <w:shd w:val="clear" w:color="auto" w:fill="auto"/>
            <w:noWrap/>
            <w:vAlign w:val="center"/>
            <w:hideMark/>
          </w:tcPr>
          <w:p w14:paraId="0C548D1B"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22B60B65" w14:textId="00FCE968"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7588B45E" w14:textId="77777777" w:rsidTr="00EA7932">
        <w:trPr>
          <w:trHeight w:val="240"/>
          <w:jc w:val="center"/>
        </w:trPr>
        <w:tc>
          <w:tcPr>
            <w:tcW w:w="560" w:type="dxa"/>
            <w:shd w:val="clear" w:color="auto" w:fill="auto"/>
            <w:noWrap/>
            <w:vAlign w:val="center"/>
            <w:hideMark/>
          </w:tcPr>
          <w:p w14:paraId="729CDD4E" w14:textId="77777777" w:rsidR="00882FE7" w:rsidRPr="00EA7932" w:rsidRDefault="00882FE7" w:rsidP="0062749B">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29</w:t>
            </w:r>
          </w:p>
        </w:tc>
        <w:tc>
          <w:tcPr>
            <w:tcW w:w="4946" w:type="dxa"/>
            <w:shd w:val="clear" w:color="auto" w:fill="auto"/>
            <w:noWrap/>
            <w:vAlign w:val="center"/>
            <w:hideMark/>
          </w:tcPr>
          <w:p w14:paraId="06E300BC" w14:textId="2CD00491"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Receptor f</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r</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 fir de semnal</w:t>
            </w:r>
            <w:r w:rsidR="005750EB">
              <w:rPr>
                <w:rFonts w:ascii="Calibri Light" w:eastAsia="Times New Roman" w:hAnsi="Calibri Light" w:cs="Calibri Light"/>
                <w:color w:val="000000"/>
                <w:sz w:val="20"/>
                <w:szCs w:val="20"/>
              </w:rPr>
              <w:t>,</w:t>
            </w:r>
            <w:r w:rsidRPr="00EA7932">
              <w:rPr>
                <w:rFonts w:ascii="Calibri Light" w:eastAsia="Times New Roman" w:hAnsi="Calibri Light" w:cs="Calibri Light"/>
                <w:color w:val="000000"/>
                <w:sz w:val="20"/>
                <w:szCs w:val="20"/>
              </w:rPr>
              <w:t xml:space="preserve"> cu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nc</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rc</w:t>
            </w:r>
            <w:r w:rsidR="005750EB">
              <w:rPr>
                <w:rFonts w:ascii="Calibri Light" w:eastAsia="Times New Roman" w:hAnsi="Calibri Light" w:cs="Calibri Light"/>
                <w:color w:val="000000"/>
                <w:sz w:val="20"/>
                <w:szCs w:val="20"/>
              </w:rPr>
              <w:t>ă</w:t>
            </w:r>
            <w:r w:rsidRPr="00EA7932">
              <w:rPr>
                <w:rFonts w:ascii="Calibri Light" w:eastAsia="Times New Roman" w:hAnsi="Calibri Light" w:cs="Calibri Light"/>
                <w:color w:val="000000"/>
                <w:sz w:val="20"/>
                <w:szCs w:val="20"/>
              </w:rPr>
              <w:t xml:space="preserve">tor </w:t>
            </w:r>
            <w:r w:rsidR="005750EB">
              <w:rPr>
                <w:rFonts w:ascii="Calibri Light" w:eastAsia="Times New Roman" w:hAnsi="Calibri Light" w:cs="Calibri Light"/>
                <w:color w:val="000000"/>
                <w:sz w:val="20"/>
                <w:szCs w:val="20"/>
              </w:rPr>
              <w:t>ș</w:t>
            </w:r>
            <w:r w:rsidRPr="00EA7932">
              <w:rPr>
                <w:rFonts w:ascii="Calibri Light" w:eastAsia="Times New Roman" w:hAnsi="Calibri Light" w:cs="Calibri Light"/>
                <w:color w:val="000000"/>
                <w:sz w:val="20"/>
                <w:szCs w:val="20"/>
              </w:rPr>
              <w:t>i valiz</w:t>
            </w:r>
            <w:r w:rsidR="005750EB">
              <w:rPr>
                <w:rFonts w:ascii="Calibri Light" w:eastAsia="Times New Roman" w:hAnsi="Calibri Light" w:cs="Calibri Light"/>
                <w:color w:val="000000"/>
                <w:sz w:val="20"/>
                <w:szCs w:val="20"/>
              </w:rPr>
              <w:t>ă</w:t>
            </w:r>
          </w:p>
        </w:tc>
        <w:tc>
          <w:tcPr>
            <w:tcW w:w="1409" w:type="dxa"/>
            <w:shd w:val="clear" w:color="auto" w:fill="auto"/>
            <w:noWrap/>
            <w:vAlign w:val="center"/>
            <w:hideMark/>
          </w:tcPr>
          <w:p w14:paraId="4D9FE877"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31.12.2012</w:t>
            </w:r>
          </w:p>
        </w:tc>
        <w:tc>
          <w:tcPr>
            <w:tcW w:w="1450" w:type="dxa"/>
            <w:shd w:val="clear" w:color="auto" w:fill="auto"/>
            <w:noWrap/>
            <w:vAlign w:val="center"/>
            <w:hideMark/>
          </w:tcPr>
          <w:p w14:paraId="0AA5F19A" w14:textId="77777777" w:rsidR="00882FE7" w:rsidRPr="00EA7932" w:rsidRDefault="00882FE7" w:rsidP="0062749B">
            <w:pPr>
              <w:spacing w:after="0" w:line="240" w:lineRule="auto"/>
              <w:jc w:val="center"/>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12330093</w:t>
            </w:r>
          </w:p>
        </w:tc>
        <w:tc>
          <w:tcPr>
            <w:tcW w:w="1047" w:type="dxa"/>
            <w:shd w:val="clear" w:color="auto" w:fill="auto"/>
            <w:noWrap/>
            <w:vAlign w:val="center"/>
            <w:hideMark/>
          </w:tcPr>
          <w:p w14:paraId="1B3268A7"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w:t>
            </w:r>
          </w:p>
        </w:tc>
        <w:tc>
          <w:tcPr>
            <w:tcW w:w="1202" w:type="dxa"/>
            <w:shd w:val="clear" w:color="auto" w:fill="auto"/>
            <w:noWrap/>
            <w:vAlign w:val="center"/>
            <w:hideMark/>
          </w:tcPr>
          <w:p w14:paraId="77E5A1FC"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34.265,78</w:t>
            </w:r>
          </w:p>
        </w:tc>
        <w:tc>
          <w:tcPr>
            <w:tcW w:w="1000" w:type="dxa"/>
            <w:shd w:val="clear" w:color="auto" w:fill="auto"/>
            <w:noWrap/>
            <w:vAlign w:val="center"/>
            <w:hideMark/>
          </w:tcPr>
          <w:p w14:paraId="3F844026" w14:textId="77777777" w:rsidR="00882FE7" w:rsidRPr="00EA7932" w:rsidRDefault="00882FE7" w:rsidP="0062749B">
            <w:pPr>
              <w:spacing w:after="0" w:line="240" w:lineRule="auto"/>
              <w:jc w:val="right"/>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100%</w:t>
            </w:r>
          </w:p>
        </w:tc>
        <w:tc>
          <w:tcPr>
            <w:tcW w:w="2119" w:type="dxa"/>
            <w:shd w:val="clear" w:color="auto" w:fill="auto"/>
            <w:noWrap/>
            <w:vAlign w:val="center"/>
            <w:hideMark/>
          </w:tcPr>
          <w:p w14:paraId="4F9DD888" w14:textId="434BF81B" w:rsidR="00882FE7" w:rsidRPr="00EA7932" w:rsidRDefault="00882FE7" w:rsidP="0062749B">
            <w:pPr>
              <w:spacing w:after="0" w:line="240" w:lineRule="auto"/>
              <w:rPr>
                <w:rFonts w:ascii="Calibri Light" w:eastAsia="Times New Roman" w:hAnsi="Calibri Light" w:cs="Calibri Light"/>
                <w:color w:val="000000"/>
                <w:sz w:val="20"/>
                <w:szCs w:val="20"/>
              </w:rPr>
            </w:pPr>
            <w:r w:rsidRPr="00EA7932">
              <w:rPr>
                <w:rFonts w:ascii="Calibri Light" w:eastAsia="Times New Roman" w:hAnsi="Calibri Light" w:cs="Calibri Light"/>
                <w:color w:val="000000"/>
                <w:sz w:val="20"/>
                <w:szCs w:val="20"/>
              </w:rPr>
              <w:t xml:space="preserve">Moral </w:t>
            </w:r>
            <w:r w:rsidR="005750EB">
              <w:rPr>
                <w:rFonts w:ascii="Calibri Light" w:eastAsia="Times New Roman" w:hAnsi="Calibri Light" w:cs="Calibri Light"/>
                <w:color w:val="000000"/>
                <w:sz w:val="20"/>
                <w:szCs w:val="20"/>
              </w:rPr>
              <w:t>î</w:t>
            </w:r>
            <w:r w:rsidRPr="00EA7932">
              <w:rPr>
                <w:rFonts w:ascii="Calibri Light" w:eastAsia="Times New Roman" w:hAnsi="Calibri Light" w:cs="Calibri Light"/>
                <w:color w:val="000000"/>
                <w:sz w:val="20"/>
                <w:szCs w:val="20"/>
              </w:rPr>
              <w:t>nvechit</w:t>
            </w:r>
          </w:p>
        </w:tc>
      </w:tr>
      <w:tr w:rsidR="00882FE7" w:rsidRPr="00EA7932" w14:paraId="4B30EA7E" w14:textId="77777777" w:rsidTr="00EA7932">
        <w:trPr>
          <w:trHeight w:val="240"/>
          <w:jc w:val="center"/>
        </w:trPr>
        <w:tc>
          <w:tcPr>
            <w:tcW w:w="560" w:type="dxa"/>
            <w:shd w:val="clear" w:color="auto" w:fill="auto"/>
            <w:noWrap/>
            <w:vAlign w:val="center"/>
            <w:hideMark/>
          </w:tcPr>
          <w:p w14:paraId="187C679F" w14:textId="7EF0462F" w:rsidR="00882FE7" w:rsidRPr="00EA7932" w:rsidRDefault="00EA7932" w:rsidP="00EA7932">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x</w:t>
            </w:r>
          </w:p>
        </w:tc>
        <w:tc>
          <w:tcPr>
            <w:tcW w:w="4946" w:type="dxa"/>
            <w:shd w:val="clear" w:color="auto" w:fill="auto"/>
            <w:noWrap/>
            <w:vAlign w:val="bottom"/>
            <w:hideMark/>
          </w:tcPr>
          <w:p w14:paraId="77A000C5" w14:textId="77777777" w:rsidR="00882FE7" w:rsidRPr="00EA7932" w:rsidRDefault="00882FE7"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TOTAL</w:t>
            </w:r>
          </w:p>
        </w:tc>
        <w:tc>
          <w:tcPr>
            <w:tcW w:w="1409" w:type="dxa"/>
            <w:shd w:val="clear" w:color="auto" w:fill="auto"/>
            <w:noWrap/>
            <w:vAlign w:val="bottom"/>
            <w:hideMark/>
          </w:tcPr>
          <w:p w14:paraId="504A86BE" w14:textId="0E998F6F" w:rsidR="00882FE7" w:rsidRPr="00EA7932" w:rsidRDefault="00CE233D" w:rsidP="00EA7932">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p>
        </w:tc>
        <w:tc>
          <w:tcPr>
            <w:tcW w:w="1450" w:type="dxa"/>
            <w:shd w:val="clear" w:color="auto" w:fill="auto"/>
            <w:noWrap/>
            <w:vAlign w:val="bottom"/>
            <w:hideMark/>
          </w:tcPr>
          <w:p w14:paraId="5620068E" w14:textId="512D1FBD" w:rsidR="00882FE7" w:rsidRPr="00EA7932" w:rsidRDefault="00EA7932" w:rsidP="00EA7932">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p>
        </w:tc>
        <w:tc>
          <w:tcPr>
            <w:tcW w:w="1047" w:type="dxa"/>
            <w:shd w:val="clear" w:color="auto" w:fill="auto"/>
            <w:noWrap/>
            <w:vAlign w:val="bottom"/>
            <w:hideMark/>
          </w:tcPr>
          <w:p w14:paraId="25A86621" w14:textId="4B277C16" w:rsidR="00882FE7" w:rsidRPr="00EA7932" w:rsidRDefault="00EA7932" w:rsidP="00EA7932">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p>
        </w:tc>
        <w:tc>
          <w:tcPr>
            <w:tcW w:w="1202" w:type="dxa"/>
            <w:shd w:val="clear" w:color="auto" w:fill="auto"/>
            <w:noWrap/>
            <w:vAlign w:val="bottom"/>
            <w:hideMark/>
          </w:tcPr>
          <w:p w14:paraId="4862D315" w14:textId="77777777" w:rsidR="00882FE7" w:rsidRPr="00EA7932" w:rsidRDefault="00882FE7" w:rsidP="00EA7932">
            <w:pPr>
              <w:spacing w:after="0" w:line="240" w:lineRule="auto"/>
              <w:jc w:val="center"/>
              <w:rPr>
                <w:rFonts w:ascii="Calibri Light" w:eastAsia="Times New Roman" w:hAnsi="Calibri Light" w:cs="Calibri Light"/>
                <w:b/>
                <w:bCs/>
                <w:color w:val="000000"/>
                <w:sz w:val="20"/>
                <w:szCs w:val="20"/>
              </w:rPr>
            </w:pPr>
            <w:r w:rsidRPr="00EA7932">
              <w:rPr>
                <w:rFonts w:ascii="Calibri Light" w:eastAsia="Times New Roman" w:hAnsi="Calibri Light" w:cs="Calibri Light"/>
                <w:b/>
                <w:bCs/>
                <w:color w:val="000000"/>
                <w:sz w:val="20"/>
                <w:szCs w:val="20"/>
              </w:rPr>
              <w:t>380.513,54</w:t>
            </w:r>
          </w:p>
        </w:tc>
        <w:tc>
          <w:tcPr>
            <w:tcW w:w="1000" w:type="dxa"/>
            <w:shd w:val="clear" w:color="auto" w:fill="auto"/>
            <w:noWrap/>
            <w:vAlign w:val="bottom"/>
            <w:hideMark/>
          </w:tcPr>
          <w:p w14:paraId="1248B754" w14:textId="44D03D72" w:rsidR="00882FE7" w:rsidRPr="00EA7932" w:rsidRDefault="00EA7932" w:rsidP="00EA7932">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p>
        </w:tc>
        <w:tc>
          <w:tcPr>
            <w:tcW w:w="2119" w:type="dxa"/>
            <w:shd w:val="clear" w:color="auto" w:fill="auto"/>
            <w:noWrap/>
            <w:vAlign w:val="bottom"/>
            <w:hideMark/>
          </w:tcPr>
          <w:p w14:paraId="0AADDE2C" w14:textId="2A5CD1E7" w:rsidR="00882FE7" w:rsidRPr="00EA7932" w:rsidRDefault="004F57A7" w:rsidP="00EA7932">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X</w:t>
            </w:r>
          </w:p>
        </w:tc>
      </w:tr>
    </w:tbl>
    <w:p w14:paraId="12ECAE2E" w14:textId="485E60AD" w:rsidR="00A64E3C" w:rsidRDefault="00A64E3C" w:rsidP="005A1FA4">
      <w:pPr>
        <w:rPr>
          <w:rFonts w:asciiTheme="majorHAnsi" w:hAnsiTheme="majorHAnsi" w:cstheme="majorHAnsi"/>
          <w:sz w:val="24"/>
          <w:szCs w:val="24"/>
          <w:lang w:eastAsia="ro-MD"/>
        </w:rPr>
      </w:pPr>
    </w:p>
    <w:p w14:paraId="2B9F5F2B" w14:textId="77777777" w:rsidR="00CF7918" w:rsidRDefault="00CF7918">
      <w:pPr>
        <w:rPr>
          <w:rFonts w:asciiTheme="majorHAnsi" w:hAnsiTheme="majorHAnsi" w:cstheme="majorHAnsi"/>
          <w:sz w:val="24"/>
          <w:szCs w:val="24"/>
          <w:lang w:eastAsia="ro-MD"/>
        </w:rPr>
      </w:pPr>
      <w:r>
        <w:rPr>
          <w:rFonts w:asciiTheme="majorHAnsi" w:hAnsiTheme="majorHAnsi" w:cstheme="majorHAnsi"/>
          <w:sz w:val="24"/>
          <w:szCs w:val="24"/>
          <w:lang w:eastAsia="ro-MD"/>
        </w:rPr>
        <w:br w:type="page"/>
      </w:r>
    </w:p>
    <w:p w14:paraId="23AC39AD" w14:textId="77777777" w:rsidR="00CF7918" w:rsidRDefault="00CF7918">
      <w:pPr>
        <w:rPr>
          <w:rFonts w:asciiTheme="majorHAnsi" w:hAnsiTheme="majorHAnsi" w:cstheme="majorHAnsi"/>
          <w:sz w:val="24"/>
          <w:szCs w:val="24"/>
          <w:lang w:eastAsia="ro-MD"/>
        </w:rPr>
        <w:sectPr w:rsidR="00CF7918" w:rsidSect="00ED51DA">
          <w:pgSz w:w="16838" w:h="11906" w:orient="landscape" w:code="9"/>
          <w:pgMar w:top="1699" w:right="1138" w:bottom="566" w:left="1411" w:header="720" w:footer="720" w:gutter="0"/>
          <w:cols w:space="708"/>
          <w:docGrid w:linePitch="360"/>
        </w:sectPr>
      </w:pPr>
    </w:p>
    <w:tbl>
      <w:tblPr>
        <w:tblW w:w="8881" w:type="dxa"/>
        <w:jc w:val="center"/>
        <w:tblLook w:val="04A0" w:firstRow="1" w:lastRow="0" w:firstColumn="1" w:lastColumn="0" w:noHBand="0" w:noVBand="1"/>
      </w:tblPr>
      <w:tblGrid>
        <w:gridCol w:w="508"/>
        <w:gridCol w:w="4513"/>
        <w:gridCol w:w="1126"/>
        <w:gridCol w:w="939"/>
        <w:gridCol w:w="1807"/>
      </w:tblGrid>
      <w:tr w:rsidR="00CF7918" w:rsidRPr="00EA7932" w14:paraId="5B0C7A48" w14:textId="77777777" w:rsidTr="001A027A">
        <w:trPr>
          <w:trHeight w:val="168"/>
          <w:jc w:val="center"/>
        </w:trPr>
        <w:tc>
          <w:tcPr>
            <w:tcW w:w="498" w:type="dxa"/>
            <w:tcBorders>
              <w:top w:val="nil"/>
              <w:left w:val="nil"/>
              <w:bottom w:val="single" w:sz="4" w:space="0" w:color="auto"/>
              <w:right w:val="nil"/>
            </w:tcBorders>
            <w:shd w:val="clear" w:color="000000" w:fill="FFFFFF"/>
            <w:noWrap/>
            <w:vAlign w:val="center"/>
            <w:hideMark/>
          </w:tcPr>
          <w:p w14:paraId="3F21BCBF" w14:textId="77777777" w:rsidR="00CF7918" w:rsidRPr="00EA7932" w:rsidRDefault="00CF7918" w:rsidP="00543106">
            <w:pPr>
              <w:spacing w:after="0" w:line="240" w:lineRule="auto"/>
              <w:jc w:val="center"/>
              <w:rPr>
                <w:rFonts w:asciiTheme="majorHAnsi" w:eastAsia="Times New Roman" w:hAnsiTheme="majorHAnsi" w:cstheme="majorHAnsi"/>
                <w:b/>
                <w:bCs/>
                <w:color w:val="000000"/>
                <w:sz w:val="20"/>
                <w:szCs w:val="20"/>
              </w:rPr>
            </w:pPr>
            <w:r w:rsidRPr="00EA7932">
              <w:rPr>
                <w:rFonts w:asciiTheme="majorHAnsi" w:eastAsia="Times New Roman" w:hAnsiTheme="majorHAnsi" w:cstheme="majorHAnsi"/>
                <w:b/>
                <w:bCs/>
                <w:color w:val="000000"/>
                <w:sz w:val="20"/>
                <w:szCs w:val="20"/>
              </w:rPr>
              <w:t> </w:t>
            </w:r>
          </w:p>
        </w:tc>
        <w:tc>
          <w:tcPr>
            <w:tcW w:w="8383" w:type="dxa"/>
            <w:gridSpan w:val="4"/>
            <w:tcBorders>
              <w:top w:val="nil"/>
              <w:left w:val="nil"/>
              <w:bottom w:val="nil"/>
              <w:right w:val="nil"/>
            </w:tcBorders>
            <w:shd w:val="clear" w:color="000000" w:fill="FFFFFF"/>
            <w:noWrap/>
            <w:vAlign w:val="bottom"/>
            <w:hideMark/>
          </w:tcPr>
          <w:p w14:paraId="547425EB" w14:textId="47C91CE1" w:rsidR="008E5ED6" w:rsidRPr="00255E9C" w:rsidRDefault="008E5ED6" w:rsidP="00EA7932">
            <w:pPr>
              <w:jc w:val="right"/>
              <w:rPr>
                <w:rFonts w:asciiTheme="majorHAnsi" w:hAnsiTheme="majorHAnsi" w:cstheme="majorHAnsi"/>
                <w:i/>
                <w:sz w:val="24"/>
                <w:szCs w:val="24"/>
                <w:lang w:eastAsia="ro-MD"/>
              </w:rPr>
            </w:pPr>
            <w:r w:rsidRPr="00255E9C">
              <w:rPr>
                <w:rFonts w:asciiTheme="majorHAnsi" w:eastAsia="Times New Roman" w:hAnsiTheme="majorHAnsi" w:cstheme="majorHAnsi"/>
                <w:b/>
                <w:bCs/>
                <w:i/>
                <w:sz w:val="24"/>
                <w:szCs w:val="24"/>
              </w:rPr>
              <w:t>Tabelul nr.4.2.</w:t>
            </w:r>
          </w:p>
          <w:p w14:paraId="0C52AEE7" w14:textId="3B4D1806" w:rsidR="00CF7918" w:rsidRPr="00EA7932" w:rsidRDefault="00CF7918" w:rsidP="00EA7932">
            <w:pPr>
              <w:spacing w:after="0" w:line="240" w:lineRule="auto"/>
              <w:jc w:val="center"/>
              <w:rPr>
                <w:rFonts w:asciiTheme="majorHAnsi" w:eastAsia="Times New Roman" w:hAnsiTheme="majorHAnsi" w:cstheme="majorHAnsi"/>
                <w:b/>
                <w:bCs/>
                <w:color w:val="000000"/>
                <w:sz w:val="20"/>
                <w:szCs w:val="20"/>
              </w:rPr>
            </w:pPr>
            <w:r w:rsidRPr="00B719C9">
              <w:rPr>
                <w:rFonts w:asciiTheme="majorHAnsi" w:eastAsia="Times New Roman" w:hAnsiTheme="majorHAnsi" w:cstheme="majorHAnsi"/>
                <w:b/>
                <w:bCs/>
                <w:color w:val="000000"/>
                <w:sz w:val="24"/>
                <w:szCs w:val="24"/>
              </w:rPr>
              <w:t>Lista mijloacelor fixe spre casare al</w:t>
            </w:r>
            <w:r w:rsidR="00EA7932" w:rsidRPr="00B719C9">
              <w:rPr>
                <w:rFonts w:asciiTheme="majorHAnsi" w:eastAsia="Times New Roman" w:hAnsiTheme="majorHAnsi" w:cstheme="majorHAnsi"/>
                <w:b/>
                <w:bCs/>
                <w:color w:val="000000"/>
                <w:sz w:val="24"/>
                <w:szCs w:val="24"/>
              </w:rPr>
              <w:t>e</w:t>
            </w:r>
            <w:r w:rsidRPr="00B719C9">
              <w:rPr>
                <w:rFonts w:asciiTheme="majorHAnsi" w:eastAsia="Times New Roman" w:hAnsiTheme="majorHAnsi" w:cstheme="majorHAnsi"/>
                <w:b/>
                <w:bCs/>
                <w:color w:val="000000"/>
                <w:sz w:val="24"/>
                <w:szCs w:val="24"/>
              </w:rPr>
              <w:t xml:space="preserve"> ISM</w:t>
            </w:r>
          </w:p>
        </w:tc>
      </w:tr>
      <w:tr w:rsidR="00CF7918" w:rsidRPr="00EA7932" w14:paraId="695E7D07" w14:textId="77777777" w:rsidTr="001A027A">
        <w:trPr>
          <w:trHeight w:val="149"/>
          <w:jc w:val="center"/>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5FCE0" w14:textId="3821AB39" w:rsidR="00CF7918" w:rsidRPr="001A027A" w:rsidRDefault="00CF7918" w:rsidP="00543106">
            <w:pPr>
              <w:spacing w:after="0" w:line="240" w:lineRule="auto"/>
              <w:jc w:val="center"/>
              <w:rPr>
                <w:rFonts w:asciiTheme="majorHAnsi" w:eastAsia="Times New Roman" w:hAnsiTheme="majorHAnsi" w:cstheme="majorHAnsi"/>
                <w:b/>
                <w:bCs/>
                <w:color w:val="000000"/>
                <w:sz w:val="20"/>
                <w:szCs w:val="20"/>
              </w:rPr>
            </w:pPr>
            <w:r w:rsidRPr="001A027A">
              <w:rPr>
                <w:rFonts w:asciiTheme="majorHAnsi" w:eastAsia="Times New Roman" w:hAnsiTheme="majorHAnsi" w:cstheme="majorHAnsi"/>
                <w:b/>
                <w:bCs/>
                <w:color w:val="000000"/>
                <w:sz w:val="20"/>
                <w:szCs w:val="20"/>
              </w:rPr>
              <w:t> </w:t>
            </w:r>
            <w:r w:rsidR="00EA7932" w:rsidRPr="001A027A">
              <w:rPr>
                <w:rFonts w:asciiTheme="majorHAnsi" w:eastAsia="Times New Roman" w:hAnsiTheme="majorHAnsi" w:cstheme="majorHAnsi"/>
                <w:b/>
                <w:bCs/>
                <w:color w:val="000000"/>
                <w:sz w:val="20"/>
                <w:szCs w:val="20"/>
              </w:rPr>
              <w:t>Nr. d/o</w:t>
            </w:r>
          </w:p>
        </w:tc>
        <w:tc>
          <w:tcPr>
            <w:tcW w:w="4513" w:type="dxa"/>
            <w:tcBorders>
              <w:top w:val="single" w:sz="4" w:space="0" w:color="auto"/>
              <w:left w:val="nil"/>
              <w:bottom w:val="single" w:sz="4" w:space="0" w:color="auto"/>
              <w:right w:val="single" w:sz="4" w:space="0" w:color="auto"/>
            </w:tcBorders>
            <w:shd w:val="clear" w:color="000000" w:fill="FFFFFF"/>
          </w:tcPr>
          <w:p w14:paraId="539080F7" w14:textId="77777777" w:rsidR="00EA7932" w:rsidRPr="001A027A" w:rsidRDefault="00EA7932" w:rsidP="001A027A">
            <w:pPr>
              <w:spacing w:after="0" w:line="240" w:lineRule="auto"/>
              <w:jc w:val="center"/>
              <w:rPr>
                <w:rFonts w:asciiTheme="majorHAnsi" w:eastAsia="Times New Roman" w:hAnsiTheme="majorHAnsi" w:cstheme="majorHAnsi"/>
                <w:b/>
                <w:bCs/>
                <w:sz w:val="20"/>
                <w:szCs w:val="20"/>
              </w:rPr>
            </w:pPr>
          </w:p>
          <w:p w14:paraId="38132A64" w14:textId="77A0169D" w:rsidR="00CF7918" w:rsidRPr="001A027A" w:rsidRDefault="00EA7932" w:rsidP="001A027A">
            <w:pPr>
              <w:spacing w:after="0" w:line="240" w:lineRule="auto"/>
              <w:jc w:val="center"/>
              <w:rPr>
                <w:rFonts w:asciiTheme="majorHAnsi" w:eastAsia="Times New Roman" w:hAnsiTheme="majorHAnsi" w:cstheme="majorHAnsi"/>
                <w:b/>
                <w:bCs/>
                <w:sz w:val="20"/>
                <w:szCs w:val="20"/>
              </w:rPr>
            </w:pPr>
            <w:r w:rsidRPr="001A027A">
              <w:rPr>
                <w:rFonts w:asciiTheme="majorHAnsi" w:eastAsia="Times New Roman" w:hAnsiTheme="majorHAnsi" w:cstheme="majorHAnsi"/>
                <w:b/>
                <w:bCs/>
                <w:sz w:val="20"/>
                <w:szCs w:val="20"/>
              </w:rPr>
              <w:t>Denumirea</w:t>
            </w:r>
          </w:p>
        </w:tc>
        <w:tc>
          <w:tcPr>
            <w:tcW w:w="1105" w:type="dxa"/>
            <w:tcBorders>
              <w:top w:val="single" w:sz="4" w:space="0" w:color="auto"/>
              <w:left w:val="nil"/>
              <w:bottom w:val="single" w:sz="4" w:space="0" w:color="auto"/>
              <w:right w:val="single" w:sz="4" w:space="0" w:color="auto"/>
            </w:tcBorders>
            <w:shd w:val="clear" w:color="000000" w:fill="FFFFFF"/>
          </w:tcPr>
          <w:p w14:paraId="524E1279" w14:textId="25B94A85" w:rsidR="00CF7918" w:rsidRPr="001A027A" w:rsidRDefault="00EA7932" w:rsidP="001A027A">
            <w:pPr>
              <w:spacing w:after="0" w:line="240" w:lineRule="auto"/>
              <w:jc w:val="center"/>
              <w:rPr>
                <w:rFonts w:asciiTheme="majorHAnsi" w:eastAsia="Times New Roman" w:hAnsiTheme="majorHAnsi" w:cstheme="majorHAnsi"/>
                <w:b/>
                <w:bCs/>
                <w:sz w:val="20"/>
                <w:szCs w:val="20"/>
                <w:lang w:val="ro-RO"/>
              </w:rPr>
            </w:pPr>
            <w:r w:rsidRPr="001A027A">
              <w:rPr>
                <w:rFonts w:asciiTheme="majorHAnsi" w:eastAsia="Times New Roman" w:hAnsiTheme="majorHAnsi" w:cstheme="majorHAnsi"/>
                <w:b/>
                <w:bCs/>
                <w:sz w:val="20"/>
                <w:szCs w:val="20"/>
              </w:rPr>
              <w:t>Valoarea ini</w:t>
            </w:r>
            <w:r w:rsidRPr="001A027A">
              <w:rPr>
                <w:rFonts w:asciiTheme="majorHAnsi" w:eastAsia="Times New Roman" w:hAnsiTheme="majorHAnsi" w:cstheme="majorHAnsi"/>
                <w:b/>
                <w:bCs/>
                <w:sz w:val="20"/>
                <w:szCs w:val="20"/>
                <w:lang w:val="ro-RO"/>
              </w:rPr>
              <w:t>țială</w:t>
            </w:r>
          </w:p>
        </w:tc>
        <w:tc>
          <w:tcPr>
            <w:tcW w:w="939" w:type="dxa"/>
            <w:tcBorders>
              <w:top w:val="single" w:sz="4" w:space="0" w:color="auto"/>
              <w:left w:val="nil"/>
              <w:bottom w:val="single" w:sz="4" w:space="0" w:color="auto"/>
              <w:right w:val="single" w:sz="4" w:space="0" w:color="auto"/>
            </w:tcBorders>
            <w:shd w:val="clear" w:color="000000" w:fill="FFFFFF"/>
          </w:tcPr>
          <w:p w14:paraId="18278520" w14:textId="61525287" w:rsidR="00CF7918" w:rsidRPr="001A027A" w:rsidRDefault="00EA7932" w:rsidP="001A027A">
            <w:pPr>
              <w:spacing w:after="0" w:line="240" w:lineRule="auto"/>
              <w:jc w:val="center"/>
              <w:rPr>
                <w:rFonts w:asciiTheme="majorHAnsi" w:eastAsia="Times New Roman" w:hAnsiTheme="majorHAnsi" w:cstheme="majorHAnsi"/>
                <w:b/>
                <w:bCs/>
                <w:sz w:val="20"/>
                <w:szCs w:val="20"/>
              </w:rPr>
            </w:pPr>
            <w:r w:rsidRPr="001A027A">
              <w:rPr>
                <w:rFonts w:asciiTheme="majorHAnsi" w:eastAsia="Times New Roman" w:hAnsiTheme="majorHAnsi" w:cstheme="majorHAnsi"/>
                <w:b/>
                <w:bCs/>
                <w:sz w:val="20"/>
                <w:szCs w:val="20"/>
              </w:rPr>
              <w:t>Valoarea rămasă</w:t>
            </w:r>
          </w:p>
        </w:tc>
        <w:tc>
          <w:tcPr>
            <w:tcW w:w="1807" w:type="dxa"/>
            <w:tcBorders>
              <w:top w:val="single" w:sz="4" w:space="0" w:color="auto"/>
              <w:left w:val="nil"/>
              <w:bottom w:val="single" w:sz="4" w:space="0" w:color="auto"/>
              <w:right w:val="single" w:sz="4" w:space="0" w:color="auto"/>
            </w:tcBorders>
            <w:shd w:val="clear" w:color="000000" w:fill="FFFFFF"/>
            <w:noWrap/>
            <w:vAlign w:val="center"/>
            <w:hideMark/>
          </w:tcPr>
          <w:p w14:paraId="37DF01AD" w14:textId="7107709B" w:rsidR="00CF7918" w:rsidRPr="001A027A" w:rsidRDefault="00EA7932" w:rsidP="001A027A">
            <w:pPr>
              <w:spacing w:after="0" w:line="240" w:lineRule="auto"/>
              <w:jc w:val="center"/>
              <w:rPr>
                <w:rFonts w:asciiTheme="majorHAnsi" w:eastAsia="Times New Roman" w:hAnsiTheme="majorHAnsi" w:cstheme="majorHAnsi"/>
                <w:b/>
                <w:color w:val="000000"/>
                <w:sz w:val="20"/>
                <w:szCs w:val="20"/>
              </w:rPr>
            </w:pPr>
            <w:r w:rsidRPr="001A027A">
              <w:rPr>
                <w:rFonts w:asciiTheme="majorHAnsi" w:eastAsia="Times New Roman" w:hAnsiTheme="majorHAnsi" w:cstheme="majorHAnsi"/>
                <w:b/>
                <w:color w:val="000000"/>
                <w:sz w:val="20"/>
                <w:szCs w:val="20"/>
              </w:rPr>
              <w:t>Bunul se utilizează în activitate?</w:t>
            </w:r>
          </w:p>
          <w:p w14:paraId="3F2AD5F2" w14:textId="120B7968" w:rsidR="00EA7932" w:rsidRPr="001A027A" w:rsidRDefault="00EA7932" w:rsidP="001A027A">
            <w:pPr>
              <w:spacing w:after="0" w:line="240" w:lineRule="auto"/>
              <w:jc w:val="center"/>
              <w:rPr>
                <w:rFonts w:asciiTheme="majorHAnsi" w:eastAsia="Times New Roman" w:hAnsiTheme="majorHAnsi" w:cstheme="majorHAnsi"/>
                <w:b/>
                <w:color w:val="000000"/>
                <w:sz w:val="20"/>
                <w:szCs w:val="20"/>
              </w:rPr>
            </w:pPr>
            <w:r w:rsidRPr="001A027A">
              <w:rPr>
                <w:rFonts w:asciiTheme="majorHAnsi" w:eastAsia="Times New Roman" w:hAnsiTheme="majorHAnsi" w:cstheme="majorHAnsi"/>
                <w:b/>
                <w:color w:val="000000"/>
                <w:sz w:val="20"/>
                <w:szCs w:val="20"/>
              </w:rPr>
              <w:t>Da/Nu</w:t>
            </w:r>
          </w:p>
        </w:tc>
      </w:tr>
      <w:tr w:rsidR="00EA7932" w:rsidRPr="00EA7932" w14:paraId="466E2A2A" w14:textId="77777777" w:rsidTr="001A027A">
        <w:trPr>
          <w:trHeight w:val="149"/>
          <w:jc w:val="center"/>
        </w:trPr>
        <w:tc>
          <w:tcPr>
            <w:tcW w:w="498" w:type="dxa"/>
            <w:tcBorders>
              <w:top w:val="nil"/>
              <w:left w:val="single" w:sz="8" w:space="0" w:color="auto"/>
              <w:bottom w:val="single" w:sz="4" w:space="0" w:color="auto"/>
              <w:right w:val="single" w:sz="4" w:space="0" w:color="auto"/>
            </w:tcBorders>
            <w:shd w:val="clear" w:color="000000" w:fill="FFFFFF"/>
            <w:noWrap/>
            <w:vAlign w:val="center"/>
          </w:tcPr>
          <w:p w14:paraId="2F4AD5DD" w14:textId="77777777" w:rsidR="00EA7932" w:rsidRPr="00EA7932" w:rsidRDefault="00EA7932" w:rsidP="00EA7932">
            <w:pPr>
              <w:spacing w:after="0" w:line="240" w:lineRule="auto"/>
              <w:jc w:val="center"/>
              <w:rPr>
                <w:rFonts w:asciiTheme="majorHAnsi" w:eastAsia="Times New Roman" w:hAnsiTheme="majorHAnsi" w:cstheme="majorHAnsi"/>
                <w:b/>
                <w:bCs/>
                <w:color w:val="000000"/>
                <w:sz w:val="20"/>
                <w:szCs w:val="20"/>
              </w:rPr>
            </w:pPr>
          </w:p>
        </w:tc>
        <w:tc>
          <w:tcPr>
            <w:tcW w:w="4513" w:type="dxa"/>
            <w:tcBorders>
              <w:top w:val="nil"/>
              <w:left w:val="nil"/>
              <w:bottom w:val="single" w:sz="4" w:space="0" w:color="auto"/>
              <w:right w:val="single" w:sz="4" w:space="0" w:color="auto"/>
            </w:tcBorders>
            <w:shd w:val="clear" w:color="000000" w:fill="FFFFFF"/>
          </w:tcPr>
          <w:p w14:paraId="64FB4EA2" w14:textId="44DFBBDB" w:rsidR="00EA7932" w:rsidRPr="00EA7932" w:rsidRDefault="00EA7932" w:rsidP="00EA7932">
            <w:pPr>
              <w:spacing w:after="0" w:line="240" w:lineRule="auto"/>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123.3</w:t>
            </w:r>
          </w:p>
        </w:tc>
        <w:tc>
          <w:tcPr>
            <w:tcW w:w="1105" w:type="dxa"/>
            <w:tcBorders>
              <w:top w:val="nil"/>
              <w:left w:val="nil"/>
              <w:bottom w:val="single" w:sz="4" w:space="0" w:color="auto"/>
              <w:right w:val="single" w:sz="4" w:space="0" w:color="auto"/>
            </w:tcBorders>
            <w:shd w:val="clear" w:color="000000" w:fill="FFFFFF"/>
          </w:tcPr>
          <w:p w14:paraId="18048468" w14:textId="56368ABD" w:rsidR="00EA7932" w:rsidRPr="00EA7932" w:rsidRDefault="00EA7932" w:rsidP="00EA7932">
            <w:pPr>
              <w:spacing w:after="0" w:line="240" w:lineRule="auto"/>
              <w:jc w:val="right"/>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181.441,93</w:t>
            </w:r>
          </w:p>
        </w:tc>
        <w:tc>
          <w:tcPr>
            <w:tcW w:w="939" w:type="dxa"/>
            <w:tcBorders>
              <w:top w:val="nil"/>
              <w:left w:val="nil"/>
              <w:bottom w:val="single" w:sz="4" w:space="0" w:color="auto"/>
              <w:right w:val="single" w:sz="4" w:space="0" w:color="auto"/>
            </w:tcBorders>
            <w:shd w:val="clear" w:color="000000" w:fill="FFFFFF"/>
          </w:tcPr>
          <w:p w14:paraId="00583E4F" w14:textId="057547C2" w:rsidR="00EA7932" w:rsidRPr="00EA7932" w:rsidRDefault="00EA7932" w:rsidP="00EA7932">
            <w:pPr>
              <w:spacing w:after="0" w:line="240" w:lineRule="auto"/>
              <w:jc w:val="right"/>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0,00</w:t>
            </w:r>
          </w:p>
        </w:tc>
        <w:tc>
          <w:tcPr>
            <w:tcW w:w="1807" w:type="dxa"/>
            <w:tcBorders>
              <w:top w:val="nil"/>
              <w:left w:val="nil"/>
              <w:bottom w:val="single" w:sz="4" w:space="0" w:color="auto"/>
              <w:right w:val="single" w:sz="8" w:space="0" w:color="auto"/>
            </w:tcBorders>
            <w:shd w:val="clear" w:color="000000" w:fill="FFFFFF"/>
            <w:noWrap/>
            <w:vAlign w:val="center"/>
          </w:tcPr>
          <w:p w14:paraId="545B1CD6" w14:textId="77777777" w:rsidR="00EA7932" w:rsidRPr="00EA7932" w:rsidRDefault="00EA7932" w:rsidP="00EA7932">
            <w:pPr>
              <w:spacing w:after="0" w:line="240" w:lineRule="auto"/>
              <w:jc w:val="center"/>
              <w:rPr>
                <w:rFonts w:asciiTheme="majorHAnsi" w:eastAsia="Times New Roman" w:hAnsiTheme="majorHAnsi" w:cstheme="majorHAnsi"/>
                <w:color w:val="000000"/>
                <w:sz w:val="20"/>
                <w:szCs w:val="20"/>
              </w:rPr>
            </w:pPr>
          </w:p>
        </w:tc>
      </w:tr>
      <w:tr w:rsidR="00EA7932" w:rsidRPr="00EA7932" w14:paraId="5471F58A"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8EF66C2"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w:t>
            </w:r>
          </w:p>
        </w:tc>
        <w:tc>
          <w:tcPr>
            <w:tcW w:w="4513" w:type="dxa"/>
            <w:tcBorders>
              <w:top w:val="nil"/>
              <w:left w:val="nil"/>
              <w:bottom w:val="single" w:sz="4" w:space="0" w:color="auto"/>
              <w:right w:val="single" w:sz="4" w:space="0" w:color="auto"/>
            </w:tcBorders>
            <w:shd w:val="clear" w:color="auto" w:fill="auto"/>
            <w:hideMark/>
          </w:tcPr>
          <w:p w14:paraId="43460BED"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Bloc de sistem AVM(PRO+monitor)</w:t>
            </w:r>
          </w:p>
        </w:tc>
        <w:tc>
          <w:tcPr>
            <w:tcW w:w="1105" w:type="dxa"/>
            <w:tcBorders>
              <w:top w:val="nil"/>
              <w:left w:val="nil"/>
              <w:bottom w:val="single" w:sz="4" w:space="0" w:color="auto"/>
              <w:right w:val="single" w:sz="4" w:space="0" w:color="auto"/>
            </w:tcBorders>
            <w:shd w:val="clear" w:color="auto" w:fill="auto"/>
            <w:hideMark/>
          </w:tcPr>
          <w:p w14:paraId="714448B4"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6.749,59</w:t>
            </w:r>
          </w:p>
        </w:tc>
        <w:tc>
          <w:tcPr>
            <w:tcW w:w="939" w:type="dxa"/>
            <w:tcBorders>
              <w:top w:val="nil"/>
              <w:left w:val="nil"/>
              <w:bottom w:val="single" w:sz="4" w:space="0" w:color="auto"/>
              <w:right w:val="single" w:sz="4" w:space="0" w:color="auto"/>
            </w:tcBorders>
            <w:shd w:val="clear" w:color="auto" w:fill="auto"/>
            <w:noWrap/>
            <w:vAlign w:val="bottom"/>
            <w:hideMark/>
          </w:tcPr>
          <w:p w14:paraId="63A617C7"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75EB06D4" w14:textId="77777777" w:rsidR="00EA7932" w:rsidRPr="00EA7932" w:rsidRDefault="00EA793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nu </w:t>
            </w:r>
          </w:p>
        </w:tc>
      </w:tr>
      <w:tr w:rsidR="00EA7932" w:rsidRPr="00EA7932" w14:paraId="74F91350"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32E59928"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2</w:t>
            </w:r>
          </w:p>
        </w:tc>
        <w:tc>
          <w:tcPr>
            <w:tcW w:w="4513" w:type="dxa"/>
            <w:tcBorders>
              <w:top w:val="nil"/>
              <w:left w:val="nil"/>
              <w:bottom w:val="single" w:sz="4" w:space="0" w:color="auto"/>
              <w:right w:val="single" w:sz="4" w:space="0" w:color="auto"/>
            </w:tcBorders>
            <w:shd w:val="clear" w:color="auto" w:fill="auto"/>
            <w:hideMark/>
          </w:tcPr>
          <w:p w14:paraId="2D316E32" w14:textId="67101A75"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Colator PLOCKMATIC C510</w:t>
            </w:r>
            <w:r w:rsidR="00B0345B">
              <w:rPr>
                <w:rFonts w:asciiTheme="majorHAnsi" w:eastAsia="Times New Roman" w:hAnsiTheme="majorHAnsi" w:cstheme="majorHAnsi"/>
                <w:sz w:val="20"/>
                <w:szCs w:val="20"/>
              </w:rPr>
              <w:t xml:space="preserve"> </w:t>
            </w:r>
            <w:r w:rsidRPr="001A027A">
              <w:rPr>
                <w:rFonts w:asciiTheme="majorHAnsi" w:eastAsia="Times New Roman" w:hAnsiTheme="majorHAnsi" w:cstheme="majorHAnsi"/>
                <w:sz w:val="20"/>
                <w:szCs w:val="20"/>
              </w:rPr>
              <w:t>cu ma</w:t>
            </w:r>
            <w:r w:rsidR="00B0345B">
              <w:rPr>
                <w:rFonts w:asciiTheme="majorHAnsi" w:eastAsia="Times New Roman" w:hAnsiTheme="majorHAnsi" w:cstheme="majorHAnsi"/>
                <w:sz w:val="20"/>
                <w:szCs w:val="20"/>
              </w:rPr>
              <w:t>ș</w:t>
            </w:r>
            <w:r w:rsidRPr="001A027A">
              <w:rPr>
                <w:rFonts w:asciiTheme="majorHAnsi" w:eastAsia="Times New Roman" w:hAnsiTheme="majorHAnsi" w:cstheme="majorHAnsi"/>
                <w:sz w:val="20"/>
                <w:szCs w:val="20"/>
              </w:rPr>
              <w:t>in</w:t>
            </w:r>
            <w:r w:rsidR="00B0345B">
              <w:rPr>
                <w:rFonts w:asciiTheme="majorHAnsi" w:eastAsia="Times New Roman" w:hAnsiTheme="majorHAnsi" w:cstheme="majorHAnsi"/>
                <w:sz w:val="20"/>
                <w:szCs w:val="20"/>
              </w:rPr>
              <w:t>ă</w:t>
            </w:r>
          </w:p>
        </w:tc>
        <w:tc>
          <w:tcPr>
            <w:tcW w:w="1105" w:type="dxa"/>
            <w:tcBorders>
              <w:top w:val="nil"/>
              <w:left w:val="nil"/>
              <w:bottom w:val="single" w:sz="4" w:space="0" w:color="auto"/>
              <w:right w:val="single" w:sz="4" w:space="0" w:color="auto"/>
            </w:tcBorders>
            <w:shd w:val="clear" w:color="auto" w:fill="auto"/>
            <w:hideMark/>
          </w:tcPr>
          <w:p w14:paraId="5C5D45C2"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68.133,83</w:t>
            </w:r>
          </w:p>
        </w:tc>
        <w:tc>
          <w:tcPr>
            <w:tcW w:w="939" w:type="dxa"/>
            <w:tcBorders>
              <w:top w:val="nil"/>
              <w:left w:val="nil"/>
              <w:bottom w:val="single" w:sz="4" w:space="0" w:color="auto"/>
              <w:right w:val="single" w:sz="4" w:space="0" w:color="auto"/>
            </w:tcBorders>
            <w:shd w:val="clear" w:color="auto" w:fill="auto"/>
            <w:noWrap/>
            <w:vAlign w:val="bottom"/>
            <w:hideMark/>
          </w:tcPr>
          <w:p w14:paraId="014A1C44"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132B08B0" w14:textId="24152E30"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4C998810" w14:textId="77777777" w:rsidTr="001A027A">
        <w:trPr>
          <w:trHeight w:val="1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1266E56E"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3</w:t>
            </w:r>
          </w:p>
        </w:tc>
        <w:tc>
          <w:tcPr>
            <w:tcW w:w="4513" w:type="dxa"/>
            <w:tcBorders>
              <w:top w:val="nil"/>
              <w:left w:val="nil"/>
              <w:bottom w:val="single" w:sz="4" w:space="0" w:color="auto"/>
              <w:right w:val="single" w:sz="4" w:space="0" w:color="auto"/>
            </w:tcBorders>
            <w:shd w:val="clear" w:color="auto" w:fill="auto"/>
            <w:hideMark/>
          </w:tcPr>
          <w:p w14:paraId="107C647C"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Copier CANON iR 2016</w:t>
            </w:r>
          </w:p>
        </w:tc>
        <w:tc>
          <w:tcPr>
            <w:tcW w:w="1105" w:type="dxa"/>
            <w:tcBorders>
              <w:top w:val="nil"/>
              <w:left w:val="nil"/>
              <w:bottom w:val="single" w:sz="4" w:space="0" w:color="auto"/>
              <w:right w:val="single" w:sz="4" w:space="0" w:color="auto"/>
            </w:tcBorders>
            <w:shd w:val="clear" w:color="auto" w:fill="auto"/>
            <w:hideMark/>
          </w:tcPr>
          <w:p w14:paraId="0F27B361"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8.152,04</w:t>
            </w:r>
          </w:p>
        </w:tc>
        <w:tc>
          <w:tcPr>
            <w:tcW w:w="939" w:type="dxa"/>
            <w:tcBorders>
              <w:top w:val="nil"/>
              <w:left w:val="nil"/>
              <w:bottom w:val="single" w:sz="4" w:space="0" w:color="auto"/>
              <w:right w:val="single" w:sz="4" w:space="0" w:color="auto"/>
            </w:tcBorders>
            <w:shd w:val="clear" w:color="auto" w:fill="auto"/>
            <w:noWrap/>
            <w:vAlign w:val="bottom"/>
            <w:hideMark/>
          </w:tcPr>
          <w:p w14:paraId="01194AE9"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425B88BD" w14:textId="272C7E77"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0BA9AB9C"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3905A51B"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4</w:t>
            </w:r>
          </w:p>
        </w:tc>
        <w:tc>
          <w:tcPr>
            <w:tcW w:w="4513" w:type="dxa"/>
            <w:tcBorders>
              <w:top w:val="nil"/>
              <w:left w:val="nil"/>
              <w:bottom w:val="single" w:sz="4" w:space="0" w:color="auto"/>
              <w:right w:val="single" w:sz="4" w:space="0" w:color="auto"/>
            </w:tcBorders>
            <w:shd w:val="clear" w:color="auto" w:fill="auto"/>
            <w:hideMark/>
          </w:tcPr>
          <w:p w14:paraId="289BC7BD"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Nootbuc NB ASUS 15,6X502CA Pentium 987</w:t>
            </w:r>
          </w:p>
        </w:tc>
        <w:tc>
          <w:tcPr>
            <w:tcW w:w="1105" w:type="dxa"/>
            <w:tcBorders>
              <w:top w:val="nil"/>
              <w:left w:val="nil"/>
              <w:bottom w:val="single" w:sz="4" w:space="0" w:color="auto"/>
              <w:right w:val="single" w:sz="4" w:space="0" w:color="auto"/>
            </w:tcBorders>
            <w:shd w:val="clear" w:color="auto" w:fill="auto"/>
            <w:hideMark/>
          </w:tcPr>
          <w:p w14:paraId="7B4A69B6"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7.507,00</w:t>
            </w:r>
          </w:p>
        </w:tc>
        <w:tc>
          <w:tcPr>
            <w:tcW w:w="939" w:type="dxa"/>
            <w:tcBorders>
              <w:top w:val="nil"/>
              <w:left w:val="nil"/>
              <w:bottom w:val="single" w:sz="4" w:space="0" w:color="auto"/>
              <w:right w:val="single" w:sz="4" w:space="0" w:color="auto"/>
            </w:tcBorders>
            <w:shd w:val="clear" w:color="auto" w:fill="auto"/>
            <w:noWrap/>
            <w:vAlign w:val="bottom"/>
            <w:hideMark/>
          </w:tcPr>
          <w:p w14:paraId="70C652F7"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0369C4A5" w14:textId="2A5A8D58"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2627D0B4" w14:textId="77777777" w:rsidTr="001A027A">
        <w:trPr>
          <w:trHeight w:val="145"/>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072945F5"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5</w:t>
            </w:r>
          </w:p>
        </w:tc>
        <w:tc>
          <w:tcPr>
            <w:tcW w:w="4513" w:type="dxa"/>
            <w:tcBorders>
              <w:top w:val="nil"/>
              <w:left w:val="nil"/>
              <w:bottom w:val="single" w:sz="4" w:space="0" w:color="auto"/>
              <w:right w:val="single" w:sz="4" w:space="0" w:color="auto"/>
            </w:tcBorders>
            <w:shd w:val="clear" w:color="auto" w:fill="auto"/>
            <w:hideMark/>
          </w:tcPr>
          <w:p w14:paraId="556D8A04"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Notebook  HP 4540s  i5-3230M15 4GB/750 SIL SEA PC</w:t>
            </w:r>
          </w:p>
        </w:tc>
        <w:tc>
          <w:tcPr>
            <w:tcW w:w="1105" w:type="dxa"/>
            <w:tcBorders>
              <w:top w:val="nil"/>
              <w:left w:val="nil"/>
              <w:bottom w:val="single" w:sz="4" w:space="0" w:color="auto"/>
              <w:right w:val="single" w:sz="4" w:space="0" w:color="auto"/>
            </w:tcBorders>
            <w:shd w:val="clear" w:color="auto" w:fill="auto"/>
            <w:hideMark/>
          </w:tcPr>
          <w:p w14:paraId="66549644"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10.314,00</w:t>
            </w:r>
          </w:p>
        </w:tc>
        <w:tc>
          <w:tcPr>
            <w:tcW w:w="939" w:type="dxa"/>
            <w:tcBorders>
              <w:top w:val="nil"/>
              <w:left w:val="nil"/>
              <w:bottom w:val="single" w:sz="4" w:space="0" w:color="auto"/>
              <w:right w:val="single" w:sz="4" w:space="0" w:color="auto"/>
            </w:tcBorders>
            <w:shd w:val="clear" w:color="auto" w:fill="auto"/>
            <w:noWrap/>
            <w:vAlign w:val="bottom"/>
            <w:hideMark/>
          </w:tcPr>
          <w:p w14:paraId="56158E3C"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13FE8458" w14:textId="59C91AEC"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45B50459"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07E4DB9"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6</w:t>
            </w:r>
          </w:p>
        </w:tc>
        <w:tc>
          <w:tcPr>
            <w:tcW w:w="4513" w:type="dxa"/>
            <w:tcBorders>
              <w:top w:val="nil"/>
              <w:left w:val="nil"/>
              <w:bottom w:val="single" w:sz="4" w:space="0" w:color="auto"/>
              <w:right w:val="single" w:sz="4" w:space="0" w:color="auto"/>
            </w:tcBorders>
            <w:shd w:val="clear" w:color="auto" w:fill="auto"/>
            <w:hideMark/>
          </w:tcPr>
          <w:p w14:paraId="6878A538"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Notebook ASUS HPWn60514.0'17</w:t>
            </w:r>
          </w:p>
        </w:tc>
        <w:tc>
          <w:tcPr>
            <w:tcW w:w="1105" w:type="dxa"/>
            <w:tcBorders>
              <w:top w:val="nil"/>
              <w:left w:val="nil"/>
              <w:bottom w:val="single" w:sz="4" w:space="0" w:color="auto"/>
              <w:right w:val="single" w:sz="4" w:space="0" w:color="auto"/>
            </w:tcBorders>
            <w:shd w:val="clear" w:color="auto" w:fill="auto"/>
            <w:hideMark/>
          </w:tcPr>
          <w:p w14:paraId="77674E93"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10.934,39</w:t>
            </w:r>
          </w:p>
        </w:tc>
        <w:tc>
          <w:tcPr>
            <w:tcW w:w="939" w:type="dxa"/>
            <w:tcBorders>
              <w:top w:val="nil"/>
              <w:left w:val="nil"/>
              <w:bottom w:val="single" w:sz="4" w:space="0" w:color="auto"/>
              <w:right w:val="single" w:sz="4" w:space="0" w:color="auto"/>
            </w:tcBorders>
            <w:shd w:val="clear" w:color="auto" w:fill="auto"/>
            <w:noWrap/>
            <w:vAlign w:val="bottom"/>
            <w:hideMark/>
          </w:tcPr>
          <w:p w14:paraId="513E598F"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5FFE9C0A" w14:textId="2811D5E7"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1C989EBF"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4C74A691"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7</w:t>
            </w:r>
          </w:p>
        </w:tc>
        <w:tc>
          <w:tcPr>
            <w:tcW w:w="4513" w:type="dxa"/>
            <w:tcBorders>
              <w:top w:val="nil"/>
              <w:left w:val="nil"/>
              <w:bottom w:val="single" w:sz="4" w:space="0" w:color="auto"/>
              <w:right w:val="single" w:sz="4" w:space="0" w:color="auto"/>
            </w:tcBorders>
            <w:shd w:val="clear" w:color="auto" w:fill="auto"/>
            <w:hideMark/>
          </w:tcPr>
          <w:p w14:paraId="3226F985"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Notebook HP ProBook 6560b Case</w:t>
            </w:r>
          </w:p>
        </w:tc>
        <w:tc>
          <w:tcPr>
            <w:tcW w:w="1105" w:type="dxa"/>
            <w:tcBorders>
              <w:top w:val="nil"/>
              <w:left w:val="nil"/>
              <w:bottom w:val="single" w:sz="4" w:space="0" w:color="auto"/>
              <w:right w:val="single" w:sz="4" w:space="0" w:color="auto"/>
            </w:tcBorders>
            <w:shd w:val="clear" w:color="auto" w:fill="auto"/>
            <w:hideMark/>
          </w:tcPr>
          <w:p w14:paraId="1C3F2BED"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8.883,01</w:t>
            </w:r>
          </w:p>
        </w:tc>
        <w:tc>
          <w:tcPr>
            <w:tcW w:w="939" w:type="dxa"/>
            <w:tcBorders>
              <w:top w:val="nil"/>
              <w:left w:val="nil"/>
              <w:bottom w:val="single" w:sz="4" w:space="0" w:color="auto"/>
              <w:right w:val="single" w:sz="4" w:space="0" w:color="auto"/>
            </w:tcBorders>
            <w:shd w:val="clear" w:color="auto" w:fill="auto"/>
            <w:noWrap/>
            <w:vAlign w:val="bottom"/>
            <w:hideMark/>
          </w:tcPr>
          <w:p w14:paraId="3E84D6F3"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0936F66E" w14:textId="55C38E8C"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348D3BDD"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260ED57D"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8</w:t>
            </w:r>
          </w:p>
        </w:tc>
        <w:tc>
          <w:tcPr>
            <w:tcW w:w="4513" w:type="dxa"/>
            <w:tcBorders>
              <w:top w:val="nil"/>
              <w:left w:val="nil"/>
              <w:bottom w:val="single" w:sz="4" w:space="0" w:color="auto"/>
              <w:right w:val="single" w:sz="4" w:space="0" w:color="auto"/>
            </w:tcBorders>
            <w:shd w:val="clear" w:color="auto" w:fill="auto"/>
            <w:hideMark/>
          </w:tcPr>
          <w:p w14:paraId="2220D68F"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Notebook HP ProBook 6560b Case</w:t>
            </w:r>
          </w:p>
        </w:tc>
        <w:tc>
          <w:tcPr>
            <w:tcW w:w="1105" w:type="dxa"/>
            <w:tcBorders>
              <w:top w:val="nil"/>
              <w:left w:val="nil"/>
              <w:bottom w:val="single" w:sz="4" w:space="0" w:color="auto"/>
              <w:right w:val="single" w:sz="4" w:space="0" w:color="auto"/>
            </w:tcBorders>
            <w:shd w:val="clear" w:color="auto" w:fill="auto"/>
            <w:hideMark/>
          </w:tcPr>
          <w:p w14:paraId="60D3DDA0"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8.883,01</w:t>
            </w:r>
          </w:p>
        </w:tc>
        <w:tc>
          <w:tcPr>
            <w:tcW w:w="939" w:type="dxa"/>
            <w:tcBorders>
              <w:top w:val="nil"/>
              <w:left w:val="nil"/>
              <w:bottom w:val="single" w:sz="4" w:space="0" w:color="auto"/>
              <w:right w:val="single" w:sz="4" w:space="0" w:color="auto"/>
            </w:tcBorders>
            <w:shd w:val="clear" w:color="auto" w:fill="auto"/>
            <w:noWrap/>
            <w:vAlign w:val="bottom"/>
            <w:hideMark/>
          </w:tcPr>
          <w:p w14:paraId="3AEA2D60"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44DB8514" w14:textId="128CD50F"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560EF97D"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293E60D5"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9</w:t>
            </w:r>
          </w:p>
        </w:tc>
        <w:tc>
          <w:tcPr>
            <w:tcW w:w="4513" w:type="dxa"/>
            <w:tcBorders>
              <w:top w:val="nil"/>
              <w:left w:val="nil"/>
              <w:bottom w:val="single" w:sz="4" w:space="0" w:color="auto"/>
              <w:right w:val="single" w:sz="4" w:space="0" w:color="auto"/>
            </w:tcBorders>
            <w:shd w:val="clear" w:color="auto" w:fill="auto"/>
            <w:hideMark/>
          </w:tcPr>
          <w:p w14:paraId="59159329"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PC Desktop HP Pro 3400 Microtow</w:t>
            </w:r>
          </w:p>
        </w:tc>
        <w:tc>
          <w:tcPr>
            <w:tcW w:w="1105" w:type="dxa"/>
            <w:tcBorders>
              <w:top w:val="nil"/>
              <w:left w:val="nil"/>
              <w:bottom w:val="single" w:sz="4" w:space="0" w:color="auto"/>
              <w:right w:val="single" w:sz="4" w:space="0" w:color="auto"/>
            </w:tcBorders>
            <w:shd w:val="clear" w:color="auto" w:fill="auto"/>
            <w:hideMark/>
          </w:tcPr>
          <w:p w14:paraId="2BBB662F"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7.046,37</w:t>
            </w:r>
          </w:p>
        </w:tc>
        <w:tc>
          <w:tcPr>
            <w:tcW w:w="939" w:type="dxa"/>
            <w:tcBorders>
              <w:top w:val="nil"/>
              <w:left w:val="nil"/>
              <w:bottom w:val="single" w:sz="4" w:space="0" w:color="auto"/>
              <w:right w:val="single" w:sz="4" w:space="0" w:color="auto"/>
            </w:tcBorders>
            <w:shd w:val="clear" w:color="auto" w:fill="auto"/>
            <w:noWrap/>
            <w:vAlign w:val="bottom"/>
            <w:hideMark/>
          </w:tcPr>
          <w:p w14:paraId="4F4BEE31"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2EFDB4D4" w14:textId="294FF86F"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2C416C54"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17860D66"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10</w:t>
            </w:r>
          </w:p>
        </w:tc>
        <w:tc>
          <w:tcPr>
            <w:tcW w:w="4513" w:type="dxa"/>
            <w:tcBorders>
              <w:top w:val="nil"/>
              <w:left w:val="nil"/>
              <w:bottom w:val="single" w:sz="4" w:space="0" w:color="auto"/>
              <w:right w:val="single" w:sz="4" w:space="0" w:color="auto"/>
            </w:tcBorders>
            <w:shd w:val="clear" w:color="auto" w:fill="auto"/>
            <w:hideMark/>
          </w:tcPr>
          <w:p w14:paraId="0CBCC57E"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PC Desktop HP Pro 3400 Microtow</w:t>
            </w:r>
          </w:p>
        </w:tc>
        <w:tc>
          <w:tcPr>
            <w:tcW w:w="1105" w:type="dxa"/>
            <w:tcBorders>
              <w:top w:val="nil"/>
              <w:left w:val="nil"/>
              <w:bottom w:val="single" w:sz="4" w:space="0" w:color="auto"/>
              <w:right w:val="single" w:sz="4" w:space="0" w:color="auto"/>
            </w:tcBorders>
            <w:shd w:val="clear" w:color="auto" w:fill="auto"/>
            <w:hideMark/>
          </w:tcPr>
          <w:p w14:paraId="40F13888"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7.046,36</w:t>
            </w:r>
          </w:p>
        </w:tc>
        <w:tc>
          <w:tcPr>
            <w:tcW w:w="939" w:type="dxa"/>
            <w:tcBorders>
              <w:top w:val="nil"/>
              <w:left w:val="nil"/>
              <w:bottom w:val="single" w:sz="4" w:space="0" w:color="auto"/>
              <w:right w:val="single" w:sz="4" w:space="0" w:color="auto"/>
            </w:tcBorders>
            <w:shd w:val="clear" w:color="auto" w:fill="auto"/>
            <w:noWrap/>
            <w:vAlign w:val="bottom"/>
            <w:hideMark/>
          </w:tcPr>
          <w:p w14:paraId="0112975F"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4145C272" w14:textId="0F0B1947"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19F0E29D"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4E59A72"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11</w:t>
            </w:r>
          </w:p>
        </w:tc>
        <w:tc>
          <w:tcPr>
            <w:tcW w:w="4513" w:type="dxa"/>
            <w:tcBorders>
              <w:top w:val="nil"/>
              <w:left w:val="nil"/>
              <w:bottom w:val="single" w:sz="4" w:space="0" w:color="auto"/>
              <w:right w:val="single" w:sz="4" w:space="0" w:color="auto"/>
            </w:tcBorders>
            <w:shd w:val="clear" w:color="auto" w:fill="auto"/>
            <w:hideMark/>
          </w:tcPr>
          <w:p w14:paraId="5762EFA3"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PC Desktop HP Pro 3400 Microtow</w:t>
            </w:r>
          </w:p>
        </w:tc>
        <w:tc>
          <w:tcPr>
            <w:tcW w:w="1105" w:type="dxa"/>
            <w:tcBorders>
              <w:top w:val="nil"/>
              <w:left w:val="nil"/>
              <w:bottom w:val="single" w:sz="4" w:space="0" w:color="auto"/>
              <w:right w:val="single" w:sz="4" w:space="0" w:color="auto"/>
            </w:tcBorders>
            <w:shd w:val="clear" w:color="auto" w:fill="auto"/>
            <w:hideMark/>
          </w:tcPr>
          <w:p w14:paraId="09903375"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7.046,36</w:t>
            </w:r>
          </w:p>
        </w:tc>
        <w:tc>
          <w:tcPr>
            <w:tcW w:w="939" w:type="dxa"/>
            <w:tcBorders>
              <w:top w:val="nil"/>
              <w:left w:val="nil"/>
              <w:bottom w:val="single" w:sz="4" w:space="0" w:color="auto"/>
              <w:right w:val="single" w:sz="4" w:space="0" w:color="auto"/>
            </w:tcBorders>
            <w:shd w:val="clear" w:color="auto" w:fill="auto"/>
            <w:noWrap/>
            <w:vAlign w:val="bottom"/>
            <w:hideMark/>
          </w:tcPr>
          <w:p w14:paraId="7C12D0EA"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78E590CC" w14:textId="5B444DC0"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74836594"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4932684B"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12</w:t>
            </w:r>
          </w:p>
        </w:tc>
        <w:tc>
          <w:tcPr>
            <w:tcW w:w="4513" w:type="dxa"/>
            <w:tcBorders>
              <w:top w:val="nil"/>
              <w:left w:val="nil"/>
              <w:bottom w:val="single" w:sz="4" w:space="0" w:color="auto"/>
              <w:right w:val="single" w:sz="4" w:space="0" w:color="auto"/>
            </w:tcBorders>
            <w:shd w:val="clear" w:color="auto" w:fill="auto"/>
            <w:hideMark/>
          </w:tcPr>
          <w:p w14:paraId="2DD7D51F"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PC Desktop HP Pro 3400 Microtow</w:t>
            </w:r>
          </w:p>
        </w:tc>
        <w:tc>
          <w:tcPr>
            <w:tcW w:w="1105" w:type="dxa"/>
            <w:tcBorders>
              <w:top w:val="nil"/>
              <w:left w:val="nil"/>
              <w:bottom w:val="single" w:sz="4" w:space="0" w:color="auto"/>
              <w:right w:val="single" w:sz="4" w:space="0" w:color="auto"/>
            </w:tcBorders>
            <w:shd w:val="clear" w:color="auto" w:fill="auto"/>
            <w:hideMark/>
          </w:tcPr>
          <w:p w14:paraId="4C17D1DD"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7.046,37</w:t>
            </w:r>
          </w:p>
        </w:tc>
        <w:tc>
          <w:tcPr>
            <w:tcW w:w="939" w:type="dxa"/>
            <w:tcBorders>
              <w:top w:val="nil"/>
              <w:left w:val="nil"/>
              <w:bottom w:val="single" w:sz="4" w:space="0" w:color="auto"/>
              <w:right w:val="single" w:sz="4" w:space="0" w:color="auto"/>
            </w:tcBorders>
            <w:shd w:val="clear" w:color="auto" w:fill="auto"/>
            <w:noWrap/>
            <w:vAlign w:val="bottom"/>
            <w:hideMark/>
          </w:tcPr>
          <w:p w14:paraId="48DAEFB0"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122A1C11" w14:textId="7182194A"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6E3F969D"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6FDCE1D0"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13</w:t>
            </w:r>
          </w:p>
        </w:tc>
        <w:tc>
          <w:tcPr>
            <w:tcW w:w="4513" w:type="dxa"/>
            <w:tcBorders>
              <w:top w:val="nil"/>
              <w:left w:val="nil"/>
              <w:bottom w:val="single" w:sz="4" w:space="0" w:color="auto"/>
              <w:right w:val="single" w:sz="4" w:space="0" w:color="auto"/>
            </w:tcBorders>
            <w:shd w:val="clear" w:color="auto" w:fill="auto"/>
            <w:hideMark/>
          </w:tcPr>
          <w:p w14:paraId="07CFDCEE"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Workstation  PC 1080 MP (calculator)</w:t>
            </w:r>
          </w:p>
        </w:tc>
        <w:tc>
          <w:tcPr>
            <w:tcW w:w="1105" w:type="dxa"/>
            <w:tcBorders>
              <w:top w:val="nil"/>
              <w:left w:val="nil"/>
              <w:bottom w:val="single" w:sz="4" w:space="0" w:color="auto"/>
              <w:right w:val="single" w:sz="4" w:space="0" w:color="auto"/>
            </w:tcBorders>
            <w:shd w:val="clear" w:color="auto" w:fill="auto"/>
            <w:hideMark/>
          </w:tcPr>
          <w:p w14:paraId="4C5B4D62"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11.100,00</w:t>
            </w:r>
          </w:p>
        </w:tc>
        <w:tc>
          <w:tcPr>
            <w:tcW w:w="939" w:type="dxa"/>
            <w:tcBorders>
              <w:top w:val="nil"/>
              <w:left w:val="nil"/>
              <w:bottom w:val="single" w:sz="4" w:space="0" w:color="auto"/>
              <w:right w:val="single" w:sz="4" w:space="0" w:color="auto"/>
            </w:tcBorders>
            <w:shd w:val="clear" w:color="auto" w:fill="auto"/>
            <w:noWrap/>
            <w:vAlign w:val="bottom"/>
            <w:hideMark/>
          </w:tcPr>
          <w:p w14:paraId="65B487E9"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59CED148" w14:textId="073F2BE1"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3407841A" w14:textId="77777777" w:rsidTr="001A027A">
        <w:trPr>
          <w:trHeight w:val="149"/>
          <w:jc w:val="center"/>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14:paraId="1881EE9D"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14</w:t>
            </w:r>
          </w:p>
        </w:tc>
        <w:tc>
          <w:tcPr>
            <w:tcW w:w="4513" w:type="dxa"/>
            <w:tcBorders>
              <w:top w:val="nil"/>
              <w:left w:val="nil"/>
              <w:bottom w:val="single" w:sz="4" w:space="0" w:color="auto"/>
              <w:right w:val="single" w:sz="4" w:space="0" w:color="auto"/>
            </w:tcBorders>
            <w:shd w:val="clear" w:color="auto" w:fill="auto"/>
            <w:hideMark/>
          </w:tcPr>
          <w:p w14:paraId="4BABADF7" w14:textId="77777777"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 xml:space="preserve">Workstation PC </w:t>
            </w:r>
          </w:p>
        </w:tc>
        <w:tc>
          <w:tcPr>
            <w:tcW w:w="1105" w:type="dxa"/>
            <w:tcBorders>
              <w:top w:val="nil"/>
              <w:left w:val="nil"/>
              <w:bottom w:val="single" w:sz="4" w:space="0" w:color="auto"/>
              <w:right w:val="single" w:sz="4" w:space="0" w:color="auto"/>
            </w:tcBorders>
            <w:shd w:val="clear" w:color="auto" w:fill="auto"/>
            <w:hideMark/>
          </w:tcPr>
          <w:p w14:paraId="143DA7A9"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12.599,60</w:t>
            </w:r>
          </w:p>
        </w:tc>
        <w:tc>
          <w:tcPr>
            <w:tcW w:w="939" w:type="dxa"/>
            <w:tcBorders>
              <w:top w:val="nil"/>
              <w:left w:val="nil"/>
              <w:bottom w:val="single" w:sz="4" w:space="0" w:color="auto"/>
              <w:right w:val="single" w:sz="4" w:space="0" w:color="auto"/>
            </w:tcBorders>
            <w:shd w:val="clear" w:color="auto" w:fill="auto"/>
            <w:noWrap/>
            <w:vAlign w:val="bottom"/>
            <w:hideMark/>
          </w:tcPr>
          <w:p w14:paraId="1C55CA73"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auto" w:fill="auto"/>
            <w:noWrap/>
            <w:vAlign w:val="center"/>
            <w:hideMark/>
          </w:tcPr>
          <w:p w14:paraId="22445F44" w14:textId="7D73D0CD"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1C91375C" w14:textId="77777777" w:rsidTr="001A027A">
        <w:trPr>
          <w:trHeight w:val="149"/>
          <w:jc w:val="center"/>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14:paraId="1F63AF77"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 </w:t>
            </w:r>
          </w:p>
        </w:tc>
        <w:tc>
          <w:tcPr>
            <w:tcW w:w="4513" w:type="dxa"/>
            <w:tcBorders>
              <w:top w:val="nil"/>
              <w:left w:val="nil"/>
              <w:bottom w:val="single" w:sz="4" w:space="0" w:color="auto"/>
              <w:right w:val="single" w:sz="4" w:space="0" w:color="auto"/>
            </w:tcBorders>
            <w:shd w:val="clear" w:color="000000" w:fill="FFFFFF"/>
            <w:hideMark/>
          </w:tcPr>
          <w:p w14:paraId="4E4F2FC9" w14:textId="77777777" w:rsidR="00EA7932" w:rsidRPr="001A027A" w:rsidRDefault="00EA7932" w:rsidP="00EA7932">
            <w:pPr>
              <w:spacing w:after="0" w:line="240" w:lineRule="auto"/>
              <w:rPr>
                <w:rFonts w:asciiTheme="majorHAnsi" w:eastAsia="Times New Roman" w:hAnsiTheme="majorHAnsi" w:cstheme="majorHAnsi"/>
                <w:b/>
                <w:bCs/>
                <w:sz w:val="20"/>
                <w:szCs w:val="20"/>
              </w:rPr>
            </w:pPr>
            <w:r w:rsidRPr="001A027A">
              <w:rPr>
                <w:rFonts w:asciiTheme="majorHAnsi" w:eastAsia="Times New Roman" w:hAnsiTheme="majorHAnsi" w:cstheme="majorHAnsi"/>
                <w:b/>
                <w:bCs/>
                <w:sz w:val="20"/>
                <w:szCs w:val="20"/>
              </w:rPr>
              <w:t>123.9</w:t>
            </w:r>
          </w:p>
        </w:tc>
        <w:tc>
          <w:tcPr>
            <w:tcW w:w="1105" w:type="dxa"/>
            <w:tcBorders>
              <w:top w:val="nil"/>
              <w:left w:val="nil"/>
              <w:bottom w:val="single" w:sz="4" w:space="0" w:color="auto"/>
              <w:right w:val="single" w:sz="4" w:space="0" w:color="auto"/>
            </w:tcBorders>
            <w:shd w:val="clear" w:color="000000" w:fill="FFFFFF"/>
            <w:hideMark/>
          </w:tcPr>
          <w:p w14:paraId="4EE91DC4" w14:textId="77777777" w:rsidR="00EA7932" w:rsidRPr="00EA7932" w:rsidRDefault="00EA7932" w:rsidP="00EA7932">
            <w:pPr>
              <w:spacing w:after="0" w:line="240" w:lineRule="auto"/>
              <w:jc w:val="right"/>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32.088,13</w:t>
            </w:r>
          </w:p>
        </w:tc>
        <w:tc>
          <w:tcPr>
            <w:tcW w:w="939" w:type="dxa"/>
            <w:tcBorders>
              <w:top w:val="nil"/>
              <w:left w:val="nil"/>
              <w:bottom w:val="single" w:sz="4" w:space="0" w:color="auto"/>
              <w:right w:val="single" w:sz="4" w:space="0" w:color="auto"/>
            </w:tcBorders>
            <w:shd w:val="clear" w:color="000000" w:fill="FFFFFF"/>
            <w:noWrap/>
            <w:vAlign w:val="bottom"/>
            <w:hideMark/>
          </w:tcPr>
          <w:p w14:paraId="6027C9AF" w14:textId="77777777" w:rsidR="00EA7932" w:rsidRPr="00EA7932" w:rsidRDefault="00EA7932" w:rsidP="00EA7932">
            <w:pPr>
              <w:spacing w:after="0" w:line="240" w:lineRule="auto"/>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w:t>
            </w:r>
          </w:p>
        </w:tc>
        <w:tc>
          <w:tcPr>
            <w:tcW w:w="1807" w:type="dxa"/>
            <w:tcBorders>
              <w:top w:val="nil"/>
              <w:left w:val="nil"/>
              <w:bottom w:val="single" w:sz="4" w:space="0" w:color="auto"/>
              <w:right w:val="single" w:sz="8" w:space="0" w:color="auto"/>
            </w:tcBorders>
            <w:shd w:val="clear" w:color="000000" w:fill="FFFFFF"/>
            <w:noWrap/>
            <w:vAlign w:val="center"/>
            <w:hideMark/>
          </w:tcPr>
          <w:p w14:paraId="71712479" w14:textId="77777777" w:rsidR="00EA7932" w:rsidRPr="00EA7932" w:rsidRDefault="00EA793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w:t>
            </w:r>
          </w:p>
        </w:tc>
      </w:tr>
      <w:tr w:rsidR="00EA7932" w:rsidRPr="00EA7932" w14:paraId="3B01E7B4" w14:textId="77777777" w:rsidTr="001A027A">
        <w:trPr>
          <w:trHeight w:val="249"/>
          <w:jc w:val="center"/>
        </w:trPr>
        <w:tc>
          <w:tcPr>
            <w:tcW w:w="498" w:type="dxa"/>
            <w:tcBorders>
              <w:top w:val="nil"/>
              <w:left w:val="single" w:sz="8" w:space="0" w:color="auto"/>
              <w:bottom w:val="single" w:sz="4" w:space="0" w:color="auto"/>
              <w:right w:val="single" w:sz="4" w:space="0" w:color="auto"/>
            </w:tcBorders>
            <w:shd w:val="clear" w:color="000000" w:fill="FFFFFF"/>
            <w:noWrap/>
            <w:vAlign w:val="center"/>
            <w:hideMark/>
          </w:tcPr>
          <w:p w14:paraId="0A059293" w14:textId="77777777" w:rsidR="00EA7932" w:rsidRPr="001A027A" w:rsidRDefault="00EA7932" w:rsidP="00EA7932">
            <w:pPr>
              <w:spacing w:after="0" w:line="240" w:lineRule="auto"/>
              <w:jc w:val="center"/>
              <w:rPr>
                <w:rFonts w:asciiTheme="majorHAnsi" w:eastAsia="Times New Roman" w:hAnsiTheme="majorHAnsi" w:cstheme="majorHAnsi"/>
                <w:bCs/>
                <w:color w:val="000000"/>
                <w:sz w:val="20"/>
                <w:szCs w:val="20"/>
              </w:rPr>
            </w:pPr>
            <w:r w:rsidRPr="001A027A">
              <w:rPr>
                <w:rFonts w:asciiTheme="majorHAnsi" w:eastAsia="Times New Roman" w:hAnsiTheme="majorHAnsi" w:cstheme="majorHAnsi"/>
                <w:bCs/>
                <w:color w:val="000000"/>
                <w:sz w:val="20"/>
                <w:szCs w:val="20"/>
              </w:rPr>
              <w:t>15</w:t>
            </w:r>
          </w:p>
        </w:tc>
        <w:tc>
          <w:tcPr>
            <w:tcW w:w="4513" w:type="dxa"/>
            <w:tcBorders>
              <w:top w:val="nil"/>
              <w:left w:val="nil"/>
              <w:bottom w:val="single" w:sz="4" w:space="0" w:color="auto"/>
              <w:right w:val="single" w:sz="4" w:space="0" w:color="auto"/>
            </w:tcBorders>
            <w:shd w:val="clear" w:color="000000" w:fill="FFFFFF"/>
            <w:hideMark/>
          </w:tcPr>
          <w:p w14:paraId="12D4D631" w14:textId="5F3D8AB2" w:rsidR="00EA7932" w:rsidRPr="001A027A" w:rsidRDefault="00EA7932" w:rsidP="001A027A">
            <w:pPr>
              <w:spacing w:after="0" w:line="240" w:lineRule="auto"/>
              <w:rPr>
                <w:rFonts w:asciiTheme="majorHAnsi" w:eastAsia="Times New Roman" w:hAnsiTheme="majorHAnsi" w:cstheme="majorHAnsi"/>
                <w:sz w:val="20"/>
                <w:szCs w:val="20"/>
              </w:rPr>
            </w:pPr>
            <w:r w:rsidRPr="001A027A">
              <w:rPr>
                <w:rFonts w:asciiTheme="majorHAnsi" w:eastAsia="Times New Roman" w:hAnsiTheme="majorHAnsi" w:cstheme="majorHAnsi"/>
                <w:sz w:val="20"/>
                <w:szCs w:val="20"/>
              </w:rPr>
              <w:t>Ma</w:t>
            </w:r>
            <w:r w:rsidR="00B0345B">
              <w:rPr>
                <w:rFonts w:asciiTheme="majorHAnsi" w:eastAsia="Times New Roman" w:hAnsiTheme="majorHAnsi" w:cstheme="majorHAnsi"/>
                <w:sz w:val="20"/>
                <w:szCs w:val="20"/>
              </w:rPr>
              <w:t>ș</w:t>
            </w:r>
            <w:r w:rsidRPr="001A027A">
              <w:rPr>
                <w:rFonts w:asciiTheme="majorHAnsi" w:eastAsia="Times New Roman" w:hAnsiTheme="majorHAnsi" w:cstheme="majorHAnsi"/>
                <w:sz w:val="20"/>
                <w:szCs w:val="20"/>
              </w:rPr>
              <w:t>in</w:t>
            </w:r>
            <w:r w:rsidR="00B0345B">
              <w:rPr>
                <w:rFonts w:asciiTheme="majorHAnsi" w:eastAsia="Times New Roman" w:hAnsiTheme="majorHAnsi" w:cstheme="majorHAnsi"/>
                <w:sz w:val="20"/>
                <w:szCs w:val="20"/>
              </w:rPr>
              <w:t>ă</w:t>
            </w:r>
            <w:r w:rsidRPr="001A027A">
              <w:rPr>
                <w:rFonts w:asciiTheme="majorHAnsi" w:eastAsia="Times New Roman" w:hAnsiTheme="majorHAnsi" w:cstheme="majorHAnsi"/>
                <w:sz w:val="20"/>
                <w:szCs w:val="20"/>
              </w:rPr>
              <w:t xml:space="preserve"> de bro</w:t>
            </w:r>
            <w:r w:rsidR="00B0345B">
              <w:rPr>
                <w:rFonts w:asciiTheme="majorHAnsi" w:eastAsia="Times New Roman" w:hAnsiTheme="majorHAnsi" w:cstheme="majorHAnsi"/>
                <w:sz w:val="20"/>
                <w:szCs w:val="20"/>
              </w:rPr>
              <w:t>ș</w:t>
            </w:r>
            <w:r w:rsidRPr="001A027A">
              <w:rPr>
                <w:rFonts w:asciiTheme="majorHAnsi" w:eastAsia="Times New Roman" w:hAnsiTheme="majorHAnsi" w:cstheme="majorHAnsi"/>
                <w:sz w:val="20"/>
                <w:szCs w:val="20"/>
              </w:rPr>
              <w:t>at cu clei FastBing</w:t>
            </w:r>
          </w:p>
        </w:tc>
        <w:tc>
          <w:tcPr>
            <w:tcW w:w="1105" w:type="dxa"/>
            <w:tcBorders>
              <w:top w:val="nil"/>
              <w:left w:val="nil"/>
              <w:bottom w:val="single" w:sz="4" w:space="0" w:color="auto"/>
              <w:right w:val="single" w:sz="4" w:space="0" w:color="auto"/>
            </w:tcBorders>
            <w:shd w:val="clear" w:color="000000" w:fill="FFFFFF"/>
            <w:hideMark/>
          </w:tcPr>
          <w:p w14:paraId="0A29BF8A" w14:textId="77777777" w:rsidR="00EA7932" w:rsidRPr="00EA7932" w:rsidRDefault="00EA7932" w:rsidP="00EA7932">
            <w:pPr>
              <w:spacing w:after="0" w:line="240" w:lineRule="auto"/>
              <w:jc w:val="right"/>
              <w:rPr>
                <w:rFonts w:asciiTheme="majorHAnsi" w:eastAsia="Times New Roman" w:hAnsiTheme="majorHAnsi" w:cstheme="majorHAnsi"/>
                <w:sz w:val="20"/>
                <w:szCs w:val="20"/>
              </w:rPr>
            </w:pPr>
            <w:r w:rsidRPr="00EA7932">
              <w:rPr>
                <w:rFonts w:asciiTheme="majorHAnsi" w:eastAsia="Times New Roman" w:hAnsiTheme="majorHAnsi" w:cstheme="majorHAnsi"/>
                <w:sz w:val="20"/>
                <w:szCs w:val="20"/>
              </w:rPr>
              <w:t>32.088,13</w:t>
            </w:r>
          </w:p>
        </w:tc>
        <w:tc>
          <w:tcPr>
            <w:tcW w:w="939" w:type="dxa"/>
            <w:tcBorders>
              <w:top w:val="nil"/>
              <w:left w:val="nil"/>
              <w:bottom w:val="single" w:sz="4" w:space="0" w:color="auto"/>
              <w:right w:val="single" w:sz="4" w:space="0" w:color="auto"/>
            </w:tcBorders>
            <w:shd w:val="clear" w:color="000000" w:fill="FFFFFF"/>
            <w:noWrap/>
            <w:vAlign w:val="bottom"/>
            <w:hideMark/>
          </w:tcPr>
          <w:p w14:paraId="7EA5CB46" w14:textId="77777777" w:rsidR="00EA7932" w:rsidRPr="00EA7932" w:rsidRDefault="00EA7932" w:rsidP="00EA7932">
            <w:pPr>
              <w:spacing w:after="0" w:line="240" w:lineRule="auto"/>
              <w:jc w:val="right"/>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 xml:space="preserve">0,00 </w:t>
            </w:r>
          </w:p>
        </w:tc>
        <w:tc>
          <w:tcPr>
            <w:tcW w:w="1807" w:type="dxa"/>
            <w:tcBorders>
              <w:top w:val="nil"/>
              <w:left w:val="nil"/>
              <w:bottom w:val="single" w:sz="4" w:space="0" w:color="auto"/>
              <w:right w:val="single" w:sz="8" w:space="0" w:color="auto"/>
            </w:tcBorders>
            <w:shd w:val="clear" w:color="000000" w:fill="FFFFFF"/>
            <w:noWrap/>
            <w:vAlign w:val="center"/>
            <w:hideMark/>
          </w:tcPr>
          <w:p w14:paraId="39743AD6" w14:textId="29D14008" w:rsidR="00EA7932" w:rsidRPr="00EA7932" w:rsidRDefault="00F124D2" w:rsidP="00EA7932">
            <w:pPr>
              <w:spacing w:after="0" w:line="240" w:lineRule="auto"/>
              <w:jc w:val="center"/>
              <w:rPr>
                <w:rFonts w:asciiTheme="majorHAnsi" w:eastAsia="Times New Roman" w:hAnsiTheme="majorHAnsi" w:cstheme="majorHAnsi"/>
                <w:color w:val="000000"/>
                <w:sz w:val="20"/>
                <w:szCs w:val="20"/>
              </w:rPr>
            </w:pPr>
            <w:r w:rsidRPr="00EA7932">
              <w:rPr>
                <w:rFonts w:asciiTheme="majorHAnsi" w:eastAsia="Times New Roman" w:hAnsiTheme="majorHAnsi" w:cstheme="majorHAnsi"/>
                <w:color w:val="000000"/>
                <w:sz w:val="20"/>
                <w:szCs w:val="20"/>
              </w:rPr>
              <w:t>N</w:t>
            </w:r>
            <w:r w:rsidR="00EA7932" w:rsidRPr="00EA7932">
              <w:rPr>
                <w:rFonts w:asciiTheme="majorHAnsi" w:eastAsia="Times New Roman" w:hAnsiTheme="majorHAnsi" w:cstheme="majorHAnsi"/>
                <w:color w:val="000000"/>
                <w:sz w:val="20"/>
                <w:szCs w:val="20"/>
              </w:rPr>
              <w:t>u</w:t>
            </w:r>
          </w:p>
        </w:tc>
      </w:tr>
      <w:tr w:rsidR="00EA7932" w:rsidRPr="00EA7932" w14:paraId="23CBAED9" w14:textId="77777777" w:rsidTr="001A027A">
        <w:trPr>
          <w:trHeight w:val="156"/>
          <w:jc w:val="center"/>
        </w:trPr>
        <w:tc>
          <w:tcPr>
            <w:tcW w:w="498" w:type="dxa"/>
            <w:tcBorders>
              <w:top w:val="nil"/>
              <w:left w:val="single" w:sz="8" w:space="0" w:color="auto"/>
              <w:bottom w:val="single" w:sz="8" w:space="0" w:color="auto"/>
              <w:right w:val="single" w:sz="4" w:space="0" w:color="auto"/>
            </w:tcBorders>
            <w:shd w:val="clear" w:color="000000" w:fill="FFFFFF"/>
            <w:noWrap/>
            <w:vAlign w:val="center"/>
            <w:hideMark/>
          </w:tcPr>
          <w:p w14:paraId="5322B490" w14:textId="77777777" w:rsidR="00EA7932" w:rsidRPr="00EA7932" w:rsidRDefault="00EA7932" w:rsidP="00EA7932">
            <w:pPr>
              <w:spacing w:after="0" w:line="240" w:lineRule="auto"/>
              <w:jc w:val="center"/>
              <w:rPr>
                <w:rFonts w:asciiTheme="majorHAnsi" w:eastAsia="Times New Roman" w:hAnsiTheme="majorHAnsi" w:cstheme="majorHAnsi"/>
                <w:b/>
                <w:bCs/>
                <w:color w:val="FF0000"/>
                <w:sz w:val="20"/>
                <w:szCs w:val="20"/>
              </w:rPr>
            </w:pPr>
            <w:r w:rsidRPr="00EA7932">
              <w:rPr>
                <w:rFonts w:asciiTheme="majorHAnsi" w:eastAsia="Times New Roman" w:hAnsiTheme="majorHAnsi" w:cstheme="majorHAnsi"/>
                <w:b/>
                <w:bCs/>
                <w:color w:val="FF0000"/>
                <w:sz w:val="20"/>
                <w:szCs w:val="20"/>
              </w:rPr>
              <w:t> </w:t>
            </w:r>
          </w:p>
        </w:tc>
        <w:tc>
          <w:tcPr>
            <w:tcW w:w="4513" w:type="dxa"/>
            <w:tcBorders>
              <w:top w:val="nil"/>
              <w:left w:val="nil"/>
              <w:bottom w:val="single" w:sz="8" w:space="0" w:color="auto"/>
              <w:right w:val="single" w:sz="4" w:space="0" w:color="auto"/>
            </w:tcBorders>
            <w:shd w:val="clear" w:color="000000" w:fill="FFFFFF"/>
            <w:noWrap/>
            <w:hideMark/>
          </w:tcPr>
          <w:p w14:paraId="7575DFC9" w14:textId="77777777" w:rsidR="00EA7932" w:rsidRPr="00EA7932" w:rsidRDefault="00EA7932" w:rsidP="00EA7932">
            <w:pPr>
              <w:spacing w:after="0" w:line="240" w:lineRule="auto"/>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TOTAL</w:t>
            </w:r>
          </w:p>
        </w:tc>
        <w:tc>
          <w:tcPr>
            <w:tcW w:w="1105" w:type="dxa"/>
            <w:tcBorders>
              <w:top w:val="nil"/>
              <w:left w:val="nil"/>
              <w:bottom w:val="single" w:sz="8" w:space="0" w:color="auto"/>
              <w:right w:val="single" w:sz="4" w:space="0" w:color="auto"/>
            </w:tcBorders>
            <w:shd w:val="clear" w:color="000000" w:fill="FFFFFF"/>
            <w:hideMark/>
          </w:tcPr>
          <w:p w14:paraId="46171C4D" w14:textId="77777777" w:rsidR="00EA7932" w:rsidRPr="00EA7932" w:rsidRDefault="00EA7932" w:rsidP="00EA7932">
            <w:pPr>
              <w:spacing w:after="0" w:line="240" w:lineRule="auto"/>
              <w:jc w:val="right"/>
              <w:rPr>
                <w:rFonts w:asciiTheme="majorHAnsi" w:eastAsia="Times New Roman" w:hAnsiTheme="majorHAnsi" w:cstheme="majorHAnsi"/>
                <w:b/>
                <w:bCs/>
                <w:sz w:val="20"/>
                <w:szCs w:val="20"/>
              </w:rPr>
            </w:pPr>
            <w:r w:rsidRPr="00EA7932">
              <w:rPr>
                <w:rFonts w:asciiTheme="majorHAnsi" w:eastAsia="Times New Roman" w:hAnsiTheme="majorHAnsi" w:cstheme="majorHAnsi"/>
                <w:b/>
                <w:bCs/>
                <w:sz w:val="20"/>
                <w:szCs w:val="20"/>
              </w:rPr>
              <w:t>213.530,06</w:t>
            </w:r>
          </w:p>
        </w:tc>
        <w:tc>
          <w:tcPr>
            <w:tcW w:w="939" w:type="dxa"/>
            <w:tcBorders>
              <w:top w:val="nil"/>
              <w:left w:val="nil"/>
              <w:bottom w:val="single" w:sz="8" w:space="0" w:color="auto"/>
              <w:right w:val="single" w:sz="4" w:space="0" w:color="auto"/>
            </w:tcBorders>
            <w:shd w:val="clear" w:color="000000" w:fill="FFFFFF"/>
            <w:noWrap/>
            <w:vAlign w:val="bottom"/>
            <w:hideMark/>
          </w:tcPr>
          <w:p w14:paraId="7FA5A098" w14:textId="77777777" w:rsidR="00EA7932" w:rsidRPr="00EA7932" w:rsidRDefault="00EA7932" w:rsidP="00EA7932">
            <w:pPr>
              <w:spacing w:after="0" w:line="240" w:lineRule="auto"/>
              <w:jc w:val="right"/>
              <w:rPr>
                <w:rFonts w:asciiTheme="majorHAnsi" w:eastAsia="Times New Roman" w:hAnsiTheme="majorHAnsi" w:cstheme="majorHAnsi"/>
                <w:b/>
                <w:bCs/>
                <w:color w:val="000000"/>
                <w:sz w:val="20"/>
                <w:szCs w:val="20"/>
              </w:rPr>
            </w:pPr>
            <w:r w:rsidRPr="00EA7932">
              <w:rPr>
                <w:rFonts w:asciiTheme="majorHAnsi" w:eastAsia="Times New Roman" w:hAnsiTheme="majorHAnsi" w:cstheme="majorHAnsi"/>
                <w:b/>
                <w:bCs/>
                <w:color w:val="000000"/>
                <w:sz w:val="20"/>
                <w:szCs w:val="20"/>
              </w:rPr>
              <w:t xml:space="preserve">0,00 </w:t>
            </w:r>
          </w:p>
        </w:tc>
        <w:tc>
          <w:tcPr>
            <w:tcW w:w="1807" w:type="dxa"/>
            <w:tcBorders>
              <w:top w:val="nil"/>
              <w:left w:val="nil"/>
              <w:bottom w:val="single" w:sz="8" w:space="0" w:color="auto"/>
              <w:right w:val="single" w:sz="8" w:space="0" w:color="auto"/>
            </w:tcBorders>
            <w:shd w:val="clear" w:color="000000" w:fill="FFFFFF"/>
            <w:noWrap/>
            <w:vAlign w:val="center"/>
            <w:hideMark/>
          </w:tcPr>
          <w:p w14:paraId="100ED345" w14:textId="4F3E6814" w:rsidR="00EA7932" w:rsidRPr="00EA7932" w:rsidRDefault="001A027A" w:rsidP="00EA7932">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x</w:t>
            </w:r>
            <w:r w:rsidR="00EA7932" w:rsidRPr="00EA7932">
              <w:rPr>
                <w:rFonts w:asciiTheme="majorHAnsi" w:eastAsia="Times New Roman" w:hAnsiTheme="majorHAnsi" w:cstheme="majorHAnsi"/>
                <w:b/>
                <w:bCs/>
                <w:color w:val="000000"/>
                <w:sz w:val="20"/>
                <w:szCs w:val="20"/>
              </w:rPr>
              <w:t> </w:t>
            </w:r>
          </w:p>
        </w:tc>
      </w:tr>
    </w:tbl>
    <w:p w14:paraId="57FF77D3" w14:textId="77777777" w:rsidR="00CF7918" w:rsidRDefault="00CF7918" w:rsidP="00CF7918">
      <w:pPr>
        <w:rPr>
          <w:rFonts w:asciiTheme="majorHAnsi" w:hAnsiTheme="majorHAnsi" w:cstheme="majorHAnsi"/>
          <w:sz w:val="24"/>
          <w:szCs w:val="24"/>
          <w:lang w:eastAsia="ro-MD"/>
        </w:rPr>
      </w:pPr>
    </w:p>
    <w:p w14:paraId="5B9AA45B" w14:textId="327FED71" w:rsidR="00CF7918" w:rsidRDefault="00CF7918">
      <w:pPr>
        <w:rPr>
          <w:rFonts w:asciiTheme="majorHAnsi" w:hAnsiTheme="majorHAnsi" w:cstheme="majorHAnsi"/>
          <w:sz w:val="24"/>
          <w:szCs w:val="24"/>
          <w:lang w:eastAsia="ro-MD"/>
        </w:rPr>
        <w:sectPr w:rsidR="00CF7918" w:rsidSect="00CF7918">
          <w:pgSz w:w="11906" w:h="16838" w:code="9"/>
          <w:pgMar w:top="1138" w:right="566" w:bottom="1411" w:left="1699" w:header="720" w:footer="720" w:gutter="0"/>
          <w:cols w:space="708"/>
          <w:docGrid w:linePitch="360"/>
        </w:sectPr>
      </w:pPr>
      <w:r>
        <w:rPr>
          <w:rFonts w:asciiTheme="majorHAnsi" w:hAnsiTheme="majorHAnsi" w:cstheme="majorHAnsi"/>
          <w:sz w:val="24"/>
          <w:szCs w:val="24"/>
          <w:lang w:eastAsia="ro-MD"/>
        </w:rPr>
        <w:br w:type="page"/>
      </w:r>
    </w:p>
    <w:p w14:paraId="57F9439C" w14:textId="56FEBB4F" w:rsidR="00A64E3C" w:rsidRDefault="00984CE0" w:rsidP="005129B8">
      <w:pPr>
        <w:pStyle w:val="Heading2"/>
        <w:spacing w:before="0" w:after="240"/>
        <w:rPr>
          <w:rFonts w:cstheme="majorHAnsi"/>
          <w:b/>
          <w:color w:val="00B0F0"/>
          <w:sz w:val="24"/>
          <w:szCs w:val="24"/>
          <w:lang w:val="ro-MD"/>
        </w:rPr>
      </w:pPr>
      <w:bookmarkStart w:id="149" w:name="_Toc123116726"/>
      <w:r>
        <w:rPr>
          <w:rFonts w:cstheme="majorHAnsi"/>
          <w:b/>
          <w:color w:val="00B0F0"/>
          <w:sz w:val="24"/>
          <w:szCs w:val="24"/>
          <w:lang w:val="ro-MD"/>
        </w:rPr>
        <w:t>Anexa nr.5. Veniturile i</w:t>
      </w:r>
      <w:r w:rsidR="00A64E3C" w:rsidRPr="00984CE0">
        <w:rPr>
          <w:rFonts w:cstheme="majorHAnsi"/>
          <w:b/>
          <w:color w:val="00B0F0"/>
          <w:sz w:val="24"/>
          <w:szCs w:val="24"/>
          <w:lang w:val="ro-MD"/>
        </w:rPr>
        <w:t>nstituțiilor publice din domeniul infrastructurii c</w:t>
      </w:r>
      <w:r w:rsidR="00205280">
        <w:rPr>
          <w:rFonts w:cstheme="majorHAnsi"/>
          <w:b/>
          <w:color w:val="00B0F0"/>
          <w:sz w:val="24"/>
          <w:szCs w:val="24"/>
          <w:lang w:val="ro-MD"/>
        </w:rPr>
        <w:t xml:space="preserve">alității acumulate în perioada </w:t>
      </w:r>
      <w:r w:rsidR="00093376">
        <w:rPr>
          <w:rFonts w:cstheme="majorHAnsi"/>
          <w:b/>
          <w:color w:val="00B0F0"/>
          <w:sz w:val="24"/>
          <w:szCs w:val="24"/>
          <w:lang w:val="ro-MD"/>
        </w:rPr>
        <w:t>ani</w:t>
      </w:r>
      <w:r w:rsidR="00445E48">
        <w:rPr>
          <w:rFonts w:cstheme="majorHAnsi"/>
          <w:b/>
          <w:color w:val="00B0F0"/>
          <w:sz w:val="24"/>
          <w:szCs w:val="24"/>
          <w:lang w:val="ro-MD"/>
        </w:rPr>
        <w:t>lor</w:t>
      </w:r>
      <w:r w:rsidR="00A64E3C" w:rsidRPr="00984CE0">
        <w:rPr>
          <w:rFonts w:cstheme="majorHAnsi"/>
          <w:b/>
          <w:color w:val="00B0F0"/>
          <w:sz w:val="24"/>
          <w:szCs w:val="24"/>
          <w:lang w:val="ro-MD"/>
        </w:rPr>
        <w:t xml:space="preserve"> 2020</w:t>
      </w:r>
      <w:r w:rsidR="0041230D">
        <w:rPr>
          <w:rFonts w:cstheme="majorHAnsi"/>
          <w:b/>
          <w:color w:val="00B0F0"/>
          <w:sz w:val="24"/>
          <w:szCs w:val="24"/>
          <w:lang w:val="ro-MD"/>
        </w:rPr>
        <w:t>-2021</w:t>
      </w:r>
      <w:bookmarkEnd w:id="149"/>
    </w:p>
    <w:p w14:paraId="6CAEB121" w14:textId="3776E23C" w:rsidR="00B719C9" w:rsidRPr="00255E9C" w:rsidRDefault="00B719C9" w:rsidP="00B719C9">
      <w:pPr>
        <w:jc w:val="right"/>
        <w:rPr>
          <w:rFonts w:asciiTheme="majorHAnsi" w:hAnsiTheme="majorHAnsi" w:cstheme="majorHAnsi"/>
          <w:b/>
          <w:i/>
          <w:sz w:val="24"/>
          <w:szCs w:val="24"/>
          <w:lang w:val="ro-MD"/>
        </w:rPr>
      </w:pPr>
      <w:r w:rsidRPr="00255E9C">
        <w:rPr>
          <w:rFonts w:asciiTheme="majorHAnsi" w:hAnsiTheme="majorHAnsi" w:cstheme="majorHAnsi"/>
          <w:b/>
          <w:i/>
          <w:sz w:val="24"/>
          <w:szCs w:val="24"/>
          <w:lang w:val="ro-MD"/>
        </w:rPr>
        <w:t>Tabelul nr.5.1</w:t>
      </w:r>
      <w:r w:rsidR="00445E48" w:rsidRPr="00255E9C">
        <w:rPr>
          <w:rFonts w:asciiTheme="majorHAnsi" w:hAnsiTheme="majorHAnsi" w:cstheme="majorHAnsi"/>
          <w:b/>
          <w:i/>
          <w:sz w:val="24"/>
          <w:szCs w:val="24"/>
          <w:lang w:val="ro-MD"/>
        </w:rPr>
        <w:t>.</w:t>
      </w:r>
    </w:p>
    <w:p w14:paraId="3838DCF9" w14:textId="4B8CCE25" w:rsidR="00B719C9" w:rsidRPr="00255E9C" w:rsidRDefault="008E4081" w:rsidP="003E0C22">
      <w:pPr>
        <w:jc w:val="center"/>
        <w:rPr>
          <w:rFonts w:asciiTheme="majorHAnsi" w:hAnsiTheme="majorHAnsi" w:cstheme="majorHAnsi"/>
          <w:b/>
          <w:sz w:val="24"/>
          <w:szCs w:val="24"/>
          <w:lang w:val="ro-MD"/>
        </w:rPr>
      </w:pPr>
      <w:r w:rsidRPr="00255E9C">
        <w:rPr>
          <w:rFonts w:asciiTheme="majorHAnsi" w:hAnsiTheme="majorHAnsi" w:cstheme="majorHAnsi"/>
          <w:b/>
          <w:sz w:val="24"/>
          <w:szCs w:val="24"/>
          <w:lang w:val="ro-MD"/>
        </w:rPr>
        <w:t xml:space="preserve">Veniturile </w:t>
      </w:r>
      <w:r w:rsidR="00445E48">
        <w:rPr>
          <w:rFonts w:asciiTheme="majorHAnsi" w:hAnsiTheme="majorHAnsi" w:cstheme="majorHAnsi"/>
          <w:b/>
          <w:sz w:val="24"/>
          <w:szCs w:val="24"/>
          <w:lang w:val="ro-MD"/>
        </w:rPr>
        <w:t>i</w:t>
      </w:r>
      <w:r w:rsidRPr="00255E9C">
        <w:rPr>
          <w:rFonts w:asciiTheme="majorHAnsi" w:hAnsiTheme="majorHAnsi" w:cstheme="majorHAnsi"/>
          <w:b/>
          <w:sz w:val="24"/>
          <w:szCs w:val="24"/>
          <w:lang w:val="ro-MD"/>
        </w:rPr>
        <w:t xml:space="preserve">nstituțiilor </w:t>
      </w:r>
      <w:r w:rsidR="00445E48">
        <w:rPr>
          <w:rFonts w:asciiTheme="majorHAnsi" w:hAnsiTheme="majorHAnsi" w:cstheme="majorHAnsi"/>
          <w:b/>
          <w:sz w:val="24"/>
          <w:szCs w:val="24"/>
          <w:lang w:val="ro-MD"/>
        </w:rPr>
        <w:t>p</w:t>
      </w:r>
      <w:r w:rsidRPr="00255E9C">
        <w:rPr>
          <w:rFonts w:asciiTheme="majorHAnsi" w:hAnsiTheme="majorHAnsi" w:cstheme="majorHAnsi"/>
          <w:b/>
          <w:sz w:val="24"/>
          <w:szCs w:val="24"/>
          <w:lang w:val="ro-MD"/>
        </w:rPr>
        <w:t>ublice din domeniul infrastructurii calității acumulate în anul 2020</w:t>
      </w:r>
      <w:r w:rsidR="003E0C22" w:rsidRPr="00255E9C">
        <w:rPr>
          <w:rFonts w:asciiTheme="majorHAnsi" w:hAnsiTheme="majorHAnsi" w:cstheme="majorHAnsi"/>
          <w:b/>
          <w:sz w:val="24"/>
          <w:szCs w:val="24"/>
          <w:lang w:val="ro-MD"/>
        </w:rPr>
        <w:t xml:space="preserve">                                       </w:t>
      </w:r>
    </w:p>
    <w:p w14:paraId="51B28933" w14:textId="40C97E9B" w:rsidR="00123560" w:rsidRPr="00B719C9" w:rsidRDefault="00B719C9" w:rsidP="00B719C9">
      <w:pPr>
        <w:jc w:val="right"/>
        <w:rPr>
          <w:rFonts w:asciiTheme="majorHAnsi" w:hAnsiTheme="majorHAnsi" w:cstheme="majorHAnsi"/>
          <w:sz w:val="24"/>
          <w:szCs w:val="24"/>
          <w:lang w:val="ro-MD"/>
        </w:rPr>
      </w:pPr>
      <w:r w:rsidRPr="00B719C9">
        <w:rPr>
          <w:rFonts w:asciiTheme="majorHAnsi" w:hAnsiTheme="majorHAnsi" w:cstheme="majorHAnsi"/>
          <w:sz w:val="24"/>
          <w:szCs w:val="24"/>
          <w:lang w:val="ro-MD"/>
        </w:rPr>
        <w:t>(mii lei)</w:t>
      </w:r>
      <w:r w:rsidR="003E0C22" w:rsidRPr="00B719C9">
        <w:rPr>
          <w:rFonts w:asciiTheme="majorHAnsi" w:hAnsiTheme="majorHAnsi" w:cstheme="majorHAnsi"/>
          <w:sz w:val="24"/>
          <w:szCs w:val="24"/>
          <w:lang w:val="ro-MD"/>
        </w:rPr>
        <w:t xml:space="preserve"> </w:t>
      </w:r>
    </w:p>
    <w:tbl>
      <w:tblPr>
        <w:tblStyle w:val="PlainTable2"/>
        <w:tblW w:w="5000" w:type="pct"/>
        <w:tblLook w:val="04A0" w:firstRow="1" w:lastRow="0" w:firstColumn="1" w:lastColumn="0" w:noHBand="0" w:noVBand="1"/>
      </w:tblPr>
      <w:tblGrid>
        <w:gridCol w:w="2827"/>
        <w:gridCol w:w="967"/>
        <w:gridCol w:w="921"/>
        <w:gridCol w:w="717"/>
        <w:gridCol w:w="965"/>
        <w:gridCol w:w="913"/>
        <w:gridCol w:w="968"/>
        <w:gridCol w:w="965"/>
        <w:gridCol w:w="913"/>
        <w:gridCol w:w="1050"/>
        <w:gridCol w:w="965"/>
        <w:gridCol w:w="1030"/>
        <w:gridCol w:w="1085"/>
      </w:tblGrid>
      <w:tr w:rsidR="00B719C9" w:rsidRPr="000833DB" w14:paraId="301B6A3A" w14:textId="77777777" w:rsidTr="00E76298">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90" w:type="pct"/>
            <w:vMerge w:val="restart"/>
            <w:hideMark/>
          </w:tcPr>
          <w:p w14:paraId="22BCE690" w14:textId="77777777" w:rsidR="00992E04" w:rsidRPr="000833DB" w:rsidRDefault="00992E04" w:rsidP="00543106">
            <w:pPr>
              <w:jc w:val="center"/>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Categoria</w:t>
            </w:r>
          </w:p>
        </w:tc>
        <w:tc>
          <w:tcPr>
            <w:tcW w:w="662" w:type="pct"/>
            <w:gridSpan w:val="2"/>
            <w:hideMark/>
          </w:tcPr>
          <w:p w14:paraId="43E5EFF0"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INM</w:t>
            </w:r>
          </w:p>
        </w:tc>
        <w:tc>
          <w:tcPr>
            <w:tcW w:w="246" w:type="pct"/>
            <w:vMerge w:val="restart"/>
            <w:hideMark/>
          </w:tcPr>
          <w:p w14:paraId="6732AAEB"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Devieri</w:t>
            </w:r>
            <w:r w:rsidRPr="000833DB">
              <w:rPr>
                <w:rFonts w:ascii="Calibri Light" w:eastAsia="Times New Roman" w:hAnsi="Calibri Light" w:cs="Calibri Light"/>
                <w:b w:val="0"/>
                <w:bCs w:val="0"/>
                <w:i/>
                <w:iCs/>
                <w:sz w:val="18"/>
                <w:szCs w:val="18"/>
                <w:lang w:val="ro-MD"/>
              </w:rPr>
              <w:br/>
              <w:t>%</w:t>
            </w:r>
          </w:p>
        </w:tc>
        <w:tc>
          <w:tcPr>
            <w:tcW w:w="658" w:type="pct"/>
            <w:gridSpan w:val="2"/>
            <w:hideMark/>
          </w:tcPr>
          <w:p w14:paraId="1DD3E652"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ISM</w:t>
            </w:r>
          </w:p>
        </w:tc>
        <w:tc>
          <w:tcPr>
            <w:tcW w:w="339" w:type="pct"/>
            <w:vMerge w:val="restart"/>
            <w:hideMark/>
          </w:tcPr>
          <w:p w14:paraId="65378F4F"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Devieri</w:t>
            </w:r>
            <w:r w:rsidRPr="000833DB">
              <w:rPr>
                <w:rFonts w:ascii="Calibri Light" w:eastAsia="Times New Roman" w:hAnsi="Calibri Light" w:cs="Calibri Light"/>
                <w:b w:val="0"/>
                <w:bCs w:val="0"/>
                <w:i/>
                <w:iCs/>
                <w:sz w:val="18"/>
                <w:szCs w:val="18"/>
                <w:lang w:val="ro-MD"/>
              </w:rPr>
              <w:br/>
              <w:t>%</w:t>
            </w:r>
          </w:p>
        </w:tc>
        <w:tc>
          <w:tcPr>
            <w:tcW w:w="658" w:type="pct"/>
            <w:gridSpan w:val="2"/>
            <w:hideMark/>
          </w:tcPr>
          <w:p w14:paraId="1F81BA65"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Pr>
                <w:rFonts w:ascii="Calibri Light" w:eastAsia="Times New Roman" w:hAnsi="Calibri Light" w:cs="Calibri Light"/>
                <w:b w:val="0"/>
                <w:bCs w:val="0"/>
                <w:i/>
                <w:iCs/>
                <w:sz w:val="18"/>
                <w:szCs w:val="18"/>
                <w:lang w:val="ro-MD"/>
              </w:rPr>
              <w:t>MOLDAC</w:t>
            </w:r>
          </w:p>
        </w:tc>
        <w:tc>
          <w:tcPr>
            <w:tcW w:w="368" w:type="pct"/>
            <w:vMerge w:val="restart"/>
            <w:hideMark/>
          </w:tcPr>
          <w:p w14:paraId="4ED86F5C"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Devieri</w:t>
            </w:r>
            <w:r w:rsidRPr="000833DB">
              <w:rPr>
                <w:rFonts w:ascii="Calibri Light" w:eastAsia="Times New Roman" w:hAnsi="Calibri Light" w:cs="Calibri Light"/>
                <w:b w:val="0"/>
                <w:bCs w:val="0"/>
                <w:i/>
                <w:iCs/>
                <w:sz w:val="18"/>
                <w:szCs w:val="18"/>
                <w:lang w:val="ro-MD"/>
              </w:rPr>
              <w:br/>
              <w:t>%</w:t>
            </w:r>
          </w:p>
        </w:tc>
        <w:tc>
          <w:tcPr>
            <w:tcW w:w="699" w:type="pct"/>
            <w:gridSpan w:val="2"/>
          </w:tcPr>
          <w:p w14:paraId="6034FEE0"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APCSP</w:t>
            </w:r>
          </w:p>
        </w:tc>
        <w:tc>
          <w:tcPr>
            <w:tcW w:w="380" w:type="pct"/>
            <w:vMerge w:val="restart"/>
          </w:tcPr>
          <w:p w14:paraId="6C22CB23"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Devieri</w:t>
            </w:r>
          </w:p>
          <w:p w14:paraId="0DD7EFE9" w14:textId="77777777" w:rsidR="00992E04" w:rsidRPr="000833DB"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w:t>
            </w:r>
          </w:p>
        </w:tc>
      </w:tr>
      <w:tr w:rsidR="00B719C9" w:rsidRPr="000833DB" w14:paraId="70D84AA4" w14:textId="77777777" w:rsidTr="00E7629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90" w:type="pct"/>
            <w:vMerge/>
            <w:hideMark/>
          </w:tcPr>
          <w:p w14:paraId="26C70FD5" w14:textId="77777777" w:rsidR="00992E04" w:rsidRPr="000833DB" w:rsidRDefault="00992E04" w:rsidP="00543106">
            <w:pPr>
              <w:rPr>
                <w:rFonts w:ascii="Calibri Light" w:eastAsia="Times New Roman" w:hAnsi="Calibri Light" w:cs="Calibri Light"/>
                <w:b w:val="0"/>
                <w:bCs w:val="0"/>
                <w:i/>
                <w:iCs/>
                <w:sz w:val="18"/>
                <w:szCs w:val="18"/>
                <w:lang w:val="ro-MD"/>
              </w:rPr>
            </w:pPr>
          </w:p>
        </w:tc>
        <w:tc>
          <w:tcPr>
            <w:tcW w:w="339" w:type="pct"/>
            <w:hideMark/>
          </w:tcPr>
          <w:p w14:paraId="3DB7334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Planificat</w:t>
            </w:r>
          </w:p>
        </w:tc>
        <w:tc>
          <w:tcPr>
            <w:tcW w:w="323" w:type="pct"/>
            <w:hideMark/>
          </w:tcPr>
          <w:p w14:paraId="3836D68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Executat</w:t>
            </w:r>
          </w:p>
        </w:tc>
        <w:tc>
          <w:tcPr>
            <w:tcW w:w="246" w:type="pct"/>
            <w:vMerge/>
            <w:hideMark/>
          </w:tcPr>
          <w:p w14:paraId="2AD1BC0F" w14:textId="77777777" w:rsidR="00992E04" w:rsidRPr="000833DB" w:rsidRDefault="00992E04" w:rsidP="0054310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p>
        </w:tc>
        <w:tc>
          <w:tcPr>
            <w:tcW w:w="338" w:type="pct"/>
            <w:hideMark/>
          </w:tcPr>
          <w:p w14:paraId="4B28675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Planificat</w:t>
            </w:r>
          </w:p>
        </w:tc>
        <w:tc>
          <w:tcPr>
            <w:tcW w:w="320" w:type="pct"/>
            <w:hideMark/>
          </w:tcPr>
          <w:p w14:paraId="6810361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Executat</w:t>
            </w:r>
          </w:p>
        </w:tc>
        <w:tc>
          <w:tcPr>
            <w:tcW w:w="339" w:type="pct"/>
            <w:vMerge/>
            <w:hideMark/>
          </w:tcPr>
          <w:p w14:paraId="50F6E106" w14:textId="77777777" w:rsidR="00992E04" w:rsidRPr="000833DB" w:rsidRDefault="00992E04" w:rsidP="0054310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p>
        </w:tc>
        <w:tc>
          <w:tcPr>
            <w:tcW w:w="338" w:type="pct"/>
            <w:hideMark/>
          </w:tcPr>
          <w:p w14:paraId="2A237B8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Planificat</w:t>
            </w:r>
          </w:p>
        </w:tc>
        <w:tc>
          <w:tcPr>
            <w:tcW w:w="320" w:type="pct"/>
            <w:hideMark/>
          </w:tcPr>
          <w:p w14:paraId="2E467D13"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Executat</w:t>
            </w:r>
          </w:p>
        </w:tc>
        <w:tc>
          <w:tcPr>
            <w:tcW w:w="368" w:type="pct"/>
            <w:vMerge/>
            <w:hideMark/>
          </w:tcPr>
          <w:p w14:paraId="613920FC" w14:textId="77777777" w:rsidR="00992E04" w:rsidRPr="000833DB" w:rsidRDefault="00992E04" w:rsidP="0054310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p>
        </w:tc>
        <w:tc>
          <w:tcPr>
            <w:tcW w:w="338" w:type="pct"/>
          </w:tcPr>
          <w:p w14:paraId="67B350A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Planificat</w:t>
            </w:r>
          </w:p>
        </w:tc>
        <w:tc>
          <w:tcPr>
            <w:tcW w:w="361" w:type="pct"/>
          </w:tcPr>
          <w:p w14:paraId="65298F6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sz w:val="18"/>
                <w:szCs w:val="18"/>
                <w:lang w:val="ro-MD"/>
              </w:rPr>
            </w:pPr>
            <w:r w:rsidRPr="000833DB">
              <w:rPr>
                <w:rFonts w:ascii="Calibri Light" w:eastAsia="Times New Roman" w:hAnsi="Calibri Light" w:cs="Calibri Light"/>
                <w:b/>
                <w:bCs/>
                <w:i/>
                <w:iCs/>
                <w:sz w:val="18"/>
                <w:szCs w:val="18"/>
                <w:lang w:val="ro-MD"/>
              </w:rPr>
              <w:t>Executat</w:t>
            </w:r>
          </w:p>
        </w:tc>
        <w:tc>
          <w:tcPr>
            <w:tcW w:w="380" w:type="pct"/>
            <w:vMerge/>
          </w:tcPr>
          <w:p w14:paraId="066F2482" w14:textId="77777777" w:rsidR="00992E04" w:rsidRPr="000833DB" w:rsidRDefault="00992E04" w:rsidP="0054310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p>
        </w:tc>
      </w:tr>
      <w:tr w:rsidR="00B719C9" w:rsidRPr="000833DB" w14:paraId="6205B544" w14:textId="77777777" w:rsidTr="00E76298">
        <w:trPr>
          <w:trHeight w:val="232"/>
        </w:trPr>
        <w:tc>
          <w:tcPr>
            <w:cnfStyle w:val="001000000000" w:firstRow="0" w:lastRow="0" w:firstColumn="1" w:lastColumn="0" w:oddVBand="0" w:evenVBand="0" w:oddHBand="0" w:evenHBand="0" w:firstRowFirstColumn="0" w:firstRowLastColumn="0" w:lastRowFirstColumn="0" w:lastRowLastColumn="0"/>
            <w:tcW w:w="990" w:type="pct"/>
            <w:hideMark/>
          </w:tcPr>
          <w:p w14:paraId="7232A834" w14:textId="77777777" w:rsidR="00992E04" w:rsidRPr="000833DB" w:rsidRDefault="00992E04" w:rsidP="00543106">
            <w:pPr>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Venituri din prestarea serviciilor și executarea lucrărilor</w:t>
            </w:r>
          </w:p>
        </w:tc>
        <w:tc>
          <w:tcPr>
            <w:tcW w:w="339" w:type="pct"/>
            <w:hideMark/>
          </w:tcPr>
          <w:p w14:paraId="1C6BD5B8"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2 680,0</w:t>
            </w:r>
          </w:p>
        </w:tc>
        <w:tc>
          <w:tcPr>
            <w:tcW w:w="323" w:type="pct"/>
            <w:noWrap/>
            <w:hideMark/>
          </w:tcPr>
          <w:p w14:paraId="6FF2AD03"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2 978,2</w:t>
            </w:r>
          </w:p>
        </w:tc>
        <w:tc>
          <w:tcPr>
            <w:tcW w:w="246" w:type="pct"/>
            <w:hideMark/>
          </w:tcPr>
          <w:p w14:paraId="4BE43CA2"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11,13</w:t>
            </w:r>
          </w:p>
        </w:tc>
        <w:tc>
          <w:tcPr>
            <w:tcW w:w="338" w:type="pct"/>
            <w:hideMark/>
          </w:tcPr>
          <w:p w14:paraId="0DF6E61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610,0</w:t>
            </w:r>
          </w:p>
        </w:tc>
        <w:tc>
          <w:tcPr>
            <w:tcW w:w="320" w:type="pct"/>
            <w:noWrap/>
            <w:hideMark/>
          </w:tcPr>
          <w:p w14:paraId="53E61F5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571,2</w:t>
            </w:r>
          </w:p>
        </w:tc>
        <w:tc>
          <w:tcPr>
            <w:tcW w:w="339" w:type="pct"/>
            <w:hideMark/>
          </w:tcPr>
          <w:p w14:paraId="3E4DAA78"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-6,35</w:t>
            </w:r>
          </w:p>
        </w:tc>
        <w:tc>
          <w:tcPr>
            <w:tcW w:w="338" w:type="pct"/>
            <w:hideMark/>
          </w:tcPr>
          <w:p w14:paraId="44919137"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5 900,0</w:t>
            </w:r>
          </w:p>
        </w:tc>
        <w:tc>
          <w:tcPr>
            <w:tcW w:w="320" w:type="pct"/>
            <w:noWrap/>
            <w:hideMark/>
          </w:tcPr>
          <w:p w14:paraId="1F7CB9B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5 570,4</w:t>
            </w:r>
          </w:p>
        </w:tc>
        <w:tc>
          <w:tcPr>
            <w:tcW w:w="368" w:type="pct"/>
            <w:hideMark/>
          </w:tcPr>
          <w:p w14:paraId="0EEE111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-5,59</w:t>
            </w:r>
          </w:p>
        </w:tc>
        <w:tc>
          <w:tcPr>
            <w:tcW w:w="338" w:type="pct"/>
          </w:tcPr>
          <w:p w14:paraId="5E12E7F0"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1" w:type="pct"/>
          </w:tcPr>
          <w:p w14:paraId="1658C5B2"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80" w:type="pct"/>
          </w:tcPr>
          <w:p w14:paraId="66A4F988" w14:textId="37F83157" w:rsidR="00992E04" w:rsidRPr="000833DB" w:rsidRDefault="004F57A7"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r>
      <w:tr w:rsidR="00B719C9" w:rsidRPr="000833DB" w14:paraId="3E52E905" w14:textId="77777777" w:rsidTr="00E7629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90" w:type="pct"/>
            <w:hideMark/>
          </w:tcPr>
          <w:p w14:paraId="1007C9E6" w14:textId="77777777" w:rsidR="00992E04" w:rsidRPr="000833DB" w:rsidRDefault="00992E04" w:rsidP="00543106">
            <w:pPr>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Venituri din contracte de leasing (locațiune)</w:t>
            </w:r>
          </w:p>
        </w:tc>
        <w:tc>
          <w:tcPr>
            <w:tcW w:w="339" w:type="pct"/>
            <w:hideMark/>
          </w:tcPr>
          <w:p w14:paraId="15D9280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160,0</w:t>
            </w:r>
          </w:p>
        </w:tc>
        <w:tc>
          <w:tcPr>
            <w:tcW w:w="323" w:type="pct"/>
            <w:noWrap/>
            <w:hideMark/>
          </w:tcPr>
          <w:p w14:paraId="46E0E26A"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120,3</w:t>
            </w:r>
          </w:p>
        </w:tc>
        <w:tc>
          <w:tcPr>
            <w:tcW w:w="246" w:type="pct"/>
            <w:hideMark/>
          </w:tcPr>
          <w:p w14:paraId="3C5AE8DB"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-24,83</w:t>
            </w:r>
          </w:p>
        </w:tc>
        <w:tc>
          <w:tcPr>
            <w:tcW w:w="338" w:type="pct"/>
            <w:hideMark/>
          </w:tcPr>
          <w:p w14:paraId="06A3E61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90,0</w:t>
            </w:r>
          </w:p>
        </w:tc>
        <w:tc>
          <w:tcPr>
            <w:tcW w:w="320" w:type="pct"/>
            <w:noWrap/>
            <w:hideMark/>
          </w:tcPr>
          <w:p w14:paraId="58BDB8BF"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126,2</w:t>
            </w:r>
          </w:p>
        </w:tc>
        <w:tc>
          <w:tcPr>
            <w:tcW w:w="339" w:type="pct"/>
            <w:hideMark/>
          </w:tcPr>
          <w:p w14:paraId="0165556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40,21</w:t>
            </w:r>
          </w:p>
        </w:tc>
        <w:tc>
          <w:tcPr>
            <w:tcW w:w="338" w:type="pct"/>
            <w:noWrap/>
            <w:hideMark/>
          </w:tcPr>
          <w:p w14:paraId="278AE88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17064F4B"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8" w:type="pct"/>
            <w:hideMark/>
          </w:tcPr>
          <w:p w14:paraId="681CB896" w14:textId="769EBA8F" w:rsidR="00992E04" w:rsidRPr="000833DB" w:rsidRDefault="00F124D2"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8" w:type="pct"/>
          </w:tcPr>
          <w:p w14:paraId="30E24DD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1" w:type="pct"/>
          </w:tcPr>
          <w:p w14:paraId="74D1E0B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80" w:type="pct"/>
          </w:tcPr>
          <w:p w14:paraId="32A6A69F" w14:textId="775557CB" w:rsidR="00992E04" w:rsidRPr="000833DB" w:rsidRDefault="004F57A7"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r>
      <w:tr w:rsidR="00B719C9" w:rsidRPr="000833DB" w14:paraId="3F08840C" w14:textId="77777777" w:rsidTr="00E76298">
        <w:trPr>
          <w:trHeight w:val="243"/>
        </w:trPr>
        <w:tc>
          <w:tcPr>
            <w:cnfStyle w:val="001000000000" w:firstRow="0" w:lastRow="0" w:firstColumn="1" w:lastColumn="0" w:oddVBand="0" w:evenVBand="0" w:oddHBand="0" w:evenHBand="0" w:firstRowFirstColumn="0" w:firstRowLastColumn="0" w:lastRowFirstColumn="0" w:lastRowLastColumn="0"/>
            <w:tcW w:w="990" w:type="pct"/>
            <w:hideMark/>
          </w:tcPr>
          <w:p w14:paraId="0DC234B1" w14:textId="77777777" w:rsidR="00992E04" w:rsidRPr="000833DB" w:rsidRDefault="00992E04" w:rsidP="00543106">
            <w:pPr>
              <w:rPr>
                <w:rFonts w:ascii="Calibri Light" w:eastAsia="Times New Roman" w:hAnsi="Calibri Light" w:cs="Calibri Light"/>
                <w:b w:val="0"/>
                <w:bCs w:val="0"/>
                <w:sz w:val="18"/>
                <w:szCs w:val="18"/>
                <w:lang w:val="ro-MD"/>
              </w:rPr>
            </w:pPr>
            <w:r w:rsidRPr="000833DB">
              <w:rPr>
                <w:rFonts w:ascii="Calibri Light" w:eastAsia="Times New Roman" w:hAnsi="Calibri Light" w:cs="Calibri Light"/>
                <w:b w:val="0"/>
                <w:bCs w:val="0"/>
                <w:sz w:val="18"/>
                <w:szCs w:val="18"/>
                <w:lang w:val="ro-MD"/>
              </w:rPr>
              <w:t xml:space="preserve">Total venituri din vânzări </w:t>
            </w:r>
          </w:p>
        </w:tc>
        <w:tc>
          <w:tcPr>
            <w:tcW w:w="339" w:type="pct"/>
            <w:noWrap/>
            <w:hideMark/>
          </w:tcPr>
          <w:p w14:paraId="6E6C35E7"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4 880,0</w:t>
            </w:r>
          </w:p>
        </w:tc>
        <w:tc>
          <w:tcPr>
            <w:tcW w:w="323" w:type="pct"/>
            <w:noWrap/>
            <w:hideMark/>
          </w:tcPr>
          <w:p w14:paraId="485CC352"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3 098,5</w:t>
            </w:r>
          </w:p>
        </w:tc>
        <w:tc>
          <w:tcPr>
            <w:tcW w:w="246" w:type="pct"/>
            <w:hideMark/>
          </w:tcPr>
          <w:p w14:paraId="29BE09E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-36,51</w:t>
            </w:r>
          </w:p>
        </w:tc>
        <w:tc>
          <w:tcPr>
            <w:tcW w:w="338" w:type="pct"/>
            <w:hideMark/>
          </w:tcPr>
          <w:p w14:paraId="7A8F29C6"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700,0</w:t>
            </w:r>
          </w:p>
        </w:tc>
        <w:tc>
          <w:tcPr>
            <w:tcW w:w="320" w:type="pct"/>
            <w:noWrap/>
            <w:hideMark/>
          </w:tcPr>
          <w:p w14:paraId="614293F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697,4</w:t>
            </w:r>
          </w:p>
        </w:tc>
        <w:tc>
          <w:tcPr>
            <w:tcW w:w="339" w:type="pct"/>
            <w:hideMark/>
          </w:tcPr>
          <w:p w14:paraId="5233D22F"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-0,37</w:t>
            </w:r>
          </w:p>
        </w:tc>
        <w:tc>
          <w:tcPr>
            <w:tcW w:w="338" w:type="pct"/>
            <w:noWrap/>
            <w:hideMark/>
          </w:tcPr>
          <w:p w14:paraId="29133249"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5 900,0</w:t>
            </w:r>
          </w:p>
        </w:tc>
        <w:tc>
          <w:tcPr>
            <w:tcW w:w="320" w:type="pct"/>
            <w:noWrap/>
            <w:hideMark/>
          </w:tcPr>
          <w:p w14:paraId="607CF2DC"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5 570,4</w:t>
            </w:r>
          </w:p>
        </w:tc>
        <w:tc>
          <w:tcPr>
            <w:tcW w:w="368" w:type="pct"/>
            <w:hideMark/>
          </w:tcPr>
          <w:p w14:paraId="347DC1AE"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-5,59</w:t>
            </w:r>
          </w:p>
        </w:tc>
        <w:tc>
          <w:tcPr>
            <w:tcW w:w="338" w:type="pct"/>
          </w:tcPr>
          <w:p w14:paraId="577C0F4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61" w:type="pct"/>
          </w:tcPr>
          <w:p w14:paraId="4D639D57"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80" w:type="pct"/>
          </w:tcPr>
          <w:p w14:paraId="0197FE6E" w14:textId="644A8BE2" w:rsidR="00992E04" w:rsidRPr="000833DB" w:rsidRDefault="004F57A7"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r>
      <w:tr w:rsidR="00B719C9" w:rsidRPr="000833DB" w14:paraId="20C515E7" w14:textId="77777777" w:rsidTr="00E7629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90" w:type="pct"/>
            <w:hideMark/>
          </w:tcPr>
          <w:p w14:paraId="44BEA224" w14:textId="77777777" w:rsidR="00992E04" w:rsidRPr="000833DB" w:rsidRDefault="00992E04" w:rsidP="00543106">
            <w:pPr>
              <w:rPr>
                <w:rFonts w:ascii="Calibri Light" w:eastAsia="Times New Roman" w:hAnsi="Calibri Light" w:cs="Calibri Light"/>
                <w:b w:val="0"/>
                <w:bCs w:val="0"/>
                <w:sz w:val="18"/>
                <w:szCs w:val="18"/>
                <w:lang w:val="ro-MD"/>
              </w:rPr>
            </w:pPr>
            <w:r w:rsidRPr="000833DB">
              <w:rPr>
                <w:rFonts w:ascii="Calibri Light" w:eastAsia="Times New Roman" w:hAnsi="Calibri Light" w:cs="Calibri Light"/>
                <w:b w:val="0"/>
                <w:bCs w:val="0"/>
                <w:sz w:val="18"/>
                <w:szCs w:val="18"/>
                <w:lang w:val="ro-MD"/>
              </w:rPr>
              <w:t>Alte venituri din activitatea operațională</w:t>
            </w:r>
          </w:p>
        </w:tc>
        <w:tc>
          <w:tcPr>
            <w:tcW w:w="339" w:type="pct"/>
            <w:hideMark/>
          </w:tcPr>
          <w:p w14:paraId="605F25F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12 260,0</w:t>
            </w:r>
          </w:p>
        </w:tc>
        <w:tc>
          <w:tcPr>
            <w:tcW w:w="323" w:type="pct"/>
            <w:noWrap/>
            <w:hideMark/>
          </w:tcPr>
          <w:p w14:paraId="3D3FEA8A"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14 112,3</w:t>
            </w:r>
          </w:p>
        </w:tc>
        <w:tc>
          <w:tcPr>
            <w:tcW w:w="246" w:type="pct"/>
            <w:hideMark/>
          </w:tcPr>
          <w:p w14:paraId="5815955C"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15,11</w:t>
            </w:r>
          </w:p>
        </w:tc>
        <w:tc>
          <w:tcPr>
            <w:tcW w:w="338" w:type="pct"/>
            <w:hideMark/>
          </w:tcPr>
          <w:p w14:paraId="4F0FD379"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0" w:type="pct"/>
            <w:noWrap/>
            <w:hideMark/>
          </w:tcPr>
          <w:p w14:paraId="2D3095C3"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39" w:type="pct"/>
            <w:hideMark/>
          </w:tcPr>
          <w:p w14:paraId="3BEE1449"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38" w:type="pct"/>
            <w:noWrap/>
            <w:hideMark/>
          </w:tcPr>
          <w:p w14:paraId="378D0212"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0" w:type="pct"/>
            <w:noWrap/>
            <w:hideMark/>
          </w:tcPr>
          <w:p w14:paraId="3795464E"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4,4</w:t>
            </w:r>
          </w:p>
        </w:tc>
        <w:tc>
          <w:tcPr>
            <w:tcW w:w="368" w:type="pct"/>
            <w:hideMark/>
          </w:tcPr>
          <w:p w14:paraId="74B6E909"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100,00</w:t>
            </w:r>
          </w:p>
        </w:tc>
        <w:tc>
          <w:tcPr>
            <w:tcW w:w="338" w:type="pct"/>
          </w:tcPr>
          <w:p w14:paraId="28170225"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61" w:type="pct"/>
          </w:tcPr>
          <w:p w14:paraId="15BA134B"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80" w:type="pct"/>
          </w:tcPr>
          <w:p w14:paraId="1E82F386" w14:textId="7DF9494F" w:rsidR="00992E04" w:rsidRPr="000833DB" w:rsidRDefault="004F57A7"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r>
      <w:tr w:rsidR="00B719C9" w:rsidRPr="000833DB" w14:paraId="7201ED45" w14:textId="77777777" w:rsidTr="00E76298">
        <w:trPr>
          <w:trHeight w:val="507"/>
        </w:trPr>
        <w:tc>
          <w:tcPr>
            <w:cnfStyle w:val="001000000000" w:firstRow="0" w:lastRow="0" w:firstColumn="1" w:lastColumn="0" w:oddVBand="0" w:evenVBand="0" w:oddHBand="0" w:evenHBand="0" w:firstRowFirstColumn="0" w:firstRowLastColumn="0" w:lastRowFirstColumn="0" w:lastRowLastColumn="0"/>
            <w:tcW w:w="990" w:type="pct"/>
            <w:hideMark/>
          </w:tcPr>
          <w:p w14:paraId="43E5F790" w14:textId="77777777" w:rsidR="00992E04" w:rsidRPr="000833DB" w:rsidRDefault="00992E04" w:rsidP="00543106">
            <w:pPr>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Venituri aferente ajustărilor de valoare privind investițiile financiare pe termen lung și curente</w:t>
            </w:r>
          </w:p>
        </w:tc>
        <w:tc>
          <w:tcPr>
            <w:tcW w:w="339" w:type="pct"/>
            <w:hideMark/>
          </w:tcPr>
          <w:p w14:paraId="68573570"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3" w:type="pct"/>
            <w:noWrap/>
            <w:hideMark/>
          </w:tcPr>
          <w:p w14:paraId="74A9F9A1"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246" w:type="pct"/>
            <w:hideMark/>
          </w:tcPr>
          <w:p w14:paraId="37DA7D91"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8" w:type="pct"/>
            <w:hideMark/>
          </w:tcPr>
          <w:p w14:paraId="540FE2B1"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5 200,0</w:t>
            </w:r>
          </w:p>
        </w:tc>
        <w:tc>
          <w:tcPr>
            <w:tcW w:w="320" w:type="pct"/>
            <w:noWrap/>
            <w:hideMark/>
          </w:tcPr>
          <w:p w14:paraId="007870EE"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5 050,0</w:t>
            </w:r>
          </w:p>
        </w:tc>
        <w:tc>
          <w:tcPr>
            <w:tcW w:w="339" w:type="pct"/>
            <w:hideMark/>
          </w:tcPr>
          <w:p w14:paraId="2790F8A9"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-2,88</w:t>
            </w:r>
          </w:p>
        </w:tc>
        <w:tc>
          <w:tcPr>
            <w:tcW w:w="338" w:type="pct"/>
            <w:noWrap/>
            <w:hideMark/>
          </w:tcPr>
          <w:p w14:paraId="7FA02696"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3DF540DD"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8" w:type="pct"/>
            <w:hideMark/>
          </w:tcPr>
          <w:p w14:paraId="04C643F7" w14:textId="7BA09BDA" w:rsidR="00992E04" w:rsidRPr="000833DB" w:rsidRDefault="00F124D2"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8" w:type="pct"/>
          </w:tcPr>
          <w:p w14:paraId="452A20DD"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1" w:type="pct"/>
          </w:tcPr>
          <w:p w14:paraId="7C3B98B8"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80" w:type="pct"/>
          </w:tcPr>
          <w:p w14:paraId="155ED444" w14:textId="0853B9CC" w:rsidR="00992E04" w:rsidRPr="000833DB" w:rsidRDefault="004F57A7"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r>
      <w:tr w:rsidR="00B719C9" w:rsidRPr="000833DB" w14:paraId="055917A3" w14:textId="77777777" w:rsidTr="00E7629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90" w:type="pct"/>
            <w:hideMark/>
          </w:tcPr>
          <w:p w14:paraId="4EF87597" w14:textId="77777777" w:rsidR="00992E04" w:rsidRPr="000833DB" w:rsidRDefault="00992E04" w:rsidP="00543106">
            <w:pPr>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Venituri aferente diferențelor de curs valutar și de sumă</w:t>
            </w:r>
          </w:p>
        </w:tc>
        <w:tc>
          <w:tcPr>
            <w:tcW w:w="339" w:type="pct"/>
            <w:hideMark/>
          </w:tcPr>
          <w:p w14:paraId="2CC3EFB5"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3" w:type="pct"/>
            <w:noWrap/>
            <w:hideMark/>
          </w:tcPr>
          <w:p w14:paraId="73CFC20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118,6</w:t>
            </w:r>
          </w:p>
        </w:tc>
        <w:tc>
          <w:tcPr>
            <w:tcW w:w="246" w:type="pct"/>
            <w:hideMark/>
          </w:tcPr>
          <w:p w14:paraId="04536721"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100,00</w:t>
            </w:r>
          </w:p>
        </w:tc>
        <w:tc>
          <w:tcPr>
            <w:tcW w:w="338" w:type="pct"/>
            <w:hideMark/>
          </w:tcPr>
          <w:p w14:paraId="0EA815B6"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6155ADD9"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42,9</w:t>
            </w:r>
          </w:p>
        </w:tc>
        <w:tc>
          <w:tcPr>
            <w:tcW w:w="339" w:type="pct"/>
            <w:hideMark/>
          </w:tcPr>
          <w:p w14:paraId="2EFB49A8"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100,00</w:t>
            </w:r>
          </w:p>
        </w:tc>
        <w:tc>
          <w:tcPr>
            <w:tcW w:w="338" w:type="pct"/>
            <w:noWrap/>
            <w:hideMark/>
          </w:tcPr>
          <w:p w14:paraId="7945741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788484A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1,7</w:t>
            </w:r>
          </w:p>
        </w:tc>
        <w:tc>
          <w:tcPr>
            <w:tcW w:w="368" w:type="pct"/>
            <w:hideMark/>
          </w:tcPr>
          <w:p w14:paraId="0EE2E2B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100,00</w:t>
            </w:r>
          </w:p>
        </w:tc>
        <w:tc>
          <w:tcPr>
            <w:tcW w:w="338" w:type="pct"/>
          </w:tcPr>
          <w:p w14:paraId="311FBEA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1" w:type="pct"/>
          </w:tcPr>
          <w:p w14:paraId="29E0D28C"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80" w:type="pct"/>
          </w:tcPr>
          <w:p w14:paraId="30FA1735" w14:textId="773BB3E1" w:rsidR="00992E04" w:rsidRPr="000833DB" w:rsidRDefault="004F57A7"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r>
      <w:tr w:rsidR="00B719C9" w:rsidRPr="000833DB" w14:paraId="5ADD5475" w14:textId="77777777" w:rsidTr="00E76298">
        <w:trPr>
          <w:trHeight w:val="190"/>
        </w:trPr>
        <w:tc>
          <w:tcPr>
            <w:cnfStyle w:val="001000000000" w:firstRow="0" w:lastRow="0" w:firstColumn="1" w:lastColumn="0" w:oddVBand="0" w:evenVBand="0" w:oddHBand="0" w:evenHBand="0" w:firstRowFirstColumn="0" w:firstRowLastColumn="0" w:lastRowFirstColumn="0" w:lastRowLastColumn="0"/>
            <w:tcW w:w="990" w:type="pct"/>
            <w:hideMark/>
          </w:tcPr>
          <w:p w14:paraId="45EC715A" w14:textId="77777777" w:rsidR="00992E04" w:rsidRPr="000833DB" w:rsidRDefault="00992E04" w:rsidP="00543106">
            <w:pPr>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Alte venituri financiare</w:t>
            </w:r>
          </w:p>
        </w:tc>
        <w:tc>
          <w:tcPr>
            <w:tcW w:w="339" w:type="pct"/>
            <w:hideMark/>
          </w:tcPr>
          <w:p w14:paraId="1AC558D2"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3" w:type="pct"/>
            <w:noWrap/>
            <w:hideMark/>
          </w:tcPr>
          <w:p w14:paraId="1FED42F0"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246" w:type="pct"/>
            <w:hideMark/>
          </w:tcPr>
          <w:p w14:paraId="6C2DB213"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8" w:type="pct"/>
            <w:hideMark/>
          </w:tcPr>
          <w:p w14:paraId="30156848"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404E62D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9" w:type="pct"/>
            <w:hideMark/>
          </w:tcPr>
          <w:p w14:paraId="1A333717"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38" w:type="pct"/>
            <w:noWrap/>
            <w:hideMark/>
          </w:tcPr>
          <w:p w14:paraId="39D5246E"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20" w:type="pct"/>
            <w:noWrap/>
            <w:hideMark/>
          </w:tcPr>
          <w:p w14:paraId="40E356D8"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26,8</w:t>
            </w:r>
          </w:p>
        </w:tc>
        <w:tc>
          <w:tcPr>
            <w:tcW w:w="368" w:type="pct"/>
            <w:hideMark/>
          </w:tcPr>
          <w:p w14:paraId="6C876FDD"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100,00</w:t>
            </w:r>
          </w:p>
        </w:tc>
        <w:tc>
          <w:tcPr>
            <w:tcW w:w="338" w:type="pct"/>
          </w:tcPr>
          <w:p w14:paraId="22DB517F"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61" w:type="pct"/>
          </w:tcPr>
          <w:p w14:paraId="52D2314E"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c>
          <w:tcPr>
            <w:tcW w:w="380" w:type="pct"/>
          </w:tcPr>
          <w:p w14:paraId="64BA51B4" w14:textId="23FA3B24" w:rsidR="00992E04" w:rsidRPr="000833DB" w:rsidRDefault="004F57A7"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o-MD"/>
              </w:rPr>
            </w:pPr>
            <w:r w:rsidRPr="000833DB">
              <w:rPr>
                <w:rFonts w:ascii="Calibri Light" w:eastAsia="Times New Roman" w:hAnsi="Calibri Light" w:cs="Calibri Light"/>
                <w:sz w:val="18"/>
                <w:szCs w:val="18"/>
                <w:lang w:val="ro-MD"/>
              </w:rPr>
              <w:t>X</w:t>
            </w:r>
          </w:p>
        </w:tc>
      </w:tr>
      <w:tr w:rsidR="00B719C9" w:rsidRPr="000833DB" w14:paraId="4ACCDB28" w14:textId="77777777" w:rsidTr="00E7629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90" w:type="pct"/>
            <w:hideMark/>
          </w:tcPr>
          <w:p w14:paraId="77FE062F" w14:textId="77777777" w:rsidR="00992E04" w:rsidRPr="000833DB" w:rsidRDefault="00992E04" w:rsidP="00543106">
            <w:pPr>
              <w:rPr>
                <w:rFonts w:ascii="Calibri Light" w:eastAsia="Times New Roman" w:hAnsi="Calibri Light" w:cs="Calibri Light"/>
                <w:b w:val="0"/>
                <w:bCs w:val="0"/>
                <w:sz w:val="18"/>
                <w:szCs w:val="18"/>
                <w:lang w:val="ro-MD"/>
              </w:rPr>
            </w:pPr>
            <w:r w:rsidRPr="000833DB">
              <w:rPr>
                <w:rFonts w:ascii="Calibri Light" w:eastAsia="Times New Roman" w:hAnsi="Calibri Light" w:cs="Calibri Light"/>
                <w:b w:val="0"/>
                <w:bCs w:val="0"/>
                <w:sz w:val="18"/>
                <w:szCs w:val="18"/>
                <w:lang w:val="ro-MD"/>
              </w:rPr>
              <w:t xml:space="preserve">Total venituri financiare </w:t>
            </w:r>
          </w:p>
        </w:tc>
        <w:tc>
          <w:tcPr>
            <w:tcW w:w="339" w:type="pct"/>
            <w:noWrap/>
            <w:hideMark/>
          </w:tcPr>
          <w:p w14:paraId="674038A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3" w:type="pct"/>
            <w:noWrap/>
            <w:hideMark/>
          </w:tcPr>
          <w:p w14:paraId="25CB2B9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118,6</w:t>
            </w:r>
          </w:p>
        </w:tc>
        <w:tc>
          <w:tcPr>
            <w:tcW w:w="246" w:type="pct"/>
            <w:hideMark/>
          </w:tcPr>
          <w:p w14:paraId="7E53815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100,00</w:t>
            </w:r>
          </w:p>
        </w:tc>
        <w:tc>
          <w:tcPr>
            <w:tcW w:w="338" w:type="pct"/>
            <w:hideMark/>
          </w:tcPr>
          <w:p w14:paraId="6496BA41"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5 200,0</w:t>
            </w:r>
          </w:p>
        </w:tc>
        <w:tc>
          <w:tcPr>
            <w:tcW w:w="320" w:type="pct"/>
            <w:noWrap/>
            <w:hideMark/>
          </w:tcPr>
          <w:p w14:paraId="057437FE"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5 092,9</w:t>
            </w:r>
          </w:p>
        </w:tc>
        <w:tc>
          <w:tcPr>
            <w:tcW w:w="339" w:type="pct"/>
            <w:hideMark/>
          </w:tcPr>
          <w:p w14:paraId="5694BFB9"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-2,06</w:t>
            </w:r>
          </w:p>
        </w:tc>
        <w:tc>
          <w:tcPr>
            <w:tcW w:w="338" w:type="pct"/>
            <w:noWrap/>
            <w:hideMark/>
          </w:tcPr>
          <w:p w14:paraId="238BFBBE"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0" w:type="pct"/>
            <w:noWrap/>
            <w:hideMark/>
          </w:tcPr>
          <w:p w14:paraId="4C45723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28,5</w:t>
            </w:r>
          </w:p>
        </w:tc>
        <w:tc>
          <w:tcPr>
            <w:tcW w:w="368" w:type="pct"/>
            <w:hideMark/>
          </w:tcPr>
          <w:p w14:paraId="1F3B07F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100,00</w:t>
            </w:r>
          </w:p>
        </w:tc>
        <w:tc>
          <w:tcPr>
            <w:tcW w:w="338" w:type="pct"/>
          </w:tcPr>
          <w:p w14:paraId="36AE393F"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61" w:type="pct"/>
          </w:tcPr>
          <w:p w14:paraId="54D6F28A"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80" w:type="pct"/>
          </w:tcPr>
          <w:p w14:paraId="55236B01" w14:textId="54CB3B92" w:rsidR="00992E04" w:rsidRPr="000833DB" w:rsidRDefault="004F57A7"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r>
      <w:tr w:rsidR="00B719C9" w:rsidRPr="000833DB" w14:paraId="73208024" w14:textId="77777777" w:rsidTr="00E76298">
        <w:trPr>
          <w:trHeight w:val="67"/>
        </w:trPr>
        <w:tc>
          <w:tcPr>
            <w:cnfStyle w:val="001000000000" w:firstRow="0" w:lastRow="0" w:firstColumn="1" w:lastColumn="0" w:oddVBand="0" w:evenVBand="0" w:oddHBand="0" w:evenHBand="0" w:firstRowFirstColumn="0" w:firstRowLastColumn="0" w:lastRowFirstColumn="0" w:lastRowLastColumn="0"/>
            <w:tcW w:w="990" w:type="pct"/>
            <w:hideMark/>
          </w:tcPr>
          <w:p w14:paraId="3000668C" w14:textId="77777777" w:rsidR="00992E04" w:rsidRPr="000833DB" w:rsidRDefault="00992E04" w:rsidP="00543106">
            <w:pPr>
              <w:rPr>
                <w:rFonts w:ascii="Calibri Light" w:eastAsia="Times New Roman" w:hAnsi="Calibri Light" w:cs="Calibri Light"/>
                <w:b w:val="0"/>
                <w:bCs w:val="0"/>
                <w:sz w:val="18"/>
                <w:szCs w:val="18"/>
                <w:lang w:val="ro-MD"/>
              </w:rPr>
            </w:pPr>
            <w:r w:rsidRPr="000833DB">
              <w:rPr>
                <w:rFonts w:ascii="Calibri Light" w:eastAsia="Times New Roman" w:hAnsi="Calibri Light" w:cs="Calibri Light"/>
                <w:b w:val="0"/>
                <w:bCs w:val="0"/>
                <w:sz w:val="18"/>
                <w:szCs w:val="18"/>
                <w:lang w:val="ro-MD"/>
              </w:rPr>
              <w:t>Alte încasări (plăți) subsidii</w:t>
            </w:r>
          </w:p>
        </w:tc>
        <w:tc>
          <w:tcPr>
            <w:tcW w:w="339" w:type="pct"/>
            <w:noWrap/>
            <w:hideMark/>
          </w:tcPr>
          <w:p w14:paraId="1A6ADA9C"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3" w:type="pct"/>
            <w:noWrap/>
            <w:hideMark/>
          </w:tcPr>
          <w:p w14:paraId="10514CA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246" w:type="pct"/>
            <w:hideMark/>
          </w:tcPr>
          <w:p w14:paraId="19F7063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38" w:type="pct"/>
            <w:hideMark/>
          </w:tcPr>
          <w:p w14:paraId="34B6AB33"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20" w:type="pct"/>
            <w:noWrap/>
            <w:hideMark/>
          </w:tcPr>
          <w:p w14:paraId="5ED28BFB"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39" w:type="pct"/>
            <w:hideMark/>
          </w:tcPr>
          <w:p w14:paraId="4E510ED3"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x</w:t>
            </w:r>
          </w:p>
        </w:tc>
        <w:tc>
          <w:tcPr>
            <w:tcW w:w="338" w:type="pct"/>
            <w:noWrap/>
            <w:hideMark/>
          </w:tcPr>
          <w:p w14:paraId="16B28B0C"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3 200,0</w:t>
            </w:r>
          </w:p>
        </w:tc>
        <w:tc>
          <w:tcPr>
            <w:tcW w:w="320" w:type="pct"/>
            <w:noWrap/>
            <w:hideMark/>
          </w:tcPr>
          <w:p w14:paraId="5A8D0F65"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3 200,0</w:t>
            </w:r>
          </w:p>
        </w:tc>
        <w:tc>
          <w:tcPr>
            <w:tcW w:w="368" w:type="pct"/>
            <w:hideMark/>
          </w:tcPr>
          <w:p w14:paraId="70946CD5"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0,00</w:t>
            </w:r>
          </w:p>
        </w:tc>
        <w:tc>
          <w:tcPr>
            <w:tcW w:w="338" w:type="pct"/>
          </w:tcPr>
          <w:p w14:paraId="09200ABD" w14:textId="77777777" w:rsidR="00992E04"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p>
          <w:p w14:paraId="2D48A2BE"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14 242,5</w:t>
            </w:r>
          </w:p>
        </w:tc>
        <w:tc>
          <w:tcPr>
            <w:tcW w:w="361" w:type="pct"/>
          </w:tcPr>
          <w:p w14:paraId="569821B2" w14:textId="77777777" w:rsidR="00992E04"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p>
          <w:p w14:paraId="25519F3A"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10 787,9</w:t>
            </w:r>
          </w:p>
        </w:tc>
        <w:tc>
          <w:tcPr>
            <w:tcW w:w="380" w:type="pct"/>
          </w:tcPr>
          <w:p w14:paraId="47564DAF" w14:textId="77777777" w:rsidR="00992E04"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p>
          <w:p w14:paraId="54EF15B4" w14:textId="77777777" w:rsidR="00992E04" w:rsidRPr="000833DB"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-24,26</w:t>
            </w:r>
          </w:p>
        </w:tc>
      </w:tr>
      <w:tr w:rsidR="00B719C9" w:rsidRPr="000833DB" w14:paraId="53D153BD" w14:textId="77777777" w:rsidTr="00E7629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90" w:type="pct"/>
            <w:hideMark/>
          </w:tcPr>
          <w:p w14:paraId="40E0D88B" w14:textId="77777777" w:rsidR="00992E04" w:rsidRPr="000833DB" w:rsidRDefault="00992E04" w:rsidP="00543106">
            <w:pPr>
              <w:jc w:val="center"/>
              <w:rPr>
                <w:rFonts w:ascii="Calibri Light" w:eastAsia="Times New Roman" w:hAnsi="Calibri Light" w:cs="Calibri Light"/>
                <w:b w:val="0"/>
                <w:bCs w:val="0"/>
                <w:i/>
                <w:iCs/>
                <w:sz w:val="18"/>
                <w:szCs w:val="18"/>
                <w:lang w:val="ro-MD"/>
              </w:rPr>
            </w:pPr>
            <w:r w:rsidRPr="000833DB">
              <w:rPr>
                <w:rFonts w:ascii="Calibri Light" w:eastAsia="Times New Roman" w:hAnsi="Calibri Light" w:cs="Calibri Light"/>
                <w:b w:val="0"/>
                <w:bCs w:val="0"/>
                <w:i/>
                <w:iCs/>
                <w:sz w:val="18"/>
                <w:szCs w:val="18"/>
                <w:lang w:val="ro-MD"/>
              </w:rPr>
              <w:t>Total VENITURI</w:t>
            </w:r>
          </w:p>
        </w:tc>
        <w:tc>
          <w:tcPr>
            <w:tcW w:w="339" w:type="pct"/>
            <w:noWrap/>
            <w:hideMark/>
          </w:tcPr>
          <w:p w14:paraId="0CE022E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17 140,0</w:t>
            </w:r>
          </w:p>
        </w:tc>
        <w:tc>
          <w:tcPr>
            <w:tcW w:w="323" w:type="pct"/>
            <w:noWrap/>
            <w:hideMark/>
          </w:tcPr>
          <w:p w14:paraId="0DA748DE"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17 329,4</w:t>
            </w:r>
          </w:p>
        </w:tc>
        <w:tc>
          <w:tcPr>
            <w:tcW w:w="246" w:type="pct"/>
            <w:hideMark/>
          </w:tcPr>
          <w:p w14:paraId="65A31D6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1,1</w:t>
            </w:r>
          </w:p>
        </w:tc>
        <w:tc>
          <w:tcPr>
            <w:tcW w:w="338" w:type="pct"/>
            <w:hideMark/>
          </w:tcPr>
          <w:p w14:paraId="3DACC1F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5 900,0</w:t>
            </w:r>
          </w:p>
        </w:tc>
        <w:tc>
          <w:tcPr>
            <w:tcW w:w="320" w:type="pct"/>
            <w:noWrap/>
            <w:hideMark/>
          </w:tcPr>
          <w:p w14:paraId="279981F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5 790,4</w:t>
            </w:r>
          </w:p>
        </w:tc>
        <w:tc>
          <w:tcPr>
            <w:tcW w:w="339" w:type="pct"/>
            <w:hideMark/>
          </w:tcPr>
          <w:p w14:paraId="471A94E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-1,86</w:t>
            </w:r>
          </w:p>
        </w:tc>
        <w:tc>
          <w:tcPr>
            <w:tcW w:w="338" w:type="pct"/>
            <w:noWrap/>
            <w:hideMark/>
          </w:tcPr>
          <w:p w14:paraId="61D01F8A"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9 100,0</w:t>
            </w:r>
          </w:p>
        </w:tc>
        <w:tc>
          <w:tcPr>
            <w:tcW w:w="320" w:type="pct"/>
            <w:noWrap/>
            <w:hideMark/>
          </w:tcPr>
          <w:p w14:paraId="0856CA0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8 803,4</w:t>
            </w:r>
          </w:p>
        </w:tc>
        <w:tc>
          <w:tcPr>
            <w:tcW w:w="368" w:type="pct"/>
            <w:hideMark/>
          </w:tcPr>
          <w:p w14:paraId="049025D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-3,26</w:t>
            </w:r>
          </w:p>
        </w:tc>
        <w:tc>
          <w:tcPr>
            <w:tcW w:w="338" w:type="pct"/>
          </w:tcPr>
          <w:p w14:paraId="29075ECD"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14 242,5</w:t>
            </w:r>
          </w:p>
        </w:tc>
        <w:tc>
          <w:tcPr>
            <w:tcW w:w="361" w:type="pct"/>
          </w:tcPr>
          <w:p w14:paraId="1ACCA7D4"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10 787,9</w:t>
            </w:r>
          </w:p>
        </w:tc>
        <w:tc>
          <w:tcPr>
            <w:tcW w:w="380" w:type="pct"/>
          </w:tcPr>
          <w:p w14:paraId="384F4330" w14:textId="77777777" w:rsidR="00992E04" w:rsidRPr="000833DB"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lang w:val="ro-MD"/>
              </w:rPr>
            </w:pPr>
            <w:r w:rsidRPr="000833DB">
              <w:rPr>
                <w:rFonts w:ascii="Calibri Light" w:eastAsia="Times New Roman" w:hAnsi="Calibri Light" w:cs="Calibri Light"/>
                <w:b/>
                <w:bCs/>
                <w:sz w:val="18"/>
                <w:szCs w:val="18"/>
                <w:lang w:val="ro-MD"/>
              </w:rPr>
              <w:t>-24,26</w:t>
            </w:r>
          </w:p>
        </w:tc>
      </w:tr>
    </w:tbl>
    <w:p w14:paraId="5C791CBE" w14:textId="77777777" w:rsidR="00B719C9" w:rsidRDefault="00B719C9" w:rsidP="003E0C22">
      <w:pPr>
        <w:jc w:val="center"/>
        <w:rPr>
          <w:rFonts w:asciiTheme="majorHAnsi" w:hAnsiTheme="majorHAnsi" w:cstheme="majorHAnsi"/>
          <w:b/>
          <w:i/>
          <w:sz w:val="24"/>
          <w:szCs w:val="24"/>
          <w:lang w:val="ro-MD"/>
        </w:rPr>
      </w:pPr>
    </w:p>
    <w:p w14:paraId="4885F294" w14:textId="279C0203" w:rsidR="00B719C9" w:rsidRDefault="00B719C9" w:rsidP="003E0C22">
      <w:pPr>
        <w:jc w:val="center"/>
        <w:rPr>
          <w:rFonts w:asciiTheme="majorHAnsi" w:hAnsiTheme="majorHAnsi" w:cstheme="majorHAnsi"/>
          <w:b/>
          <w:i/>
          <w:sz w:val="24"/>
          <w:szCs w:val="24"/>
          <w:lang w:val="ro-MD"/>
        </w:rPr>
      </w:pPr>
    </w:p>
    <w:p w14:paraId="2705EE5B" w14:textId="68D6B439" w:rsidR="00B719C9" w:rsidRDefault="00B719C9" w:rsidP="003E0C22">
      <w:pPr>
        <w:jc w:val="center"/>
        <w:rPr>
          <w:rFonts w:asciiTheme="majorHAnsi" w:hAnsiTheme="majorHAnsi" w:cstheme="majorHAnsi"/>
          <w:b/>
          <w:i/>
          <w:sz w:val="24"/>
          <w:szCs w:val="24"/>
          <w:lang w:val="ro-MD"/>
        </w:rPr>
      </w:pPr>
    </w:p>
    <w:p w14:paraId="0FCCE253" w14:textId="70393051" w:rsidR="00B719C9" w:rsidRDefault="00B719C9" w:rsidP="003E0C22">
      <w:pPr>
        <w:jc w:val="center"/>
        <w:rPr>
          <w:rFonts w:asciiTheme="majorHAnsi" w:hAnsiTheme="majorHAnsi" w:cstheme="majorHAnsi"/>
          <w:b/>
          <w:i/>
          <w:sz w:val="24"/>
          <w:szCs w:val="24"/>
          <w:lang w:val="ro-MD"/>
        </w:rPr>
      </w:pPr>
    </w:p>
    <w:p w14:paraId="5CFF8F6E" w14:textId="6DA5FDB3" w:rsidR="00B719C9" w:rsidRDefault="00B719C9" w:rsidP="003E0C22">
      <w:pPr>
        <w:jc w:val="center"/>
        <w:rPr>
          <w:rFonts w:asciiTheme="majorHAnsi" w:hAnsiTheme="majorHAnsi" w:cstheme="majorHAnsi"/>
          <w:b/>
          <w:i/>
          <w:sz w:val="24"/>
          <w:szCs w:val="24"/>
          <w:lang w:val="ro-MD"/>
        </w:rPr>
      </w:pPr>
    </w:p>
    <w:p w14:paraId="688276F8" w14:textId="47BBA03E" w:rsidR="00B719C9" w:rsidRPr="00255E9C" w:rsidRDefault="00B719C9" w:rsidP="00B719C9">
      <w:pPr>
        <w:jc w:val="right"/>
        <w:rPr>
          <w:rFonts w:asciiTheme="majorHAnsi" w:hAnsiTheme="majorHAnsi" w:cstheme="majorHAnsi"/>
          <w:b/>
          <w:i/>
          <w:sz w:val="24"/>
          <w:szCs w:val="24"/>
          <w:lang w:val="ro-MD"/>
        </w:rPr>
      </w:pPr>
      <w:r w:rsidRPr="00255E9C">
        <w:rPr>
          <w:rFonts w:asciiTheme="majorHAnsi" w:hAnsiTheme="majorHAnsi" w:cstheme="majorHAnsi"/>
          <w:b/>
          <w:i/>
          <w:sz w:val="24"/>
          <w:szCs w:val="24"/>
          <w:lang w:val="ro-MD"/>
        </w:rPr>
        <w:t>Tabelul nr.5.2</w:t>
      </w:r>
      <w:r w:rsidR="00445E48" w:rsidRPr="00255E9C">
        <w:rPr>
          <w:rFonts w:asciiTheme="majorHAnsi" w:hAnsiTheme="majorHAnsi" w:cstheme="majorHAnsi"/>
          <w:b/>
          <w:i/>
          <w:sz w:val="24"/>
          <w:szCs w:val="24"/>
          <w:lang w:val="ro-MD"/>
        </w:rPr>
        <w:t>.</w:t>
      </w:r>
    </w:p>
    <w:p w14:paraId="00EB548A" w14:textId="37D70C11" w:rsidR="00B719C9" w:rsidRPr="00255E9C" w:rsidRDefault="00992E04" w:rsidP="00B719C9">
      <w:pPr>
        <w:jc w:val="center"/>
        <w:rPr>
          <w:rFonts w:asciiTheme="majorHAnsi" w:hAnsiTheme="majorHAnsi" w:cstheme="majorHAnsi"/>
          <w:sz w:val="24"/>
          <w:szCs w:val="24"/>
          <w:lang w:val="ro-MD"/>
        </w:rPr>
      </w:pPr>
      <w:r w:rsidRPr="00255E9C">
        <w:rPr>
          <w:rFonts w:asciiTheme="majorHAnsi" w:hAnsiTheme="majorHAnsi" w:cstheme="majorHAnsi"/>
          <w:b/>
          <w:sz w:val="24"/>
          <w:szCs w:val="24"/>
          <w:lang w:val="ro-MD"/>
        </w:rPr>
        <w:t xml:space="preserve">Veniturile </w:t>
      </w:r>
      <w:r w:rsidR="00445E48">
        <w:rPr>
          <w:rFonts w:asciiTheme="majorHAnsi" w:hAnsiTheme="majorHAnsi" w:cstheme="majorHAnsi"/>
          <w:b/>
          <w:sz w:val="24"/>
          <w:szCs w:val="24"/>
          <w:lang w:val="ro-MD"/>
        </w:rPr>
        <w:t>i</w:t>
      </w:r>
      <w:r w:rsidRPr="00255E9C">
        <w:rPr>
          <w:rFonts w:asciiTheme="majorHAnsi" w:hAnsiTheme="majorHAnsi" w:cstheme="majorHAnsi"/>
          <w:b/>
          <w:sz w:val="24"/>
          <w:szCs w:val="24"/>
          <w:lang w:val="ro-MD"/>
        </w:rPr>
        <w:t>nstituțiilor publice din domeniul infrastructurii calității acumulate în anul 2021</w:t>
      </w:r>
      <w:r w:rsidR="003E0C22" w:rsidRPr="00255E9C">
        <w:rPr>
          <w:rFonts w:asciiTheme="majorHAnsi" w:hAnsiTheme="majorHAnsi" w:cstheme="majorHAnsi"/>
          <w:b/>
          <w:sz w:val="24"/>
          <w:szCs w:val="24"/>
          <w:lang w:val="ro-MD"/>
        </w:rPr>
        <w:t xml:space="preserve">                </w:t>
      </w:r>
      <w:r w:rsidR="003E0C22" w:rsidRPr="00255E9C">
        <w:rPr>
          <w:rFonts w:asciiTheme="majorHAnsi" w:hAnsiTheme="majorHAnsi" w:cstheme="majorHAnsi"/>
          <w:sz w:val="24"/>
          <w:szCs w:val="24"/>
          <w:lang w:val="ro-MD"/>
        </w:rPr>
        <w:t xml:space="preserve">                </w:t>
      </w:r>
    </w:p>
    <w:p w14:paraId="79C2C43F" w14:textId="118BC186" w:rsidR="00123560" w:rsidRPr="003E0C22" w:rsidRDefault="00B719C9" w:rsidP="00B719C9">
      <w:pPr>
        <w:jc w:val="right"/>
        <w:rPr>
          <w:rFonts w:asciiTheme="majorHAnsi" w:hAnsiTheme="majorHAnsi" w:cstheme="majorHAnsi"/>
          <w:b/>
          <w:i/>
          <w:sz w:val="24"/>
          <w:szCs w:val="24"/>
          <w:lang w:val="ro-MD"/>
        </w:rPr>
      </w:pPr>
      <w:r w:rsidRPr="00B719C9">
        <w:rPr>
          <w:rFonts w:asciiTheme="majorHAnsi" w:hAnsiTheme="majorHAnsi" w:cstheme="majorHAnsi"/>
          <w:sz w:val="24"/>
          <w:szCs w:val="24"/>
          <w:lang w:val="ro-MD"/>
        </w:rPr>
        <w:t xml:space="preserve">(mii lei) </w:t>
      </w:r>
      <w:r w:rsidR="003E0C22">
        <w:rPr>
          <w:rFonts w:asciiTheme="majorHAnsi" w:hAnsiTheme="majorHAnsi" w:cstheme="majorHAnsi"/>
          <w:b/>
          <w:i/>
          <w:sz w:val="24"/>
          <w:szCs w:val="24"/>
          <w:lang w:val="ro-MD"/>
        </w:rPr>
        <w:t xml:space="preserve">               </w:t>
      </w:r>
    </w:p>
    <w:tbl>
      <w:tblPr>
        <w:tblStyle w:val="PlainTable2"/>
        <w:tblW w:w="5000" w:type="pct"/>
        <w:tblLook w:val="04A0" w:firstRow="1" w:lastRow="0" w:firstColumn="1" w:lastColumn="0" w:noHBand="0" w:noVBand="1"/>
      </w:tblPr>
      <w:tblGrid>
        <w:gridCol w:w="3016"/>
        <w:gridCol w:w="1011"/>
        <w:gridCol w:w="1023"/>
        <w:gridCol w:w="7"/>
        <w:gridCol w:w="831"/>
        <w:gridCol w:w="623"/>
        <w:gridCol w:w="403"/>
        <w:gridCol w:w="763"/>
        <w:gridCol w:w="171"/>
        <w:gridCol w:w="66"/>
        <w:gridCol w:w="774"/>
        <w:gridCol w:w="617"/>
        <w:gridCol w:w="366"/>
        <w:gridCol w:w="929"/>
        <w:gridCol w:w="934"/>
        <w:gridCol w:w="983"/>
        <w:gridCol w:w="943"/>
        <w:gridCol w:w="826"/>
      </w:tblGrid>
      <w:tr w:rsidR="00B719C9" w:rsidRPr="00B719C9" w14:paraId="34F95F58" w14:textId="77777777" w:rsidTr="00E762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6" w:type="pct"/>
            <w:vMerge w:val="restart"/>
            <w:hideMark/>
          </w:tcPr>
          <w:p w14:paraId="4CF0AA48" w14:textId="77777777" w:rsidR="00992E04" w:rsidRPr="00B719C9" w:rsidRDefault="00992E04" w:rsidP="00543106">
            <w:pPr>
              <w:jc w:val="center"/>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Categoria</w:t>
            </w:r>
          </w:p>
        </w:tc>
        <w:tc>
          <w:tcPr>
            <w:tcW w:w="711" w:type="pct"/>
            <w:gridSpan w:val="2"/>
            <w:hideMark/>
          </w:tcPr>
          <w:p w14:paraId="47C163D2"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INM</w:t>
            </w:r>
          </w:p>
        </w:tc>
        <w:tc>
          <w:tcPr>
            <w:tcW w:w="293" w:type="pct"/>
            <w:gridSpan w:val="2"/>
            <w:vMerge w:val="restart"/>
            <w:hideMark/>
          </w:tcPr>
          <w:p w14:paraId="611F5D0F"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Devieri</w:t>
            </w:r>
            <w:r w:rsidRPr="00B719C9">
              <w:rPr>
                <w:rFonts w:asciiTheme="majorHAnsi" w:eastAsia="Times New Roman" w:hAnsiTheme="majorHAnsi" w:cstheme="majorHAnsi"/>
                <w:b w:val="0"/>
                <w:bCs w:val="0"/>
                <w:i/>
                <w:iCs/>
                <w:sz w:val="20"/>
                <w:szCs w:val="20"/>
                <w:lang w:val="ro-MD"/>
              </w:rPr>
              <w:br/>
              <w:t>%</w:t>
            </w:r>
          </w:p>
        </w:tc>
        <w:tc>
          <w:tcPr>
            <w:tcW w:w="685" w:type="pct"/>
            <w:gridSpan w:val="4"/>
            <w:hideMark/>
          </w:tcPr>
          <w:p w14:paraId="0B41E643"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ISM</w:t>
            </w:r>
          </w:p>
        </w:tc>
        <w:tc>
          <w:tcPr>
            <w:tcW w:w="294" w:type="pct"/>
            <w:gridSpan w:val="2"/>
            <w:vMerge w:val="restart"/>
            <w:hideMark/>
          </w:tcPr>
          <w:p w14:paraId="7A2B5BB2"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Devieri</w:t>
            </w:r>
            <w:r w:rsidRPr="00B719C9">
              <w:rPr>
                <w:rFonts w:asciiTheme="majorHAnsi" w:eastAsia="Times New Roman" w:hAnsiTheme="majorHAnsi" w:cstheme="majorHAnsi"/>
                <w:b w:val="0"/>
                <w:bCs w:val="0"/>
                <w:i/>
                <w:iCs/>
                <w:sz w:val="20"/>
                <w:szCs w:val="20"/>
                <w:lang w:val="ro-MD"/>
              </w:rPr>
              <w:br/>
              <w:t>%</w:t>
            </w:r>
          </w:p>
        </w:tc>
        <w:tc>
          <w:tcPr>
            <w:tcW w:w="669" w:type="pct"/>
            <w:gridSpan w:val="3"/>
            <w:hideMark/>
          </w:tcPr>
          <w:p w14:paraId="6C69C72E"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MOLDAC</w:t>
            </w:r>
          </w:p>
        </w:tc>
        <w:tc>
          <w:tcPr>
            <w:tcW w:w="327" w:type="pct"/>
            <w:vMerge w:val="restart"/>
            <w:hideMark/>
          </w:tcPr>
          <w:p w14:paraId="310B11F1"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Devieri</w:t>
            </w:r>
            <w:r w:rsidRPr="00B719C9">
              <w:rPr>
                <w:rFonts w:asciiTheme="majorHAnsi" w:eastAsia="Times New Roman" w:hAnsiTheme="majorHAnsi" w:cstheme="majorHAnsi"/>
                <w:b w:val="0"/>
                <w:bCs w:val="0"/>
                <w:sz w:val="20"/>
                <w:szCs w:val="20"/>
                <w:lang w:val="ro-MD"/>
              </w:rPr>
              <w:br/>
              <w:t>%</w:t>
            </w:r>
          </w:p>
        </w:tc>
        <w:tc>
          <w:tcPr>
            <w:tcW w:w="674" w:type="pct"/>
            <w:gridSpan w:val="2"/>
          </w:tcPr>
          <w:p w14:paraId="10BC297D"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APCSP</w:t>
            </w:r>
          </w:p>
        </w:tc>
        <w:tc>
          <w:tcPr>
            <w:tcW w:w="291" w:type="pct"/>
            <w:vMerge w:val="restart"/>
          </w:tcPr>
          <w:p w14:paraId="1D905935"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Devieri</w:t>
            </w:r>
          </w:p>
          <w:p w14:paraId="45BB13F4" w14:textId="77777777" w:rsidR="00992E04" w:rsidRPr="00B719C9" w:rsidRDefault="00992E04" w:rsidP="0054310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w:t>
            </w:r>
          </w:p>
        </w:tc>
      </w:tr>
      <w:tr w:rsidR="00B719C9" w:rsidRPr="00B719C9" w14:paraId="6F0F789C" w14:textId="77777777" w:rsidTr="00E762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6" w:type="pct"/>
            <w:vMerge/>
            <w:hideMark/>
          </w:tcPr>
          <w:p w14:paraId="5DCB756E" w14:textId="77777777" w:rsidR="00992E04" w:rsidRPr="00B719C9" w:rsidRDefault="00992E04" w:rsidP="00543106">
            <w:pPr>
              <w:rPr>
                <w:rFonts w:asciiTheme="majorHAnsi" w:eastAsia="Times New Roman" w:hAnsiTheme="majorHAnsi" w:cstheme="majorHAnsi"/>
                <w:b w:val="0"/>
                <w:bCs w:val="0"/>
                <w:i/>
                <w:iCs/>
                <w:sz w:val="20"/>
                <w:szCs w:val="20"/>
                <w:lang w:val="ro-MD"/>
              </w:rPr>
            </w:pPr>
          </w:p>
        </w:tc>
        <w:tc>
          <w:tcPr>
            <w:tcW w:w="354" w:type="pct"/>
            <w:hideMark/>
          </w:tcPr>
          <w:p w14:paraId="6164DB38"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Planificat</w:t>
            </w:r>
          </w:p>
        </w:tc>
        <w:tc>
          <w:tcPr>
            <w:tcW w:w="358" w:type="pct"/>
            <w:hideMark/>
          </w:tcPr>
          <w:p w14:paraId="753AE083"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Executat</w:t>
            </w:r>
          </w:p>
        </w:tc>
        <w:tc>
          <w:tcPr>
            <w:tcW w:w="293" w:type="pct"/>
            <w:gridSpan w:val="2"/>
            <w:vMerge/>
            <w:hideMark/>
          </w:tcPr>
          <w:p w14:paraId="6EC3F461" w14:textId="77777777" w:rsidR="00992E04" w:rsidRPr="00B719C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p>
        </w:tc>
        <w:tc>
          <w:tcPr>
            <w:tcW w:w="359" w:type="pct"/>
            <w:gridSpan w:val="2"/>
            <w:hideMark/>
          </w:tcPr>
          <w:p w14:paraId="6E831191"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Planificat</w:t>
            </w:r>
          </w:p>
        </w:tc>
        <w:tc>
          <w:tcPr>
            <w:tcW w:w="327" w:type="pct"/>
            <w:gridSpan w:val="2"/>
            <w:hideMark/>
          </w:tcPr>
          <w:p w14:paraId="3545C9E8"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Executat</w:t>
            </w:r>
          </w:p>
        </w:tc>
        <w:tc>
          <w:tcPr>
            <w:tcW w:w="294" w:type="pct"/>
            <w:gridSpan w:val="2"/>
            <w:vMerge/>
            <w:hideMark/>
          </w:tcPr>
          <w:p w14:paraId="515FA837" w14:textId="77777777" w:rsidR="00992E04" w:rsidRPr="00B719C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p>
        </w:tc>
        <w:tc>
          <w:tcPr>
            <w:tcW w:w="344" w:type="pct"/>
            <w:gridSpan w:val="2"/>
            <w:hideMark/>
          </w:tcPr>
          <w:p w14:paraId="5DC52523"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Planificat</w:t>
            </w:r>
          </w:p>
        </w:tc>
        <w:tc>
          <w:tcPr>
            <w:tcW w:w="325" w:type="pct"/>
            <w:hideMark/>
          </w:tcPr>
          <w:p w14:paraId="6F2EA3C7"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Executat</w:t>
            </w:r>
          </w:p>
        </w:tc>
        <w:tc>
          <w:tcPr>
            <w:tcW w:w="327" w:type="pct"/>
            <w:vMerge/>
            <w:hideMark/>
          </w:tcPr>
          <w:p w14:paraId="6B4DF0FE" w14:textId="77777777" w:rsidR="00992E04" w:rsidRPr="00B719C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p>
        </w:tc>
        <w:tc>
          <w:tcPr>
            <w:tcW w:w="344" w:type="pct"/>
          </w:tcPr>
          <w:p w14:paraId="2823291A"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Planificat</w:t>
            </w:r>
          </w:p>
        </w:tc>
        <w:tc>
          <w:tcPr>
            <w:tcW w:w="330" w:type="pct"/>
          </w:tcPr>
          <w:p w14:paraId="67EC826A"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sz w:val="20"/>
                <w:szCs w:val="20"/>
                <w:lang w:val="ro-MD"/>
              </w:rPr>
            </w:pPr>
            <w:r w:rsidRPr="00B719C9">
              <w:rPr>
                <w:rFonts w:asciiTheme="majorHAnsi" w:eastAsia="Times New Roman" w:hAnsiTheme="majorHAnsi" w:cstheme="majorHAnsi"/>
                <w:b/>
                <w:bCs/>
                <w:i/>
                <w:iCs/>
                <w:sz w:val="20"/>
                <w:szCs w:val="20"/>
                <w:lang w:val="ro-MD"/>
              </w:rPr>
              <w:t>Executat</w:t>
            </w:r>
          </w:p>
        </w:tc>
        <w:tc>
          <w:tcPr>
            <w:tcW w:w="291" w:type="pct"/>
            <w:vMerge/>
          </w:tcPr>
          <w:p w14:paraId="775410A5" w14:textId="77777777" w:rsidR="00992E04" w:rsidRPr="00B719C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p>
        </w:tc>
      </w:tr>
      <w:tr w:rsidR="00B719C9" w:rsidRPr="00B719C9" w14:paraId="2FEEF56C" w14:textId="77777777" w:rsidTr="00E76298">
        <w:trPr>
          <w:trHeight w:val="328"/>
        </w:trPr>
        <w:tc>
          <w:tcPr>
            <w:cnfStyle w:val="001000000000" w:firstRow="0" w:lastRow="0" w:firstColumn="1" w:lastColumn="0" w:oddVBand="0" w:evenVBand="0" w:oddHBand="0" w:evenHBand="0" w:firstRowFirstColumn="0" w:firstRowLastColumn="0" w:lastRowFirstColumn="0" w:lastRowLastColumn="0"/>
            <w:tcW w:w="1056" w:type="pct"/>
            <w:hideMark/>
          </w:tcPr>
          <w:p w14:paraId="36A48506" w14:textId="77777777" w:rsidR="00992E04" w:rsidRPr="00B719C9" w:rsidRDefault="00992E04" w:rsidP="00543106">
            <w:pPr>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Venituri din prestarea serviciilor și executarea lucrărilor</w:t>
            </w:r>
          </w:p>
        </w:tc>
        <w:tc>
          <w:tcPr>
            <w:tcW w:w="354" w:type="pct"/>
            <w:hideMark/>
          </w:tcPr>
          <w:p w14:paraId="609008E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1 098,0</w:t>
            </w:r>
          </w:p>
        </w:tc>
        <w:tc>
          <w:tcPr>
            <w:tcW w:w="358" w:type="pct"/>
            <w:noWrap/>
            <w:hideMark/>
          </w:tcPr>
          <w:p w14:paraId="10B34C75"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3 190,0</w:t>
            </w:r>
          </w:p>
        </w:tc>
        <w:tc>
          <w:tcPr>
            <w:tcW w:w="293" w:type="pct"/>
            <w:gridSpan w:val="2"/>
            <w:hideMark/>
          </w:tcPr>
          <w:p w14:paraId="4988EE9C"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190,53</w:t>
            </w:r>
          </w:p>
        </w:tc>
        <w:tc>
          <w:tcPr>
            <w:tcW w:w="359" w:type="pct"/>
            <w:gridSpan w:val="2"/>
            <w:hideMark/>
          </w:tcPr>
          <w:p w14:paraId="2536A2C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650,0</w:t>
            </w:r>
          </w:p>
        </w:tc>
        <w:tc>
          <w:tcPr>
            <w:tcW w:w="327" w:type="pct"/>
            <w:gridSpan w:val="2"/>
            <w:noWrap/>
            <w:hideMark/>
          </w:tcPr>
          <w:p w14:paraId="3C105AE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771,8</w:t>
            </w:r>
          </w:p>
        </w:tc>
        <w:tc>
          <w:tcPr>
            <w:tcW w:w="294" w:type="pct"/>
            <w:gridSpan w:val="2"/>
            <w:hideMark/>
          </w:tcPr>
          <w:p w14:paraId="5A7D28B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18,74</w:t>
            </w:r>
          </w:p>
        </w:tc>
        <w:tc>
          <w:tcPr>
            <w:tcW w:w="344" w:type="pct"/>
            <w:gridSpan w:val="2"/>
            <w:hideMark/>
          </w:tcPr>
          <w:p w14:paraId="0E90B10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6 500,0</w:t>
            </w:r>
          </w:p>
        </w:tc>
        <w:tc>
          <w:tcPr>
            <w:tcW w:w="325" w:type="pct"/>
            <w:noWrap/>
            <w:hideMark/>
          </w:tcPr>
          <w:p w14:paraId="5FE52A1F"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5 453,9</w:t>
            </w:r>
          </w:p>
        </w:tc>
        <w:tc>
          <w:tcPr>
            <w:tcW w:w="327" w:type="pct"/>
            <w:hideMark/>
          </w:tcPr>
          <w:p w14:paraId="758DBE66"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-16,09</w:t>
            </w:r>
          </w:p>
        </w:tc>
        <w:tc>
          <w:tcPr>
            <w:tcW w:w="344" w:type="pct"/>
          </w:tcPr>
          <w:p w14:paraId="59CE58C6" w14:textId="348E1E7F"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30" w:type="pct"/>
          </w:tcPr>
          <w:p w14:paraId="5C30785F"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1" w:type="pct"/>
          </w:tcPr>
          <w:p w14:paraId="4A86C98D" w14:textId="6F8B7B96"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r>
      <w:tr w:rsidR="00B719C9" w:rsidRPr="00B719C9" w14:paraId="5815EFE0" w14:textId="77777777" w:rsidTr="00E7629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56" w:type="pct"/>
            <w:hideMark/>
          </w:tcPr>
          <w:p w14:paraId="7D4A09D8" w14:textId="77777777" w:rsidR="00992E04" w:rsidRPr="00B719C9" w:rsidRDefault="00992E04" w:rsidP="00543106">
            <w:pPr>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Venituri din contracte de leasing (locațiune)</w:t>
            </w:r>
          </w:p>
        </w:tc>
        <w:tc>
          <w:tcPr>
            <w:tcW w:w="354" w:type="pct"/>
            <w:hideMark/>
          </w:tcPr>
          <w:p w14:paraId="1C68ACF7"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130,0</w:t>
            </w:r>
          </w:p>
        </w:tc>
        <w:tc>
          <w:tcPr>
            <w:tcW w:w="358" w:type="pct"/>
            <w:noWrap/>
            <w:hideMark/>
          </w:tcPr>
          <w:p w14:paraId="76C03F31"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126,4</w:t>
            </w:r>
          </w:p>
        </w:tc>
        <w:tc>
          <w:tcPr>
            <w:tcW w:w="293" w:type="pct"/>
            <w:gridSpan w:val="2"/>
            <w:hideMark/>
          </w:tcPr>
          <w:p w14:paraId="4845353C"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-2,77</w:t>
            </w:r>
          </w:p>
        </w:tc>
        <w:tc>
          <w:tcPr>
            <w:tcW w:w="359" w:type="pct"/>
            <w:gridSpan w:val="2"/>
            <w:hideMark/>
          </w:tcPr>
          <w:p w14:paraId="22181125"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130,0</w:t>
            </w:r>
          </w:p>
        </w:tc>
        <w:tc>
          <w:tcPr>
            <w:tcW w:w="327" w:type="pct"/>
            <w:gridSpan w:val="2"/>
            <w:noWrap/>
            <w:hideMark/>
          </w:tcPr>
          <w:p w14:paraId="105683D3"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127,0</w:t>
            </w:r>
          </w:p>
        </w:tc>
        <w:tc>
          <w:tcPr>
            <w:tcW w:w="294" w:type="pct"/>
            <w:gridSpan w:val="2"/>
            <w:hideMark/>
          </w:tcPr>
          <w:p w14:paraId="620BDEC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-2,28</w:t>
            </w:r>
          </w:p>
        </w:tc>
        <w:tc>
          <w:tcPr>
            <w:tcW w:w="344" w:type="pct"/>
            <w:gridSpan w:val="2"/>
            <w:noWrap/>
            <w:hideMark/>
          </w:tcPr>
          <w:p w14:paraId="7C6EBA81"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5" w:type="pct"/>
            <w:noWrap/>
            <w:hideMark/>
          </w:tcPr>
          <w:p w14:paraId="3EF5DFDF"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7" w:type="pct"/>
            <w:hideMark/>
          </w:tcPr>
          <w:p w14:paraId="799A5556"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44" w:type="pct"/>
          </w:tcPr>
          <w:p w14:paraId="30C8B097" w14:textId="27684724"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30" w:type="pct"/>
          </w:tcPr>
          <w:p w14:paraId="1E2B5D82"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1" w:type="pct"/>
          </w:tcPr>
          <w:p w14:paraId="00AF171A" w14:textId="62C74E46"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r>
      <w:tr w:rsidR="00B719C9" w:rsidRPr="00B719C9" w14:paraId="5368201F" w14:textId="77777777" w:rsidTr="00E76298">
        <w:trPr>
          <w:trHeight w:val="309"/>
        </w:trPr>
        <w:tc>
          <w:tcPr>
            <w:cnfStyle w:val="001000000000" w:firstRow="0" w:lastRow="0" w:firstColumn="1" w:lastColumn="0" w:oddVBand="0" w:evenVBand="0" w:oddHBand="0" w:evenHBand="0" w:firstRowFirstColumn="0" w:firstRowLastColumn="0" w:lastRowFirstColumn="0" w:lastRowLastColumn="0"/>
            <w:tcW w:w="1056" w:type="pct"/>
            <w:hideMark/>
          </w:tcPr>
          <w:p w14:paraId="5CA03D64" w14:textId="77777777" w:rsidR="00992E04" w:rsidRPr="00B719C9" w:rsidRDefault="00992E04" w:rsidP="00543106">
            <w:pPr>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 xml:space="preserve">Total venituri din vânzări </w:t>
            </w:r>
          </w:p>
        </w:tc>
        <w:tc>
          <w:tcPr>
            <w:tcW w:w="354" w:type="pct"/>
            <w:noWrap/>
            <w:hideMark/>
          </w:tcPr>
          <w:p w14:paraId="0A60028B"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1 228,0</w:t>
            </w:r>
          </w:p>
        </w:tc>
        <w:tc>
          <w:tcPr>
            <w:tcW w:w="358" w:type="pct"/>
            <w:noWrap/>
            <w:hideMark/>
          </w:tcPr>
          <w:p w14:paraId="204E407A"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3 316,4</w:t>
            </w:r>
          </w:p>
        </w:tc>
        <w:tc>
          <w:tcPr>
            <w:tcW w:w="293" w:type="pct"/>
            <w:gridSpan w:val="2"/>
            <w:hideMark/>
          </w:tcPr>
          <w:p w14:paraId="750C41B6" w14:textId="5B9F37E0" w:rsidR="00992E04" w:rsidRPr="00B719C9" w:rsidRDefault="007226D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170,07</w:t>
            </w:r>
          </w:p>
        </w:tc>
        <w:tc>
          <w:tcPr>
            <w:tcW w:w="359" w:type="pct"/>
            <w:gridSpan w:val="2"/>
            <w:hideMark/>
          </w:tcPr>
          <w:p w14:paraId="7241E890"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780,0</w:t>
            </w:r>
          </w:p>
        </w:tc>
        <w:tc>
          <w:tcPr>
            <w:tcW w:w="327" w:type="pct"/>
            <w:gridSpan w:val="2"/>
            <w:noWrap/>
            <w:hideMark/>
          </w:tcPr>
          <w:p w14:paraId="6583C97B"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898,9</w:t>
            </w:r>
          </w:p>
        </w:tc>
        <w:tc>
          <w:tcPr>
            <w:tcW w:w="294" w:type="pct"/>
            <w:gridSpan w:val="2"/>
            <w:hideMark/>
          </w:tcPr>
          <w:p w14:paraId="0BD5668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15,24</w:t>
            </w:r>
          </w:p>
        </w:tc>
        <w:tc>
          <w:tcPr>
            <w:tcW w:w="344" w:type="pct"/>
            <w:gridSpan w:val="2"/>
            <w:noWrap/>
            <w:hideMark/>
          </w:tcPr>
          <w:p w14:paraId="14CBF429"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6 500,0</w:t>
            </w:r>
          </w:p>
        </w:tc>
        <w:tc>
          <w:tcPr>
            <w:tcW w:w="325" w:type="pct"/>
            <w:noWrap/>
            <w:hideMark/>
          </w:tcPr>
          <w:p w14:paraId="6F628090"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5 453,9</w:t>
            </w:r>
          </w:p>
        </w:tc>
        <w:tc>
          <w:tcPr>
            <w:tcW w:w="327" w:type="pct"/>
            <w:hideMark/>
          </w:tcPr>
          <w:p w14:paraId="30EB12F1"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-16,09</w:t>
            </w:r>
          </w:p>
        </w:tc>
        <w:tc>
          <w:tcPr>
            <w:tcW w:w="344" w:type="pct"/>
          </w:tcPr>
          <w:p w14:paraId="4542807E" w14:textId="49C3C0AB"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30" w:type="pct"/>
          </w:tcPr>
          <w:p w14:paraId="23482C8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291" w:type="pct"/>
          </w:tcPr>
          <w:p w14:paraId="22E201B4" w14:textId="6C637C2B"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r>
      <w:tr w:rsidR="00B719C9" w:rsidRPr="00B719C9" w14:paraId="14AE9A0A" w14:textId="77777777" w:rsidTr="00E7629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56" w:type="pct"/>
            <w:hideMark/>
          </w:tcPr>
          <w:p w14:paraId="5CA514E9" w14:textId="77777777" w:rsidR="00992E04" w:rsidRPr="00B719C9" w:rsidRDefault="00992E04" w:rsidP="00543106">
            <w:pPr>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Alte venituri din activitatea operațională</w:t>
            </w:r>
          </w:p>
        </w:tc>
        <w:tc>
          <w:tcPr>
            <w:tcW w:w="354" w:type="pct"/>
            <w:hideMark/>
          </w:tcPr>
          <w:p w14:paraId="44200BB5"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14 172,5</w:t>
            </w:r>
          </w:p>
        </w:tc>
        <w:tc>
          <w:tcPr>
            <w:tcW w:w="358" w:type="pct"/>
            <w:noWrap/>
            <w:hideMark/>
          </w:tcPr>
          <w:p w14:paraId="1C6DE92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15 085,9</w:t>
            </w:r>
          </w:p>
        </w:tc>
        <w:tc>
          <w:tcPr>
            <w:tcW w:w="293" w:type="pct"/>
            <w:gridSpan w:val="2"/>
            <w:hideMark/>
          </w:tcPr>
          <w:p w14:paraId="3F968B88"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6,45</w:t>
            </w:r>
          </w:p>
        </w:tc>
        <w:tc>
          <w:tcPr>
            <w:tcW w:w="359" w:type="pct"/>
            <w:gridSpan w:val="2"/>
            <w:hideMark/>
          </w:tcPr>
          <w:p w14:paraId="0D73BEBF" w14:textId="2408A3DF" w:rsidR="00992E04" w:rsidRPr="00B719C9" w:rsidRDefault="00CE233D"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27" w:type="pct"/>
            <w:gridSpan w:val="2"/>
            <w:noWrap/>
            <w:hideMark/>
          </w:tcPr>
          <w:p w14:paraId="2C694CCD"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294" w:type="pct"/>
            <w:gridSpan w:val="2"/>
            <w:hideMark/>
          </w:tcPr>
          <w:p w14:paraId="5EB41CC7"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44" w:type="pct"/>
            <w:gridSpan w:val="2"/>
            <w:noWrap/>
            <w:hideMark/>
          </w:tcPr>
          <w:p w14:paraId="3EC0E2FF"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25" w:type="pct"/>
            <w:noWrap/>
            <w:hideMark/>
          </w:tcPr>
          <w:p w14:paraId="08D12F46"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29,4</w:t>
            </w:r>
          </w:p>
        </w:tc>
        <w:tc>
          <w:tcPr>
            <w:tcW w:w="327" w:type="pct"/>
            <w:hideMark/>
          </w:tcPr>
          <w:p w14:paraId="5C0F53B7"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100,00</w:t>
            </w:r>
          </w:p>
        </w:tc>
        <w:tc>
          <w:tcPr>
            <w:tcW w:w="344" w:type="pct"/>
          </w:tcPr>
          <w:p w14:paraId="530B71AA" w14:textId="458F5A6F"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30" w:type="pct"/>
          </w:tcPr>
          <w:p w14:paraId="79146CF5"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291" w:type="pct"/>
          </w:tcPr>
          <w:p w14:paraId="1FA4E9EB" w14:textId="32D2EFE3"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r>
      <w:tr w:rsidR="00B719C9" w:rsidRPr="00B719C9" w14:paraId="0B543316" w14:textId="77777777" w:rsidTr="00E76298">
        <w:trPr>
          <w:trHeight w:val="517"/>
        </w:trPr>
        <w:tc>
          <w:tcPr>
            <w:cnfStyle w:val="001000000000" w:firstRow="0" w:lastRow="0" w:firstColumn="1" w:lastColumn="0" w:oddVBand="0" w:evenVBand="0" w:oddHBand="0" w:evenHBand="0" w:firstRowFirstColumn="0" w:firstRowLastColumn="0" w:lastRowFirstColumn="0" w:lastRowLastColumn="0"/>
            <w:tcW w:w="1056" w:type="pct"/>
            <w:hideMark/>
          </w:tcPr>
          <w:p w14:paraId="095837EB" w14:textId="77777777" w:rsidR="00992E04" w:rsidRPr="00B719C9" w:rsidRDefault="00992E04" w:rsidP="00543106">
            <w:pPr>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Venituri aferente ajustărlor de valoare privind investițiile financiare pe termen lung și curente</w:t>
            </w:r>
          </w:p>
        </w:tc>
        <w:tc>
          <w:tcPr>
            <w:tcW w:w="354" w:type="pct"/>
            <w:hideMark/>
          </w:tcPr>
          <w:p w14:paraId="1865F463"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58" w:type="pct"/>
            <w:noWrap/>
            <w:hideMark/>
          </w:tcPr>
          <w:p w14:paraId="1A5D2E6B" w14:textId="6906FEE1" w:rsidR="00992E04" w:rsidRPr="00B719C9" w:rsidRDefault="00885B16"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3" w:type="pct"/>
            <w:gridSpan w:val="2"/>
            <w:hideMark/>
          </w:tcPr>
          <w:p w14:paraId="03CA780C"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59" w:type="pct"/>
            <w:gridSpan w:val="2"/>
            <w:hideMark/>
          </w:tcPr>
          <w:p w14:paraId="096C082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5 200,0</w:t>
            </w:r>
          </w:p>
        </w:tc>
        <w:tc>
          <w:tcPr>
            <w:tcW w:w="327" w:type="pct"/>
            <w:gridSpan w:val="2"/>
            <w:noWrap/>
            <w:hideMark/>
          </w:tcPr>
          <w:p w14:paraId="10827972"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5 200,0</w:t>
            </w:r>
          </w:p>
        </w:tc>
        <w:tc>
          <w:tcPr>
            <w:tcW w:w="294" w:type="pct"/>
            <w:gridSpan w:val="2"/>
            <w:hideMark/>
          </w:tcPr>
          <w:p w14:paraId="7879CEBF"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0,00</w:t>
            </w:r>
          </w:p>
        </w:tc>
        <w:tc>
          <w:tcPr>
            <w:tcW w:w="344" w:type="pct"/>
            <w:gridSpan w:val="2"/>
            <w:noWrap/>
            <w:hideMark/>
          </w:tcPr>
          <w:p w14:paraId="73FD6866"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5" w:type="pct"/>
            <w:noWrap/>
            <w:hideMark/>
          </w:tcPr>
          <w:p w14:paraId="5B9B0A5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7" w:type="pct"/>
            <w:hideMark/>
          </w:tcPr>
          <w:p w14:paraId="65E96E9F"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44" w:type="pct"/>
          </w:tcPr>
          <w:p w14:paraId="4745A5A0" w14:textId="75A35006"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30" w:type="pct"/>
          </w:tcPr>
          <w:p w14:paraId="55EFB920"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1" w:type="pct"/>
          </w:tcPr>
          <w:p w14:paraId="689DDDD5" w14:textId="3701065A"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r>
      <w:tr w:rsidR="00B719C9" w:rsidRPr="00B719C9" w14:paraId="47005542" w14:textId="77777777" w:rsidTr="00E7629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56" w:type="pct"/>
            <w:hideMark/>
          </w:tcPr>
          <w:p w14:paraId="38388C63" w14:textId="77777777" w:rsidR="00992E04" w:rsidRPr="00B719C9" w:rsidRDefault="00992E04" w:rsidP="00543106">
            <w:pPr>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Venituri aferente diferențelor de curs valutar și de sumă</w:t>
            </w:r>
          </w:p>
        </w:tc>
        <w:tc>
          <w:tcPr>
            <w:tcW w:w="354" w:type="pct"/>
            <w:hideMark/>
          </w:tcPr>
          <w:p w14:paraId="6C6E910C"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58" w:type="pct"/>
            <w:noWrap/>
            <w:hideMark/>
          </w:tcPr>
          <w:p w14:paraId="68BF6674"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426,5</w:t>
            </w:r>
          </w:p>
        </w:tc>
        <w:tc>
          <w:tcPr>
            <w:tcW w:w="293" w:type="pct"/>
            <w:gridSpan w:val="2"/>
            <w:hideMark/>
          </w:tcPr>
          <w:p w14:paraId="11CA5BF7"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100,00</w:t>
            </w:r>
          </w:p>
        </w:tc>
        <w:tc>
          <w:tcPr>
            <w:tcW w:w="359" w:type="pct"/>
            <w:gridSpan w:val="2"/>
            <w:hideMark/>
          </w:tcPr>
          <w:p w14:paraId="1B36D4D2" w14:textId="56975EA0" w:rsidR="00992E04" w:rsidRPr="00B719C9" w:rsidRDefault="00CE233D"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7" w:type="pct"/>
            <w:gridSpan w:val="2"/>
            <w:noWrap/>
            <w:hideMark/>
          </w:tcPr>
          <w:p w14:paraId="218F37B6"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11,5</w:t>
            </w:r>
          </w:p>
        </w:tc>
        <w:tc>
          <w:tcPr>
            <w:tcW w:w="294" w:type="pct"/>
            <w:gridSpan w:val="2"/>
            <w:hideMark/>
          </w:tcPr>
          <w:p w14:paraId="0E58F62B"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100,00</w:t>
            </w:r>
          </w:p>
        </w:tc>
        <w:tc>
          <w:tcPr>
            <w:tcW w:w="344" w:type="pct"/>
            <w:gridSpan w:val="2"/>
            <w:noWrap/>
            <w:hideMark/>
          </w:tcPr>
          <w:p w14:paraId="05E89A2E" w14:textId="26FF6A87" w:rsidR="00992E04" w:rsidRPr="00B719C9" w:rsidRDefault="0086584F"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5" w:type="pct"/>
            <w:noWrap/>
            <w:hideMark/>
          </w:tcPr>
          <w:p w14:paraId="476F7FEC"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0,6</w:t>
            </w:r>
          </w:p>
        </w:tc>
        <w:tc>
          <w:tcPr>
            <w:tcW w:w="327" w:type="pct"/>
            <w:hideMark/>
          </w:tcPr>
          <w:p w14:paraId="1B8B56D4"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100,00</w:t>
            </w:r>
          </w:p>
        </w:tc>
        <w:tc>
          <w:tcPr>
            <w:tcW w:w="344" w:type="pct"/>
          </w:tcPr>
          <w:p w14:paraId="4B8ED18A" w14:textId="603E03D5"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30" w:type="pct"/>
          </w:tcPr>
          <w:p w14:paraId="410982C2"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1" w:type="pct"/>
          </w:tcPr>
          <w:p w14:paraId="24EA2E56" w14:textId="43C1227A"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r>
      <w:tr w:rsidR="00B719C9" w:rsidRPr="00B719C9" w14:paraId="7EAC3AA6" w14:textId="77777777" w:rsidTr="00E76298">
        <w:trPr>
          <w:trHeight w:val="297"/>
        </w:trPr>
        <w:tc>
          <w:tcPr>
            <w:cnfStyle w:val="001000000000" w:firstRow="0" w:lastRow="0" w:firstColumn="1" w:lastColumn="0" w:oddVBand="0" w:evenVBand="0" w:oddHBand="0" w:evenHBand="0" w:firstRowFirstColumn="0" w:firstRowLastColumn="0" w:lastRowFirstColumn="0" w:lastRowLastColumn="0"/>
            <w:tcW w:w="1056" w:type="pct"/>
            <w:hideMark/>
          </w:tcPr>
          <w:p w14:paraId="72D3B1C5" w14:textId="77777777" w:rsidR="00992E04" w:rsidRPr="00B719C9" w:rsidRDefault="00992E04" w:rsidP="00543106">
            <w:pPr>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Alte venituri financiare</w:t>
            </w:r>
          </w:p>
        </w:tc>
        <w:tc>
          <w:tcPr>
            <w:tcW w:w="354" w:type="pct"/>
            <w:hideMark/>
          </w:tcPr>
          <w:p w14:paraId="3E57C8E1"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58" w:type="pct"/>
            <w:noWrap/>
            <w:hideMark/>
          </w:tcPr>
          <w:p w14:paraId="48C23262" w14:textId="35BF34BC" w:rsidR="00992E04" w:rsidRPr="00B719C9" w:rsidRDefault="00885B16"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3" w:type="pct"/>
            <w:gridSpan w:val="2"/>
            <w:hideMark/>
          </w:tcPr>
          <w:p w14:paraId="5D13C0DA"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59" w:type="pct"/>
            <w:gridSpan w:val="2"/>
            <w:hideMark/>
          </w:tcPr>
          <w:p w14:paraId="59DA5092" w14:textId="6E44C4FB" w:rsidR="00992E04" w:rsidRPr="00B719C9" w:rsidRDefault="00CE233D"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7" w:type="pct"/>
            <w:gridSpan w:val="2"/>
            <w:noWrap/>
            <w:hideMark/>
          </w:tcPr>
          <w:p w14:paraId="2751E807" w14:textId="27D48C67" w:rsidR="00992E04" w:rsidRPr="00B719C9" w:rsidRDefault="00B52EC6"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4" w:type="pct"/>
            <w:gridSpan w:val="2"/>
            <w:hideMark/>
          </w:tcPr>
          <w:p w14:paraId="0C3F191B"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44" w:type="pct"/>
            <w:gridSpan w:val="2"/>
            <w:noWrap/>
            <w:hideMark/>
          </w:tcPr>
          <w:p w14:paraId="6BB2DC00" w14:textId="3B50555F" w:rsidR="00992E04" w:rsidRPr="00B719C9" w:rsidRDefault="0086584F"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25" w:type="pct"/>
            <w:noWrap/>
            <w:hideMark/>
          </w:tcPr>
          <w:p w14:paraId="47AED8DF"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17,6</w:t>
            </w:r>
          </w:p>
        </w:tc>
        <w:tc>
          <w:tcPr>
            <w:tcW w:w="327" w:type="pct"/>
            <w:hideMark/>
          </w:tcPr>
          <w:p w14:paraId="19C2BA02"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100,00</w:t>
            </w:r>
          </w:p>
        </w:tc>
        <w:tc>
          <w:tcPr>
            <w:tcW w:w="344" w:type="pct"/>
          </w:tcPr>
          <w:p w14:paraId="5E668DC8" w14:textId="2C3A488B"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330" w:type="pct"/>
          </w:tcPr>
          <w:p w14:paraId="1F5A0E32"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c>
          <w:tcPr>
            <w:tcW w:w="291" w:type="pct"/>
          </w:tcPr>
          <w:p w14:paraId="5CDF5427" w14:textId="0DA07BB7" w:rsidR="00992E04" w:rsidRPr="00B719C9" w:rsidRDefault="008A4F7E"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B719C9">
              <w:rPr>
                <w:rFonts w:asciiTheme="majorHAnsi" w:eastAsia="Times New Roman" w:hAnsiTheme="majorHAnsi" w:cstheme="majorHAnsi"/>
                <w:sz w:val="20"/>
                <w:szCs w:val="20"/>
                <w:lang w:val="ro-MD"/>
              </w:rPr>
              <w:t>X</w:t>
            </w:r>
          </w:p>
        </w:tc>
      </w:tr>
      <w:tr w:rsidR="00B719C9" w:rsidRPr="00B719C9" w14:paraId="5913C4A7" w14:textId="77777777" w:rsidTr="00E76298">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056" w:type="pct"/>
            <w:hideMark/>
          </w:tcPr>
          <w:p w14:paraId="3052F462" w14:textId="77777777" w:rsidR="00992E04" w:rsidRPr="00B719C9" w:rsidRDefault="00992E04" w:rsidP="00543106">
            <w:pPr>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 xml:space="preserve">Total venituri financiare </w:t>
            </w:r>
          </w:p>
        </w:tc>
        <w:tc>
          <w:tcPr>
            <w:tcW w:w="354" w:type="pct"/>
            <w:noWrap/>
            <w:hideMark/>
          </w:tcPr>
          <w:p w14:paraId="797613A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58" w:type="pct"/>
            <w:noWrap/>
            <w:hideMark/>
          </w:tcPr>
          <w:p w14:paraId="41DD4636"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426,5</w:t>
            </w:r>
          </w:p>
        </w:tc>
        <w:tc>
          <w:tcPr>
            <w:tcW w:w="293" w:type="pct"/>
            <w:gridSpan w:val="2"/>
            <w:hideMark/>
          </w:tcPr>
          <w:p w14:paraId="60DB5D5B"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100,00</w:t>
            </w:r>
          </w:p>
        </w:tc>
        <w:tc>
          <w:tcPr>
            <w:tcW w:w="359" w:type="pct"/>
            <w:gridSpan w:val="2"/>
            <w:hideMark/>
          </w:tcPr>
          <w:p w14:paraId="5A9960CC"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5 200,0</w:t>
            </w:r>
          </w:p>
        </w:tc>
        <w:tc>
          <w:tcPr>
            <w:tcW w:w="327" w:type="pct"/>
            <w:gridSpan w:val="2"/>
            <w:noWrap/>
            <w:hideMark/>
          </w:tcPr>
          <w:p w14:paraId="49234BCC"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5 211,5</w:t>
            </w:r>
          </w:p>
        </w:tc>
        <w:tc>
          <w:tcPr>
            <w:tcW w:w="294" w:type="pct"/>
            <w:gridSpan w:val="2"/>
            <w:hideMark/>
          </w:tcPr>
          <w:p w14:paraId="6A1FBB35"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0,22</w:t>
            </w:r>
          </w:p>
        </w:tc>
        <w:tc>
          <w:tcPr>
            <w:tcW w:w="344" w:type="pct"/>
            <w:gridSpan w:val="2"/>
            <w:noWrap/>
            <w:hideMark/>
          </w:tcPr>
          <w:p w14:paraId="5E5DC1E2" w14:textId="5432CF48" w:rsidR="00992E04" w:rsidRPr="00B719C9" w:rsidRDefault="0086584F"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25" w:type="pct"/>
            <w:noWrap/>
            <w:hideMark/>
          </w:tcPr>
          <w:p w14:paraId="4DE3EEF1"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18,2</w:t>
            </w:r>
          </w:p>
        </w:tc>
        <w:tc>
          <w:tcPr>
            <w:tcW w:w="327" w:type="pct"/>
            <w:hideMark/>
          </w:tcPr>
          <w:p w14:paraId="3C52665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rPr>
            </w:pPr>
            <w:r w:rsidRPr="00B719C9">
              <w:rPr>
                <w:rFonts w:asciiTheme="majorHAnsi" w:eastAsia="Times New Roman" w:hAnsiTheme="majorHAnsi" w:cstheme="majorHAnsi"/>
                <w:b/>
                <w:sz w:val="20"/>
                <w:szCs w:val="20"/>
                <w:lang w:val="ro-MD"/>
              </w:rPr>
              <w:t>100,00</w:t>
            </w:r>
          </w:p>
        </w:tc>
        <w:tc>
          <w:tcPr>
            <w:tcW w:w="344" w:type="pct"/>
          </w:tcPr>
          <w:p w14:paraId="402D3328" w14:textId="7F112792"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rPr>
            </w:pPr>
            <w:r w:rsidRPr="00B719C9">
              <w:rPr>
                <w:rFonts w:asciiTheme="majorHAnsi" w:eastAsia="Times New Roman" w:hAnsiTheme="majorHAnsi" w:cstheme="majorHAnsi"/>
                <w:b/>
                <w:sz w:val="20"/>
                <w:szCs w:val="20"/>
                <w:lang w:val="ro-MD"/>
              </w:rPr>
              <w:t>X</w:t>
            </w:r>
          </w:p>
        </w:tc>
        <w:tc>
          <w:tcPr>
            <w:tcW w:w="330" w:type="pct"/>
          </w:tcPr>
          <w:p w14:paraId="211062AB"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rPr>
            </w:pPr>
            <w:r w:rsidRPr="00B719C9">
              <w:rPr>
                <w:rFonts w:asciiTheme="majorHAnsi" w:eastAsia="Times New Roman" w:hAnsiTheme="majorHAnsi" w:cstheme="majorHAnsi"/>
                <w:b/>
                <w:sz w:val="20"/>
                <w:szCs w:val="20"/>
                <w:lang w:val="ro-MD"/>
              </w:rPr>
              <w:t>x</w:t>
            </w:r>
          </w:p>
        </w:tc>
        <w:tc>
          <w:tcPr>
            <w:tcW w:w="291" w:type="pct"/>
          </w:tcPr>
          <w:p w14:paraId="0CA60B7F" w14:textId="124830D7" w:rsidR="00992E04" w:rsidRPr="00B719C9" w:rsidRDefault="008A4F7E"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MD"/>
              </w:rPr>
            </w:pPr>
            <w:r w:rsidRPr="00B719C9">
              <w:rPr>
                <w:rFonts w:asciiTheme="majorHAnsi" w:eastAsia="Times New Roman" w:hAnsiTheme="majorHAnsi" w:cstheme="majorHAnsi"/>
                <w:b/>
                <w:sz w:val="20"/>
                <w:szCs w:val="20"/>
                <w:lang w:val="ro-MD"/>
              </w:rPr>
              <w:t>X</w:t>
            </w:r>
          </w:p>
        </w:tc>
      </w:tr>
      <w:tr w:rsidR="00B719C9" w:rsidRPr="00B719C9" w14:paraId="7CF9144B" w14:textId="77777777" w:rsidTr="00E76298">
        <w:trPr>
          <w:trHeight w:val="155"/>
        </w:trPr>
        <w:tc>
          <w:tcPr>
            <w:cnfStyle w:val="001000000000" w:firstRow="0" w:lastRow="0" w:firstColumn="1" w:lastColumn="0" w:oddVBand="0" w:evenVBand="0" w:oddHBand="0" w:evenHBand="0" w:firstRowFirstColumn="0" w:firstRowLastColumn="0" w:lastRowFirstColumn="0" w:lastRowLastColumn="0"/>
            <w:tcW w:w="1056" w:type="pct"/>
            <w:hideMark/>
          </w:tcPr>
          <w:p w14:paraId="666C1960" w14:textId="77777777" w:rsidR="00992E04" w:rsidRPr="00B719C9" w:rsidRDefault="00992E04" w:rsidP="00543106">
            <w:pPr>
              <w:rPr>
                <w:rFonts w:asciiTheme="majorHAnsi" w:eastAsia="Times New Roman" w:hAnsiTheme="majorHAnsi" w:cstheme="majorHAnsi"/>
                <w:b w:val="0"/>
                <w:bCs w:val="0"/>
                <w:sz w:val="20"/>
                <w:szCs w:val="20"/>
                <w:lang w:val="ro-MD"/>
              </w:rPr>
            </w:pPr>
            <w:r w:rsidRPr="00B719C9">
              <w:rPr>
                <w:rFonts w:asciiTheme="majorHAnsi" w:eastAsia="Times New Roman" w:hAnsiTheme="majorHAnsi" w:cstheme="majorHAnsi"/>
                <w:b w:val="0"/>
                <w:bCs w:val="0"/>
                <w:sz w:val="20"/>
                <w:szCs w:val="20"/>
                <w:lang w:val="ro-MD"/>
              </w:rPr>
              <w:t>Alte încasări (plăți) subsidii</w:t>
            </w:r>
          </w:p>
        </w:tc>
        <w:tc>
          <w:tcPr>
            <w:tcW w:w="354" w:type="pct"/>
            <w:noWrap/>
            <w:hideMark/>
          </w:tcPr>
          <w:p w14:paraId="5C16687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58" w:type="pct"/>
            <w:noWrap/>
            <w:hideMark/>
          </w:tcPr>
          <w:p w14:paraId="62B383D6" w14:textId="278AB456" w:rsidR="00992E04" w:rsidRPr="00B719C9" w:rsidRDefault="00885B16"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293" w:type="pct"/>
            <w:gridSpan w:val="2"/>
            <w:hideMark/>
          </w:tcPr>
          <w:p w14:paraId="1BD58F52"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59" w:type="pct"/>
            <w:gridSpan w:val="2"/>
            <w:hideMark/>
          </w:tcPr>
          <w:p w14:paraId="6AE809D0" w14:textId="667CF42E" w:rsidR="00992E04" w:rsidRPr="00B719C9" w:rsidRDefault="00CE233D"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27" w:type="pct"/>
            <w:gridSpan w:val="2"/>
            <w:noWrap/>
            <w:hideMark/>
          </w:tcPr>
          <w:p w14:paraId="62CD6646" w14:textId="26947234" w:rsidR="00992E04" w:rsidRPr="00B719C9" w:rsidRDefault="00B52EC6"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294" w:type="pct"/>
            <w:gridSpan w:val="2"/>
            <w:hideMark/>
          </w:tcPr>
          <w:p w14:paraId="7CD9730D"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x</w:t>
            </w:r>
          </w:p>
        </w:tc>
        <w:tc>
          <w:tcPr>
            <w:tcW w:w="344" w:type="pct"/>
            <w:gridSpan w:val="2"/>
            <w:noWrap/>
            <w:hideMark/>
          </w:tcPr>
          <w:p w14:paraId="3D1FC1F1"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3 200,0</w:t>
            </w:r>
          </w:p>
        </w:tc>
        <w:tc>
          <w:tcPr>
            <w:tcW w:w="325" w:type="pct"/>
            <w:noWrap/>
            <w:hideMark/>
          </w:tcPr>
          <w:p w14:paraId="06601D16"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2 800,0</w:t>
            </w:r>
          </w:p>
        </w:tc>
        <w:tc>
          <w:tcPr>
            <w:tcW w:w="327" w:type="pct"/>
            <w:hideMark/>
          </w:tcPr>
          <w:p w14:paraId="30488300"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-12,50</w:t>
            </w:r>
          </w:p>
        </w:tc>
        <w:tc>
          <w:tcPr>
            <w:tcW w:w="344" w:type="pct"/>
          </w:tcPr>
          <w:p w14:paraId="68D65EB4"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p w14:paraId="02FC1914"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15 330,2</w:t>
            </w:r>
          </w:p>
        </w:tc>
        <w:tc>
          <w:tcPr>
            <w:tcW w:w="330" w:type="pct"/>
          </w:tcPr>
          <w:p w14:paraId="1C5AC725"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p w14:paraId="619696BB"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11 053,9</w:t>
            </w:r>
          </w:p>
        </w:tc>
        <w:tc>
          <w:tcPr>
            <w:tcW w:w="291" w:type="pct"/>
          </w:tcPr>
          <w:p w14:paraId="69216EEE"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p>
          <w:p w14:paraId="42A988FC" w14:textId="77777777" w:rsidR="00992E04" w:rsidRPr="00B719C9" w:rsidRDefault="00992E04" w:rsidP="0054310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-27,89</w:t>
            </w:r>
          </w:p>
        </w:tc>
      </w:tr>
      <w:tr w:rsidR="00B719C9" w:rsidRPr="00B719C9" w14:paraId="4F46F186" w14:textId="77777777" w:rsidTr="00E762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6" w:type="pct"/>
            <w:hideMark/>
          </w:tcPr>
          <w:p w14:paraId="7A8C7EE6" w14:textId="77777777" w:rsidR="00992E04" w:rsidRPr="00B719C9" w:rsidRDefault="00992E04" w:rsidP="00543106">
            <w:pPr>
              <w:jc w:val="center"/>
              <w:rPr>
                <w:rFonts w:asciiTheme="majorHAnsi" w:eastAsia="Times New Roman" w:hAnsiTheme="majorHAnsi" w:cstheme="majorHAnsi"/>
                <w:b w:val="0"/>
                <w:bCs w:val="0"/>
                <w:i/>
                <w:iCs/>
                <w:sz w:val="20"/>
                <w:szCs w:val="20"/>
                <w:lang w:val="ro-MD"/>
              </w:rPr>
            </w:pPr>
            <w:r w:rsidRPr="00B719C9">
              <w:rPr>
                <w:rFonts w:asciiTheme="majorHAnsi" w:eastAsia="Times New Roman" w:hAnsiTheme="majorHAnsi" w:cstheme="majorHAnsi"/>
                <w:b w:val="0"/>
                <w:bCs w:val="0"/>
                <w:i/>
                <w:iCs/>
                <w:sz w:val="20"/>
                <w:szCs w:val="20"/>
                <w:lang w:val="ro-MD"/>
              </w:rPr>
              <w:t>Total VENITURI</w:t>
            </w:r>
          </w:p>
        </w:tc>
        <w:tc>
          <w:tcPr>
            <w:tcW w:w="354" w:type="pct"/>
            <w:noWrap/>
            <w:hideMark/>
          </w:tcPr>
          <w:p w14:paraId="7AED2EEB"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15 400,5</w:t>
            </w:r>
          </w:p>
        </w:tc>
        <w:tc>
          <w:tcPr>
            <w:tcW w:w="358" w:type="pct"/>
            <w:noWrap/>
            <w:hideMark/>
          </w:tcPr>
          <w:p w14:paraId="782DE6D4"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18 828,9</w:t>
            </w:r>
          </w:p>
        </w:tc>
        <w:tc>
          <w:tcPr>
            <w:tcW w:w="293" w:type="pct"/>
            <w:gridSpan w:val="2"/>
            <w:hideMark/>
          </w:tcPr>
          <w:p w14:paraId="13FD3DCB"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22,26</w:t>
            </w:r>
          </w:p>
        </w:tc>
        <w:tc>
          <w:tcPr>
            <w:tcW w:w="359" w:type="pct"/>
            <w:gridSpan w:val="2"/>
            <w:hideMark/>
          </w:tcPr>
          <w:p w14:paraId="75384213"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5 980,0</w:t>
            </w:r>
          </w:p>
        </w:tc>
        <w:tc>
          <w:tcPr>
            <w:tcW w:w="327" w:type="pct"/>
            <w:gridSpan w:val="2"/>
            <w:noWrap/>
            <w:hideMark/>
          </w:tcPr>
          <w:p w14:paraId="0A4BCEFD"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6 110,4</w:t>
            </w:r>
          </w:p>
        </w:tc>
        <w:tc>
          <w:tcPr>
            <w:tcW w:w="294" w:type="pct"/>
            <w:gridSpan w:val="2"/>
            <w:hideMark/>
          </w:tcPr>
          <w:p w14:paraId="19506B9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2,18</w:t>
            </w:r>
          </w:p>
        </w:tc>
        <w:tc>
          <w:tcPr>
            <w:tcW w:w="344" w:type="pct"/>
            <w:gridSpan w:val="2"/>
            <w:noWrap/>
            <w:hideMark/>
          </w:tcPr>
          <w:p w14:paraId="3D3C7C16"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9 700,0</w:t>
            </w:r>
          </w:p>
        </w:tc>
        <w:tc>
          <w:tcPr>
            <w:tcW w:w="325" w:type="pct"/>
            <w:noWrap/>
            <w:hideMark/>
          </w:tcPr>
          <w:p w14:paraId="547137F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8 301,4</w:t>
            </w:r>
          </w:p>
        </w:tc>
        <w:tc>
          <w:tcPr>
            <w:tcW w:w="327" w:type="pct"/>
            <w:hideMark/>
          </w:tcPr>
          <w:p w14:paraId="167D3F73"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-14,42</w:t>
            </w:r>
          </w:p>
        </w:tc>
        <w:tc>
          <w:tcPr>
            <w:tcW w:w="344" w:type="pct"/>
          </w:tcPr>
          <w:p w14:paraId="5DF7D925"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15 330,2</w:t>
            </w:r>
          </w:p>
        </w:tc>
        <w:tc>
          <w:tcPr>
            <w:tcW w:w="330" w:type="pct"/>
          </w:tcPr>
          <w:p w14:paraId="08524D64"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11 053,9</w:t>
            </w:r>
          </w:p>
        </w:tc>
        <w:tc>
          <w:tcPr>
            <w:tcW w:w="291" w:type="pct"/>
          </w:tcPr>
          <w:p w14:paraId="586FACD9" w14:textId="77777777" w:rsidR="00992E04" w:rsidRPr="00B719C9" w:rsidRDefault="00992E04" w:rsidP="0054310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lang w:val="ro-MD"/>
              </w:rPr>
            </w:pPr>
            <w:r w:rsidRPr="00B719C9">
              <w:rPr>
                <w:rFonts w:asciiTheme="majorHAnsi" w:eastAsia="Times New Roman" w:hAnsiTheme="majorHAnsi" w:cstheme="majorHAnsi"/>
                <w:b/>
                <w:bCs/>
                <w:sz w:val="20"/>
                <w:szCs w:val="20"/>
                <w:lang w:val="ro-MD"/>
              </w:rPr>
              <w:t>-27,89</w:t>
            </w:r>
          </w:p>
        </w:tc>
      </w:tr>
      <w:tr w:rsidR="00992E04" w:rsidRPr="001C1A69" w14:paraId="71B6B994" w14:textId="77777777" w:rsidTr="00E76298">
        <w:trPr>
          <w:gridAfter w:val="6"/>
          <w:wAfter w:w="4976" w:type="dxa"/>
          <w:trHeight w:val="288"/>
        </w:trPr>
        <w:tc>
          <w:tcPr>
            <w:cnfStyle w:val="001000000000" w:firstRow="0" w:lastRow="0" w:firstColumn="1" w:lastColumn="0" w:oddVBand="0" w:evenVBand="0" w:oddHBand="0" w:evenHBand="0" w:firstRowFirstColumn="0" w:firstRowLastColumn="0" w:lastRowFirstColumn="0" w:lastRowLastColumn="0"/>
            <w:tcW w:w="1770" w:type="pct"/>
            <w:gridSpan w:val="4"/>
            <w:noWrap/>
            <w:hideMark/>
          </w:tcPr>
          <w:p w14:paraId="6FAC82B6" w14:textId="4FF6BD72" w:rsidR="00992E04" w:rsidRPr="00255E9C" w:rsidRDefault="00992E04" w:rsidP="00543106">
            <w:pPr>
              <w:rPr>
                <w:rFonts w:asciiTheme="majorHAnsi" w:eastAsia="Times New Roman" w:hAnsiTheme="majorHAnsi" w:cstheme="majorHAnsi"/>
                <w:b w:val="0"/>
                <w:i/>
                <w:iCs/>
                <w:color w:val="000000"/>
                <w:sz w:val="20"/>
                <w:szCs w:val="20"/>
                <w:lang w:val="ro-MD"/>
              </w:rPr>
            </w:pPr>
            <w:r w:rsidRPr="00193A11">
              <w:rPr>
                <w:rFonts w:asciiTheme="majorHAnsi" w:eastAsia="Times New Roman" w:hAnsiTheme="majorHAnsi" w:cstheme="majorHAnsi"/>
                <w:i/>
                <w:iCs/>
                <w:color w:val="000000"/>
                <w:sz w:val="20"/>
                <w:szCs w:val="20"/>
                <w:lang w:val="ro-MD"/>
              </w:rPr>
              <w:t>Surs</w:t>
            </w:r>
            <w:r w:rsidR="008201E8" w:rsidRPr="00193A11">
              <w:rPr>
                <w:rFonts w:asciiTheme="majorHAnsi" w:eastAsia="Times New Roman" w:hAnsiTheme="majorHAnsi" w:cstheme="majorHAnsi"/>
                <w:i/>
                <w:iCs/>
                <w:color w:val="000000"/>
                <w:sz w:val="20"/>
                <w:szCs w:val="20"/>
                <w:lang w:val="ro-MD"/>
              </w:rPr>
              <w:t>ă</w:t>
            </w:r>
            <w:r w:rsidRPr="00B52EC6">
              <w:rPr>
                <w:rFonts w:asciiTheme="majorHAnsi" w:eastAsia="Times New Roman" w:hAnsiTheme="majorHAnsi" w:cstheme="majorHAnsi"/>
                <w:i/>
                <w:iCs/>
                <w:color w:val="000000"/>
                <w:sz w:val="20"/>
                <w:szCs w:val="20"/>
                <w:lang w:val="ro-MD"/>
              </w:rPr>
              <w:t>:</w:t>
            </w:r>
            <w:r w:rsidRPr="00127E39">
              <w:rPr>
                <w:rFonts w:asciiTheme="majorHAnsi" w:eastAsia="Times New Roman" w:hAnsiTheme="majorHAnsi" w:cstheme="majorHAnsi"/>
                <w:i/>
                <w:iCs/>
                <w:color w:val="000000"/>
                <w:sz w:val="20"/>
                <w:szCs w:val="20"/>
                <w:lang w:val="ro-MD"/>
              </w:rPr>
              <w:t xml:space="preserve"> Situațiile financiare </w:t>
            </w:r>
            <w:r w:rsidR="008201E8" w:rsidRPr="00193A11">
              <w:rPr>
                <w:rFonts w:asciiTheme="majorHAnsi" w:eastAsia="Times New Roman" w:hAnsiTheme="majorHAnsi" w:cstheme="majorHAnsi"/>
                <w:b w:val="0"/>
                <w:i/>
                <w:iCs/>
                <w:color w:val="000000"/>
                <w:sz w:val="20"/>
                <w:szCs w:val="20"/>
                <w:lang w:val="ro-MD"/>
              </w:rPr>
              <w:t xml:space="preserve">pe </w:t>
            </w:r>
            <w:r w:rsidRPr="00127E39">
              <w:rPr>
                <w:rFonts w:asciiTheme="majorHAnsi" w:eastAsia="Times New Roman" w:hAnsiTheme="majorHAnsi" w:cstheme="majorHAnsi"/>
                <w:i/>
                <w:iCs/>
                <w:color w:val="000000"/>
                <w:sz w:val="20"/>
                <w:szCs w:val="20"/>
                <w:lang w:val="ro-MD"/>
              </w:rPr>
              <w:t xml:space="preserve">perioada </w:t>
            </w:r>
            <w:r w:rsidR="008201E8" w:rsidRPr="00193A11">
              <w:rPr>
                <w:rFonts w:asciiTheme="majorHAnsi" w:eastAsia="Times New Roman" w:hAnsiTheme="majorHAnsi" w:cstheme="majorHAnsi"/>
                <w:b w:val="0"/>
                <w:i/>
                <w:iCs/>
                <w:color w:val="000000"/>
                <w:sz w:val="20"/>
                <w:szCs w:val="20"/>
                <w:lang w:val="ro-MD"/>
              </w:rPr>
              <w:t xml:space="preserve">anilor </w:t>
            </w:r>
            <w:r w:rsidRPr="00127E39">
              <w:rPr>
                <w:rFonts w:asciiTheme="majorHAnsi" w:eastAsia="Times New Roman" w:hAnsiTheme="majorHAnsi" w:cstheme="majorHAnsi"/>
                <w:i/>
                <w:iCs/>
                <w:color w:val="000000"/>
                <w:sz w:val="20"/>
                <w:szCs w:val="20"/>
                <w:lang w:val="ro-MD"/>
              </w:rPr>
              <w:t>2020-2021</w:t>
            </w:r>
            <w:r w:rsidR="008201E8" w:rsidRPr="00193A11">
              <w:rPr>
                <w:rFonts w:asciiTheme="majorHAnsi" w:eastAsia="Times New Roman" w:hAnsiTheme="majorHAnsi" w:cstheme="majorHAnsi"/>
                <w:b w:val="0"/>
                <w:i/>
                <w:iCs/>
                <w:color w:val="000000"/>
                <w:sz w:val="20"/>
                <w:szCs w:val="20"/>
                <w:lang w:val="ro-MD"/>
              </w:rPr>
              <w:t>.</w:t>
            </w:r>
          </w:p>
        </w:tc>
        <w:tc>
          <w:tcPr>
            <w:tcW w:w="509" w:type="pct"/>
            <w:gridSpan w:val="2"/>
            <w:noWrap/>
            <w:hideMark/>
          </w:tcPr>
          <w:p w14:paraId="481F6293" w14:textId="77777777" w:rsidR="00992E04" w:rsidRPr="00193A11" w:rsidRDefault="00992E04" w:rsidP="005431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20"/>
                <w:szCs w:val="20"/>
                <w:lang w:val="ro-MD"/>
              </w:rPr>
            </w:pPr>
          </w:p>
        </w:tc>
        <w:tc>
          <w:tcPr>
            <w:tcW w:w="408" w:type="pct"/>
            <w:gridSpan w:val="2"/>
            <w:noWrap/>
            <w:hideMark/>
          </w:tcPr>
          <w:p w14:paraId="77156EF3" w14:textId="77777777" w:rsidR="00992E04" w:rsidRPr="00B52EC6" w:rsidRDefault="00992E04" w:rsidP="005431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c>
          <w:tcPr>
            <w:tcW w:w="83" w:type="pct"/>
            <w:gridSpan w:val="2"/>
          </w:tcPr>
          <w:p w14:paraId="0C4E6069" w14:textId="77777777" w:rsidR="00992E04" w:rsidRPr="001C1A69" w:rsidRDefault="00992E04" w:rsidP="005431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c>
          <w:tcPr>
            <w:tcW w:w="271" w:type="pct"/>
          </w:tcPr>
          <w:p w14:paraId="35D540A3" w14:textId="77777777" w:rsidR="00992E04" w:rsidRPr="001C1A69" w:rsidRDefault="00992E04" w:rsidP="005431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c>
          <w:tcPr>
            <w:tcW w:w="216" w:type="pct"/>
          </w:tcPr>
          <w:p w14:paraId="511D724C" w14:textId="77777777" w:rsidR="00992E04" w:rsidRPr="001C1A69" w:rsidRDefault="00992E04" w:rsidP="0054310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p>
        </w:tc>
      </w:tr>
      <w:tr w:rsidR="00992E04" w:rsidRPr="001C1A69" w14:paraId="3A42ADD4" w14:textId="77777777" w:rsidTr="00E76298">
        <w:trPr>
          <w:gridAfter w:val="6"/>
          <w:cnfStyle w:val="000000100000" w:firstRow="0" w:lastRow="0" w:firstColumn="0" w:lastColumn="0" w:oddVBand="0" w:evenVBand="0" w:oddHBand="1" w:evenHBand="0" w:firstRowFirstColumn="0" w:firstRowLastColumn="0" w:lastRowFirstColumn="0" w:lastRowLastColumn="0"/>
          <w:wAfter w:w="4976" w:type="dxa"/>
          <w:trHeight w:val="288"/>
        </w:trPr>
        <w:tc>
          <w:tcPr>
            <w:cnfStyle w:val="001000000000" w:firstRow="0" w:lastRow="0" w:firstColumn="1" w:lastColumn="0" w:oddVBand="0" w:evenVBand="0" w:oddHBand="0" w:evenHBand="0" w:firstRowFirstColumn="0" w:firstRowLastColumn="0" w:lastRowFirstColumn="0" w:lastRowLastColumn="0"/>
            <w:tcW w:w="2686" w:type="pct"/>
            <w:gridSpan w:val="8"/>
            <w:noWrap/>
            <w:hideMark/>
          </w:tcPr>
          <w:p w14:paraId="09FA5928" w14:textId="47CE8D04" w:rsidR="00992E04" w:rsidRPr="00255E9C" w:rsidRDefault="00992E04" w:rsidP="00543106">
            <w:pPr>
              <w:rPr>
                <w:rFonts w:asciiTheme="majorHAnsi" w:eastAsia="Times New Roman" w:hAnsiTheme="majorHAnsi" w:cstheme="majorHAnsi"/>
                <w:b w:val="0"/>
                <w:i/>
                <w:iCs/>
                <w:color w:val="000000"/>
                <w:sz w:val="20"/>
                <w:szCs w:val="20"/>
                <w:lang w:val="ro-MD"/>
              </w:rPr>
            </w:pPr>
            <w:r w:rsidRPr="001C1A69">
              <w:rPr>
                <w:rFonts w:asciiTheme="majorHAnsi" w:eastAsia="Times New Roman" w:hAnsiTheme="majorHAnsi" w:cstheme="majorHAnsi"/>
                <w:i/>
                <w:iCs/>
                <w:color w:val="000000"/>
                <w:sz w:val="20"/>
                <w:szCs w:val="20"/>
                <w:lang w:val="ro-MD"/>
              </w:rPr>
              <w:t>Not</w:t>
            </w:r>
            <w:r w:rsidR="008201E8" w:rsidRPr="001C1A69">
              <w:rPr>
                <w:rFonts w:asciiTheme="majorHAnsi" w:eastAsia="Times New Roman" w:hAnsiTheme="majorHAnsi" w:cstheme="majorHAnsi"/>
                <w:i/>
                <w:iCs/>
                <w:color w:val="000000"/>
                <w:sz w:val="20"/>
                <w:szCs w:val="20"/>
                <w:lang w:val="ro-MD"/>
              </w:rPr>
              <w:t>ă</w:t>
            </w:r>
            <w:r w:rsidRPr="001C1A69">
              <w:rPr>
                <w:rFonts w:asciiTheme="majorHAnsi" w:eastAsia="Times New Roman" w:hAnsiTheme="majorHAnsi" w:cstheme="majorHAnsi"/>
                <w:i/>
                <w:iCs/>
                <w:color w:val="000000"/>
                <w:sz w:val="20"/>
                <w:szCs w:val="20"/>
                <w:lang w:val="ro-MD"/>
              </w:rPr>
              <w:t>:</w:t>
            </w:r>
            <w:r w:rsidRPr="00127E39">
              <w:rPr>
                <w:rFonts w:asciiTheme="majorHAnsi" w:eastAsia="Times New Roman" w:hAnsiTheme="majorHAnsi" w:cstheme="majorHAnsi"/>
                <w:i/>
                <w:iCs/>
                <w:color w:val="000000"/>
                <w:sz w:val="20"/>
                <w:szCs w:val="20"/>
                <w:lang w:val="ro-MD"/>
              </w:rPr>
              <w:t xml:space="preserve"> APCSP este autoritate bugetară finanțată integral din contul bugetului de stat.</w:t>
            </w:r>
          </w:p>
        </w:tc>
        <w:tc>
          <w:tcPr>
            <w:tcW w:w="83" w:type="pct"/>
            <w:gridSpan w:val="2"/>
          </w:tcPr>
          <w:p w14:paraId="643B06B5" w14:textId="77777777" w:rsidR="00992E04" w:rsidRPr="00193A11"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MD"/>
              </w:rPr>
            </w:pPr>
          </w:p>
        </w:tc>
        <w:tc>
          <w:tcPr>
            <w:tcW w:w="271" w:type="pct"/>
          </w:tcPr>
          <w:p w14:paraId="477D29EA" w14:textId="77777777" w:rsidR="00992E04" w:rsidRPr="001C1A6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MD"/>
              </w:rPr>
            </w:pPr>
          </w:p>
        </w:tc>
        <w:tc>
          <w:tcPr>
            <w:tcW w:w="216" w:type="pct"/>
          </w:tcPr>
          <w:p w14:paraId="27BDDFE2" w14:textId="77777777" w:rsidR="00992E04" w:rsidRPr="001C1A69" w:rsidRDefault="00992E04" w:rsidP="0054310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20"/>
                <w:szCs w:val="20"/>
                <w:lang w:val="ro-MD"/>
              </w:rPr>
            </w:pPr>
          </w:p>
        </w:tc>
      </w:tr>
    </w:tbl>
    <w:p w14:paraId="2B1377DB" w14:textId="77777777" w:rsidR="00992E04" w:rsidRPr="00255E9C" w:rsidRDefault="00992E04" w:rsidP="00992E04">
      <w:pPr>
        <w:jc w:val="center"/>
        <w:rPr>
          <w:rFonts w:asciiTheme="majorHAnsi" w:hAnsiTheme="majorHAnsi" w:cstheme="majorHAnsi"/>
          <w:i/>
          <w:sz w:val="24"/>
          <w:szCs w:val="24"/>
        </w:rPr>
      </w:pPr>
    </w:p>
    <w:p w14:paraId="2477AC84" w14:textId="56A175FD" w:rsidR="005129B8" w:rsidRPr="00C9454C" w:rsidRDefault="005129B8"/>
    <w:p w14:paraId="3D3B3079" w14:textId="24E96E31" w:rsidR="00A64E3C" w:rsidRDefault="00A64E3C" w:rsidP="00A64E3C">
      <w:pPr>
        <w:jc w:val="center"/>
        <w:rPr>
          <w:rFonts w:asciiTheme="majorHAnsi" w:hAnsiTheme="majorHAnsi" w:cstheme="majorHAnsi"/>
          <w:b/>
          <w:i/>
          <w:sz w:val="24"/>
          <w:szCs w:val="24"/>
          <w:lang w:val="ro-MD"/>
        </w:rPr>
      </w:pPr>
    </w:p>
    <w:p w14:paraId="4E2BA748" w14:textId="02BF0EDE" w:rsidR="00A64E3C" w:rsidRPr="00C9454C" w:rsidRDefault="001E77CA" w:rsidP="001E77CA">
      <w:pPr>
        <w:pStyle w:val="Heading2"/>
        <w:spacing w:before="0" w:after="240"/>
        <w:rPr>
          <w:rFonts w:cstheme="majorHAnsi"/>
          <w:b/>
          <w:color w:val="00B0F0"/>
          <w:sz w:val="24"/>
          <w:szCs w:val="24"/>
          <w:lang w:val="ro-MD"/>
        </w:rPr>
      </w:pPr>
      <w:bookmarkStart w:id="150" w:name="_Toc123116727"/>
      <w:r w:rsidRPr="001E77CA">
        <w:rPr>
          <w:rFonts w:cstheme="majorHAnsi"/>
          <w:b/>
          <w:color w:val="00B0F0"/>
          <w:sz w:val="24"/>
          <w:szCs w:val="24"/>
          <w:lang w:val="ro-MD"/>
        </w:rPr>
        <w:t xml:space="preserve">Anexa nr.6. </w:t>
      </w:r>
      <w:r w:rsidR="00CF7918">
        <w:rPr>
          <w:rFonts w:cstheme="majorHAnsi"/>
          <w:b/>
          <w:color w:val="00B0F0"/>
          <w:sz w:val="24"/>
          <w:szCs w:val="24"/>
          <w:lang w:val="ro-MD"/>
        </w:rPr>
        <w:t xml:space="preserve">Cheltuielile </w:t>
      </w:r>
      <w:r w:rsidR="00CF7918" w:rsidRPr="008B1639">
        <w:rPr>
          <w:rFonts w:cstheme="majorHAnsi"/>
          <w:b/>
          <w:color w:val="00B0F0"/>
          <w:sz w:val="24"/>
          <w:szCs w:val="24"/>
          <w:lang w:val="ro-MD"/>
        </w:rPr>
        <w:t xml:space="preserve">intituțiilor </w:t>
      </w:r>
      <w:r w:rsidR="00CE233D" w:rsidRPr="008B1639">
        <w:rPr>
          <w:rFonts w:cstheme="majorHAnsi"/>
          <w:b/>
          <w:color w:val="00B0F0"/>
          <w:sz w:val="24"/>
          <w:szCs w:val="24"/>
          <w:lang w:val="ro-MD"/>
        </w:rPr>
        <w:t>publice</w:t>
      </w:r>
      <w:r w:rsidR="00CE233D">
        <w:rPr>
          <w:rFonts w:cstheme="majorHAnsi"/>
          <w:b/>
          <w:color w:val="00B0F0"/>
          <w:sz w:val="24"/>
          <w:szCs w:val="24"/>
          <w:lang w:val="ro-MD"/>
        </w:rPr>
        <w:t xml:space="preserve"> </w:t>
      </w:r>
      <w:r w:rsidR="00CF7918">
        <w:rPr>
          <w:rFonts w:cstheme="majorHAnsi"/>
          <w:b/>
          <w:color w:val="00B0F0"/>
          <w:sz w:val="24"/>
          <w:szCs w:val="24"/>
          <w:lang w:val="ro-MD"/>
        </w:rPr>
        <w:t>din domeniul infrastructurii calității</w:t>
      </w:r>
      <w:bookmarkEnd w:id="150"/>
      <w:r w:rsidR="00CF7918">
        <w:rPr>
          <w:rFonts w:cstheme="majorHAnsi"/>
          <w:b/>
          <w:color w:val="00B0F0"/>
          <w:sz w:val="24"/>
          <w:szCs w:val="24"/>
          <w:lang w:val="ro-MD"/>
        </w:rPr>
        <w:t xml:space="preserve"> </w:t>
      </w:r>
    </w:p>
    <w:p w14:paraId="250B061B" w14:textId="504CB7AB" w:rsidR="00136749" w:rsidRPr="00255E9C" w:rsidRDefault="00136749" w:rsidP="00DA689C">
      <w:pPr>
        <w:jc w:val="right"/>
        <w:rPr>
          <w:rFonts w:asciiTheme="majorHAnsi" w:hAnsiTheme="majorHAnsi"/>
          <w:b/>
          <w:i/>
          <w:sz w:val="24"/>
          <w:szCs w:val="24"/>
          <w:lang w:val="ro-MD"/>
        </w:rPr>
      </w:pPr>
      <w:r w:rsidRPr="00255E9C">
        <w:rPr>
          <w:rFonts w:asciiTheme="majorHAnsi" w:hAnsiTheme="majorHAnsi"/>
          <w:b/>
          <w:i/>
          <w:sz w:val="24"/>
          <w:szCs w:val="24"/>
          <w:lang w:val="ro-MD"/>
        </w:rPr>
        <w:t>T</w:t>
      </w:r>
      <w:r w:rsidR="00123560" w:rsidRPr="00255E9C">
        <w:rPr>
          <w:rFonts w:asciiTheme="majorHAnsi" w:hAnsiTheme="majorHAnsi"/>
          <w:b/>
          <w:i/>
          <w:sz w:val="24"/>
          <w:szCs w:val="24"/>
          <w:lang w:val="ro-MD"/>
        </w:rPr>
        <w:t>abelul nr.6</w:t>
      </w:r>
      <w:r w:rsidRPr="00255E9C">
        <w:rPr>
          <w:rFonts w:asciiTheme="majorHAnsi" w:hAnsiTheme="majorHAnsi"/>
          <w:b/>
          <w:i/>
          <w:sz w:val="24"/>
          <w:szCs w:val="24"/>
          <w:lang w:val="ro-MD"/>
        </w:rPr>
        <w:t>.1</w:t>
      </w:r>
      <w:r w:rsidR="0082062B" w:rsidRPr="00255E9C">
        <w:rPr>
          <w:rFonts w:asciiTheme="majorHAnsi" w:hAnsiTheme="majorHAnsi"/>
          <w:b/>
          <w:i/>
          <w:sz w:val="24"/>
          <w:szCs w:val="24"/>
          <w:lang w:val="ro-MD"/>
        </w:rPr>
        <w:t>.</w:t>
      </w:r>
    </w:p>
    <w:tbl>
      <w:tblPr>
        <w:tblStyle w:val="PlainTable2"/>
        <w:tblW w:w="5000" w:type="pct"/>
        <w:tblLook w:val="04A0" w:firstRow="1" w:lastRow="0" w:firstColumn="1" w:lastColumn="0" w:noHBand="0" w:noVBand="1"/>
      </w:tblPr>
      <w:tblGrid>
        <w:gridCol w:w="2342"/>
        <w:gridCol w:w="837"/>
        <w:gridCol w:w="805"/>
        <w:gridCol w:w="658"/>
        <w:gridCol w:w="616"/>
        <w:gridCol w:w="43"/>
        <w:gridCol w:w="837"/>
        <w:gridCol w:w="801"/>
        <w:gridCol w:w="43"/>
        <w:gridCol w:w="658"/>
        <w:gridCol w:w="699"/>
        <w:gridCol w:w="43"/>
        <w:gridCol w:w="837"/>
        <w:gridCol w:w="801"/>
        <w:gridCol w:w="44"/>
        <w:gridCol w:w="649"/>
        <w:gridCol w:w="48"/>
        <w:gridCol w:w="520"/>
        <w:gridCol w:w="46"/>
        <w:gridCol w:w="833"/>
        <w:gridCol w:w="44"/>
        <w:gridCol w:w="801"/>
        <w:gridCol w:w="45"/>
        <w:gridCol w:w="669"/>
        <w:gridCol w:w="45"/>
        <w:gridCol w:w="522"/>
      </w:tblGrid>
      <w:tr w:rsidR="00DA689C" w:rsidRPr="00DA689C" w14:paraId="7E8A5390" w14:textId="77777777" w:rsidTr="00136C4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829" w:type="pct"/>
            <w:gridSpan w:val="16"/>
            <w:noWrap/>
            <w:hideMark/>
          </w:tcPr>
          <w:p w14:paraId="4B296F71" w14:textId="4D8F53B7" w:rsidR="00DA689C" w:rsidRPr="00DA689C" w:rsidRDefault="00DA689C" w:rsidP="00DA689C">
            <w:pPr>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                  </w:t>
            </w:r>
            <w:r w:rsidRPr="00DA689C">
              <w:rPr>
                <w:rFonts w:ascii="Calibri Light" w:eastAsia="Times New Roman" w:hAnsi="Calibri Light" w:cs="Calibri Light"/>
                <w:color w:val="000000"/>
                <w:sz w:val="24"/>
                <w:szCs w:val="24"/>
              </w:rPr>
              <w:t xml:space="preserve">Cheltuielile </w:t>
            </w:r>
            <w:r w:rsidRPr="008B1639">
              <w:rPr>
                <w:rFonts w:ascii="Calibri Light" w:eastAsia="Times New Roman" w:hAnsi="Calibri Light" w:cs="Calibri Light"/>
                <w:color w:val="000000"/>
                <w:sz w:val="24"/>
                <w:szCs w:val="24"/>
              </w:rPr>
              <w:t xml:space="preserve">instituțiilor </w:t>
            </w:r>
            <w:r w:rsidR="00CE233D" w:rsidRPr="008B1639">
              <w:rPr>
                <w:rFonts w:ascii="Calibri Light" w:eastAsia="Times New Roman" w:hAnsi="Calibri Light" w:cs="Calibri Light"/>
                <w:color w:val="000000"/>
                <w:sz w:val="24"/>
                <w:szCs w:val="24"/>
              </w:rPr>
              <w:t>publice</w:t>
            </w:r>
            <w:r w:rsidR="00CE233D">
              <w:rPr>
                <w:rFonts w:ascii="Calibri Light" w:eastAsia="Times New Roman" w:hAnsi="Calibri Light" w:cs="Calibri Light"/>
                <w:color w:val="000000"/>
                <w:sz w:val="24"/>
                <w:szCs w:val="24"/>
              </w:rPr>
              <w:t xml:space="preserve"> </w:t>
            </w:r>
            <w:r w:rsidRPr="00DA689C">
              <w:rPr>
                <w:rFonts w:ascii="Calibri Light" w:eastAsia="Times New Roman" w:hAnsi="Calibri Light" w:cs="Calibri Light"/>
                <w:color w:val="000000"/>
                <w:sz w:val="24"/>
                <w:szCs w:val="24"/>
              </w:rPr>
              <w:t xml:space="preserve">din domeniul infrastructurii calității </w:t>
            </w:r>
            <w:r w:rsidR="0082062B">
              <w:rPr>
                <w:rFonts w:ascii="Calibri Light" w:eastAsia="Times New Roman" w:hAnsi="Calibri Light" w:cs="Calibri Light"/>
                <w:color w:val="000000"/>
                <w:sz w:val="24"/>
                <w:szCs w:val="24"/>
              </w:rPr>
              <w:t>în</w:t>
            </w:r>
            <w:r w:rsidRPr="00DA689C">
              <w:rPr>
                <w:rFonts w:ascii="Calibri Light" w:eastAsia="Times New Roman" w:hAnsi="Calibri Light" w:cs="Calibri Light"/>
                <w:color w:val="000000"/>
                <w:sz w:val="24"/>
                <w:szCs w:val="24"/>
              </w:rPr>
              <w:t xml:space="preserve"> anul 2020, după natura acestora</w:t>
            </w:r>
          </w:p>
        </w:tc>
        <w:tc>
          <w:tcPr>
            <w:tcW w:w="223" w:type="pct"/>
            <w:gridSpan w:val="2"/>
            <w:noWrap/>
            <w:hideMark/>
          </w:tcPr>
          <w:p w14:paraId="0FA52D20" w14:textId="77777777" w:rsidR="00DA689C" w:rsidRPr="00DA689C" w:rsidRDefault="00DA689C" w:rsidP="00DA689C">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rPr>
            </w:pPr>
          </w:p>
        </w:tc>
        <w:tc>
          <w:tcPr>
            <w:tcW w:w="286" w:type="pct"/>
            <w:gridSpan w:val="2"/>
            <w:noWrap/>
            <w:hideMark/>
          </w:tcPr>
          <w:p w14:paraId="4EC0EDC1" w14:textId="77777777" w:rsidR="00DA689C" w:rsidRPr="00DA689C" w:rsidRDefault="00DA689C" w:rsidP="00DA68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56" w:type="pct"/>
            <w:gridSpan w:val="2"/>
            <w:noWrap/>
            <w:hideMark/>
          </w:tcPr>
          <w:p w14:paraId="5A6DE9BE" w14:textId="77777777" w:rsidR="00DA689C" w:rsidRPr="00DA689C" w:rsidRDefault="00DA689C" w:rsidP="00DA68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4" w:type="pct"/>
            <w:gridSpan w:val="2"/>
            <w:noWrap/>
            <w:hideMark/>
          </w:tcPr>
          <w:p w14:paraId="45ACF5B1" w14:textId="77777777" w:rsidR="00DA689C" w:rsidRPr="00DA689C" w:rsidRDefault="00DA689C" w:rsidP="00DA68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9" w:type="pct"/>
            <w:gridSpan w:val="2"/>
            <w:noWrap/>
            <w:hideMark/>
          </w:tcPr>
          <w:p w14:paraId="175A4EB6" w14:textId="77777777" w:rsidR="00DA689C" w:rsidRPr="00DA689C" w:rsidRDefault="00DA689C" w:rsidP="00DA689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36C4E" w:rsidRPr="00DA689C" w14:paraId="23530B9D" w14:textId="77777777" w:rsidTr="00136C4E">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77" w:type="pct"/>
            <w:vMerge w:val="restart"/>
            <w:hideMark/>
          </w:tcPr>
          <w:p w14:paraId="1BB4A50A" w14:textId="77777777" w:rsidR="00DA689C" w:rsidRPr="00DA689C" w:rsidRDefault="00DA689C" w:rsidP="00DA689C">
            <w:pPr>
              <w:jc w:val="cente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Denumirea indicatorului</w:t>
            </w:r>
          </w:p>
        </w:tc>
        <w:tc>
          <w:tcPr>
            <w:tcW w:w="548" w:type="pct"/>
            <w:gridSpan w:val="2"/>
            <w:hideMark/>
          </w:tcPr>
          <w:p w14:paraId="7C2C2F7F"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ISM:</w:t>
            </w:r>
          </w:p>
        </w:tc>
        <w:tc>
          <w:tcPr>
            <w:tcW w:w="489" w:type="pct"/>
            <w:gridSpan w:val="2"/>
            <w:hideMark/>
          </w:tcPr>
          <w:p w14:paraId="46270430"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a.2020</w:t>
            </w:r>
          </w:p>
        </w:tc>
        <w:tc>
          <w:tcPr>
            <w:tcW w:w="562" w:type="pct"/>
            <w:gridSpan w:val="3"/>
            <w:hideMark/>
          </w:tcPr>
          <w:p w14:paraId="61D87263"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INM:</w:t>
            </w:r>
          </w:p>
        </w:tc>
        <w:tc>
          <w:tcPr>
            <w:tcW w:w="466" w:type="pct"/>
            <w:gridSpan w:val="3"/>
            <w:hideMark/>
          </w:tcPr>
          <w:p w14:paraId="47A92EB5"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a.2020</w:t>
            </w:r>
          </w:p>
        </w:tc>
        <w:tc>
          <w:tcPr>
            <w:tcW w:w="562" w:type="pct"/>
            <w:gridSpan w:val="3"/>
            <w:hideMark/>
          </w:tcPr>
          <w:p w14:paraId="4071C16D"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MOLDAC:</w:t>
            </w:r>
          </w:p>
        </w:tc>
        <w:tc>
          <w:tcPr>
            <w:tcW w:w="448" w:type="pct"/>
            <w:gridSpan w:val="4"/>
            <w:hideMark/>
          </w:tcPr>
          <w:p w14:paraId="67164D1C"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a.2020</w:t>
            </w:r>
          </w:p>
        </w:tc>
        <w:tc>
          <w:tcPr>
            <w:tcW w:w="542" w:type="pct"/>
            <w:gridSpan w:val="4"/>
            <w:hideMark/>
          </w:tcPr>
          <w:p w14:paraId="5D991532"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APCSP:</w:t>
            </w:r>
          </w:p>
        </w:tc>
        <w:tc>
          <w:tcPr>
            <w:tcW w:w="404" w:type="pct"/>
            <w:gridSpan w:val="4"/>
            <w:hideMark/>
          </w:tcPr>
          <w:p w14:paraId="54CEF9D4"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a.2020</w:t>
            </w:r>
          </w:p>
        </w:tc>
      </w:tr>
      <w:tr w:rsidR="00CE233D" w:rsidRPr="00DA689C" w14:paraId="7388CC6A" w14:textId="77777777" w:rsidTr="00136C4E">
        <w:trPr>
          <w:trHeight w:val="720"/>
        </w:trPr>
        <w:tc>
          <w:tcPr>
            <w:cnfStyle w:val="001000000000" w:firstRow="0" w:lastRow="0" w:firstColumn="1" w:lastColumn="0" w:oddVBand="0" w:evenVBand="0" w:oddHBand="0" w:evenHBand="0" w:firstRowFirstColumn="0" w:firstRowLastColumn="0" w:lastRowFirstColumn="0" w:lastRowLastColumn="0"/>
            <w:tcW w:w="977" w:type="pct"/>
            <w:vMerge/>
            <w:hideMark/>
          </w:tcPr>
          <w:p w14:paraId="43F15875" w14:textId="77777777" w:rsidR="00DA689C" w:rsidRPr="00DA689C" w:rsidRDefault="00DA689C" w:rsidP="00DA689C">
            <w:pPr>
              <w:rPr>
                <w:rFonts w:ascii="Calibri Light" w:eastAsia="Times New Roman" w:hAnsi="Calibri Light" w:cs="Calibri Light"/>
                <w:color w:val="000000"/>
                <w:sz w:val="18"/>
                <w:szCs w:val="18"/>
              </w:rPr>
            </w:pPr>
          </w:p>
        </w:tc>
        <w:tc>
          <w:tcPr>
            <w:tcW w:w="267" w:type="pct"/>
            <w:hideMark/>
          </w:tcPr>
          <w:p w14:paraId="1CDB52DA"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2020</w:t>
            </w:r>
          </w:p>
        </w:tc>
        <w:tc>
          <w:tcPr>
            <w:tcW w:w="283" w:type="pct"/>
            <w:hideMark/>
          </w:tcPr>
          <w:p w14:paraId="25064093"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2020</w:t>
            </w:r>
          </w:p>
        </w:tc>
        <w:tc>
          <w:tcPr>
            <w:tcW w:w="490" w:type="pct"/>
            <w:gridSpan w:val="3"/>
            <w:hideMark/>
          </w:tcPr>
          <w:p w14:paraId="7BE816E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86" w:type="pct"/>
            <w:hideMark/>
          </w:tcPr>
          <w:p w14:paraId="11C36B0C"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2020</w:t>
            </w:r>
          </w:p>
        </w:tc>
        <w:tc>
          <w:tcPr>
            <w:tcW w:w="276" w:type="pct"/>
            <w:gridSpan w:val="2"/>
            <w:hideMark/>
          </w:tcPr>
          <w:p w14:paraId="10EE57A5"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2020</w:t>
            </w:r>
          </w:p>
        </w:tc>
        <w:tc>
          <w:tcPr>
            <w:tcW w:w="466" w:type="pct"/>
            <w:gridSpan w:val="3"/>
            <w:hideMark/>
          </w:tcPr>
          <w:p w14:paraId="22A515D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86" w:type="pct"/>
            <w:hideMark/>
          </w:tcPr>
          <w:p w14:paraId="32434B65"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2020</w:t>
            </w:r>
          </w:p>
        </w:tc>
        <w:tc>
          <w:tcPr>
            <w:tcW w:w="276" w:type="pct"/>
            <w:gridSpan w:val="2"/>
            <w:hideMark/>
          </w:tcPr>
          <w:p w14:paraId="5AB03250"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2020</w:t>
            </w:r>
          </w:p>
        </w:tc>
        <w:tc>
          <w:tcPr>
            <w:tcW w:w="448" w:type="pct"/>
            <w:gridSpan w:val="4"/>
            <w:hideMark/>
          </w:tcPr>
          <w:p w14:paraId="348711F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86" w:type="pct"/>
            <w:gridSpan w:val="2"/>
            <w:hideMark/>
          </w:tcPr>
          <w:p w14:paraId="3CC9D21B"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2020</w:t>
            </w:r>
          </w:p>
        </w:tc>
        <w:tc>
          <w:tcPr>
            <w:tcW w:w="256" w:type="pct"/>
            <w:gridSpan w:val="2"/>
            <w:hideMark/>
          </w:tcPr>
          <w:p w14:paraId="258E1C51" w14:textId="77777777" w:rsidR="00DA689C" w:rsidRPr="00DA689C" w:rsidRDefault="00DA689C" w:rsidP="00DA689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2020</w:t>
            </w:r>
          </w:p>
        </w:tc>
        <w:tc>
          <w:tcPr>
            <w:tcW w:w="403" w:type="pct"/>
            <w:gridSpan w:val="3"/>
            <w:hideMark/>
          </w:tcPr>
          <w:p w14:paraId="57E1265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r>
      <w:tr w:rsidR="00CE233D" w:rsidRPr="00DA689C" w14:paraId="282CA961"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62170587" w14:textId="77777777" w:rsidR="00DA689C" w:rsidRPr="00DA689C" w:rsidRDefault="00DA689C" w:rsidP="00DA689C">
            <w:pPr>
              <w:jc w:val="cente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67" w:type="pct"/>
            <w:noWrap/>
            <w:hideMark/>
          </w:tcPr>
          <w:p w14:paraId="283BF22C"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3" w:type="pct"/>
            <w:noWrap/>
            <w:hideMark/>
          </w:tcPr>
          <w:p w14:paraId="1EC64B91"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4" w:type="pct"/>
            <w:noWrap/>
            <w:hideMark/>
          </w:tcPr>
          <w:p w14:paraId="384DBB64"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46" w:type="pct"/>
            <w:gridSpan w:val="2"/>
            <w:noWrap/>
            <w:hideMark/>
          </w:tcPr>
          <w:p w14:paraId="191AAA45"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86" w:type="pct"/>
            <w:noWrap/>
            <w:hideMark/>
          </w:tcPr>
          <w:p w14:paraId="2F02E2B9"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1CC09BE4"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242934A6"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41" w:type="pct"/>
            <w:gridSpan w:val="2"/>
            <w:noWrap/>
            <w:hideMark/>
          </w:tcPr>
          <w:p w14:paraId="5BD58E55"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86" w:type="pct"/>
            <w:noWrap/>
            <w:hideMark/>
          </w:tcPr>
          <w:p w14:paraId="2AC23E67"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78E0C1FE"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gridSpan w:val="2"/>
            <w:noWrap/>
            <w:hideMark/>
          </w:tcPr>
          <w:p w14:paraId="617F1F8A"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23" w:type="pct"/>
            <w:gridSpan w:val="2"/>
            <w:noWrap/>
            <w:hideMark/>
          </w:tcPr>
          <w:p w14:paraId="64E9CB1F"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86" w:type="pct"/>
            <w:gridSpan w:val="2"/>
            <w:noWrap/>
            <w:hideMark/>
          </w:tcPr>
          <w:p w14:paraId="782243DE"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55929328"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gridSpan w:val="2"/>
            <w:noWrap/>
            <w:hideMark/>
          </w:tcPr>
          <w:p w14:paraId="73245AF1"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169" w:type="pct"/>
            <w:noWrap/>
            <w:hideMark/>
          </w:tcPr>
          <w:p w14:paraId="54C1C197" w14:textId="77777777" w:rsidR="00DA689C" w:rsidRPr="00DA689C" w:rsidRDefault="00DA689C" w:rsidP="00DA689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r>
      <w:tr w:rsidR="00CE233D" w:rsidRPr="00DA689C" w14:paraId="37BBD8DC" w14:textId="77777777" w:rsidTr="00136C4E">
        <w:trPr>
          <w:trHeight w:val="720"/>
        </w:trPr>
        <w:tc>
          <w:tcPr>
            <w:cnfStyle w:val="001000000000" w:firstRow="0" w:lastRow="0" w:firstColumn="1" w:lastColumn="0" w:oddVBand="0" w:evenVBand="0" w:oddHBand="0" w:evenHBand="0" w:firstRowFirstColumn="0" w:firstRowLastColumn="0" w:lastRowFirstColumn="0" w:lastRowLastColumn="0"/>
            <w:tcW w:w="977" w:type="pct"/>
            <w:hideMark/>
          </w:tcPr>
          <w:p w14:paraId="546ABAD0" w14:textId="0E8B6F02"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Retribuirea muncii angajaților, inclusiv contribuții de asigurări sociale de stat obligatorii și contribuții de asigurare obligatorie de asistență </w:t>
            </w:r>
            <w:r w:rsidR="00C9454C">
              <w:rPr>
                <w:rFonts w:ascii="Calibri Light" w:eastAsia="Times New Roman" w:hAnsi="Calibri Light" w:cs="Calibri Light"/>
                <w:color w:val="000000"/>
                <w:sz w:val="18"/>
                <w:szCs w:val="18"/>
              </w:rPr>
              <w:t>medicală</w:t>
            </w:r>
          </w:p>
        </w:tc>
        <w:tc>
          <w:tcPr>
            <w:tcW w:w="267" w:type="pct"/>
            <w:hideMark/>
          </w:tcPr>
          <w:p w14:paraId="1D8DAFD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4457,4</w:t>
            </w:r>
          </w:p>
        </w:tc>
        <w:tc>
          <w:tcPr>
            <w:tcW w:w="283" w:type="pct"/>
            <w:hideMark/>
          </w:tcPr>
          <w:p w14:paraId="5F9F31E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4411,7</w:t>
            </w:r>
          </w:p>
        </w:tc>
        <w:tc>
          <w:tcPr>
            <w:tcW w:w="244" w:type="pct"/>
            <w:hideMark/>
          </w:tcPr>
          <w:p w14:paraId="794B5019"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-45,7</w:t>
            </w:r>
          </w:p>
        </w:tc>
        <w:tc>
          <w:tcPr>
            <w:tcW w:w="246" w:type="pct"/>
            <w:gridSpan w:val="2"/>
            <w:hideMark/>
          </w:tcPr>
          <w:p w14:paraId="594CCAB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w:t>
            </w:r>
          </w:p>
        </w:tc>
        <w:tc>
          <w:tcPr>
            <w:tcW w:w="286" w:type="pct"/>
            <w:noWrap/>
            <w:hideMark/>
          </w:tcPr>
          <w:p w14:paraId="72099D3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35,0</w:t>
            </w:r>
          </w:p>
        </w:tc>
        <w:tc>
          <w:tcPr>
            <w:tcW w:w="276" w:type="pct"/>
            <w:gridSpan w:val="2"/>
            <w:noWrap/>
            <w:hideMark/>
          </w:tcPr>
          <w:p w14:paraId="75E1B699"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8810,4</w:t>
            </w:r>
          </w:p>
        </w:tc>
        <w:tc>
          <w:tcPr>
            <w:tcW w:w="225" w:type="pct"/>
            <w:noWrap/>
            <w:hideMark/>
          </w:tcPr>
          <w:p w14:paraId="6F27079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8775,4</w:t>
            </w:r>
          </w:p>
        </w:tc>
        <w:tc>
          <w:tcPr>
            <w:tcW w:w="241" w:type="pct"/>
            <w:gridSpan w:val="2"/>
            <w:noWrap/>
            <w:hideMark/>
          </w:tcPr>
          <w:p w14:paraId="475AF70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25072,6</w:t>
            </w:r>
          </w:p>
        </w:tc>
        <w:tc>
          <w:tcPr>
            <w:tcW w:w="286" w:type="pct"/>
            <w:noWrap/>
            <w:hideMark/>
          </w:tcPr>
          <w:p w14:paraId="07C2E8C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5338,5</w:t>
            </w:r>
          </w:p>
        </w:tc>
        <w:tc>
          <w:tcPr>
            <w:tcW w:w="276" w:type="pct"/>
            <w:gridSpan w:val="2"/>
            <w:noWrap/>
            <w:hideMark/>
          </w:tcPr>
          <w:p w14:paraId="5B683CE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4431,7</w:t>
            </w:r>
          </w:p>
        </w:tc>
        <w:tc>
          <w:tcPr>
            <w:tcW w:w="225" w:type="pct"/>
            <w:gridSpan w:val="2"/>
            <w:noWrap/>
            <w:hideMark/>
          </w:tcPr>
          <w:p w14:paraId="48F66A3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-906,8</w:t>
            </w:r>
          </w:p>
        </w:tc>
        <w:tc>
          <w:tcPr>
            <w:tcW w:w="223" w:type="pct"/>
            <w:gridSpan w:val="2"/>
            <w:noWrap/>
            <w:hideMark/>
          </w:tcPr>
          <w:p w14:paraId="3055FEE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-17,0</w:t>
            </w:r>
          </w:p>
        </w:tc>
        <w:tc>
          <w:tcPr>
            <w:tcW w:w="286" w:type="pct"/>
            <w:gridSpan w:val="2"/>
            <w:noWrap/>
            <w:hideMark/>
          </w:tcPr>
          <w:p w14:paraId="6E20907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6762,2</w:t>
            </w:r>
          </w:p>
        </w:tc>
        <w:tc>
          <w:tcPr>
            <w:tcW w:w="256" w:type="pct"/>
            <w:gridSpan w:val="2"/>
            <w:noWrap/>
            <w:hideMark/>
          </w:tcPr>
          <w:p w14:paraId="72545B4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6915,1</w:t>
            </w:r>
          </w:p>
        </w:tc>
        <w:tc>
          <w:tcPr>
            <w:tcW w:w="234" w:type="pct"/>
            <w:gridSpan w:val="2"/>
            <w:noWrap/>
            <w:hideMark/>
          </w:tcPr>
          <w:p w14:paraId="293DEE6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152,9</w:t>
            </w:r>
          </w:p>
        </w:tc>
        <w:tc>
          <w:tcPr>
            <w:tcW w:w="169" w:type="pct"/>
            <w:noWrap/>
            <w:hideMark/>
          </w:tcPr>
          <w:p w14:paraId="47EF05B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w:t>
            </w:r>
          </w:p>
        </w:tc>
      </w:tr>
      <w:tr w:rsidR="00CE233D" w:rsidRPr="00DA689C" w14:paraId="72D7CD0A" w14:textId="77777777" w:rsidTr="00136C4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77" w:type="pct"/>
            <w:hideMark/>
          </w:tcPr>
          <w:p w14:paraId="3C7B486A"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utilizarea stocurilor de materiale circulante</w:t>
            </w:r>
          </w:p>
        </w:tc>
        <w:tc>
          <w:tcPr>
            <w:tcW w:w="267" w:type="pct"/>
            <w:hideMark/>
          </w:tcPr>
          <w:p w14:paraId="6095D1D6"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20,0</w:t>
            </w:r>
          </w:p>
        </w:tc>
        <w:tc>
          <w:tcPr>
            <w:tcW w:w="283" w:type="pct"/>
            <w:hideMark/>
          </w:tcPr>
          <w:p w14:paraId="6E9FFBF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71,3</w:t>
            </w:r>
          </w:p>
        </w:tc>
        <w:tc>
          <w:tcPr>
            <w:tcW w:w="244" w:type="pct"/>
            <w:hideMark/>
          </w:tcPr>
          <w:p w14:paraId="0A9160C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51,3</w:t>
            </w:r>
          </w:p>
        </w:tc>
        <w:tc>
          <w:tcPr>
            <w:tcW w:w="246" w:type="pct"/>
            <w:gridSpan w:val="2"/>
            <w:hideMark/>
          </w:tcPr>
          <w:p w14:paraId="0639D76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256,5</w:t>
            </w:r>
          </w:p>
        </w:tc>
        <w:tc>
          <w:tcPr>
            <w:tcW w:w="286" w:type="pct"/>
            <w:noWrap/>
            <w:hideMark/>
          </w:tcPr>
          <w:p w14:paraId="74097DF4"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177,0</w:t>
            </w:r>
          </w:p>
        </w:tc>
        <w:tc>
          <w:tcPr>
            <w:tcW w:w="276" w:type="pct"/>
            <w:gridSpan w:val="2"/>
            <w:noWrap/>
            <w:hideMark/>
          </w:tcPr>
          <w:p w14:paraId="2B31FD4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272,1</w:t>
            </w:r>
          </w:p>
        </w:tc>
        <w:tc>
          <w:tcPr>
            <w:tcW w:w="225" w:type="pct"/>
            <w:noWrap/>
            <w:hideMark/>
          </w:tcPr>
          <w:p w14:paraId="37CEDF44"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95,1</w:t>
            </w:r>
          </w:p>
        </w:tc>
        <w:tc>
          <w:tcPr>
            <w:tcW w:w="241" w:type="pct"/>
            <w:gridSpan w:val="2"/>
            <w:noWrap/>
            <w:hideMark/>
          </w:tcPr>
          <w:p w14:paraId="1658165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53,7</w:t>
            </w:r>
          </w:p>
        </w:tc>
        <w:tc>
          <w:tcPr>
            <w:tcW w:w="286" w:type="pct"/>
            <w:noWrap/>
            <w:hideMark/>
          </w:tcPr>
          <w:p w14:paraId="4C5CB00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129,0</w:t>
            </w:r>
          </w:p>
        </w:tc>
        <w:tc>
          <w:tcPr>
            <w:tcW w:w="276" w:type="pct"/>
            <w:gridSpan w:val="2"/>
            <w:noWrap/>
            <w:hideMark/>
          </w:tcPr>
          <w:p w14:paraId="1ADA333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93,5</w:t>
            </w:r>
          </w:p>
        </w:tc>
        <w:tc>
          <w:tcPr>
            <w:tcW w:w="225" w:type="pct"/>
            <w:gridSpan w:val="2"/>
            <w:noWrap/>
            <w:hideMark/>
          </w:tcPr>
          <w:p w14:paraId="3FEBBF0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-35,5</w:t>
            </w:r>
          </w:p>
        </w:tc>
        <w:tc>
          <w:tcPr>
            <w:tcW w:w="223" w:type="pct"/>
            <w:gridSpan w:val="2"/>
            <w:noWrap/>
            <w:hideMark/>
          </w:tcPr>
          <w:p w14:paraId="520CB85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-27,5</w:t>
            </w:r>
          </w:p>
        </w:tc>
        <w:tc>
          <w:tcPr>
            <w:tcW w:w="286" w:type="pct"/>
            <w:gridSpan w:val="2"/>
            <w:noWrap/>
            <w:hideMark/>
          </w:tcPr>
          <w:p w14:paraId="4D0926B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73201CE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247,6</w:t>
            </w:r>
          </w:p>
        </w:tc>
        <w:tc>
          <w:tcPr>
            <w:tcW w:w="234" w:type="pct"/>
            <w:gridSpan w:val="2"/>
            <w:noWrap/>
            <w:hideMark/>
          </w:tcPr>
          <w:p w14:paraId="320136D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247,6</w:t>
            </w:r>
          </w:p>
        </w:tc>
        <w:tc>
          <w:tcPr>
            <w:tcW w:w="169" w:type="pct"/>
            <w:noWrap/>
            <w:hideMark/>
          </w:tcPr>
          <w:p w14:paraId="73A0974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CE233D" w:rsidRPr="00DA689C" w14:paraId="1C1FDA2E"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5BE1E175"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serviciile comunale și de telecomunicații</w:t>
            </w:r>
          </w:p>
        </w:tc>
        <w:tc>
          <w:tcPr>
            <w:tcW w:w="267" w:type="pct"/>
            <w:hideMark/>
          </w:tcPr>
          <w:p w14:paraId="039323D8"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159,8</w:t>
            </w:r>
          </w:p>
        </w:tc>
        <w:tc>
          <w:tcPr>
            <w:tcW w:w="283" w:type="pct"/>
            <w:hideMark/>
          </w:tcPr>
          <w:p w14:paraId="3ED2BCE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194,6</w:t>
            </w:r>
          </w:p>
        </w:tc>
        <w:tc>
          <w:tcPr>
            <w:tcW w:w="244" w:type="pct"/>
            <w:hideMark/>
          </w:tcPr>
          <w:p w14:paraId="35A4F269"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34,8</w:t>
            </w:r>
          </w:p>
        </w:tc>
        <w:tc>
          <w:tcPr>
            <w:tcW w:w="246" w:type="pct"/>
            <w:gridSpan w:val="2"/>
            <w:hideMark/>
          </w:tcPr>
          <w:p w14:paraId="13F4647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21,8</w:t>
            </w:r>
          </w:p>
        </w:tc>
        <w:tc>
          <w:tcPr>
            <w:tcW w:w="286" w:type="pct"/>
            <w:noWrap/>
            <w:hideMark/>
          </w:tcPr>
          <w:p w14:paraId="21BFC7A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772,0</w:t>
            </w:r>
          </w:p>
        </w:tc>
        <w:tc>
          <w:tcPr>
            <w:tcW w:w="276" w:type="pct"/>
            <w:gridSpan w:val="2"/>
            <w:noWrap/>
            <w:hideMark/>
          </w:tcPr>
          <w:p w14:paraId="555C47D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798,0</w:t>
            </w:r>
          </w:p>
        </w:tc>
        <w:tc>
          <w:tcPr>
            <w:tcW w:w="225" w:type="pct"/>
            <w:noWrap/>
            <w:hideMark/>
          </w:tcPr>
          <w:p w14:paraId="503DA11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26,0</w:t>
            </w:r>
          </w:p>
        </w:tc>
        <w:tc>
          <w:tcPr>
            <w:tcW w:w="241" w:type="pct"/>
            <w:gridSpan w:val="2"/>
            <w:noWrap/>
            <w:hideMark/>
          </w:tcPr>
          <w:p w14:paraId="675A6F0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3,4</w:t>
            </w:r>
          </w:p>
        </w:tc>
        <w:tc>
          <w:tcPr>
            <w:tcW w:w="286" w:type="pct"/>
            <w:noWrap/>
            <w:hideMark/>
          </w:tcPr>
          <w:p w14:paraId="136196A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188,7</w:t>
            </w:r>
          </w:p>
        </w:tc>
        <w:tc>
          <w:tcPr>
            <w:tcW w:w="276" w:type="pct"/>
            <w:gridSpan w:val="2"/>
            <w:noWrap/>
            <w:hideMark/>
          </w:tcPr>
          <w:p w14:paraId="21DCCF2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174,8</w:t>
            </w:r>
          </w:p>
        </w:tc>
        <w:tc>
          <w:tcPr>
            <w:tcW w:w="225" w:type="pct"/>
            <w:gridSpan w:val="2"/>
            <w:noWrap/>
            <w:hideMark/>
          </w:tcPr>
          <w:p w14:paraId="2F048A4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-13,9</w:t>
            </w:r>
          </w:p>
        </w:tc>
        <w:tc>
          <w:tcPr>
            <w:tcW w:w="223" w:type="pct"/>
            <w:gridSpan w:val="2"/>
            <w:noWrap/>
            <w:hideMark/>
          </w:tcPr>
          <w:p w14:paraId="5C3A721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-7,4</w:t>
            </w:r>
          </w:p>
        </w:tc>
        <w:tc>
          <w:tcPr>
            <w:tcW w:w="286" w:type="pct"/>
            <w:gridSpan w:val="2"/>
            <w:noWrap/>
            <w:hideMark/>
          </w:tcPr>
          <w:p w14:paraId="4938503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65,0</w:t>
            </w:r>
          </w:p>
        </w:tc>
        <w:tc>
          <w:tcPr>
            <w:tcW w:w="256" w:type="pct"/>
            <w:gridSpan w:val="2"/>
            <w:noWrap/>
            <w:hideMark/>
          </w:tcPr>
          <w:p w14:paraId="106B63F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88,9</w:t>
            </w:r>
          </w:p>
        </w:tc>
        <w:tc>
          <w:tcPr>
            <w:tcW w:w="234" w:type="pct"/>
            <w:gridSpan w:val="2"/>
            <w:noWrap/>
            <w:hideMark/>
          </w:tcPr>
          <w:p w14:paraId="02E5F35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23,9</w:t>
            </w:r>
          </w:p>
        </w:tc>
        <w:tc>
          <w:tcPr>
            <w:tcW w:w="169" w:type="pct"/>
            <w:noWrap/>
            <w:hideMark/>
          </w:tcPr>
          <w:p w14:paraId="4AB4FB7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36,8</w:t>
            </w:r>
          </w:p>
        </w:tc>
      </w:tr>
      <w:tr w:rsidR="00CE233D" w:rsidRPr="00DA689C" w14:paraId="1AC03B45"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0D01C7F1"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serviciile de locațiune </w:t>
            </w:r>
          </w:p>
        </w:tc>
        <w:tc>
          <w:tcPr>
            <w:tcW w:w="267" w:type="pct"/>
            <w:hideMark/>
          </w:tcPr>
          <w:p w14:paraId="186028F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145,0</w:t>
            </w:r>
          </w:p>
        </w:tc>
        <w:tc>
          <w:tcPr>
            <w:tcW w:w="283" w:type="pct"/>
            <w:hideMark/>
          </w:tcPr>
          <w:p w14:paraId="3C1153D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26,6</w:t>
            </w:r>
          </w:p>
        </w:tc>
        <w:tc>
          <w:tcPr>
            <w:tcW w:w="244" w:type="pct"/>
            <w:hideMark/>
          </w:tcPr>
          <w:p w14:paraId="7FCA487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-118,4</w:t>
            </w:r>
          </w:p>
        </w:tc>
        <w:tc>
          <w:tcPr>
            <w:tcW w:w="246" w:type="pct"/>
            <w:gridSpan w:val="2"/>
            <w:hideMark/>
          </w:tcPr>
          <w:p w14:paraId="0E4A72D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-81,7</w:t>
            </w:r>
          </w:p>
        </w:tc>
        <w:tc>
          <w:tcPr>
            <w:tcW w:w="286" w:type="pct"/>
            <w:noWrap/>
            <w:hideMark/>
          </w:tcPr>
          <w:p w14:paraId="59238C5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43CB222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62EAB98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1" w:type="pct"/>
            <w:gridSpan w:val="2"/>
            <w:noWrap/>
            <w:hideMark/>
          </w:tcPr>
          <w:p w14:paraId="61DCCEE1"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6EF96F3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722C9D3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4,8</w:t>
            </w:r>
          </w:p>
        </w:tc>
        <w:tc>
          <w:tcPr>
            <w:tcW w:w="225" w:type="pct"/>
            <w:gridSpan w:val="2"/>
            <w:noWrap/>
            <w:hideMark/>
          </w:tcPr>
          <w:p w14:paraId="349954E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4,8</w:t>
            </w:r>
          </w:p>
        </w:tc>
        <w:tc>
          <w:tcPr>
            <w:tcW w:w="223" w:type="pct"/>
            <w:gridSpan w:val="2"/>
            <w:noWrap/>
            <w:hideMark/>
          </w:tcPr>
          <w:p w14:paraId="795BD63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gridSpan w:val="2"/>
            <w:noWrap/>
            <w:hideMark/>
          </w:tcPr>
          <w:p w14:paraId="53371A0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2570,0</w:t>
            </w:r>
          </w:p>
        </w:tc>
        <w:tc>
          <w:tcPr>
            <w:tcW w:w="256" w:type="pct"/>
            <w:gridSpan w:val="2"/>
            <w:noWrap/>
            <w:hideMark/>
          </w:tcPr>
          <w:p w14:paraId="03EE9B86"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2453,0</w:t>
            </w:r>
          </w:p>
        </w:tc>
        <w:tc>
          <w:tcPr>
            <w:tcW w:w="234" w:type="pct"/>
            <w:gridSpan w:val="2"/>
            <w:noWrap/>
            <w:hideMark/>
          </w:tcPr>
          <w:p w14:paraId="73D1056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-117,0</w:t>
            </w:r>
          </w:p>
        </w:tc>
        <w:tc>
          <w:tcPr>
            <w:tcW w:w="169" w:type="pct"/>
            <w:noWrap/>
            <w:hideMark/>
          </w:tcPr>
          <w:p w14:paraId="34C8E9D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-4,6</w:t>
            </w:r>
          </w:p>
        </w:tc>
      </w:tr>
      <w:tr w:rsidR="00CE233D" w:rsidRPr="00DA689C" w14:paraId="6B80B25B"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5BAE8F32"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deplasările de serviciu </w:t>
            </w:r>
          </w:p>
        </w:tc>
        <w:tc>
          <w:tcPr>
            <w:tcW w:w="267" w:type="pct"/>
            <w:hideMark/>
          </w:tcPr>
          <w:p w14:paraId="52B855C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210,0</w:t>
            </w:r>
          </w:p>
        </w:tc>
        <w:tc>
          <w:tcPr>
            <w:tcW w:w="283" w:type="pct"/>
            <w:hideMark/>
          </w:tcPr>
          <w:p w14:paraId="04C0246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4" w:type="pct"/>
            <w:hideMark/>
          </w:tcPr>
          <w:p w14:paraId="5A41BDE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-210,0</w:t>
            </w:r>
          </w:p>
        </w:tc>
        <w:tc>
          <w:tcPr>
            <w:tcW w:w="246" w:type="pct"/>
            <w:gridSpan w:val="2"/>
            <w:hideMark/>
          </w:tcPr>
          <w:p w14:paraId="271F97D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86" w:type="pct"/>
            <w:noWrap/>
            <w:hideMark/>
          </w:tcPr>
          <w:p w14:paraId="021016A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3E41C37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7BF4419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1" w:type="pct"/>
            <w:gridSpan w:val="2"/>
            <w:noWrap/>
            <w:hideMark/>
          </w:tcPr>
          <w:p w14:paraId="6484FF6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5D47835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w:t>
            </w:r>
          </w:p>
        </w:tc>
        <w:tc>
          <w:tcPr>
            <w:tcW w:w="276" w:type="pct"/>
            <w:gridSpan w:val="2"/>
            <w:noWrap/>
            <w:hideMark/>
          </w:tcPr>
          <w:p w14:paraId="1B856CE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w:t>
            </w:r>
          </w:p>
        </w:tc>
        <w:tc>
          <w:tcPr>
            <w:tcW w:w="225" w:type="pct"/>
            <w:gridSpan w:val="2"/>
            <w:noWrap/>
            <w:hideMark/>
          </w:tcPr>
          <w:p w14:paraId="68B0AA4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w:t>
            </w:r>
          </w:p>
        </w:tc>
        <w:tc>
          <w:tcPr>
            <w:tcW w:w="223" w:type="pct"/>
            <w:gridSpan w:val="2"/>
            <w:noWrap/>
            <w:hideMark/>
          </w:tcPr>
          <w:p w14:paraId="5C8101A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-43,3</w:t>
            </w:r>
          </w:p>
        </w:tc>
        <w:tc>
          <w:tcPr>
            <w:tcW w:w="286" w:type="pct"/>
            <w:gridSpan w:val="2"/>
            <w:noWrap/>
            <w:hideMark/>
          </w:tcPr>
          <w:p w14:paraId="5C29C679"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490,0</w:t>
            </w:r>
          </w:p>
        </w:tc>
        <w:tc>
          <w:tcPr>
            <w:tcW w:w="256" w:type="pct"/>
            <w:gridSpan w:val="2"/>
            <w:noWrap/>
            <w:hideMark/>
          </w:tcPr>
          <w:p w14:paraId="49B0097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13,6</w:t>
            </w:r>
          </w:p>
        </w:tc>
        <w:tc>
          <w:tcPr>
            <w:tcW w:w="234" w:type="pct"/>
            <w:gridSpan w:val="2"/>
            <w:noWrap/>
            <w:hideMark/>
          </w:tcPr>
          <w:p w14:paraId="0168F21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-476,4</w:t>
            </w:r>
          </w:p>
        </w:tc>
        <w:tc>
          <w:tcPr>
            <w:tcW w:w="169" w:type="pct"/>
            <w:noWrap/>
            <w:hideMark/>
          </w:tcPr>
          <w:p w14:paraId="321BB1C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-97,2</w:t>
            </w:r>
          </w:p>
        </w:tc>
      </w:tr>
      <w:tr w:rsidR="00CE233D" w:rsidRPr="00DA689C" w14:paraId="574D2DE9"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43472AD5"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formarea profesională</w:t>
            </w:r>
          </w:p>
        </w:tc>
        <w:tc>
          <w:tcPr>
            <w:tcW w:w="267" w:type="pct"/>
            <w:hideMark/>
          </w:tcPr>
          <w:p w14:paraId="1C43007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30,0</w:t>
            </w:r>
          </w:p>
        </w:tc>
        <w:tc>
          <w:tcPr>
            <w:tcW w:w="283" w:type="pct"/>
            <w:hideMark/>
          </w:tcPr>
          <w:p w14:paraId="51760CA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4" w:type="pct"/>
            <w:hideMark/>
          </w:tcPr>
          <w:p w14:paraId="38D055A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-30,0</w:t>
            </w:r>
          </w:p>
        </w:tc>
        <w:tc>
          <w:tcPr>
            <w:tcW w:w="246" w:type="pct"/>
            <w:gridSpan w:val="2"/>
            <w:hideMark/>
          </w:tcPr>
          <w:p w14:paraId="2B73ED7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86" w:type="pct"/>
            <w:noWrap/>
            <w:hideMark/>
          </w:tcPr>
          <w:p w14:paraId="19690436"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6CD33E44"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7F08AEC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1" w:type="pct"/>
            <w:gridSpan w:val="2"/>
            <w:noWrap/>
            <w:hideMark/>
          </w:tcPr>
          <w:p w14:paraId="0B27420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7C1BA4C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12,0</w:t>
            </w:r>
          </w:p>
        </w:tc>
        <w:tc>
          <w:tcPr>
            <w:tcW w:w="276" w:type="pct"/>
            <w:gridSpan w:val="2"/>
            <w:noWrap/>
            <w:hideMark/>
          </w:tcPr>
          <w:p w14:paraId="4B8D81F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w:t>
            </w:r>
          </w:p>
        </w:tc>
        <w:tc>
          <w:tcPr>
            <w:tcW w:w="225" w:type="pct"/>
            <w:gridSpan w:val="2"/>
            <w:noWrap/>
            <w:hideMark/>
          </w:tcPr>
          <w:p w14:paraId="0EC0D88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-9,9</w:t>
            </w:r>
          </w:p>
        </w:tc>
        <w:tc>
          <w:tcPr>
            <w:tcW w:w="223" w:type="pct"/>
            <w:gridSpan w:val="2"/>
            <w:noWrap/>
            <w:hideMark/>
          </w:tcPr>
          <w:p w14:paraId="173E573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-82,5</w:t>
            </w:r>
          </w:p>
        </w:tc>
        <w:tc>
          <w:tcPr>
            <w:tcW w:w="286" w:type="pct"/>
            <w:gridSpan w:val="2"/>
            <w:noWrap/>
            <w:hideMark/>
          </w:tcPr>
          <w:p w14:paraId="4DA4424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230,0</w:t>
            </w:r>
          </w:p>
        </w:tc>
        <w:tc>
          <w:tcPr>
            <w:tcW w:w="256" w:type="pct"/>
            <w:gridSpan w:val="2"/>
            <w:noWrap/>
            <w:hideMark/>
          </w:tcPr>
          <w:p w14:paraId="318F7636"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6,3</w:t>
            </w:r>
          </w:p>
        </w:tc>
        <w:tc>
          <w:tcPr>
            <w:tcW w:w="234" w:type="pct"/>
            <w:gridSpan w:val="2"/>
            <w:noWrap/>
            <w:hideMark/>
          </w:tcPr>
          <w:p w14:paraId="67B6B5F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-223,7</w:t>
            </w:r>
          </w:p>
        </w:tc>
        <w:tc>
          <w:tcPr>
            <w:tcW w:w="169" w:type="pct"/>
            <w:noWrap/>
            <w:hideMark/>
          </w:tcPr>
          <w:p w14:paraId="6770392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-97,3</w:t>
            </w:r>
          </w:p>
        </w:tc>
      </w:tr>
      <w:tr w:rsidR="00CE233D" w:rsidRPr="00DA689C" w14:paraId="4D8EF2BE"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46E72BF2"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serviciile informationale</w:t>
            </w:r>
          </w:p>
        </w:tc>
        <w:tc>
          <w:tcPr>
            <w:tcW w:w="267" w:type="pct"/>
            <w:hideMark/>
          </w:tcPr>
          <w:p w14:paraId="2D8DB6C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382,4</w:t>
            </w:r>
          </w:p>
        </w:tc>
        <w:tc>
          <w:tcPr>
            <w:tcW w:w="283" w:type="pct"/>
            <w:hideMark/>
          </w:tcPr>
          <w:p w14:paraId="30A9142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187,6</w:t>
            </w:r>
          </w:p>
        </w:tc>
        <w:tc>
          <w:tcPr>
            <w:tcW w:w="244" w:type="pct"/>
            <w:hideMark/>
          </w:tcPr>
          <w:p w14:paraId="6176262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-194,8</w:t>
            </w:r>
          </w:p>
        </w:tc>
        <w:tc>
          <w:tcPr>
            <w:tcW w:w="246" w:type="pct"/>
            <w:gridSpan w:val="2"/>
            <w:hideMark/>
          </w:tcPr>
          <w:p w14:paraId="0CA2A32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-50,9</w:t>
            </w:r>
          </w:p>
        </w:tc>
        <w:tc>
          <w:tcPr>
            <w:tcW w:w="286" w:type="pct"/>
            <w:noWrap/>
            <w:hideMark/>
          </w:tcPr>
          <w:p w14:paraId="5659C1B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4C6A872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2DD03AB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1" w:type="pct"/>
            <w:gridSpan w:val="2"/>
            <w:noWrap/>
            <w:hideMark/>
          </w:tcPr>
          <w:p w14:paraId="286A2E6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0C8281F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05C130E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gridSpan w:val="2"/>
            <w:noWrap/>
            <w:hideMark/>
          </w:tcPr>
          <w:p w14:paraId="5F7D1881"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23" w:type="pct"/>
            <w:gridSpan w:val="2"/>
            <w:noWrap/>
            <w:hideMark/>
          </w:tcPr>
          <w:p w14:paraId="5D21F4D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gridSpan w:val="2"/>
            <w:noWrap/>
            <w:hideMark/>
          </w:tcPr>
          <w:p w14:paraId="7ABBA09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750,0</w:t>
            </w:r>
          </w:p>
        </w:tc>
        <w:tc>
          <w:tcPr>
            <w:tcW w:w="256" w:type="pct"/>
            <w:gridSpan w:val="2"/>
            <w:noWrap/>
            <w:hideMark/>
          </w:tcPr>
          <w:p w14:paraId="0B0DC18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157,5</w:t>
            </w:r>
          </w:p>
        </w:tc>
        <w:tc>
          <w:tcPr>
            <w:tcW w:w="234" w:type="pct"/>
            <w:gridSpan w:val="2"/>
            <w:noWrap/>
            <w:hideMark/>
          </w:tcPr>
          <w:p w14:paraId="29C6939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-592,5</w:t>
            </w:r>
          </w:p>
        </w:tc>
        <w:tc>
          <w:tcPr>
            <w:tcW w:w="169" w:type="pct"/>
            <w:noWrap/>
            <w:hideMark/>
          </w:tcPr>
          <w:p w14:paraId="4218D42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-79,0</w:t>
            </w:r>
          </w:p>
        </w:tc>
      </w:tr>
      <w:tr w:rsidR="00CE233D" w:rsidRPr="00DA689C" w14:paraId="34978B09"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00034D6D"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serviciile  neatribuite altor alineate</w:t>
            </w:r>
          </w:p>
        </w:tc>
        <w:tc>
          <w:tcPr>
            <w:tcW w:w="267" w:type="pct"/>
            <w:hideMark/>
          </w:tcPr>
          <w:p w14:paraId="19BDFF61"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253,0</w:t>
            </w:r>
          </w:p>
        </w:tc>
        <w:tc>
          <w:tcPr>
            <w:tcW w:w="283" w:type="pct"/>
            <w:hideMark/>
          </w:tcPr>
          <w:p w14:paraId="28FAE93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42,0</w:t>
            </w:r>
          </w:p>
        </w:tc>
        <w:tc>
          <w:tcPr>
            <w:tcW w:w="244" w:type="pct"/>
            <w:hideMark/>
          </w:tcPr>
          <w:p w14:paraId="3CD25E8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-211,0</w:t>
            </w:r>
          </w:p>
        </w:tc>
        <w:tc>
          <w:tcPr>
            <w:tcW w:w="246" w:type="pct"/>
            <w:gridSpan w:val="2"/>
            <w:hideMark/>
          </w:tcPr>
          <w:p w14:paraId="6D822EC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-83,4</w:t>
            </w:r>
          </w:p>
        </w:tc>
        <w:tc>
          <w:tcPr>
            <w:tcW w:w="286" w:type="pct"/>
            <w:noWrap/>
            <w:hideMark/>
          </w:tcPr>
          <w:p w14:paraId="364AACC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325,0</w:t>
            </w:r>
          </w:p>
        </w:tc>
        <w:tc>
          <w:tcPr>
            <w:tcW w:w="276" w:type="pct"/>
            <w:gridSpan w:val="2"/>
            <w:noWrap/>
            <w:hideMark/>
          </w:tcPr>
          <w:p w14:paraId="69D3A94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676,8</w:t>
            </w:r>
          </w:p>
        </w:tc>
        <w:tc>
          <w:tcPr>
            <w:tcW w:w="225" w:type="pct"/>
            <w:noWrap/>
            <w:hideMark/>
          </w:tcPr>
          <w:p w14:paraId="7813131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351,8</w:t>
            </w:r>
          </w:p>
        </w:tc>
        <w:tc>
          <w:tcPr>
            <w:tcW w:w="241" w:type="pct"/>
            <w:gridSpan w:val="2"/>
            <w:noWrap/>
            <w:hideMark/>
          </w:tcPr>
          <w:p w14:paraId="0ECF451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108,2</w:t>
            </w:r>
          </w:p>
        </w:tc>
        <w:tc>
          <w:tcPr>
            <w:tcW w:w="286" w:type="pct"/>
            <w:noWrap/>
            <w:hideMark/>
          </w:tcPr>
          <w:p w14:paraId="4099B1E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77,8</w:t>
            </w:r>
          </w:p>
        </w:tc>
        <w:tc>
          <w:tcPr>
            <w:tcW w:w="276" w:type="pct"/>
            <w:gridSpan w:val="2"/>
            <w:noWrap/>
            <w:hideMark/>
          </w:tcPr>
          <w:p w14:paraId="634B0079"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65,3</w:t>
            </w:r>
          </w:p>
        </w:tc>
        <w:tc>
          <w:tcPr>
            <w:tcW w:w="225" w:type="pct"/>
            <w:gridSpan w:val="2"/>
            <w:noWrap/>
            <w:hideMark/>
          </w:tcPr>
          <w:p w14:paraId="4F5E111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-12,5</w:t>
            </w:r>
          </w:p>
        </w:tc>
        <w:tc>
          <w:tcPr>
            <w:tcW w:w="223" w:type="pct"/>
            <w:gridSpan w:val="2"/>
            <w:noWrap/>
            <w:hideMark/>
          </w:tcPr>
          <w:p w14:paraId="66C1EE0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-16,1</w:t>
            </w:r>
          </w:p>
        </w:tc>
        <w:tc>
          <w:tcPr>
            <w:tcW w:w="286" w:type="pct"/>
            <w:gridSpan w:val="2"/>
            <w:noWrap/>
            <w:hideMark/>
          </w:tcPr>
          <w:p w14:paraId="38D654F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1848,1</w:t>
            </w:r>
          </w:p>
        </w:tc>
        <w:tc>
          <w:tcPr>
            <w:tcW w:w="256" w:type="pct"/>
            <w:gridSpan w:val="2"/>
            <w:noWrap/>
            <w:hideMark/>
          </w:tcPr>
          <w:p w14:paraId="1187802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320,5</w:t>
            </w:r>
          </w:p>
        </w:tc>
        <w:tc>
          <w:tcPr>
            <w:tcW w:w="234" w:type="pct"/>
            <w:gridSpan w:val="2"/>
            <w:noWrap/>
            <w:hideMark/>
          </w:tcPr>
          <w:p w14:paraId="164CE10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-1527,6</w:t>
            </w:r>
          </w:p>
        </w:tc>
        <w:tc>
          <w:tcPr>
            <w:tcW w:w="169" w:type="pct"/>
            <w:noWrap/>
            <w:hideMark/>
          </w:tcPr>
          <w:p w14:paraId="1E621A4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-82,7</w:t>
            </w:r>
          </w:p>
        </w:tc>
      </w:tr>
      <w:tr w:rsidR="00CE233D" w:rsidRPr="00DA689C" w14:paraId="5C93D3C5"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34BD9F4D" w14:textId="0C5FCADD"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asigurarea (prof</w:t>
            </w:r>
            <w:r w:rsidR="008A4F7E">
              <w:rPr>
                <w:rFonts w:ascii="Calibri Light" w:eastAsia="Times New Roman" w:hAnsi="Calibri Light" w:cs="Calibri Light"/>
                <w:color w:val="000000"/>
                <w:sz w:val="18"/>
                <w:szCs w:val="18"/>
              </w:rPr>
              <w:t>e</w:t>
            </w:r>
            <w:r w:rsidRPr="00DA689C">
              <w:rPr>
                <w:rFonts w:ascii="Calibri Light" w:eastAsia="Times New Roman" w:hAnsi="Calibri Light" w:cs="Calibri Light"/>
                <w:color w:val="000000"/>
                <w:sz w:val="18"/>
                <w:szCs w:val="18"/>
              </w:rPr>
              <w:t>sional</w:t>
            </w:r>
            <w:r w:rsidR="00AC25EC">
              <w:rPr>
                <w:rFonts w:ascii="Calibri Light" w:eastAsia="Times New Roman" w:hAnsi="Calibri Light" w:cs="Calibri Light"/>
                <w:color w:val="000000"/>
                <w:sz w:val="18"/>
                <w:szCs w:val="18"/>
                <w:lang w:val="ro-RO"/>
              </w:rPr>
              <w:t>ă</w:t>
            </w:r>
            <w:r w:rsidRPr="00DA689C">
              <w:rPr>
                <w:rFonts w:ascii="Calibri Light" w:eastAsia="Times New Roman" w:hAnsi="Calibri Light" w:cs="Calibri Light"/>
                <w:color w:val="000000"/>
                <w:sz w:val="18"/>
                <w:szCs w:val="18"/>
              </w:rPr>
              <w:t>,transport auto)</w:t>
            </w:r>
          </w:p>
        </w:tc>
        <w:tc>
          <w:tcPr>
            <w:tcW w:w="267" w:type="pct"/>
            <w:hideMark/>
          </w:tcPr>
          <w:p w14:paraId="69952E4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3" w:type="pct"/>
            <w:hideMark/>
          </w:tcPr>
          <w:p w14:paraId="1B1E3E4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4" w:type="pct"/>
            <w:hideMark/>
          </w:tcPr>
          <w:p w14:paraId="7248F34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6" w:type="pct"/>
            <w:gridSpan w:val="2"/>
            <w:hideMark/>
          </w:tcPr>
          <w:p w14:paraId="73A8D1F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2E8ACF69"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1E43C64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291AC1E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1" w:type="pct"/>
            <w:gridSpan w:val="2"/>
            <w:noWrap/>
            <w:hideMark/>
          </w:tcPr>
          <w:p w14:paraId="028C82A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637DC138"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15,0</w:t>
            </w:r>
          </w:p>
        </w:tc>
        <w:tc>
          <w:tcPr>
            <w:tcW w:w="276" w:type="pct"/>
            <w:gridSpan w:val="2"/>
            <w:noWrap/>
            <w:hideMark/>
          </w:tcPr>
          <w:p w14:paraId="6A6A7F2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15,0</w:t>
            </w:r>
          </w:p>
        </w:tc>
        <w:tc>
          <w:tcPr>
            <w:tcW w:w="225" w:type="pct"/>
            <w:gridSpan w:val="2"/>
            <w:noWrap/>
            <w:hideMark/>
          </w:tcPr>
          <w:p w14:paraId="129CC4A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23" w:type="pct"/>
            <w:gridSpan w:val="2"/>
            <w:noWrap/>
            <w:hideMark/>
          </w:tcPr>
          <w:p w14:paraId="2331DB98"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6" w:type="pct"/>
            <w:gridSpan w:val="2"/>
            <w:noWrap/>
            <w:hideMark/>
          </w:tcPr>
          <w:p w14:paraId="4AC2194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1350A87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gridSpan w:val="2"/>
            <w:noWrap/>
            <w:hideMark/>
          </w:tcPr>
          <w:p w14:paraId="185A9CE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169" w:type="pct"/>
            <w:noWrap/>
            <w:hideMark/>
          </w:tcPr>
          <w:p w14:paraId="6741A64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CE233D" w:rsidRPr="00DA689C" w14:paraId="15E81F9B" w14:textId="77777777" w:rsidTr="00136C4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77" w:type="pct"/>
            <w:hideMark/>
          </w:tcPr>
          <w:p w14:paraId="2E300356"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uzura mijloacelor fixe și amortizarea activelor nemateriale </w:t>
            </w:r>
          </w:p>
        </w:tc>
        <w:tc>
          <w:tcPr>
            <w:tcW w:w="267" w:type="pct"/>
            <w:hideMark/>
          </w:tcPr>
          <w:p w14:paraId="02FCBAC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139,0</w:t>
            </w:r>
          </w:p>
        </w:tc>
        <w:tc>
          <w:tcPr>
            <w:tcW w:w="283" w:type="pct"/>
            <w:hideMark/>
          </w:tcPr>
          <w:p w14:paraId="34956704"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224,5</w:t>
            </w:r>
          </w:p>
        </w:tc>
        <w:tc>
          <w:tcPr>
            <w:tcW w:w="244" w:type="pct"/>
            <w:hideMark/>
          </w:tcPr>
          <w:p w14:paraId="629DC35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85,5</w:t>
            </w:r>
          </w:p>
        </w:tc>
        <w:tc>
          <w:tcPr>
            <w:tcW w:w="246" w:type="pct"/>
            <w:gridSpan w:val="2"/>
            <w:hideMark/>
          </w:tcPr>
          <w:p w14:paraId="595AFA7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61,5</w:t>
            </w:r>
          </w:p>
        </w:tc>
        <w:tc>
          <w:tcPr>
            <w:tcW w:w="286" w:type="pct"/>
            <w:noWrap/>
            <w:hideMark/>
          </w:tcPr>
          <w:p w14:paraId="1248046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372,1</w:t>
            </w:r>
          </w:p>
        </w:tc>
        <w:tc>
          <w:tcPr>
            <w:tcW w:w="276" w:type="pct"/>
            <w:gridSpan w:val="2"/>
            <w:noWrap/>
            <w:hideMark/>
          </w:tcPr>
          <w:p w14:paraId="6FDE5E8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65,7</w:t>
            </w:r>
          </w:p>
        </w:tc>
        <w:tc>
          <w:tcPr>
            <w:tcW w:w="225" w:type="pct"/>
            <w:noWrap/>
            <w:hideMark/>
          </w:tcPr>
          <w:p w14:paraId="40DC485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-306,4</w:t>
            </w:r>
          </w:p>
        </w:tc>
        <w:tc>
          <w:tcPr>
            <w:tcW w:w="241" w:type="pct"/>
            <w:gridSpan w:val="2"/>
            <w:noWrap/>
            <w:hideMark/>
          </w:tcPr>
          <w:p w14:paraId="5DD0048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-82,3</w:t>
            </w:r>
          </w:p>
        </w:tc>
        <w:tc>
          <w:tcPr>
            <w:tcW w:w="286" w:type="pct"/>
            <w:noWrap/>
            <w:hideMark/>
          </w:tcPr>
          <w:p w14:paraId="104B71F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13,0</w:t>
            </w:r>
          </w:p>
        </w:tc>
        <w:tc>
          <w:tcPr>
            <w:tcW w:w="276" w:type="pct"/>
            <w:gridSpan w:val="2"/>
            <w:noWrap/>
            <w:hideMark/>
          </w:tcPr>
          <w:p w14:paraId="3960A571"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13,0</w:t>
            </w:r>
          </w:p>
        </w:tc>
        <w:tc>
          <w:tcPr>
            <w:tcW w:w="225" w:type="pct"/>
            <w:gridSpan w:val="2"/>
            <w:noWrap/>
            <w:hideMark/>
          </w:tcPr>
          <w:p w14:paraId="4BB7B22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23" w:type="pct"/>
            <w:gridSpan w:val="2"/>
            <w:noWrap/>
            <w:hideMark/>
          </w:tcPr>
          <w:p w14:paraId="613B1ED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6" w:type="pct"/>
            <w:gridSpan w:val="2"/>
            <w:noWrap/>
            <w:hideMark/>
          </w:tcPr>
          <w:p w14:paraId="341A3A2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6D35B82A"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1221,4</w:t>
            </w:r>
          </w:p>
        </w:tc>
        <w:tc>
          <w:tcPr>
            <w:tcW w:w="234" w:type="pct"/>
            <w:gridSpan w:val="2"/>
            <w:noWrap/>
            <w:hideMark/>
          </w:tcPr>
          <w:p w14:paraId="40E726D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1221,4</w:t>
            </w:r>
          </w:p>
        </w:tc>
        <w:tc>
          <w:tcPr>
            <w:tcW w:w="169" w:type="pct"/>
            <w:noWrap/>
            <w:hideMark/>
          </w:tcPr>
          <w:p w14:paraId="7EC991B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CE233D" w:rsidRPr="00DA689C" w14:paraId="3F76B972"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0511362F"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combustibilul</w:t>
            </w:r>
          </w:p>
        </w:tc>
        <w:tc>
          <w:tcPr>
            <w:tcW w:w="267" w:type="pct"/>
            <w:hideMark/>
          </w:tcPr>
          <w:p w14:paraId="0058576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20,0</w:t>
            </w:r>
          </w:p>
        </w:tc>
        <w:tc>
          <w:tcPr>
            <w:tcW w:w="283" w:type="pct"/>
            <w:hideMark/>
          </w:tcPr>
          <w:p w14:paraId="581D07D1"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15,5</w:t>
            </w:r>
          </w:p>
        </w:tc>
        <w:tc>
          <w:tcPr>
            <w:tcW w:w="244" w:type="pct"/>
            <w:hideMark/>
          </w:tcPr>
          <w:p w14:paraId="6CC1C620"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-4,5</w:t>
            </w:r>
          </w:p>
        </w:tc>
        <w:tc>
          <w:tcPr>
            <w:tcW w:w="246" w:type="pct"/>
            <w:gridSpan w:val="2"/>
            <w:hideMark/>
          </w:tcPr>
          <w:p w14:paraId="60DAA2B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-22,5</w:t>
            </w:r>
          </w:p>
        </w:tc>
        <w:tc>
          <w:tcPr>
            <w:tcW w:w="286" w:type="pct"/>
            <w:noWrap/>
            <w:hideMark/>
          </w:tcPr>
          <w:p w14:paraId="3EA27398"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140,0</w:t>
            </w:r>
          </w:p>
        </w:tc>
        <w:tc>
          <w:tcPr>
            <w:tcW w:w="276" w:type="pct"/>
            <w:gridSpan w:val="2"/>
            <w:noWrap/>
            <w:hideMark/>
          </w:tcPr>
          <w:p w14:paraId="793971D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80,6</w:t>
            </w:r>
          </w:p>
        </w:tc>
        <w:tc>
          <w:tcPr>
            <w:tcW w:w="225" w:type="pct"/>
            <w:noWrap/>
            <w:hideMark/>
          </w:tcPr>
          <w:p w14:paraId="2BD2682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-59,4</w:t>
            </w:r>
          </w:p>
        </w:tc>
        <w:tc>
          <w:tcPr>
            <w:tcW w:w="241" w:type="pct"/>
            <w:gridSpan w:val="2"/>
            <w:noWrap/>
            <w:hideMark/>
          </w:tcPr>
          <w:p w14:paraId="41F3836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-42,4</w:t>
            </w:r>
          </w:p>
        </w:tc>
        <w:tc>
          <w:tcPr>
            <w:tcW w:w="286" w:type="pct"/>
            <w:noWrap/>
            <w:hideMark/>
          </w:tcPr>
          <w:p w14:paraId="3604E65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40,0</w:t>
            </w:r>
          </w:p>
        </w:tc>
        <w:tc>
          <w:tcPr>
            <w:tcW w:w="276" w:type="pct"/>
            <w:gridSpan w:val="2"/>
            <w:noWrap/>
            <w:hideMark/>
          </w:tcPr>
          <w:p w14:paraId="7504EB2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26,8</w:t>
            </w:r>
          </w:p>
        </w:tc>
        <w:tc>
          <w:tcPr>
            <w:tcW w:w="225" w:type="pct"/>
            <w:gridSpan w:val="2"/>
            <w:noWrap/>
            <w:hideMark/>
          </w:tcPr>
          <w:p w14:paraId="58BEDBD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-13,2</w:t>
            </w:r>
          </w:p>
        </w:tc>
        <w:tc>
          <w:tcPr>
            <w:tcW w:w="223" w:type="pct"/>
            <w:gridSpan w:val="2"/>
            <w:noWrap/>
            <w:hideMark/>
          </w:tcPr>
          <w:p w14:paraId="2D048D77"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-33,0</w:t>
            </w:r>
          </w:p>
        </w:tc>
        <w:tc>
          <w:tcPr>
            <w:tcW w:w="286" w:type="pct"/>
            <w:gridSpan w:val="2"/>
            <w:noWrap/>
            <w:hideMark/>
          </w:tcPr>
          <w:p w14:paraId="22B3D736"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6854094F"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136,0</w:t>
            </w:r>
          </w:p>
        </w:tc>
        <w:tc>
          <w:tcPr>
            <w:tcW w:w="234" w:type="pct"/>
            <w:gridSpan w:val="2"/>
            <w:noWrap/>
            <w:hideMark/>
          </w:tcPr>
          <w:p w14:paraId="7AF5FB9B"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136,0</w:t>
            </w:r>
          </w:p>
        </w:tc>
        <w:tc>
          <w:tcPr>
            <w:tcW w:w="169" w:type="pct"/>
            <w:noWrap/>
            <w:hideMark/>
          </w:tcPr>
          <w:p w14:paraId="49C2565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CE233D" w:rsidRPr="00DA689C" w14:paraId="1C92812F"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48B51797"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din diferențe de curs valutar</w:t>
            </w:r>
          </w:p>
        </w:tc>
        <w:tc>
          <w:tcPr>
            <w:tcW w:w="267" w:type="pct"/>
            <w:hideMark/>
          </w:tcPr>
          <w:p w14:paraId="6656D924"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3" w:type="pct"/>
            <w:hideMark/>
          </w:tcPr>
          <w:p w14:paraId="2CD5196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14,1</w:t>
            </w:r>
          </w:p>
        </w:tc>
        <w:tc>
          <w:tcPr>
            <w:tcW w:w="244" w:type="pct"/>
            <w:hideMark/>
          </w:tcPr>
          <w:p w14:paraId="063BC69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14,1</w:t>
            </w:r>
          </w:p>
        </w:tc>
        <w:tc>
          <w:tcPr>
            <w:tcW w:w="246" w:type="pct"/>
            <w:gridSpan w:val="2"/>
            <w:hideMark/>
          </w:tcPr>
          <w:p w14:paraId="3E3EE16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0D5A15F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540A887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25" w:type="pct"/>
            <w:noWrap/>
            <w:hideMark/>
          </w:tcPr>
          <w:p w14:paraId="33230DBC"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41" w:type="pct"/>
            <w:gridSpan w:val="2"/>
            <w:noWrap/>
            <w:hideMark/>
          </w:tcPr>
          <w:p w14:paraId="62D2B57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noWrap/>
            <w:hideMark/>
          </w:tcPr>
          <w:p w14:paraId="4888A41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76" w:type="pct"/>
            <w:gridSpan w:val="2"/>
            <w:noWrap/>
            <w:hideMark/>
          </w:tcPr>
          <w:p w14:paraId="3D0B1A76"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4,5</w:t>
            </w:r>
          </w:p>
        </w:tc>
        <w:tc>
          <w:tcPr>
            <w:tcW w:w="225" w:type="pct"/>
            <w:gridSpan w:val="2"/>
            <w:noWrap/>
            <w:hideMark/>
          </w:tcPr>
          <w:p w14:paraId="6E02E52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4,5</w:t>
            </w:r>
          </w:p>
        </w:tc>
        <w:tc>
          <w:tcPr>
            <w:tcW w:w="223" w:type="pct"/>
            <w:gridSpan w:val="2"/>
            <w:noWrap/>
            <w:hideMark/>
          </w:tcPr>
          <w:p w14:paraId="001CE8A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6" w:type="pct"/>
            <w:gridSpan w:val="2"/>
            <w:noWrap/>
            <w:hideMark/>
          </w:tcPr>
          <w:p w14:paraId="7016E5A0"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56" w:type="pct"/>
            <w:gridSpan w:val="2"/>
            <w:noWrap/>
            <w:hideMark/>
          </w:tcPr>
          <w:p w14:paraId="39740E7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gridSpan w:val="2"/>
            <w:noWrap/>
            <w:hideMark/>
          </w:tcPr>
          <w:p w14:paraId="345C675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169" w:type="pct"/>
            <w:noWrap/>
            <w:hideMark/>
          </w:tcPr>
          <w:p w14:paraId="57F63D17"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CE233D" w:rsidRPr="00DA689C" w14:paraId="55A1FCBA"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3B72BC25"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 Alte cheltuieli </w:t>
            </w:r>
          </w:p>
        </w:tc>
        <w:tc>
          <w:tcPr>
            <w:tcW w:w="267" w:type="pct"/>
            <w:hideMark/>
          </w:tcPr>
          <w:p w14:paraId="3BA8A9A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83,4</w:t>
            </w:r>
          </w:p>
        </w:tc>
        <w:tc>
          <w:tcPr>
            <w:tcW w:w="283" w:type="pct"/>
            <w:hideMark/>
          </w:tcPr>
          <w:p w14:paraId="5080B60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46,0</w:t>
            </w:r>
          </w:p>
        </w:tc>
        <w:tc>
          <w:tcPr>
            <w:tcW w:w="244" w:type="pct"/>
            <w:hideMark/>
          </w:tcPr>
          <w:p w14:paraId="74D3B58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-37,4</w:t>
            </w:r>
          </w:p>
        </w:tc>
        <w:tc>
          <w:tcPr>
            <w:tcW w:w="246" w:type="pct"/>
            <w:gridSpan w:val="2"/>
            <w:hideMark/>
          </w:tcPr>
          <w:p w14:paraId="78E8FD52"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-44,8</w:t>
            </w:r>
          </w:p>
        </w:tc>
        <w:tc>
          <w:tcPr>
            <w:tcW w:w="286" w:type="pct"/>
            <w:noWrap/>
            <w:hideMark/>
          </w:tcPr>
          <w:p w14:paraId="1D4B32FE"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303,5</w:t>
            </w:r>
          </w:p>
        </w:tc>
        <w:tc>
          <w:tcPr>
            <w:tcW w:w="276" w:type="pct"/>
            <w:gridSpan w:val="2"/>
            <w:noWrap/>
            <w:hideMark/>
          </w:tcPr>
          <w:p w14:paraId="68F00C0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202,5</w:t>
            </w:r>
          </w:p>
        </w:tc>
        <w:tc>
          <w:tcPr>
            <w:tcW w:w="225" w:type="pct"/>
            <w:noWrap/>
            <w:hideMark/>
          </w:tcPr>
          <w:p w14:paraId="5C09FC2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-101,0</w:t>
            </w:r>
          </w:p>
        </w:tc>
        <w:tc>
          <w:tcPr>
            <w:tcW w:w="241" w:type="pct"/>
            <w:gridSpan w:val="2"/>
            <w:noWrap/>
            <w:hideMark/>
          </w:tcPr>
          <w:p w14:paraId="061C147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-33,3</w:t>
            </w:r>
          </w:p>
        </w:tc>
        <w:tc>
          <w:tcPr>
            <w:tcW w:w="286" w:type="pct"/>
            <w:noWrap/>
            <w:hideMark/>
          </w:tcPr>
          <w:p w14:paraId="7E497244"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3230,0</w:t>
            </w:r>
          </w:p>
        </w:tc>
        <w:tc>
          <w:tcPr>
            <w:tcW w:w="276" w:type="pct"/>
            <w:gridSpan w:val="2"/>
            <w:noWrap/>
            <w:hideMark/>
          </w:tcPr>
          <w:p w14:paraId="62B1898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3359,6</w:t>
            </w:r>
          </w:p>
        </w:tc>
        <w:tc>
          <w:tcPr>
            <w:tcW w:w="225" w:type="pct"/>
            <w:gridSpan w:val="2"/>
            <w:noWrap/>
            <w:hideMark/>
          </w:tcPr>
          <w:p w14:paraId="4FF5A608"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129,6</w:t>
            </w:r>
          </w:p>
        </w:tc>
        <w:tc>
          <w:tcPr>
            <w:tcW w:w="223" w:type="pct"/>
            <w:gridSpan w:val="2"/>
            <w:noWrap/>
            <w:hideMark/>
          </w:tcPr>
          <w:p w14:paraId="1DEF5E45"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w:t>
            </w:r>
          </w:p>
        </w:tc>
        <w:tc>
          <w:tcPr>
            <w:tcW w:w="286" w:type="pct"/>
            <w:gridSpan w:val="2"/>
            <w:noWrap/>
            <w:hideMark/>
          </w:tcPr>
          <w:p w14:paraId="03003CFC"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135,0</w:t>
            </w:r>
          </w:p>
        </w:tc>
        <w:tc>
          <w:tcPr>
            <w:tcW w:w="256" w:type="pct"/>
            <w:gridSpan w:val="2"/>
            <w:noWrap/>
            <w:hideMark/>
          </w:tcPr>
          <w:p w14:paraId="3B3040B3"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235,6</w:t>
            </w:r>
          </w:p>
        </w:tc>
        <w:tc>
          <w:tcPr>
            <w:tcW w:w="234" w:type="pct"/>
            <w:gridSpan w:val="2"/>
            <w:noWrap/>
            <w:hideMark/>
          </w:tcPr>
          <w:p w14:paraId="452EF2DD"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100,6</w:t>
            </w:r>
          </w:p>
        </w:tc>
        <w:tc>
          <w:tcPr>
            <w:tcW w:w="169" w:type="pct"/>
            <w:noWrap/>
            <w:hideMark/>
          </w:tcPr>
          <w:p w14:paraId="3527DEFA" w14:textId="77777777" w:rsidR="00DA689C" w:rsidRPr="00DA68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74,5</w:t>
            </w:r>
          </w:p>
        </w:tc>
      </w:tr>
      <w:tr w:rsidR="00CE233D" w:rsidRPr="00DA689C" w14:paraId="73DDE7CF"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77" w:type="pct"/>
            <w:hideMark/>
          </w:tcPr>
          <w:p w14:paraId="42695897" w14:textId="77777777" w:rsidR="00DA689C" w:rsidRPr="00DA689C" w:rsidRDefault="00DA689C" w:rsidP="00DA689C">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Total, CHELTUIELI:</w:t>
            </w:r>
          </w:p>
        </w:tc>
        <w:tc>
          <w:tcPr>
            <w:tcW w:w="267" w:type="pct"/>
            <w:hideMark/>
          </w:tcPr>
          <w:p w14:paraId="5E787DB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5900,0</w:t>
            </w:r>
          </w:p>
        </w:tc>
        <w:tc>
          <w:tcPr>
            <w:tcW w:w="283" w:type="pct"/>
            <w:hideMark/>
          </w:tcPr>
          <w:p w14:paraId="4F7B755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5233,9</w:t>
            </w:r>
          </w:p>
        </w:tc>
        <w:tc>
          <w:tcPr>
            <w:tcW w:w="244" w:type="pct"/>
            <w:hideMark/>
          </w:tcPr>
          <w:p w14:paraId="4E50D28F"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-666,1</w:t>
            </w:r>
          </w:p>
        </w:tc>
        <w:tc>
          <w:tcPr>
            <w:tcW w:w="246" w:type="pct"/>
            <w:gridSpan w:val="2"/>
            <w:hideMark/>
          </w:tcPr>
          <w:p w14:paraId="0DAA96E3"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-11,3</w:t>
            </w:r>
          </w:p>
        </w:tc>
        <w:tc>
          <w:tcPr>
            <w:tcW w:w="286" w:type="pct"/>
            <w:noWrap/>
            <w:hideMark/>
          </w:tcPr>
          <w:p w14:paraId="646B3B4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2124,6</w:t>
            </w:r>
          </w:p>
        </w:tc>
        <w:tc>
          <w:tcPr>
            <w:tcW w:w="276" w:type="pct"/>
            <w:gridSpan w:val="2"/>
            <w:noWrap/>
            <w:hideMark/>
          </w:tcPr>
          <w:p w14:paraId="00CD470B"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10906,1</w:t>
            </w:r>
          </w:p>
        </w:tc>
        <w:tc>
          <w:tcPr>
            <w:tcW w:w="225" w:type="pct"/>
            <w:noWrap/>
            <w:hideMark/>
          </w:tcPr>
          <w:p w14:paraId="5E2B325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8781,5</w:t>
            </w:r>
          </w:p>
        </w:tc>
        <w:tc>
          <w:tcPr>
            <w:tcW w:w="241" w:type="pct"/>
            <w:gridSpan w:val="2"/>
            <w:noWrap/>
            <w:hideMark/>
          </w:tcPr>
          <w:p w14:paraId="3A36CFB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413,3</w:t>
            </w:r>
          </w:p>
        </w:tc>
        <w:tc>
          <w:tcPr>
            <w:tcW w:w="286" w:type="pct"/>
            <w:noWrap/>
            <w:hideMark/>
          </w:tcPr>
          <w:p w14:paraId="63CB161D"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9047,0</w:t>
            </w:r>
          </w:p>
        </w:tc>
        <w:tc>
          <w:tcPr>
            <w:tcW w:w="276" w:type="pct"/>
            <w:gridSpan w:val="2"/>
            <w:noWrap/>
            <w:hideMark/>
          </w:tcPr>
          <w:p w14:paraId="011C3BB1"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8192,8</w:t>
            </w:r>
          </w:p>
        </w:tc>
        <w:tc>
          <w:tcPr>
            <w:tcW w:w="225" w:type="pct"/>
            <w:gridSpan w:val="2"/>
            <w:noWrap/>
            <w:hideMark/>
          </w:tcPr>
          <w:p w14:paraId="332AB105"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-854,2</w:t>
            </w:r>
          </w:p>
        </w:tc>
        <w:tc>
          <w:tcPr>
            <w:tcW w:w="223" w:type="pct"/>
            <w:gridSpan w:val="2"/>
            <w:noWrap/>
            <w:hideMark/>
          </w:tcPr>
          <w:p w14:paraId="07D5DDBE"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-9,4</w:t>
            </w:r>
          </w:p>
        </w:tc>
        <w:tc>
          <w:tcPr>
            <w:tcW w:w="286" w:type="pct"/>
            <w:gridSpan w:val="2"/>
            <w:noWrap/>
            <w:hideMark/>
          </w:tcPr>
          <w:p w14:paraId="32A8879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12850,3</w:t>
            </w:r>
          </w:p>
        </w:tc>
        <w:tc>
          <w:tcPr>
            <w:tcW w:w="256" w:type="pct"/>
            <w:gridSpan w:val="2"/>
            <w:noWrap/>
            <w:hideMark/>
          </w:tcPr>
          <w:p w14:paraId="0666B1F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11795,5</w:t>
            </w:r>
          </w:p>
        </w:tc>
        <w:tc>
          <w:tcPr>
            <w:tcW w:w="234" w:type="pct"/>
            <w:gridSpan w:val="2"/>
            <w:noWrap/>
            <w:hideMark/>
          </w:tcPr>
          <w:p w14:paraId="2CC532F8"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-1054,8</w:t>
            </w:r>
          </w:p>
        </w:tc>
        <w:tc>
          <w:tcPr>
            <w:tcW w:w="169" w:type="pct"/>
            <w:noWrap/>
            <w:hideMark/>
          </w:tcPr>
          <w:p w14:paraId="24413012" w14:textId="77777777" w:rsidR="00DA689C" w:rsidRPr="00DA689C" w:rsidRDefault="00DA689C" w:rsidP="00DA689C">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-8,2</w:t>
            </w:r>
          </w:p>
        </w:tc>
      </w:tr>
      <w:tr w:rsidR="00136C4E" w:rsidRPr="00AC25EC" w14:paraId="72234116"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4339" w:type="pct"/>
            <w:gridSpan w:val="20"/>
            <w:noWrap/>
            <w:hideMark/>
          </w:tcPr>
          <w:p w14:paraId="2312DA6A" w14:textId="77777777" w:rsidR="00DA689C" w:rsidRPr="00255E9C" w:rsidRDefault="00DA689C" w:rsidP="00DA689C">
            <w:pPr>
              <w:rPr>
                <w:rFonts w:ascii="Calibri Light" w:eastAsia="Times New Roman" w:hAnsi="Calibri Light" w:cs="Calibri Light"/>
                <w:b w:val="0"/>
                <w:i/>
                <w:iCs/>
                <w:color w:val="000000"/>
                <w:sz w:val="18"/>
                <w:szCs w:val="18"/>
              </w:rPr>
            </w:pPr>
            <w:r w:rsidRPr="00C9454C">
              <w:rPr>
                <w:rFonts w:ascii="Calibri Light" w:eastAsia="Times New Roman" w:hAnsi="Calibri Light" w:cs="Calibri Light"/>
                <w:i/>
                <w:iCs/>
                <w:color w:val="000000"/>
                <w:sz w:val="18"/>
                <w:szCs w:val="18"/>
              </w:rPr>
              <w:t>Sursă:</w:t>
            </w:r>
            <w:r w:rsidRPr="00AC25EC">
              <w:rPr>
                <w:rFonts w:ascii="Calibri Light" w:eastAsia="Times New Roman" w:hAnsi="Calibri Light" w:cs="Calibri Light"/>
                <w:color w:val="000000"/>
                <w:sz w:val="18"/>
                <w:szCs w:val="18"/>
              </w:rPr>
              <w:t xml:space="preserve"> </w:t>
            </w:r>
            <w:r w:rsidRPr="0086584F">
              <w:rPr>
                <w:rFonts w:ascii="Calibri Light" w:eastAsia="Times New Roman" w:hAnsi="Calibri Light" w:cs="Calibri Light"/>
                <w:i/>
                <w:iCs/>
                <w:color w:val="000000"/>
                <w:sz w:val="18"/>
                <w:szCs w:val="18"/>
              </w:rPr>
              <w:t>Raportul privind executarea bugetului la 31 decembrie 2020 al APCSP(Forma FD-044); Informația privind cheltuielile ISM, INM, MOLDAC (în funcție de natura acestora) pe anul 2020 .</w:t>
            </w:r>
          </w:p>
        </w:tc>
        <w:tc>
          <w:tcPr>
            <w:tcW w:w="256" w:type="pct"/>
            <w:gridSpan w:val="2"/>
            <w:noWrap/>
            <w:hideMark/>
          </w:tcPr>
          <w:p w14:paraId="2551C716" w14:textId="77777777" w:rsidR="00DA689C" w:rsidRPr="00255E9C" w:rsidRDefault="00DA689C" w:rsidP="00DA689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8"/>
                <w:szCs w:val="18"/>
              </w:rPr>
            </w:pPr>
          </w:p>
        </w:tc>
        <w:tc>
          <w:tcPr>
            <w:tcW w:w="234" w:type="pct"/>
            <w:gridSpan w:val="2"/>
            <w:noWrap/>
            <w:hideMark/>
          </w:tcPr>
          <w:p w14:paraId="4D4F61C5" w14:textId="77777777" w:rsidR="00DA689C" w:rsidRPr="00C9454C" w:rsidRDefault="00DA689C" w:rsidP="00DA68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69" w:type="pct"/>
            <w:gridSpan w:val="2"/>
            <w:noWrap/>
            <w:hideMark/>
          </w:tcPr>
          <w:p w14:paraId="7966A70B" w14:textId="77777777" w:rsidR="00DA689C" w:rsidRPr="00AC25EC" w:rsidRDefault="00DA689C" w:rsidP="00DA689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bl>
    <w:p w14:paraId="209C8DE7" w14:textId="77777777" w:rsidR="00DA689C" w:rsidRPr="00255E9C" w:rsidRDefault="00DA689C" w:rsidP="00DA689C"/>
    <w:p w14:paraId="6515C2DF" w14:textId="64643CF3" w:rsidR="00123560" w:rsidRDefault="00123560">
      <w:pPr>
        <w:rPr>
          <w:rFonts w:asciiTheme="majorHAnsi" w:hAnsiTheme="majorHAnsi" w:cstheme="majorHAnsi"/>
          <w:sz w:val="24"/>
          <w:szCs w:val="24"/>
          <w:lang w:eastAsia="ro-MD"/>
        </w:rPr>
      </w:pPr>
    </w:p>
    <w:p w14:paraId="47950038" w14:textId="77777777" w:rsidR="003C2807" w:rsidRDefault="003C2807" w:rsidP="00123560">
      <w:pPr>
        <w:ind w:firstLine="708"/>
        <w:jc w:val="right"/>
        <w:rPr>
          <w:rFonts w:asciiTheme="majorHAnsi" w:hAnsiTheme="majorHAnsi" w:cstheme="majorHAnsi"/>
          <w:b/>
          <w:sz w:val="24"/>
          <w:szCs w:val="24"/>
          <w:lang w:eastAsia="ro-MD"/>
        </w:rPr>
      </w:pPr>
    </w:p>
    <w:p w14:paraId="31841273" w14:textId="37992AD5" w:rsidR="003C2807" w:rsidRDefault="0086584F" w:rsidP="00255E9C">
      <w:pPr>
        <w:tabs>
          <w:tab w:val="left" w:pos="9390"/>
        </w:tabs>
        <w:ind w:firstLine="708"/>
        <w:rPr>
          <w:rFonts w:asciiTheme="majorHAnsi" w:hAnsiTheme="majorHAnsi" w:cstheme="majorHAnsi"/>
          <w:b/>
          <w:sz w:val="24"/>
          <w:szCs w:val="24"/>
          <w:lang w:eastAsia="ro-MD"/>
        </w:rPr>
      </w:pPr>
      <w:r>
        <w:rPr>
          <w:rFonts w:asciiTheme="majorHAnsi" w:hAnsiTheme="majorHAnsi" w:cstheme="majorHAnsi"/>
          <w:b/>
          <w:sz w:val="24"/>
          <w:szCs w:val="24"/>
          <w:lang w:eastAsia="ro-MD"/>
        </w:rPr>
        <w:tab/>
      </w:r>
    </w:p>
    <w:p w14:paraId="7EF77ECB" w14:textId="77777777" w:rsidR="003C2807" w:rsidRDefault="003C2807" w:rsidP="00123560">
      <w:pPr>
        <w:ind w:firstLine="708"/>
        <w:jc w:val="right"/>
        <w:rPr>
          <w:rFonts w:asciiTheme="majorHAnsi" w:hAnsiTheme="majorHAnsi" w:cstheme="majorHAnsi"/>
          <w:b/>
          <w:sz w:val="24"/>
          <w:szCs w:val="24"/>
          <w:lang w:eastAsia="ro-MD"/>
        </w:rPr>
      </w:pPr>
    </w:p>
    <w:p w14:paraId="222965F0" w14:textId="77777777" w:rsidR="003C2807" w:rsidRDefault="003C2807" w:rsidP="00123560">
      <w:pPr>
        <w:ind w:firstLine="708"/>
        <w:jc w:val="right"/>
        <w:rPr>
          <w:rFonts w:asciiTheme="majorHAnsi" w:hAnsiTheme="majorHAnsi" w:cstheme="majorHAnsi"/>
          <w:b/>
          <w:sz w:val="24"/>
          <w:szCs w:val="24"/>
          <w:lang w:eastAsia="ro-MD"/>
        </w:rPr>
      </w:pPr>
    </w:p>
    <w:p w14:paraId="36DE0859" w14:textId="77777777" w:rsidR="003C2807" w:rsidRDefault="003C2807" w:rsidP="00123560">
      <w:pPr>
        <w:ind w:firstLine="708"/>
        <w:jc w:val="right"/>
        <w:rPr>
          <w:rFonts w:asciiTheme="majorHAnsi" w:hAnsiTheme="majorHAnsi" w:cstheme="majorHAnsi"/>
          <w:b/>
          <w:sz w:val="24"/>
          <w:szCs w:val="24"/>
          <w:lang w:eastAsia="ro-MD"/>
        </w:rPr>
      </w:pPr>
    </w:p>
    <w:p w14:paraId="0813B6B1" w14:textId="77777777" w:rsidR="003C2807" w:rsidRDefault="003C2807" w:rsidP="00123560">
      <w:pPr>
        <w:ind w:firstLine="708"/>
        <w:jc w:val="right"/>
        <w:rPr>
          <w:rFonts w:asciiTheme="majorHAnsi" w:hAnsiTheme="majorHAnsi" w:cstheme="majorHAnsi"/>
          <w:b/>
          <w:sz w:val="24"/>
          <w:szCs w:val="24"/>
          <w:lang w:eastAsia="ro-MD"/>
        </w:rPr>
      </w:pPr>
    </w:p>
    <w:p w14:paraId="60D1E4B7" w14:textId="77777777" w:rsidR="003C2807" w:rsidRDefault="003C2807" w:rsidP="00123560">
      <w:pPr>
        <w:ind w:firstLine="708"/>
        <w:jc w:val="right"/>
        <w:rPr>
          <w:rFonts w:asciiTheme="majorHAnsi" w:hAnsiTheme="majorHAnsi" w:cstheme="majorHAnsi"/>
          <w:b/>
          <w:sz w:val="24"/>
          <w:szCs w:val="24"/>
          <w:lang w:eastAsia="ro-MD"/>
        </w:rPr>
      </w:pPr>
    </w:p>
    <w:p w14:paraId="3D30366D" w14:textId="77777777" w:rsidR="003C2807" w:rsidRDefault="003C2807" w:rsidP="00123560">
      <w:pPr>
        <w:ind w:firstLine="708"/>
        <w:jc w:val="right"/>
        <w:rPr>
          <w:rFonts w:asciiTheme="majorHAnsi" w:hAnsiTheme="majorHAnsi" w:cstheme="majorHAnsi"/>
          <w:b/>
          <w:sz w:val="24"/>
          <w:szCs w:val="24"/>
          <w:lang w:eastAsia="ro-MD"/>
        </w:rPr>
      </w:pPr>
    </w:p>
    <w:p w14:paraId="44D29EA2" w14:textId="77777777" w:rsidR="003C2807" w:rsidRDefault="003C2807" w:rsidP="00123560">
      <w:pPr>
        <w:ind w:firstLine="708"/>
        <w:jc w:val="right"/>
        <w:rPr>
          <w:rFonts w:asciiTheme="majorHAnsi" w:hAnsiTheme="majorHAnsi" w:cstheme="majorHAnsi"/>
          <w:b/>
          <w:sz w:val="24"/>
          <w:szCs w:val="24"/>
          <w:lang w:eastAsia="ro-MD"/>
        </w:rPr>
      </w:pPr>
    </w:p>
    <w:p w14:paraId="03C7F4EB" w14:textId="77777777" w:rsidR="003C2807" w:rsidRDefault="003C2807" w:rsidP="00123560">
      <w:pPr>
        <w:ind w:firstLine="708"/>
        <w:jc w:val="right"/>
        <w:rPr>
          <w:rFonts w:asciiTheme="majorHAnsi" w:hAnsiTheme="majorHAnsi" w:cstheme="majorHAnsi"/>
          <w:b/>
          <w:sz w:val="24"/>
          <w:szCs w:val="24"/>
          <w:lang w:eastAsia="ro-MD"/>
        </w:rPr>
      </w:pPr>
    </w:p>
    <w:p w14:paraId="4139DF64" w14:textId="60484981" w:rsidR="003C2807" w:rsidRPr="00255E9C" w:rsidRDefault="00123560" w:rsidP="003C2807">
      <w:pPr>
        <w:ind w:firstLine="708"/>
        <w:jc w:val="right"/>
        <w:rPr>
          <w:rFonts w:asciiTheme="majorHAnsi" w:hAnsiTheme="majorHAnsi" w:cstheme="majorHAnsi"/>
          <w:b/>
          <w:i/>
          <w:sz w:val="24"/>
          <w:szCs w:val="24"/>
          <w:lang w:eastAsia="ro-MD"/>
        </w:rPr>
      </w:pPr>
      <w:r w:rsidRPr="00255E9C">
        <w:rPr>
          <w:rFonts w:asciiTheme="majorHAnsi" w:hAnsiTheme="majorHAnsi" w:cstheme="majorHAnsi"/>
          <w:b/>
          <w:i/>
          <w:sz w:val="24"/>
          <w:szCs w:val="24"/>
          <w:lang w:eastAsia="ro-MD"/>
        </w:rPr>
        <w:t>Tabelul nr.6</w:t>
      </w:r>
      <w:r w:rsidR="003C2807" w:rsidRPr="00255E9C">
        <w:rPr>
          <w:rFonts w:asciiTheme="majorHAnsi" w:hAnsiTheme="majorHAnsi" w:cstheme="majorHAnsi"/>
          <w:b/>
          <w:i/>
          <w:sz w:val="24"/>
          <w:szCs w:val="24"/>
          <w:lang w:eastAsia="ro-MD"/>
        </w:rPr>
        <w:t>.2</w:t>
      </w:r>
      <w:r w:rsidR="0082062B">
        <w:rPr>
          <w:rFonts w:asciiTheme="majorHAnsi" w:hAnsiTheme="majorHAnsi" w:cstheme="majorHAnsi"/>
          <w:b/>
          <w:i/>
          <w:sz w:val="24"/>
          <w:szCs w:val="24"/>
          <w:lang w:eastAsia="ro-MD"/>
        </w:rPr>
        <w:t>.</w:t>
      </w:r>
    </w:p>
    <w:tbl>
      <w:tblPr>
        <w:tblStyle w:val="PlainTable2"/>
        <w:tblW w:w="5000" w:type="pct"/>
        <w:tblLook w:val="04A0" w:firstRow="1" w:lastRow="0" w:firstColumn="1" w:lastColumn="0" w:noHBand="0" w:noVBand="1"/>
      </w:tblPr>
      <w:tblGrid>
        <w:gridCol w:w="1605"/>
        <w:gridCol w:w="843"/>
        <w:gridCol w:w="810"/>
        <w:gridCol w:w="667"/>
        <w:gridCol w:w="840"/>
        <w:gridCol w:w="843"/>
        <w:gridCol w:w="810"/>
        <w:gridCol w:w="708"/>
        <w:gridCol w:w="840"/>
        <w:gridCol w:w="843"/>
        <w:gridCol w:w="810"/>
        <w:gridCol w:w="667"/>
        <w:gridCol w:w="840"/>
        <w:gridCol w:w="843"/>
        <w:gridCol w:w="810"/>
        <w:gridCol w:w="667"/>
        <w:gridCol w:w="840"/>
      </w:tblGrid>
      <w:tr w:rsidR="003C2807" w:rsidRPr="00DA689C" w14:paraId="42C5E34A" w14:textId="77777777" w:rsidTr="00136C4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891" w:type="pct"/>
            <w:gridSpan w:val="13"/>
            <w:noWrap/>
            <w:hideMark/>
          </w:tcPr>
          <w:p w14:paraId="3E3EEE01" w14:textId="6FE15257" w:rsidR="003C2807" w:rsidRPr="00DA689C" w:rsidRDefault="003C2807" w:rsidP="00461A81">
            <w:pPr>
              <w:rPr>
                <w:rFonts w:ascii="Calibri Light" w:eastAsia="Times New Roman" w:hAnsi="Calibri Light" w:cs="Calibri Light"/>
                <w:color w:val="000000"/>
                <w:sz w:val="24"/>
                <w:szCs w:val="24"/>
              </w:rPr>
            </w:pPr>
            <w:r w:rsidRPr="00DA689C">
              <w:rPr>
                <w:rFonts w:ascii="Calibri Light" w:eastAsia="Times New Roman" w:hAnsi="Calibri Light" w:cs="Calibri Light"/>
                <w:color w:val="000000"/>
                <w:sz w:val="24"/>
                <w:szCs w:val="24"/>
              </w:rPr>
              <w:t xml:space="preserve">                         Cheltuielile </w:t>
            </w:r>
            <w:r w:rsidRPr="008B1639">
              <w:rPr>
                <w:rFonts w:ascii="Calibri Light" w:eastAsia="Times New Roman" w:hAnsi="Calibri Light" w:cs="Calibri Light"/>
                <w:color w:val="000000"/>
                <w:sz w:val="24"/>
                <w:szCs w:val="24"/>
              </w:rPr>
              <w:t xml:space="preserve">instituțiilor </w:t>
            </w:r>
            <w:r w:rsidR="00CE233D" w:rsidRPr="008B1639">
              <w:rPr>
                <w:rFonts w:ascii="Calibri Light" w:eastAsia="Times New Roman" w:hAnsi="Calibri Light" w:cs="Calibri Light"/>
                <w:color w:val="000000"/>
                <w:sz w:val="24"/>
                <w:szCs w:val="24"/>
              </w:rPr>
              <w:t>publice</w:t>
            </w:r>
            <w:r w:rsidR="00CE233D">
              <w:rPr>
                <w:rFonts w:ascii="Calibri Light" w:eastAsia="Times New Roman" w:hAnsi="Calibri Light" w:cs="Calibri Light"/>
                <w:color w:val="000000"/>
                <w:sz w:val="24"/>
                <w:szCs w:val="24"/>
              </w:rPr>
              <w:t xml:space="preserve"> </w:t>
            </w:r>
            <w:r w:rsidRPr="00DA689C">
              <w:rPr>
                <w:rFonts w:ascii="Calibri Light" w:eastAsia="Times New Roman" w:hAnsi="Calibri Light" w:cs="Calibri Light"/>
                <w:color w:val="000000"/>
                <w:sz w:val="24"/>
                <w:szCs w:val="24"/>
              </w:rPr>
              <w:t xml:space="preserve">din domeniul infrastructurii calității </w:t>
            </w:r>
            <w:r w:rsidR="0082062B">
              <w:rPr>
                <w:rFonts w:ascii="Calibri Light" w:eastAsia="Times New Roman" w:hAnsi="Calibri Light" w:cs="Calibri Light"/>
                <w:color w:val="000000"/>
                <w:sz w:val="24"/>
                <w:szCs w:val="24"/>
              </w:rPr>
              <w:t>în</w:t>
            </w:r>
            <w:r w:rsidRPr="00DA689C">
              <w:rPr>
                <w:rFonts w:ascii="Calibri Light" w:eastAsia="Times New Roman" w:hAnsi="Calibri Light" w:cs="Calibri Light"/>
                <w:color w:val="000000"/>
                <w:sz w:val="24"/>
                <w:szCs w:val="24"/>
              </w:rPr>
              <w:t xml:space="preserve"> an</w:t>
            </w:r>
            <w:r w:rsidR="0082062B">
              <w:rPr>
                <w:rFonts w:ascii="Calibri Light" w:eastAsia="Times New Roman" w:hAnsi="Calibri Light" w:cs="Calibri Light"/>
                <w:color w:val="000000"/>
                <w:sz w:val="24"/>
                <w:szCs w:val="24"/>
              </w:rPr>
              <w:t>ul</w:t>
            </w:r>
            <w:r w:rsidRPr="00DA689C">
              <w:rPr>
                <w:rFonts w:ascii="Calibri Light" w:eastAsia="Times New Roman" w:hAnsi="Calibri Light" w:cs="Calibri Light"/>
                <w:color w:val="000000"/>
                <w:sz w:val="24"/>
                <w:szCs w:val="24"/>
              </w:rPr>
              <w:t xml:space="preserve"> 2021, după natura acestora</w:t>
            </w:r>
          </w:p>
        </w:tc>
        <w:tc>
          <w:tcPr>
            <w:tcW w:w="296" w:type="pct"/>
            <w:noWrap/>
            <w:hideMark/>
          </w:tcPr>
          <w:p w14:paraId="0F3D6CB1" w14:textId="77777777" w:rsidR="003C2807" w:rsidRPr="00DA689C" w:rsidRDefault="003C2807" w:rsidP="00461A81">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4"/>
                <w:szCs w:val="24"/>
              </w:rPr>
            </w:pPr>
          </w:p>
        </w:tc>
        <w:tc>
          <w:tcPr>
            <w:tcW w:w="285" w:type="pct"/>
            <w:noWrap/>
            <w:hideMark/>
          </w:tcPr>
          <w:p w14:paraId="427F6AFD" w14:textId="77777777" w:rsidR="003C2807" w:rsidRPr="00DA689C" w:rsidRDefault="003C2807" w:rsidP="00461A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34" w:type="pct"/>
            <w:noWrap/>
            <w:hideMark/>
          </w:tcPr>
          <w:p w14:paraId="2D383797" w14:textId="77777777" w:rsidR="003C2807" w:rsidRPr="00DA689C" w:rsidRDefault="003C2807" w:rsidP="00461A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95" w:type="pct"/>
            <w:noWrap/>
            <w:hideMark/>
          </w:tcPr>
          <w:p w14:paraId="60B960DD" w14:textId="77777777" w:rsidR="003C2807" w:rsidRPr="00DA689C" w:rsidRDefault="003C2807" w:rsidP="00461A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C2807" w:rsidRPr="00DA689C" w14:paraId="0FD21DE1" w14:textId="77777777" w:rsidTr="00136C4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49" w:type="pct"/>
            <w:vMerge w:val="restart"/>
            <w:hideMark/>
          </w:tcPr>
          <w:p w14:paraId="3CAD6207" w14:textId="77777777" w:rsidR="003C2807" w:rsidRPr="00DA689C" w:rsidRDefault="003C2807" w:rsidP="00461A81">
            <w:pPr>
              <w:jc w:val="cente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Denumirea indicatorului</w:t>
            </w:r>
          </w:p>
        </w:tc>
        <w:tc>
          <w:tcPr>
            <w:tcW w:w="580" w:type="pct"/>
            <w:gridSpan w:val="2"/>
            <w:hideMark/>
          </w:tcPr>
          <w:p w14:paraId="62967FB5"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ISM:</w:t>
            </w:r>
          </w:p>
        </w:tc>
        <w:tc>
          <w:tcPr>
            <w:tcW w:w="529" w:type="pct"/>
            <w:gridSpan w:val="2"/>
            <w:vMerge w:val="restart"/>
            <w:hideMark/>
          </w:tcPr>
          <w:p w14:paraId="42AE2270"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a.2021</w:t>
            </w:r>
          </w:p>
        </w:tc>
        <w:tc>
          <w:tcPr>
            <w:tcW w:w="580" w:type="pct"/>
            <w:gridSpan w:val="2"/>
            <w:hideMark/>
          </w:tcPr>
          <w:p w14:paraId="2D6BFACE"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INM:</w:t>
            </w:r>
          </w:p>
        </w:tc>
        <w:tc>
          <w:tcPr>
            <w:tcW w:w="543" w:type="pct"/>
            <w:gridSpan w:val="2"/>
            <w:vMerge w:val="restart"/>
            <w:hideMark/>
          </w:tcPr>
          <w:p w14:paraId="22817BB1"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a.2021</w:t>
            </w:r>
          </w:p>
        </w:tc>
        <w:tc>
          <w:tcPr>
            <w:tcW w:w="580" w:type="pct"/>
            <w:gridSpan w:val="2"/>
            <w:hideMark/>
          </w:tcPr>
          <w:p w14:paraId="5C72FA62"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MOLDAC:</w:t>
            </w:r>
          </w:p>
        </w:tc>
        <w:tc>
          <w:tcPr>
            <w:tcW w:w="529" w:type="pct"/>
            <w:gridSpan w:val="2"/>
            <w:vMerge w:val="restart"/>
            <w:hideMark/>
          </w:tcPr>
          <w:p w14:paraId="41FC6D93"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a.2021</w:t>
            </w:r>
          </w:p>
        </w:tc>
        <w:tc>
          <w:tcPr>
            <w:tcW w:w="580" w:type="pct"/>
            <w:gridSpan w:val="2"/>
            <w:hideMark/>
          </w:tcPr>
          <w:p w14:paraId="0C04706E"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Cheltuieli APCSP:</w:t>
            </w:r>
          </w:p>
        </w:tc>
        <w:tc>
          <w:tcPr>
            <w:tcW w:w="529" w:type="pct"/>
            <w:gridSpan w:val="2"/>
            <w:vMerge w:val="restart"/>
            <w:hideMark/>
          </w:tcPr>
          <w:p w14:paraId="2159DF24"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Devieri în executat față de planificat a.2021</w:t>
            </w:r>
          </w:p>
        </w:tc>
      </w:tr>
      <w:tr w:rsidR="003C2807" w:rsidRPr="00DA689C" w14:paraId="227D5DC7" w14:textId="77777777" w:rsidTr="00136C4E">
        <w:trPr>
          <w:trHeight w:val="720"/>
        </w:trPr>
        <w:tc>
          <w:tcPr>
            <w:cnfStyle w:val="001000000000" w:firstRow="0" w:lastRow="0" w:firstColumn="1" w:lastColumn="0" w:oddVBand="0" w:evenVBand="0" w:oddHBand="0" w:evenHBand="0" w:firstRowFirstColumn="0" w:firstRowLastColumn="0" w:lastRowFirstColumn="0" w:lastRowLastColumn="0"/>
            <w:tcW w:w="549" w:type="pct"/>
            <w:vMerge/>
            <w:hideMark/>
          </w:tcPr>
          <w:p w14:paraId="0AD10441" w14:textId="77777777" w:rsidR="003C2807" w:rsidRPr="00DA689C" w:rsidRDefault="003C2807" w:rsidP="00461A81">
            <w:pPr>
              <w:rPr>
                <w:rFonts w:ascii="Calibri Light" w:eastAsia="Times New Roman" w:hAnsi="Calibri Light" w:cs="Calibri Light"/>
                <w:color w:val="000000"/>
                <w:sz w:val="18"/>
                <w:szCs w:val="18"/>
              </w:rPr>
            </w:pPr>
          </w:p>
        </w:tc>
        <w:tc>
          <w:tcPr>
            <w:tcW w:w="295" w:type="pct"/>
            <w:hideMark/>
          </w:tcPr>
          <w:p w14:paraId="0F9CD7FB"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2021</w:t>
            </w:r>
          </w:p>
        </w:tc>
        <w:tc>
          <w:tcPr>
            <w:tcW w:w="284" w:type="pct"/>
            <w:hideMark/>
          </w:tcPr>
          <w:p w14:paraId="0F166BAA"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2021</w:t>
            </w:r>
          </w:p>
        </w:tc>
        <w:tc>
          <w:tcPr>
            <w:tcW w:w="529" w:type="pct"/>
            <w:gridSpan w:val="2"/>
            <w:vMerge/>
            <w:hideMark/>
          </w:tcPr>
          <w:p w14:paraId="6A2D041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96" w:type="pct"/>
            <w:hideMark/>
          </w:tcPr>
          <w:p w14:paraId="5C01D990"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2021</w:t>
            </w:r>
          </w:p>
        </w:tc>
        <w:tc>
          <w:tcPr>
            <w:tcW w:w="285" w:type="pct"/>
            <w:hideMark/>
          </w:tcPr>
          <w:p w14:paraId="4E045DE6"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2021</w:t>
            </w:r>
          </w:p>
        </w:tc>
        <w:tc>
          <w:tcPr>
            <w:tcW w:w="543" w:type="pct"/>
            <w:gridSpan w:val="2"/>
            <w:vMerge/>
            <w:hideMark/>
          </w:tcPr>
          <w:p w14:paraId="189332A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96" w:type="pct"/>
            <w:hideMark/>
          </w:tcPr>
          <w:p w14:paraId="620BBC76"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2021</w:t>
            </w:r>
          </w:p>
        </w:tc>
        <w:tc>
          <w:tcPr>
            <w:tcW w:w="285" w:type="pct"/>
            <w:hideMark/>
          </w:tcPr>
          <w:p w14:paraId="7749DBBF"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2021</w:t>
            </w:r>
          </w:p>
        </w:tc>
        <w:tc>
          <w:tcPr>
            <w:tcW w:w="529" w:type="pct"/>
            <w:gridSpan w:val="2"/>
            <w:vMerge/>
            <w:hideMark/>
          </w:tcPr>
          <w:p w14:paraId="6780294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c>
          <w:tcPr>
            <w:tcW w:w="296" w:type="pct"/>
            <w:hideMark/>
          </w:tcPr>
          <w:p w14:paraId="3ABC11B6"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planificate 2021</w:t>
            </w:r>
          </w:p>
        </w:tc>
        <w:tc>
          <w:tcPr>
            <w:tcW w:w="285" w:type="pct"/>
            <w:hideMark/>
          </w:tcPr>
          <w:p w14:paraId="5C003E32"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executate 2021</w:t>
            </w:r>
          </w:p>
        </w:tc>
        <w:tc>
          <w:tcPr>
            <w:tcW w:w="529" w:type="pct"/>
            <w:gridSpan w:val="2"/>
            <w:vMerge/>
            <w:hideMark/>
          </w:tcPr>
          <w:p w14:paraId="105EDE2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p>
        </w:tc>
      </w:tr>
      <w:tr w:rsidR="003C2807" w:rsidRPr="00DA689C" w14:paraId="09283409" w14:textId="77777777" w:rsidTr="00136C4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49" w:type="pct"/>
            <w:vMerge w:val="restart"/>
            <w:hideMark/>
          </w:tcPr>
          <w:p w14:paraId="3E836C71" w14:textId="77777777" w:rsidR="003C2807" w:rsidRPr="00DA689C" w:rsidRDefault="003C2807" w:rsidP="00461A81">
            <w:pPr>
              <w:jc w:val="cente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w:t>
            </w:r>
          </w:p>
        </w:tc>
        <w:tc>
          <w:tcPr>
            <w:tcW w:w="295" w:type="pct"/>
            <w:vMerge w:val="restart"/>
            <w:noWrap/>
            <w:hideMark/>
          </w:tcPr>
          <w:p w14:paraId="52E3FA06"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w:t>
            </w:r>
          </w:p>
        </w:tc>
        <w:tc>
          <w:tcPr>
            <w:tcW w:w="284" w:type="pct"/>
            <w:vMerge w:val="restart"/>
            <w:noWrap/>
            <w:hideMark/>
          </w:tcPr>
          <w:p w14:paraId="0EFBA341"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w:t>
            </w:r>
          </w:p>
        </w:tc>
        <w:tc>
          <w:tcPr>
            <w:tcW w:w="234" w:type="pct"/>
            <w:noWrap/>
            <w:hideMark/>
          </w:tcPr>
          <w:p w14:paraId="66B2BDBE"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 = 3-2,</w:t>
            </w:r>
          </w:p>
        </w:tc>
        <w:tc>
          <w:tcPr>
            <w:tcW w:w="295" w:type="pct"/>
            <w:hideMark/>
          </w:tcPr>
          <w:p w14:paraId="722606A6"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rPr>
            </w:pPr>
            <w:r w:rsidRPr="00DA689C">
              <w:rPr>
                <w:rFonts w:ascii="Calibri Light" w:eastAsia="Times New Roman" w:hAnsi="Calibri Light" w:cs="Calibri Light"/>
                <w:color w:val="000000"/>
                <w:sz w:val="16"/>
                <w:szCs w:val="16"/>
              </w:rPr>
              <w:t>5=3/2*100-100,</w:t>
            </w:r>
          </w:p>
        </w:tc>
        <w:tc>
          <w:tcPr>
            <w:tcW w:w="296" w:type="pct"/>
            <w:vMerge w:val="restart"/>
            <w:noWrap/>
            <w:hideMark/>
          </w:tcPr>
          <w:p w14:paraId="37DA0C56"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w:t>
            </w:r>
          </w:p>
        </w:tc>
        <w:tc>
          <w:tcPr>
            <w:tcW w:w="285" w:type="pct"/>
            <w:vMerge w:val="restart"/>
            <w:noWrap/>
            <w:hideMark/>
          </w:tcPr>
          <w:p w14:paraId="431806CD"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w:t>
            </w:r>
          </w:p>
        </w:tc>
        <w:tc>
          <w:tcPr>
            <w:tcW w:w="248" w:type="pct"/>
            <w:noWrap/>
            <w:hideMark/>
          </w:tcPr>
          <w:p w14:paraId="0BC9ABDC"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 = 3-2,</w:t>
            </w:r>
          </w:p>
        </w:tc>
        <w:tc>
          <w:tcPr>
            <w:tcW w:w="295" w:type="pct"/>
            <w:hideMark/>
          </w:tcPr>
          <w:p w14:paraId="52D2D20A"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rPr>
            </w:pPr>
            <w:r w:rsidRPr="00DA689C">
              <w:rPr>
                <w:rFonts w:ascii="Calibri Light" w:eastAsia="Times New Roman" w:hAnsi="Calibri Light" w:cs="Calibri Light"/>
                <w:color w:val="000000"/>
                <w:sz w:val="16"/>
                <w:szCs w:val="16"/>
              </w:rPr>
              <w:t>5=3/2*100-100,</w:t>
            </w:r>
          </w:p>
        </w:tc>
        <w:tc>
          <w:tcPr>
            <w:tcW w:w="296" w:type="pct"/>
            <w:vMerge w:val="restart"/>
            <w:noWrap/>
            <w:hideMark/>
          </w:tcPr>
          <w:p w14:paraId="7CD0AF88"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w:t>
            </w:r>
          </w:p>
        </w:tc>
        <w:tc>
          <w:tcPr>
            <w:tcW w:w="285" w:type="pct"/>
            <w:vMerge w:val="restart"/>
            <w:noWrap/>
            <w:hideMark/>
          </w:tcPr>
          <w:p w14:paraId="6CEAF5CE"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w:t>
            </w:r>
          </w:p>
        </w:tc>
        <w:tc>
          <w:tcPr>
            <w:tcW w:w="234" w:type="pct"/>
            <w:noWrap/>
            <w:hideMark/>
          </w:tcPr>
          <w:p w14:paraId="0CE4D45A"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 = 3-2,</w:t>
            </w:r>
          </w:p>
        </w:tc>
        <w:tc>
          <w:tcPr>
            <w:tcW w:w="295" w:type="pct"/>
            <w:hideMark/>
          </w:tcPr>
          <w:p w14:paraId="41B3458E"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rPr>
            </w:pPr>
            <w:r w:rsidRPr="00DA689C">
              <w:rPr>
                <w:rFonts w:ascii="Calibri Light" w:eastAsia="Times New Roman" w:hAnsi="Calibri Light" w:cs="Calibri Light"/>
                <w:color w:val="000000"/>
                <w:sz w:val="16"/>
                <w:szCs w:val="16"/>
              </w:rPr>
              <w:t>5=3/2*100-100,</w:t>
            </w:r>
          </w:p>
        </w:tc>
        <w:tc>
          <w:tcPr>
            <w:tcW w:w="296" w:type="pct"/>
            <w:vMerge w:val="restart"/>
            <w:noWrap/>
            <w:hideMark/>
          </w:tcPr>
          <w:p w14:paraId="15802FA8"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w:t>
            </w:r>
          </w:p>
        </w:tc>
        <w:tc>
          <w:tcPr>
            <w:tcW w:w="285" w:type="pct"/>
            <w:vMerge w:val="restart"/>
            <w:noWrap/>
            <w:hideMark/>
          </w:tcPr>
          <w:p w14:paraId="71B0F60D"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w:t>
            </w:r>
          </w:p>
        </w:tc>
        <w:tc>
          <w:tcPr>
            <w:tcW w:w="234" w:type="pct"/>
            <w:noWrap/>
            <w:hideMark/>
          </w:tcPr>
          <w:p w14:paraId="2CDC4F81"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 = 3-2,</w:t>
            </w:r>
          </w:p>
        </w:tc>
        <w:tc>
          <w:tcPr>
            <w:tcW w:w="295" w:type="pct"/>
            <w:hideMark/>
          </w:tcPr>
          <w:p w14:paraId="1AE2C83B" w14:textId="77777777" w:rsidR="003C2807" w:rsidRPr="00DA689C" w:rsidRDefault="003C2807" w:rsidP="00461A81">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rPr>
            </w:pPr>
            <w:r w:rsidRPr="00DA689C">
              <w:rPr>
                <w:rFonts w:ascii="Calibri Light" w:eastAsia="Times New Roman" w:hAnsi="Calibri Light" w:cs="Calibri Light"/>
                <w:color w:val="000000"/>
                <w:sz w:val="16"/>
                <w:szCs w:val="16"/>
              </w:rPr>
              <w:t>5=3/2*100-100,</w:t>
            </w:r>
          </w:p>
        </w:tc>
      </w:tr>
      <w:tr w:rsidR="003C2807" w:rsidRPr="00DA689C" w14:paraId="487C287D"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vMerge/>
            <w:hideMark/>
          </w:tcPr>
          <w:p w14:paraId="66610460" w14:textId="77777777" w:rsidR="003C2807" w:rsidRPr="00DA689C" w:rsidRDefault="003C2807" w:rsidP="00461A81">
            <w:pPr>
              <w:rPr>
                <w:rFonts w:ascii="Calibri Light" w:eastAsia="Times New Roman" w:hAnsi="Calibri Light" w:cs="Calibri Light"/>
                <w:color w:val="000000"/>
                <w:sz w:val="18"/>
                <w:szCs w:val="18"/>
              </w:rPr>
            </w:pPr>
          </w:p>
        </w:tc>
        <w:tc>
          <w:tcPr>
            <w:tcW w:w="295" w:type="pct"/>
            <w:vMerge/>
            <w:hideMark/>
          </w:tcPr>
          <w:p w14:paraId="32F1BF2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84" w:type="pct"/>
            <w:vMerge/>
            <w:hideMark/>
          </w:tcPr>
          <w:p w14:paraId="7F3FF53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34" w:type="pct"/>
            <w:noWrap/>
            <w:hideMark/>
          </w:tcPr>
          <w:p w14:paraId="53AE3C74"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95" w:type="pct"/>
            <w:noWrap/>
            <w:hideMark/>
          </w:tcPr>
          <w:p w14:paraId="5E521E75"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96" w:type="pct"/>
            <w:vMerge/>
            <w:hideMark/>
          </w:tcPr>
          <w:p w14:paraId="0F67531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85" w:type="pct"/>
            <w:vMerge/>
            <w:hideMark/>
          </w:tcPr>
          <w:p w14:paraId="09EA372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48" w:type="pct"/>
            <w:noWrap/>
            <w:hideMark/>
          </w:tcPr>
          <w:p w14:paraId="79527854"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95" w:type="pct"/>
            <w:noWrap/>
            <w:hideMark/>
          </w:tcPr>
          <w:p w14:paraId="6BDF3250"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96" w:type="pct"/>
            <w:vMerge/>
            <w:hideMark/>
          </w:tcPr>
          <w:p w14:paraId="6C9A146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85" w:type="pct"/>
            <w:vMerge/>
            <w:hideMark/>
          </w:tcPr>
          <w:p w14:paraId="6E0CCE0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34" w:type="pct"/>
            <w:noWrap/>
            <w:hideMark/>
          </w:tcPr>
          <w:p w14:paraId="7C4938C2"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95" w:type="pct"/>
            <w:noWrap/>
            <w:hideMark/>
          </w:tcPr>
          <w:p w14:paraId="201376AB"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c>
          <w:tcPr>
            <w:tcW w:w="296" w:type="pct"/>
            <w:vMerge/>
            <w:hideMark/>
          </w:tcPr>
          <w:p w14:paraId="25BC524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85" w:type="pct"/>
            <w:vMerge/>
            <w:hideMark/>
          </w:tcPr>
          <w:p w14:paraId="44ACD3D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p>
        </w:tc>
        <w:tc>
          <w:tcPr>
            <w:tcW w:w="234" w:type="pct"/>
            <w:noWrap/>
            <w:hideMark/>
          </w:tcPr>
          <w:p w14:paraId="3548CB55"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(mii lei)</w:t>
            </w:r>
          </w:p>
        </w:tc>
        <w:tc>
          <w:tcPr>
            <w:tcW w:w="295" w:type="pct"/>
            <w:noWrap/>
            <w:hideMark/>
          </w:tcPr>
          <w:p w14:paraId="44AD53FF" w14:textId="77777777" w:rsidR="003C2807" w:rsidRPr="00DA689C" w:rsidRDefault="003C2807" w:rsidP="00461A8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w:t>
            </w:r>
          </w:p>
        </w:tc>
      </w:tr>
      <w:tr w:rsidR="003C2807" w:rsidRPr="00DA689C" w14:paraId="1D6F2749" w14:textId="77777777" w:rsidTr="00136C4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9" w:type="pct"/>
            <w:hideMark/>
          </w:tcPr>
          <w:p w14:paraId="5E2A2EDB"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Retribuirea muncii angajaților, inclusiv contribuții de asigurări sociale de stat obligatorii și contribuții de asigurare obligatorie de asistență medicală</w:t>
            </w:r>
          </w:p>
        </w:tc>
        <w:tc>
          <w:tcPr>
            <w:tcW w:w="295" w:type="pct"/>
            <w:hideMark/>
          </w:tcPr>
          <w:p w14:paraId="1354738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4763,4</w:t>
            </w:r>
          </w:p>
        </w:tc>
        <w:tc>
          <w:tcPr>
            <w:tcW w:w="284" w:type="pct"/>
            <w:hideMark/>
          </w:tcPr>
          <w:p w14:paraId="29E0F86E"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5142,7</w:t>
            </w:r>
          </w:p>
        </w:tc>
        <w:tc>
          <w:tcPr>
            <w:tcW w:w="234" w:type="pct"/>
            <w:hideMark/>
          </w:tcPr>
          <w:p w14:paraId="36A76D80"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379,3</w:t>
            </w:r>
          </w:p>
        </w:tc>
        <w:tc>
          <w:tcPr>
            <w:tcW w:w="295" w:type="pct"/>
            <w:hideMark/>
          </w:tcPr>
          <w:p w14:paraId="5020A3A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8,0</w:t>
            </w:r>
          </w:p>
        </w:tc>
        <w:tc>
          <w:tcPr>
            <w:tcW w:w="296" w:type="pct"/>
            <w:noWrap/>
            <w:hideMark/>
          </w:tcPr>
          <w:p w14:paraId="0F33744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450,0</w:t>
            </w:r>
          </w:p>
        </w:tc>
        <w:tc>
          <w:tcPr>
            <w:tcW w:w="285" w:type="pct"/>
            <w:noWrap/>
            <w:hideMark/>
          </w:tcPr>
          <w:p w14:paraId="440047CB"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10670,7</w:t>
            </w:r>
          </w:p>
        </w:tc>
        <w:tc>
          <w:tcPr>
            <w:tcW w:w="248" w:type="pct"/>
            <w:noWrap/>
            <w:hideMark/>
          </w:tcPr>
          <w:p w14:paraId="59CF109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10220,7</w:t>
            </w:r>
          </w:p>
        </w:tc>
        <w:tc>
          <w:tcPr>
            <w:tcW w:w="295" w:type="pct"/>
            <w:noWrap/>
            <w:hideMark/>
          </w:tcPr>
          <w:p w14:paraId="77BC1C2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2271,3</w:t>
            </w:r>
          </w:p>
        </w:tc>
        <w:tc>
          <w:tcPr>
            <w:tcW w:w="296" w:type="pct"/>
            <w:noWrap/>
            <w:hideMark/>
          </w:tcPr>
          <w:p w14:paraId="069150A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6056,5</w:t>
            </w:r>
          </w:p>
        </w:tc>
        <w:tc>
          <w:tcPr>
            <w:tcW w:w="285" w:type="pct"/>
            <w:noWrap/>
            <w:hideMark/>
          </w:tcPr>
          <w:p w14:paraId="0FCFBE9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5242,2</w:t>
            </w:r>
          </w:p>
        </w:tc>
        <w:tc>
          <w:tcPr>
            <w:tcW w:w="234" w:type="pct"/>
            <w:noWrap/>
            <w:hideMark/>
          </w:tcPr>
          <w:p w14:paraId="2FD0130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-814,3</w:t>
            </w:r>
          </w:p>
        </w:tc>
        <w:tc>
          <w:tcPr>
            <w:tcW w:w="295" w:type="pct"/>
            <w:noWrap/>
            <w:hideMark/>
          </w:tcPr>
          <w:p w14:paraId="5C76E1C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-13,4</w:t>
            </w:r>
          </w:p>
        </w:tc>
        <w:tc>
          <w:tcPr>
            <w:tcW w:w="296" w:type="pct"/>
            <w:noWrap/>
            <w:hideMark/>
          </w:tcPr>
          <w:p w14:paraId="57BFD71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75ABAB1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2812,2</w:t>
            </w:r>
          </w:p>
        </w:tc>
        <w:tc>
          <w:tcPr>
            <w:tcW w:w="234" w:type="pct"/>
            <w:noWrap/>
            <w:hideMark/>
          </w:tcPr>
          <w:p w14:paraId="55CF05A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2812,2</w:t>
            </w:r>
          </w:p>
        </w:tc>
        <w:tc>
          <w:tcPr>
            <w:tcW w:w="295" w:type="pct"/>
            <w:noWrap/>
            <w:hideMark/>
          </w:tcPr>
          <w:p w14:paraId="02193E1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3FFDA586"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4C42E0D5"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utilizarea stocurilor de materiale circulante</w:t>
            </w:r>
          </w:p>
        </w:tc>
        <w:tc>
          <w:tcPr>
            <w:tcW w:w="295" w:type="pct"/>
            <w:hideMark/>
          </w:tcPr>
          <w:p w14:paraId="3CB8168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76,7</w:t>
            </w:r>
          </w:p>
        </w:tc>
        <w:tc>
          <w:tcPr>
            <w:tcW w:w="284" w:type="pct"/>
            <w:hideMark/>
          </w:tcPr>
          <w:p w14:paraId="7D45405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73,4</w:t>
            </w:r>
          </w:p>
        </w:tc>
        <w:tc>
          <w:tcPr>
            <w:tcW w:w="234" w:type="pct"/>
            <w:hideMark/>
          </w:tcPr>
          <w:p w14:paraId="64C30B4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-3,3</w:t>
            </w:r>
          </w:p>
        </w:tc>
        <w:tc>
          <w:tcPr>
            <w:tcW w:w="295" w:type="pct"/>
            <w:hideMark/>
          </w:tcPr>
          <w:p w14:paraId="29944E0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-4,3</w:t>
            </w:r>
          </w:p>
        </w:tc>
        <w:tc>
          <w:tcPr>
            <w:tcW w:w="296" w:type="pct"/>
            <w:noWrap/>
            <w:hideMark/>
          </w:tcPr>
          <w:p w14:paraId="398234F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210,0</w:t>
            </w:r>
          </w:p>
        </w:tc>
        <w:tc>
          <w:tcPr>
            <w:tcW w:w="285" w:type="pct"/>
            <w:noWrap/>
            <w:hideMark/>
          </w:tcPr>
          <w:p w14:paraId="5336BA1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246,2</w:t>
            </w:r>
          </w:p>
        </w:tc>
        <w:tc>
          <w:tcPr>
            <w:tcW w:w="248" w:type="pct"/>
            <w:noWrap/>
            <w:hideMark/>
          </w:tcPr>
          <w:p w14:paraId="758D5CA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36,2</w:t>
            </w:r>
          </w:p>
        </w:tc>
        <w:tc>
          <w:tcPr>
            <w:tcW w:w="295" w:type="pct"/>
            <w:noWrap/>
            <w:hideMark/>
          </w:tcPr>
          <w:p w14:paraId="4B27F57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17,2</w:t>
            </w:r>
          </w:p>
        </w:tc>
        <w:tc>
          <w:tcPr>
            <w:tcW w:w="296" w:type="pct"/>
            <w:noWrap/>
            <w:hideMark/>
          </w:tcPr>
          <w:p w14:paraId="56FFBF4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66,5</w:t>
            </w:r>
          </w:p>
        </w:tc>
        <w:tc>
          <w:tcPr>
            <w:tcW w:w="285" w:type="pct"/>
            <w:noWrap/>
            <w:hideMark/>
          </w:tcPr>
          <w:p w14:paraId="2C58D3D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78,9</w:t>
            </w:r>
          </w:p>
        </w:tc>
        <w:tc>
          <w:tcPr>
            <w:tcW w:w="234" w:type="pct"/>
            <w:noWrap/>
            <w:hideMark/>
          </w:tcPr>
          <w:p w14:paraId="66C4A86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12,4</w:t>
            </w:r>
          </w:p>
        </w:tc>
        <w:tc>
          <w:tcPr>
            <w:tcW w:w="295" w:type="pct"/>
            <w:noWrap/>
            <w:hideMark/>
          </w:tcPr>
          <w:p w14:paraId="217DD04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18,6</w:t>
            </w:r>
          </w:p>
        </w:tc>
        <w:tc>
          <w:tcPr>
            <w:tcW w:w="296" w:type="pct"/>
            <w:noWrap/>
            <w:hideMark/>
          </w:tcPr>
          <w:p w14:paraId="72AB677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34AC305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22,9</w:t>
            </w:r>
          </w:p>
        </w:tc>
        <w:tc>
          <w:tcPr>
            <w:tcW w:w="234" w:type="pct"/>
            <w:noWrap/>
            <w:hideMark/>
          </w:tcPr>
          <w:p w14:paraId="4CC8699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22,9</w:t>
            </w:r>
          </w:p>
        </w:tc>
        <w:tc>
          <w:tcPr>
            <w:tcW w:w="295" w:type="pct"/>
            <w:noWrap/>
            <w:hideMark/>
          </w:tcPr>
          <w:p w14:paraId="3F872E0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3C2807" w:rsidRPr="00DA689C" w14:paraId="43C023D1"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00C3DD80"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serviciile comunale și de telecomunicații</w:t>
            </w:r>
          </w:p>
        </w:tc>
        <w:tc>
          <w:tcPr>
            <w:tcW w:w="295" w:type="pct"/>
            <w:hideMark/>
          </w:tcPr>
          <w:p w14:paraId="7515267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59,0</w:t>
            </w:r>
          </w:p>
        </w:tc>
        <w:tc>
          <w:tcPr>
            <w:tcW w:w="284" w:type="pct"/>
            <w:hideMark/>
          </w:tcPr>
          <w:p w14:paraId="4772124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223,9</w:t>
            </w:r>
          </w:p>
        </w:tc>
        <w:tc>
          <w:tcPr>
            <w:tcW w:w="234" w:type="pct"/>
            <w:hideMark/>
          </w:tcPr>
          <w:p w14:paraId="7E33174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164,9</w:t>
            </w:r>
          </w:p>
        </w:tc>
        <w:tc>
          <w:tcPr>
            <w:tcW w:w="295" w:type="pct"/>
            <w:hideMark/>
          </w:tcPr>
          <w:p w14:paraId="0910426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279,5</w:t>
            </w:r>
          </w:p>
        </w:tc>
        <w:tc>
          <w:tcPr>
            <w:tcW w:w="296" w:type="pct"/>
            <w:noWrap/>
            <w:hideMark/>
          </w:tcPr>
          <w:p w14:paraId="4FD033F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872,0</w:t>
            </w:r>
          </w:p>
        </w:tc>
        <w:tc>
          <w:tcPr>
            <w:tcW w:w="285" w:type="pct"/>
            <w:noWrap/>
            <w:hideMark/>
          </w:tcPr>
          <w:p w14:paraId="0166A70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888,3</w:t>
            </w:r>
          </w:p>
        </w:tc>
        <w:tc>
          <w:tcPr>
            <w:tcW w:w="248" w:type="pct"/>
            <w:noWrap/>
            <w:hideMark/>
          </w:tcPr>
          <w:p w14:paraId="5A22B3F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16,3</w:t>
            </w:r>
          </w:p>
        </w:tc>
        <w:tc>
          <w:tcPr>
            <w:tcW w:w="295" w:type="pct"/>
            <w:noWrap/>
            <w:hideMark/>
          </w:tcPr>
          <w:p w14:paraId="0060328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1,9</w:t>
            </w:r>
          </w:p>
        </w:tc>
        <w:tc>
          <w:tcPr>
            <w:tcW w:w="296" w:type="pct"/>
            <w:noWrap/>
            <w:hideMark/>
          </w:tcPr>
          <w:p w14:paraId="057F31C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172,8</w:t>
            </w:r>
          </w:p>
        </w:tc>
        <w:tc>
          <w:tcPr>
            <w:tcW w:w="285" w:type="pct"/>
            <w:noWrap/>
            <w:hideMark/>
          </w:tcPr>
          <w:p w14:paraId="7BA52C6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188,9</w:t>
            </w:r>
          </w:p>
        </w:tc>
        <w:tc>
          <w:tcPr>
            <w:tcW w:w="234" w:type="pct"/>
            <w:noWrap/>
            <w:hideMark/>
          </w:tcPr>
          <w:p w14:paraId="0AA571D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16,1</w:t>
            </w:r>
          </w:p>
        </w:tc>
        <w:tc>
          <w:tcPr>
            <w:tcW w:w="295" w:type="pct"/>
            <w:noWrap/>
            <w:hideMark/>
          </w:tcPr>
          <w:p w14:paraId="080C8FD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9,3</w:t>
            </w:r>
          </w:p>
        </w:tc>
        <w:tc>
          <w:tcPr>
            <w:tcW w:w="296" w:type="pct"/>
            <w:noWrap/>
            <w:hideMark/>
          </w:tcPr>
          <w:p w14:paraId="64F6B29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672E77B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23,4</w:t>
            </w:r>
          </w:p>
        </w:tc>
        <w:tc>
          <w:tcPr>
            <w:tcW w:w="234" w:type="pct"/>
            <w:noWrap/>
            <w:hideMark/>
          </w:tcPr>
          <w:p w14:paraId="7CB3830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23,4</w:t>
            </w:r>
          </w:p>
        </w:tc>
        <w:tc>
          <w:tcPr>
            <w:tcW w:w="295" w:type="pct"/>
            <w:noWrap/>
            <w:hideMark/>
          </w:tcPr>
          <w:p w14:paraId="0DB7157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524BC318"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3D2AE6BD"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serviciile de locațiune </w:t>
            </w:r>
          </w:p>
        </w:tc>
        <w:tc>
          <w:tcPr>
            <w:tcW w:w="295" w:type="pct"/>
            <w:hideMark/>
          </w:tcPr>
          <w:p w14:paraId="31E2A40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115,0</w:t>
            </w:r>
          </w:p>
        </w:tc>
        <w:tc>
          <w:tcPr>
            <w:tcW w:w="284" w:type="pct"/>
            <w:hideMark/>
          </w:tcPr>
          <w:p w14:paraId="5EBB38F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110,0</w:t>
            </w:r>
          </w:p>
        </w:tc>
        <w:tc>
          <w:tcPr>
            <w:tcW w:w="234" w:type="pct"/>
            <w:hideMark/>
          </w:tcPr>
          <w:p w14:paraId="4F85642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-5,0</w:t>
            </w:r>
          </w:p>
        </w:tc>
        <w:tc>
          <w:tcPr>
            <w:tcW w:w="295" w:type="pct"/>
            <w:hideMark/>
          </w:tcPr>
          <w:p w14:paraId="4B60E34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-4,3</w:t>
            </w:r>
          </w:p>
        </w:tc>
        <w:tc>
          <w:tcPr>
            <w:tcW w:w="296" w:type="pct"/>
            <w:noWrap/>
            <w:hideMark/>
          </w:tcPr>
          <w:p w14:paraId="5EFBAE7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7862359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6AAE106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noWrap/>
            <w:hideMark/>
          </w:tcPr>
          <w:p w14:paraId="32B8550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64A3A37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74C2307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58C94BB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3D69D43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1FFE1E3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72D8EEB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945,1</w:t>
            </w:r>
          </w:p>
        </w:tc>
        <w:tc>
          <w:tcPr>
            <w:tcW w:w="234" w:type="pct"/>
            <w:noWrap/>
            <w:hideMark/>
          </w:tcPr>
          <w:p w14:paraId="074B46D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945,1</w:t>
            </w:r>
          </w:p>
        </w:tc>
        <w:tc>
          <w:tcPr>
            <w:tcW w:w="295" w:type="pct"/>
            <w:noWrap/>
            <w:hideMark/>
          </w:tcPr>
          <w:p w14:paraId="6DEA585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7E82A6C9"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3F884044"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deplasările de serviciu </w:t>
            </w:r>
          </w:p>
        </w:tc>
        <w:tc>
          <w:tcPr>
            <w:tcW w:w="295" w:type="pct"/>
            <w:hideMark/>
          </w:tcPr>
          <w:p w14:paraId="691654A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4" w:type="pct"/>
            <w:hideMark/>
          </w:tcPr>
          <w:p w14:paraId="18BA96B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38,8</w:t>
            </w:r>
          </w:p>
        </w:tc>
        <w:tc>
          <w:tcPr>
            <w:tcW w:w="234" w:type="pct"/>
            <w:hideMark/>
          </w:tcPr>
          <w:p w14:paraId="49348A40"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38,8</w:t>
            </w:r>
          </w:p>
        </w:tc>
        <w:tc>
          <w:tcPr>
            <w:tcW w:w="295" w:type="pct"/>
            <w:hideMark/>
          </w:tcPr>
          <w:p w14:paraId="7FA893A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96" w:type="pct"/>
            <w:noWrap/>
            <w:hideMark/>
          </w:tcPr>
          <w:p w14:paraId="0136A9F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2924543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71BF546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noWrap/>
            <w:hideMark/>
          </w:tcPr>
          <w:p w14:paraId="54163FB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7496F93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w:t>
            </w:r>
          </w:p>
        </w:tc>
        <w:tc>
          <w:tcPr>
            <w:tcW w:w="285" w:type="pct"/>
            <w:noWrap/>
            <w:hideMark/>
          </w:tcPr>
          <w:p w14:paraId="5EE3937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5B9DFA7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w:t>
            </w:r>
          </w:p>
        </w:tc>
        <w:tc>
          <w:tcPr>
            <w:tcW w:w="295" w:type="pct"/>
            <w:noWrap/>
            <w:hideMark/>
          </w:tcPr>
          <w:p w14:paraId="569DF80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96" w:type="pct"/>
            <w:noWrap/>
            <w:hideMark/>
          </w:tcPr>
          <w:p w14:paraId="0540EDC0"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26EDA3F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34" w:type="pct"/>
            <w:noWrap/>
            <w:hideMark/>
          </w:tcPr>
          <w:p w14:paraId="05B8CE1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1DC7368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3C2807" w:rsidRPr="00DA689C" w14:paraId="424BCCDD"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75456880"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formarea profesională</w:t>
            </w:r>
          </w:p>
        </w:tc>
        <w:tc>
          <w:tcPr>
            <w:tcW w:w="295" w:type="pct"/>
            <w:hideMark/>
          </w:tcPr>
          <w:p w14:paraId="02C6DD8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90,0</w:t>
            </w:r>
          </w:p>
        </w:tc>
        <w:tc>
          <w:tcPr>
            <w:tcW w:w="284" w:type="pct"/>
            <w:hideMark/>
          </w:tcPr>
          <w:p w14:paraId="222D549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26,1</w:t>
            </w:r>
          </w:p>
        </w:tc>
        <w:tc>
          <w:tcPr>
            <w:tcW w:w="234" w:type="pct"/>
            <w:hideMark/>
          </w:tcPr>
          <w:p w14:paraId="401308D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-63,9</w:t>
            </w:r>
          </w:p>
        </w:tc>
        <w:tc>
          <w:tcPr>
            <w:tcW w:w="295" w:type="pct"/>
            <w:hideMark/>
          </w:tcPr>
          <w:p w14:paraId="3545E9E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-71,0</w:t>
            </w:r>
          </w:p>
        </w:tc>
        <w:tc>
          <w:tcPr>
            <w:tcW w:w="296" w:type="pct"/>
            <w:noWrap/>
            <w:hideMark/>
          </w:tcPr>
          <w:p w14:paraId="562A402B"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2DEC8CE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66E59D1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noWrap/>
            <w:hideMark/>
          </w:tcPr>
          <w:p w14:paraId="11C8067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41AC18C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12,0</w:t>
            </w:r>
          </w:p>
        </w:tc>
        <w:tc>
          <w:tcPr>
            <w:tcW w:w="285" w:type="pct"/>
            <w:noWrap/>
            <w:hideMark/>
          </w:tcPr>
          <w:p w14:paraId="023EA00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378EB07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-12,0</w:t>
            </w:r>
          </w:p>
        </w:tc>
        <w:tc>
          <w:tcPr>
            <w:tcW w:w="295" w:type="pct"/>
            <w:noWrap/>
            <w:hideMark/>
          </w:tcPr>
          <w:p w14:paraId="7814C9B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96" w:type="pct"/>
            <w:noWrap/>
            <w:hideMark/>
          </w:tcPr>
          <w:p w14:paraId="508AF4A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7DD7903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34" w:type="pct"/>
            <w:noWrap/>
            <w:hideMark/>
          </w:tcPr>
          <w:p w14:paraId="51C5668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1CFA1D89"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3C2807" w:rsidRPr="00DA689C" w14:paraId="2BAF3D4C"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70FF07AF" w14:textId="3220D7A1"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serviciile informa</w:t>
            </w:r>
            <w:r w:rsidR="00C9454C">
              <w:rPr>
                <w:rFonts w:ascii="Calibri Light" w:eastAsia="Times New Roman" w:hAnsi="Calibri Light" w:cs="Calibri Light"/>
                <w:color w:val="000000"/>
                <w:sz w:val="18"/>
                <w:szCs w:val="18"/>
              </w:rPr>
              <w:t>ț</w:t>
            </w:r>
            <w:r w:rsidRPr="00DA689C">
              <w:rPr>
                <w:rFonts w:ascii="Calibri Light" w:eastAsia="Times New Roman" w:hAnsi="Calibri Light" w:cs="Calibri Light"/>
                <w:color w:val="000000"/>
                <w:sz w:val="18"/>
                <w:szCs w:val="18"/>
              </w:rPr>
              <w:t>ionale</w:t>
            </w:r>
          </w:p>
        </w:tc>
        <w:tc>
          <w:tcPr>
            <w:tcW w:w="295" w:type="pct"/>
            <w:hideMark/>
          </w:tcPr>
          <w:p w14:paraId="02D6B6C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322,1</w:t>
            </w:r>
          </w:p>
        </w:tc>
        <w:tc>
          <w:tcPr>
            <w:tcW w:w="284" w:type="pct"/>
            <w:hideMark/>
          </w:tcPr>
          <w:p w14:paraId="022E502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265,8</w:t>
            </w:r>
          </w:p>
        </w:tc>
        <w:tc>
          <w:tcPr>
            <w:tcW w:w="234" w:type="pct"/>
            <w:hideMark/>
          </w:tcPr>
          <w:p w14:paraId="45C59E9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-56,3</w:t>
            </w:r>
          </w:p>
        </w:tc>
        <w:tc>
          <w:tcPr>
            <w:tcW w:w="295" w:type="pct"/>
            <w:hideMark/>
          </w:tcPr>
          <w:p w14:paraId="49610C9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-17,5</w:t>
            </w:r>
          </w:p>
        </w:tc>
        <w:tc>
          <w:tcPr>
            <w:tcW w:w="296" w:type="pct"/>
            <w:noWrap/>
            <w:hideMark/>
          </w:tcPr>
          <w:p w14:paraId="2B2BFE7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51CD719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518AC82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noWrap/>
            <w:hideMark/>
          </w:tcPr>
          <w:p w14:paraId="542E53E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1055411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31AF2BC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283061DE"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632747EE"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74FF5DD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03BFB58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82,0</w:t>
            </w:r>
          </w:p>
        </w:tc>
        <w:tc>
          <w:tcPr>
            <w:tcW w:w="234" w:type="pct"/>
            <w:noWrap/>
            <w:hideMark/>
          </w:tcPr>
          <w:p w14:paraId="6CA4E81E"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82,0</w:t>
            </w:r>
          </w:p>
        </w:tc>
        <w:tc>
          <w:tcPr>
            <w:tcW w:w="295" w:type="pct"/>
            <w:noWrap/>
            <w:hideMark/>
          </w:tcPr>
          <w:p w14:paraId="0D69B77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20C9DD5F"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7CCF5EE1" w14:textId="30FD176D"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serviciile  neatribuite altor </w:t>
            </w:r>
            <w:r w:rsidR="00C9454C">
              <w:rPr>
                <w:rFonts w:ascii="Calibri Light" w:eastAsia="Times New Roman" w:hAnsi="Calibri Light" w:cs="Calibri Light"/>
                <w:color w:val="000000"/>
                <w:sz w:val="18"/>
                <w:szCs w:val="18"/>
              </w:rPr>
              <w:t>alineate</w:t>
            </w:r>
          </w:p>
        </w:tc>
        <w:tc>
          <w:tcPr>
            <w:tcW w:w="295" w:type="pct"/>
            <w:hideMark/>
          </w:tcPr>
          <w:p w14:paraId="3A77C88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133,0</w:t>
            </w:r>
          </w:p>
        </w:tc>
        <w:tc>
          <w:tcPr>
            <w:tcW w:w="284" w:type="pct"/>
            <w:hideMark/>
          </w:tcPr>
          <w:p w14:paraId="20541D49"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43,2</w:t>
            </w:r>
          </w:p>
        </w:tc>
        <w:tc>
          <w:tcPr>
            <w:tcW w:w="234" w:type="pct"/>
            <w:hideMark/>
          </w:tcPr>
          <w:p w14:paraId="55F44F3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-89,8</w:t>
            </w:r>
          </w:p>
        </w:tc>
        <w:tc>
          <w:tcPr>
            <w:tcW w:w="295" w:type="pct"/>
            <w:hideMark/>
          </w:tcPr>
          <w:p w14:paraId="1890A93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-67,5</w:t>
            </w:r>
          </w:p>
        </w:tc>
        <w:tc>
          <w:tcPr>
            <w:tcW w:w="296" w:type="pct"/>
            <w:noWrap/>
            <w:hideMark/>
          </w:tcPr>
          <w:p w14:paraId="00B82C2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85" w:type="pct"/>
            <w:noWrap/>
            <w:hideMark/>
          </w:tcPr>
          <w:p w14:paraId="3481813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2045,6</w:t>
            </w:r>
          </w:p>
        </w:tc>
        <w:tc>
          <w:tcPr>
            <w:tcW w:w="248" w:type="pct"/>
            <w:noWrap/>
            <w:hideMark/>
          </w:tcPr>
          <w:p w14:paraId="67481B8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1945,6</w:t>
            </w:r>
          </w:p>
        </w:tc>
        <w:tc>
          <w:tcPr>
            <w:tcW w:w="295" w:type="pct"/>
            <w:noWrap/>
            <w:hideMark/>
          </w:tcPr>
          <w:p w14:paraId="54545CD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1945,6</w:t>
            </w:r>
          </w:p>
        </w:tc>
        <w:tc>
          <w:tcPr>
            <w:tcW w:w="296" w:type="pct"/>
            <w:noWrap/>
            <w:hideMark/>
          </w:tcPr>
          <w:p w14:paraId="4379DFE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89,7</w:t>
            </w:r>
          </w:p>
        </w:tc>
        <w:tc>
          <w:tcPr>
            <w:tcW w:w="285" w:type="pct"/>
            <w:noWrap/>
            <w:hideMark/>
          </w:tcPr>
          <w:p w14:paraId="35902F5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168,8</w:t>
            </w:r>
          </w:p>
        </w:tc>
        <w:tc>
          <w:tcPr>
            <w:tcW w:w="234" w:type="pct"/>
            <w:noWrap/>
            <w:hideMark/>
          </w:tcPr>
          <w:p w14:paraId="7774BE7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79,1</w:t>
            </w:r>
          </w:p>
        </w:tc>
        <w:tc>
          <w:tcPr>
            <w:tcW w:w="295" w:type="pct"/>
            <w:noWrap/>
            <w:hideMark/>
          </w:tcPr>
          <w:p w14:paraId="54BC05B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88,2</w:t>
            </w:r>
          </w:p>
        </w:tc>
        <w:tc>
          <w:tcPr>
            <w:tcW w:w="296" w:type="pct"/>
            <w:noWrap/>
            <w:hideMark/>
          </w:tcPr>
          <w:p w14:paraId="4C333A2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6449F43B"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76,0</w:t>
            </w:r>
          </w:p>
        </w:tc>
        <w:tc>
          <w:tcPr>
            <w:tcW w:w="234" w:type="pct"/>
            <w:noWrap/>
            <w:hideMark/>
          </w:tcPr>
          <w:p w14:paraId="042B590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76,0</w:t>
            </w:r>
          </w:p>
        </w:tc>
        <w:tc>
          <w:tcPr>
            <w:tcW w:w="295" w:type="pct"/>
            <w:noWrap/>
            <w:hideMark/>
          </w:tcPr>
          <w:p w14:paraId="0E02E9A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57719E97"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7B3E401A" w14:textId="42A8E4C4"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asigurarea (prof</w:t>
            </w:r>
            <w:r w:rsidR="00C9454C">
              <w:rPr>
                <w:rFonts w:ascii="Calibri Light" w:eastAsia="Times New Roman" w:hAnsi="Calibri Light" w:cs="Calibri Light"/>
                <w:color w:val="000000"/>
                <w:sz w:val="18"/>
                <w:szCs w:val="18"/>
              </w:rPr>
              <w:t>e</w:t>
            </w:r>
            <w:r w:rsidRPr="00DA689C">
              <w:rPr>
                <w:rFonts w:ascii="Calibri Light" w:eastAsia="Times New Roman" w:hAnsi="Calibri Light" w:cs="Calibri Light"/>
                <w:color w:val="000000"/>
                <w:sz w:val="18"/>
                <w:szCs w:val="18"/>
              </w:rPr>
              <w:t>sional</w:t>
            </w:r>
            <w:r w:rsidR="00C9454C">
              <w:rPr>
                <w:rFonts w:ascii="Calibri Light" w:eastAsia="Times New Roman" w:hAnsi="Calibri Light" w:cs="Calibri Light"/>
                <w:color w:val="000000"/>
                <w:sz w:val="18"/>
                <w:szCs w:val="18"/>
              </w:rPr>
              <w:t>ă</w:t>
            </w:r>
            <w:r w:rsidRPr="00DA689C">
              <w:rPr>
                <w:rFonts w:ascii="Calibri Light" w:eastAsia="Times New Roman" w:hAnsi="Calibri Light" w:cs="Calibri Light"/>
                <w:color w:val="000000"/>
                <w:sz w:val="18"/>
                <w:szCs w:val="18"/>
              </w:rPr>
              <w:t>,transport auto)</w:t>
            </w:r>
          </w:p>
        </w:tc>
        <w:tc>
          <w:tcPr>
            <w:tcW w:w="295" w:type="pct"/>
            <w:hideMark/>
          </w:tcPr>
          <w:p w14:paraId="1E2E274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4" w:type="pct"/>
            <w:hideMark/>
          </w:tcPr>
          <w:p w14:paraId="6BA6603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hideMark/>
          </w:tcPr>
          <w:p w14:paraId="68C5A3A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hideMark/>
          </w:tcPr>
          <w:p w14:paraId="0124F63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0205A78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2DF94EF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5058674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6A7E3FA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085BF42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18,2</w:t>
            </w:r>
          </w:p>
        </w:tc>
        <w:tc>
          <w:tcPr>
            <w:tcW w:w="285" w:type="pct"/>
            <w:noWrap/>
            <w:hideMark/>
          </w:tcPr>
          <w:p w14:paraId="4AB369BE"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15,2</w:t>
            </w:r>
          </w:p>
        </w:tc>
        <w:tc>
          <w:tcPr>
            <w:tcW w:w="234" w:type="pct"/>
            <w:noWrap/>
            <w:hideMark/>
          </w:tcPr>
          <w:p w14:paraId="5FEC807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w:t>
            </w:r>
          </w:p>
        </w:tc>
        <w:tc>
          <w:tcPr>
            <w:tcW w:w="295" w:type="pct"/>
            <w:noWrap/>
            <w:hideMark/>
          </w:tcPr>
          <w:p w14:paraId="0F09BC16"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-16,5</w:t>
            </w:r>
          </w:p>
        </w:tc>
        <w:tc>
          <w:tcPr>
            <w:tcW w:w="296" w:type="pct"/>
            <w:noWrap/>
            <w:hideMark/>
          </w:tcPr>
          <w:p w14:paraId="038163D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15DF423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30FCD48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5" w:type="pct"/>
            <w:noWrap/>
            <w:hideMark/>
          </w:tcPr>
          <w:p w14:paraId="6E7346D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3C2807" w:rsidRPr="00DA689C" w14:paraId="083427CC" w14:textId="77777777" w:rsidTr="00136C4E">
        <w:trPr>
          <w:trHeight w:val="480"/>
        </w:trPr>
        <w:tc>
          <w:tcPr>
            <w:cnfStyle w:val="001000000000" w:firstRow="0" w:lastRow="0" w:firstColumn="1" w:lastColumn="0" w:oddVBand="0" w:evenVBand="0" w:oddHBand="0" w:evenHBand="0" w:firstRowFirstColumn="0" w:firstRowLastColumn="0" w:lastRowFirstColumn="0" w:lastRowLastColumn="0"/>
            <w:tcW w:w="549" w:type="pct"/>
            <w:hideMark/>
          </w:tcPr>
          <w:p w14:paraId="3CDDE3B1"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Cheltuieli privind uzura mijloacelor fixe și amortizarea activelor nemateriale </w:t>
            </w:r>
          </w:p>
        </w:tc>
        <w:tc>
          <w:tcPr>
            <w:tcW w:w="295" w:type="pct"/>
            <w:hideMark/>
          </w:tcPr>
          <w:p w14:paraId="2774D92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237,0</w:t>
            </w:r>
          </w:p>
        </w:tc>
        <w:tc>
          <w:tcPr>
            <w:tcW w:w="284" w:type="pct"/>
            <w:hideMark/>
          </w:tcPr>
          <w:p w14:paraId="48BBEE4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151,3</w:t>
            </w:r>
          </w:p>
        </w:tc>
        <w:tc>
          <w:tcPr>
            <w:tcW w:w="234" w:type="pct"/>
            <w:hideMark/>
          </w:tcPr>
          <w:p w14:paraId="6CB0372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-85,7</w:t>
            </w:r>
          </w:p>
        </w:tc>
        <w:tc>
          <w:tcPr>
            <w:tcW w:w="295" w:type="pct"/>
            <w:hideMark/>
          </w:tcPr>
          <w:p w14:paraId="3F4204C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-36,2</w:t>
            </w:r>
          </w:p>
        </w:tc>
        <w:tc>
          <w:tcPr>
            <w:tcW w:w="296" w:type="pct"/>
            <w:noWrap/>
            <w:hideMark/>
          </w:tcPr>
          <w:p w14:paraId="62BE262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400,0</w:t>
            </w:r>
          </w:p>
        </w:tc>
        <w:tc>
          <w:tcPr>
            <w:tcW w:w="285" w:type="pct"/>
            <w:noWrap/>
            <w:hideMark/>
          </w:tcPr>
          <w:p w14:paraId="33C97FA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120,8</w:t>
            </w:r>
          </w:p>
        </w:tc>
        <w:tc>
          <w:tcPr>
            <w:tcW w:w="248" w:type="pct"/>
            <w:noWrap/>
            <w:hideMark/>
          </w:tcPr>
          <w:p w14:paraId="5433F8D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-279,2</w:t>
            </w:r>
          </w:p>
        </w:tc>
        <w:tc>
          <w:tcPr>
            <w:tcW w:w="295" w:type="pct"/>
            <w:noWrap/>
            <w:hideMark/>
          </w:tcPr>
          <w:p w14:paraId="68DD7C7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-69,8</w:t>
            </w:r>
          </w:p>
        </w:tc>
        <w:tc>
          <w:tcPr>
            <w:tcW w:w="296" w:type="pct"/>
            <w:noWrap/>
            <w:hideMark/>
          </w:tcPr>
          <w:p w14:paraId="13FD85F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w:t>
            </w:r>
          </w:p>
        </w:tc>
        <w:tc>
          <w:tcPr>
            <w:tcW w:w="285" w:type="pct"/>
            <w:noWrap/>
            <w:hideMark/>
          </w:tcPr>
          <w:p w14:paraId="00099500"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34" w:type="pct"/>
            <w:noWrap/>
            <w:hideMark/>
          </w:tcPr>
          <w:p w14:paraId="0AA5D7E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w:t>
            </w:r>
          </w:p>
        </w:tc>
        <w:tc>
          <w:tcPr>
            <w:tcW w:w="295" w:type="pct"/>
            <w:noWrap/>
            <w:hideMark/>
          </w:tcPr>
          <w:p w14:paraId="1759580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c>
          <w:tcPr>
            <w:tcW w:w="296" w:type="pct"/>
            <w:noWrap/>
            <w:hideMark/>
          </w:tcPr>
          <w:p w14:paraId="5993874A"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0BB9FBB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1121,8</w:t>
            </w:r>
          </w:p>
        </w:tc>
        <w:tc>
          <w:tcPr>
            <w:tcW w:w="234" w:type="pct"/>
            <w:noWrap/>
            <w:hideMark/>
          </w:tcPr>
          <w:p w14:paraId="78FB71D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1121,8</w:t>
            </w:r>
          </w:p>
        </w:tc>
        <w:tc>
          <w:tcPr>
            <w:tcW w:w="295" w:type="pct"/>
            <w:noWrap/>
            <w:hideMark/>
          </w:tcPr>
          <w:p w14:paraId="614AA8A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0DFC1C60"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53E76186"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privind combustibilul</w:t>
            </w:r>
          </w:p>
        </w:tc>
        <w:tc>
          <w:tcPr>
            <w:tcW w:w="295" w:type="pct"/>
            <w:hideMark/>
          </w:tcPr>
          <w:p w14:paraId="6E95362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20,0</w:t>
            </w:r>
          </w:p>
        </w:tc>
        <w:tc>
          <w:tcPr>
            <w:tcW w:w="284" w:type="pct"/>
            <w:hideMark/>
          </w:tcPr>
          <w:p w14:paraId="6D4B8C9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17,0</w:t>
            </w:r>
          </w:p>
        </w:tc>
        <w:tc>
          <w:tcPr>
            <w:tcW w:w="234" w:type="pct"/>
            <w:hideMark/>
          </w:tcPr>
          <w:p w14:paraId="065EA5C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w:t>
            </w:r>
          </w:p>
        </w:tc>
        <w:tc>
          <w:tcPr>
            <w:tcW w:w="295" w:type="pct"/>
            <w:hideMark/>
          </w:tcPr>
          <w:p w14:paraId="780A7A10"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-15,0</w:t>
            </w:r>
          </w:p>
        </w:tc>
        <w:tc>
          <w:tcPr>
            <w:tcW w:w="296" w:type="pct"/>
            <w:noWrap/>
            <w:hideMark/>
          </w:tcPr>
          <w:p w14:paraId="44F9AF8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120,0</w:t>
            </w:r>
          </w:p>
        </w:tc>
        <w:tc>
          <w:tcPr>
            <w:tcW w:w="285" w:type="pct"/>
            <w:noWrap/>
            <w:hideMark/>
          </w:tcPr>
          <w:p w14:paraId="39D071E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108,8</w:t>
            </w:r>
          </w:p>
        </w:tc>
        <w:tc>
          <w:tcPr>
            <w:tcW w:w="248" w:type="pct"/>
            <w:noWrap/>
            <w:hideMark/>
          </w:tcPr>
          <w:p w14:paraId="0CADFE1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-11,2</w:t>
            </w:r>
          </w:p>
        </w:tc>
        <w:tc>
          <w:tcPr>
            <w:tcW w:w="295" w:type="pct"/>
            <w:noWrap/>
            <w:hideMark/>
          </w:tcPr>
          <w:p w14:paraId="09FA608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-9,3</w:t>
            </w:r>
          </w:p>
        </w:tc>
        <w:tc>
          <w:tcPr>
            <w:tcW w:w="296" w:type="pct"/>
            <w:noWrap/>
            <w:hideMark/>
          </w:tcPr>
          <w:p w14:paraId="6556B5A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32,2</w:t>
            </w:r>
          </w:p>
        </w:tc>
        <w:tc>
          <w:tcPr>
            <w:tcW w:w="285" w:type="pct"/>
            <w:noWrap/>
            <w:hideMark/>
          </w:tcPr>
          <w:p w14:paraId="4A84670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36,4</w:t>
            </w:r>
          </w:p>
        </w:tc>
        <w:tc>
          <w:tcPr>
            <w:tcW w:w="234" w:type="pct"/>
            <w:noWrap/>
            <w:hideMark/>
          </w:tcPr>
          <w:p w14:paraId="5470F4FF"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4,2</w:t>
            </w:r>
          </w:p>
        </w:tc>
        <w:tc>
          <w:tcPr>
            <w:tcW w:w="295" w:type="pct"/>
            <w:noWrap/>
            <w:hideMark/>
          </w:tcPr>
          <w:p w14:paraId="0C73ADB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13,0</w:t>
            </w:r>
          </w:p>
        </w:tc>
        <w:tc>
          <w:tcPr>
            <w:tcW w:w="296" w:type="pct"/>
            <w:noWrap/>
            <w:hideMark/>
          </w:tcPr>
          <w:p w14:paraId="4CDCC9A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4D301881"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37,7</w:t>
            </w:r>
          </w:p>
        </w:tc>
        <w:tc>
          <w:tcPr>
            <w:tcW w:w="234" w:type="pct"/>
            <w:noWrap/>
            <w:hideMark/>
          </w:tcPr>
          <w:p w14:paraId="4928DFBC"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37,7</w:t>
            </w:r>
          </w:p>
        </w:tc>
        <w:tc>
          <w:tcPr>
            <w:tcW w:w="295" w:type="pct"/>
            <w:noWrap/>
            <w:hideMark/>
          </w:tcPr>
          <w:p w14:paraId="401C051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2009BAE4"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1BD93A43"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Cheltuieli din diferențe de curs valutar</w:t>
            </w:r>
          </w:p>
        </w:tc>
        <w:tc>
          <w:tcPr>
            <w:tcW w:w="295" w:type="pct"/>
            <w:hideMark/>
          </w:tcPr>
          <w:p w14:paraId="779CD65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4" w:type="pct"/>
            <w:hideMark/>
          </w:tcPr>
          <w:p w14:paraId="56D76B5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22,2</w:t>
            </w:r>
          </w:p>
        </w:tc>
        <w:tc>
          <w:tcPr>
            <w:tcW w:w="234" w:type="pct"/>
            <w:hideMark/>
          </w:tcPr>
          <w:p w14:paraId="213E0189"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22,2</w:t>
            </w:r>
          </w:p>
        </w:tc>
        <w:tc>
          <w:tcPr>
            <w:tcW w:w="295" w:type="pct"/>
            <w:hideMark/>
          </w:tcPr>
          <w:p w14:paraId="62CDB43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0886AA5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3140E28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48" w:type="pct"/>
            <w:noWrap/>
            <w:hideMark/>
          </w:tcPr>
          <w:p w14:paraId="2140487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3A28BFC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4851A76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7F91100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2,9</w:t>
            </w:r>
          </w:p>
        </w:tc>
        <w:tc>
          <w:tcPr>
            <w:tcW w:w="234" w:type="pct"/>
            <w:noWrap/>
            <w:hideMark/>
          </w:tcPr>
          <w:p w14:paraId="7B200FE3"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2,9</w:t>
            </w:r>
          </w:p>
        </w:tc>
        <w:tc>
          <w:tcPr>
            <w:tcW w:w="295" w:type="pct"/>
            <w:noWrap/>
            <w:hideMark/>
          </w:tcPr>
          <w:p w14:paraId="180E7EB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96" w:type="pct"/>
            <w:noWrap/>
            <w:hideMark/>
          </w:tcPr>
          <w:p w14:paraId="7F1FE0B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85" w:type="pct"/>
            <w:noWrap/>
            <w:hideMark/>
          </w:tcPr>
          <w:p w14:paraId="04FC82BC"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c>
          <w:tcPr>
            <w:tcW w:w="234" w:type="pct"/>
            <w:noWrap/>
            <w:hideMark/>
          </w:tcPr>
          <w:p w14:paraId="663006E4"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95" w:type="pct"/>
            <w:noWrap/>
            <w:hideMark/>
          </w:tcPr>
          <w:p w14:paraId="5B85333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w:t>
            </w:r>
          </w:p>
        </w:tc>
      </w:tr>
      <w:tr w:rsidR="003C2807" w:rsidRPr="00DA689C" w14:paraId="77AD656A"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3053795F"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 xml:space="preserve"> Alte cheltuieli </w:t>
            </w:r>
          </w:p>
        </w:tc>
        <w:tc>
          <w:tcPr>
            <w:tcW w:w="295" w:type="pct"/>
            <w:hideMark/>
          </w:tcPr>
          <w:p w14:paraId="0D64025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163,8</w:t>
            </w:r>
          </w:p>
        </w:tc>
        <w:tc>
          <w:tcPr>
            <w:tcW w:w="284" w:type="pct"/>
            <w:hideMark/>
          </w:tcPr>
          <w:p w14:paraId="50BB5CE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40,0</w:t>
            </w:r>
          </w:p>
        </w:tc>
        <w:tc>
          <w:tcPr>
            <w:tcW w:w="234" w:type="pct"/>
            <w:hideMark/>
          </w:tcPr>
          <w:p w14:paraId="3EE745A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-123,8</w:t>
            </w:r>
          </w:p>
        </w:tc>
        <w:tc>
          <w:tcPr>
            <w:tcW w:w="295" w:type="pct"/>
            <w:hideMark/>
          </w:tcPr>
          <w:p w14:paraId="49682C07"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-75,6</w:t>
            </w:r>
          </w:p>
        </w:tc>
        <w:tc>
          <w:tcPr>
            <w:tcW w:w="296" w:type="pct"/>
            <w:noWrap/>
            <w:hideMark/>
          </w:tcPr>
          <w:p w14:paraId="3C6DD4E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348,0</w:t>
            </w:r>
          </w:p>
        </w:tc>
        <w:tc>
          <w:tcPr>
            <w:tcW w:w="285" w:type="pct"/>
            <w:noWrap/>
            <w:hideMark/>
          </w:tcPr>
          <w:p w14:paraId="5C8D328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531,0</w:t>
            </w:r>
          </w:p>
        </w:tc>
        <w:tc>
          <w:tcPr>
            <w:tcW w:w="248" w:type="pct"/>
            <w:noWrap/>
            <w:hideMark/>
          </w:tcPr>
          <w:p w14:paraId="2FD93180"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183,0</w:t>
            </w:r>
          </w:p>
        </w:tc>
        <w:tc>
          <w:tcPr>
            <w:tcW w:w="295" w:type="pct"/>
            <w:noWrap/>
            <w:hideMark/>
          </w:tcPr>
          <w:p w14:paraId="3A4CD30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52,6</w:t>
            </w:r>
          </w:p>
        </w:tc>
        <w:tc>
          <w:tcPr>
            <w:tcW w:w="296" w:type="pct"/>
            <w:noWrap/>
            <w:hideMark/>
          </w:tcPr>
          <w:p w14:paraId="3048204A"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3228,9</w:t>
            </w:r>
          </w:p>
        </w:tc>
        <w:tc>
          <w:tcPr>
            <w:tcW w:w="285" w:type="pct"/>
            <w:noWrap/>
            <w:hideMark/>
          </w:tcPr>
          <w:p w14:paraId="5A0B7692"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3074,1</w:t>
            </w:r>
          </w:p>
        </w:tc>
        <w:tc>
          <w:tcPr>
            <w:tcW w:w="234" w:type="pct"/>
            <w:noWrap/>
            <w:hideMark/>
          </w:tcPr>
          <w:p w14:paraId="04D0A804"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-154,8</w:t>
            </w:r>
          </w:p>
        </w:tc>
        <w:tc>
          <w:tcPr>
            <w:tcW w:w="295" w:type="pct"/>
            <w:noWrap/>
            <w:hideMark/>
          </w:tcPr>
          <w:p w14:paraId="53CA6749"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-4,8</w:t>
            </w:r>
          </w:p>
        </w:tc>
        <w:tc>
          <w:tcPr>
            <w:tcW w:w="296" w:type="pct"/>
            <w:noWrap/>
            <w:hideMark/>
          </w:tcPr>
          <w:p w14:paraId="16E94073"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0,0</w:t>
            </w:r>
          </w:p>
        </w:tc>
        <w:tc>
          <w:tcPr>
            <w:tcW w:w="285" w:type="pct"/>
            <w:noWrap/>
            <w:hideMark/>
          </w:tcPr>
          <w:p w14:paraId="0D5A48F5"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76,6</w:t>
            </w:r>
          </w:p>
        </w:tc>
        <w:tc>
          <w:tcPr>
            <w:tcW w:w="234" w:type="pct"/>
            <w:noWrap/>
            <w:hideMark/>
          </w:tcPr>
          <w:p w14:paraId="5BAD95ED"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76,6</w:t>
            </w:r>
          </w:p>
        </w:tc>
        <w:tc>
          <w:tcPr>
            <w:tcW w:w="295" w:type="pct"/>
            <w:noWrap/>
            <w:hideMark/>
          </w:tcPr>
          <w:p w14:paraId="2D5D8468" w14:textId="77777777" w:rsidR="003C2807" w:rsidRPr="00DA68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100,0</w:t>
            </w:r>
          </w:p>
        </w:tc>
      </w:tr>
      <w:tr w:rsidR="003C2807" w:rsidRPr="00DA689C" w14:paraId="3701FA11" w14:textId="77777777" w:rsidTr="00136C4E">
        <w:trPr>
          <w:trHeight w:val="240"/>
        </w:trPr>
        <w:tc>
          <w:tcPr>
            <w:cnfStyle w:val="001000000000" w:firstRow="0" w:lastRow="0" w:firstColumn="1" w:lastColumn="0" w:oddVBand="0" w:evenVBand="0" w:oddHBand="0" w:evenHBand="0" w:firstRowFirstColumn="0" w:firstRowLastColumn="0" w:lastRowFirstColumn="0" w:lastRowLastColumn="0"/>
            <w:tcW w:w="549" w:type="pct"/>
            <w:hideMark/>
          </w:tcPr>
          <w:p w14:paraId="52189954" w14:textId="77777777" w:rsidR="003C2807" w:rsidRPr="00DA689C" w:rsidRDefault="003C2807" w:rsidP="00461A81">
            <w:pPr>
              <w:rPr>
                <w:rFonts w:ascii="Calibri Light" w:eastAsia="Times New Roman" w:hAnsi="Calibri Light" w:cs="Calibri Light"/>
                <w:color w:val="000000"/>
                <w:sz w:val="18"/>
                <w:szCs w:val="18"/>
              </w:rPr>
            </w:pPr>
            <w:r w:rsidRPr="00DA689C">
              <w:rPr>
                <w:rFonts w:ascii="Calibri Light" w:eastAsia="Times New Roman" w:hAnsi="Calibri Light" w:cs="Calibri Light"/>
                <w:color w:val="000000"/>
                <w:sz w:val="18"/>
                <w:szCs w:val="18"/>
              </w:rPr>
              <w:t>Total, CHELTUIELI:</w:t>
            </w:r>
          </w:p>
        </w:tc>
        <w:tc>
          <w:tcPr>
            <w:tcW w:w="295" w:type="pct"/>
            <w:hideMark/>
          </w:tcPr>
          <w:p w14:paraId="14BF153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5980,0</w:t>
            </w:r>
          </w:p>
        </w:tc>
        <w:tc>
          <w:tcPr>
            <w:tcW w:w="284" w:type="pct"/>
            <w:hideMark/>
          </w:tcPr>
          <w:p w14:paraId="019EAA5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6154,4</w:t>
            </w:r>
          </w:p>
        </w:tc>
        <w:tc>
          <w:tcPr>
            <w:tcW w:w="234" w:type="pct"/>
            <w:hideMark/>
          </w:tcPr>
          <w:p w14:paraId="3EF8A12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174,4</w:t>
            </w:r>
          </w:p>
        </w:tc>
        <w:tc>
          <w:tcPr>
            <w:tcW w:w="295" w:type="pct"/>
            <w:hideMark/>
          </w:tcPr>
          <w:p w14:paraId="634AD95D"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2,9</w:t>
            </w:r>
          </w:p>
        </w:tc>
        <w:tc>
          <w:tcPr>
            <w:tcW w:w="296" w:type="pct"/>
            <w:noWrap/>
            <w:hideMark/>
          </w:tcPr>
          <w:p w14:paraId="4981B0AE"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2500,0</w:t>
            </w:r>
          </w:p>
        </w:tc>
        <w:tc>
          <w:tcPr>
            <w:tcW w:w="285" w:type="pct"/>
            <w:noWrap/>
            <w:hideMark/>
          </w:tcPr>
          <w:p w14:paraId="0F63F2A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14611,4</w:t>
            </w:r>
          </w:p>
        </w:tc>
        <w:tc>
          <w:tcPr>
            <w:tcW w:w="248" w:type="pct"/>
            <w:noWrap/>
            <w:hideMark/>
          </w:tcPr>
          <w:p w14:paraId="085FE82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12111,4</w:t>
            </w:r>
          </w:p>
        </w:tc>
        <w:tc>
          <w:tcPr>
            <w:tcW w:w="295" w:type="pct"/>
            <w:noWrap/>
            <w:hideMark/>
          </w:tcPr>
          <w:p w14:paraId="6259D597"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484,5</w:t>
            </w:r>
          </w:p>
        </w:tc>
        <w:tc>
          <w:tcPr>
            <w:tcW w:w="296" w:type="pct"/>
            <w:noWrap/>
            <w:hideMark/>
          </w:tcPr>
          <w:p w14:paraId="2B63EF41"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9682,8</w:t>
            </w:r>
          </w:p>
        </w:tc>
        <w:tc>
          <w:tcPr>
            <w:tcW w:w="285" w:type="pct"/>
            <w:noWrap/>
            <w:hideMark/>
          </w:tcPr>
          <w:p w14:paraId="33DE4B95"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8807,4</w:t>
            </w:r>
          </w:p>
        </w:tc>
        <w:tc>
          <w:tcPr>
            <w:tcW w:w="234" w:type="pct"/>
            <w:noWrap/>
            <w:hideMark/>
          </w:tcPr>
          <w:p w14:paraId="72066B1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-875,4</w:t>
            </w:r>
          </w:p>
        </w:tc>
        <w:tc>
          <w:tcPr>
            <w:tcW w:w="295" w:type="pct"/>
            <w:noWrap/>
            <w:hideMark/>
          </w:tcPr>
          <w:p w14:paraId="7B475AFF"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-9,0</w:t>
            </w:r>
          </w:p>
        </w:tc>
        <w:tc>
          <w:tcPr>
            <w:tcW w:w="296" w:type="pct"/>
            <w:noWrap/>
            <w:hideMark/>
          </w:tcPr>
          <w:p w14:paraId="7B7ADC6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0,0</w:t>
            </w:r>
          </w:p>
        </w:tc>
        <w:tc>
          <w:tcPr>
            <w:tcW w:w="285" w:type="pct"/>
            <w:noWrap/>
            <w:hideMark/>
          </w:tcPr>
          <w:p w14:paraId="33662752"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5197,7</w:t>
            </w:r>
          </w:p>
        </w:tc>
        <w:tc>
          <w:tcPr>
            <w:tcW w:w="234" w:type="pct"/>
            <w:noWrap/>
            <w:hideMark/>
          </w:tcPr>
          <w:p w14:paraId="70FF4EC6"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5197,7</w:t>
            </w:r>
          </w:p>
        </w:tc>
        <w:tc>
          <w:tcPr>
            <w:tcW w:w="295" w:type="pct"/>
            <w:noWrap/>
            <w:hideMark/>
          </w:tcPr>
          <w:p w14:paraId="0D7E07E8" w14:textId="77777777" w:rsidR="003C2807" w:rsidRPr="00DA689C" w:rsidRDefault="003C2807" w:rsidP="00461A8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18"/>
                <w:szCs w:val="18"/>
              </w:rPr>
            </w:pPr>
            <w:r w:rsidRPr="00DA689C">
              <w:rPr>
                <w:rFonts w:ascii="Calibri Light" w:eastAsia="Times New Roman" w:hAnsi="Calibri Light" w:cs="Calibri Light"/>
                <w:b/>
                <w:bCs/>
                <w:color w:val="000000"/>
                <w:sz w:val="18"/>
                <w:szCs w:val="18"/>
              </w:rPr>
              <w:t>100,0</w:t>
            </w:r>
          </w:p>
        </w:tc>
      </w:tr>
      <w:tr w:rsidR="003C2807" w:rsidRPr="001C1A69" w14:paraId="17C4A976" w14:textId="77777777" w:rsidTr="00136C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86" w:type="pct"/>
            <w:gridSpan w:val="14"/>
            <w:noWrap/>
            <w:hideMark/>
          </w:tcPr>
          <w:p w14:paraId="61E32D26" w14:textId="77777777" w:rsidR="003C2807" w:rsidRPr="00255E9C" w:rsidRDefault="003C2807" w:rsidP="00461A81">
            <w:pPr>
              <w:rPr>
                <w:rFonts w:ascii="Calibri Light" w:eastAsia="Times New Roman" w:hAnsi="Calibri Light" w:cs="Calibri Light"/>
                <w:b w:val="0"/>
                <w:i/>
                <w:iCs/>
                <w:color w:val="000000"/>
                <w:sz w:val="18"/>
                <w:szCs w:val="18"/>
              </w:rPr>
            </w:pPr>
            <w:r w:rsidRPr="00193A11">
              <w:rPr>
                <w:rFonts w:ascii="Calibri Light" w:eastAsia="Times New Roman" w:hAnsi="Calibri Light" w:cs="Calibri Light"/>
                <w:i/>
                <w:iCs/>
                <w:color w:val="000000"/>
                <w:sz w:val="18"/>
                <w:szCs w:val="18"/>
              </w:rPr>
              <w:t>Sursă:</w:t>
            </w:r>
            <w:r w:rsidRPr="00127E39">
              <w:rPr>
                <w:rFonts w:ascii="Calibri Light" w:eastAsia="Times New Roman" w:hAnsi="Calibri Light" w:cs="Calibri Light"/>
                <w:color w:val="000000"/>
                <w:sz w:val="18"/>
                <w:szCs w:val="18"/>
              </w:rPr>
              <w:t xml:space="preserve"> </w:t>
            </w:r>
            <w:r w:rsidRPr="00127E39">
              <w:rPr>
                <w:rFonts w:ascii="Calibri Light" w:eastAsia="Times New Roman" w:hAnsi="Calibri Light" w:cs="Calibri Light"/>
                <w:i/>
                <w:iCs/>
                <w:color w:val="000000"/>
                <w:sz w:val="18"/>
                <w:szCs w:val="18"/>
              </w:rPr>
              <w:t>Raportul privind executarea bugetului la 31 decembrie 2021 al APCSP(Forma FD-044); Informația privind cheltuielile ISM, INM, MOLDAC (în funcție de natura acestora) pe anul 2021.</w:t>
            </w:r>
          </w:p>
        </w:tc>
        <w:tc>
          <w:tcPr>
            <w:tcW w:w="285" w:type="pct"/>
            <w:noWrap/>
            <w:hideMark/>
          </w:tcPr>
          <w:p w14:paraId="6347F5E0" w14:textId="77777777" w:rsidR="003C2807" w:rsidRPr="00255E9C" w:rsidRDefault="003C2807" w:rsidP="00461A8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Cs/>
                <w:i/>
                <w:iCs/>
                <w:color w:val="000000"/>
                <w:sz w:val="18"/>
                <w:szCs w:val="18"/>
              </w:rPr>
            </w:pPr>
          </w:p>
        </w:tc>
        <w:tc>
          <w:tcPr>
            <w:tcW w:w="234" w:type="pct"/>
            <w:noWrap/>
            <w:hideMark/>
          </w:tcPr>
          <w:p w14:paraId="5AB081DE" w14:textId="77777777" w:rsidR="003C2807" w:rsidRPr="00193A11" w:rsidRDefault="003C2807" w:rsidP="00461A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95" w:type="pct"/>
            <w:noWrap/>
            <w:hideMark/>
          </w:tcPr>
          <w:p w14:paraId="40730647" w14:textId="77777777" w:rsidR="003C2807" w:rsidRPr="001C1A69" w:rsidRDefault="003C2807" w:rsidP="00461A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68A24EE" w14:textId="6EA5DB45" w:rsidR="00DA689C" w:rsidRPr="003C2807" w:rsidRDefault="003C2807" w:rsidP="003C2807">
      <w:pPr>
        <w:ind w:firstLine="708"/>
        <w:rPr>
          <w:rFonts w:asciiTheme="majorHAnsi" w:hAnsiTheme="majorHAnsi" w:cstheme="majorHAnsi"/>
          <w:b/>
          <w:sz w:val="24"/>
          <w:szCs w:val="24"/>
          <w:lang w:eastAsia="ro-MD"/>
        </w:rPr>
      </w:pPr>
      <w:r>
        <w:rPr>
          <w:rFonts w:asciiTheme="majorHAnsi" w:hAnsiTheme="majorHAnsi" w:cstheme="majorHAnsi"/>
          <w:sz w:val="24"/>
          <w:szCs w:val="24"/>
          <w:lang w:eastAsia="ro-MD"/>
        </w:rPr>
        <w:t xml:space="preserve"> </w:t>
      </w:r>
      <w:r w:rsidR="001E77CA">
        <w:rPr>
          <w:rFonts w:asciiTheme="majorHAnsi" w:hAnsiTheme="majorHAnsi" w:cstheme="majorHAnsi"/>
          <w:sz w:val="24"/>
          <w:szCs w:val="24"/>
          <w:lang w:eastAsia="ro-MD"/>
        </w:rPr>
        <w:br w:type="page"/>
      </w:r>
    </w:p>
    <w:p w14:paraId="5F3CD497" w14:textId="10BDA5B1" w:rsidR="001E77CA" w:rsidRDefault="001E77CA" w:rsidP="00DA689C">
      <w:pPr>
        <w:jc w:val="both"/>
        <w:rPr>
          <w:rFonts w:asciiTheme="majorHAnsi" w:hAnsiTheme="majorHAnsi" w:cstheme="majorHAnsi"/>
          <w:sz w:val="24"/>
          <w:szCs w:val="24"/>
          <w:lang w:eastAsia="ro-MD"/>
        </w:rPr>
      </w:pPr>
    </w:p>
    <w:p w14:paraId="7D4F5E22" w14:textId="36E68A6B" w:rsidR="001E77CA" w:rsidRPr="001E77CA" w:rsidRDefault="001E77CA" w:rsidP="001E77CA">
      <w:pPr>
        <w:pStyle w:val="Heading2"/>
        <w:spacing w:before="0" w:after="240"/>
        <w:rPr>
          <w:rFonts w:cstheme="majorHAnsi"/>
          <w:b/>
          <w:color w:val="00B0F0"/>
          <w:sz w:val="24"/>
          <w:szCs w:val="24"/>
          <w:lang w:val="ro-MD"/>
        </w:rPr>
      </w:pPr>
      <w:bookmarkStart w:id="151" w:name="_Toc123116728"/>
      <w:r w:rsidRPr="001E77CA">
        <w:rPr>
          <w:rFonts w:cstheme="majorHAnsi"/>
          <w:b/>
          <w:color w:val="00B0F0"/>
          <w:sz w:val="24"/>
          <w:szCs w:val="24"/>
          <w:lang w:val="ro-MD"/>
        </w:rPr>
        <w:t>A</w:t>
      </w:r>
      <w:r>
        <w:rPr>
          <w:rFonts w:cstheme="majorHAnsi"/>
          <w:b/>
          <w:color w:val="00B0F0"/>
          <w:sz w:val="24"/>
          <w:szCs w:val="24"/>
          <w:lang w:val="ro-MD"/>
        </w:rPr>
        <w:t>nexa nr.7</w:t>
      </w:r>
      <w:r w:rsidRPr="001E77CA">
        <w:rPr>
          <w:rFonts w:cstheme="majorHAnsi"/>
          <w:b/>
          <w:color w:val="00B0F0"/>
          <w:sz w:val="24"/>
          <w:szCs w:val="24"/>
          <w:lang w:val="ro-MD"/>
        </w:rPr>
        <w:t xml:space="preserve">. </w:t>
      </w:r>
      <w:r w:rsidR="00CF7918">
        <w:rPr>
          <w:rFonts w:cstheme="majorHAnsi"/>
          <w:b/>
          <w:color w:val="00B0F0"/>
          <w:sz w:val="24"/>
          <w:szCs w:val="24"/>
          <w:lang w:val="ro-MD"/>
        </w:rPr>
        <w:t>Implementarea recomandărilor anterioare</w:t>
      </w:r>
      <w:r w:rsidR="008E60B2">
        <w:rPr>
          <w:rFonts w:cstheme="majorHAnsi"/>
          <w:b/>
          <w:color w:val="00B0F0"/>
          <w:sz w:val="24"/>
          <w:szCs w:val="24"/>
          <w:lang w:val="ro-MD"/>
        </w:rPr>
        <w:t xml:space="preserve"> ale Curții de Conturi</w:t>
      </w:r>
      <w:bookmarkEnd w:id="151"/>
    </w:p>
    <w:p w14:paraId="3DDFD6E1" w14:textId="567D5C06" w:rsidR="00CF7918" w:rsidRPr="00255E9C" w:rsidRDefault="00CF7918" w:rsidP="00CF7918">
      <w:pPr>
        <w:jc w:val="center"/>
        <w:rPr>
          <w:rFonts w:asciiTheme="majorHAnsi" w:hAnsiTheme="majorHAnsi" w:cstheme="majorHAnsi"/>
          <w:b/>
          <w:sz w:val="24"/>
          <w:szCs w:val="24"/>
          <w:lang w:val="ro-MD"/>
        </w:rPr>
      </w:pPr>
      <w:r w:rsidRPr="00255E9C">
        <w:rPr>
          <w:rFonts w:asciiTheme="majorHAnsi" w:hAnsiTheme="majorHAnsi" w:cstheme="majorHAnsi"/>
          <w:b/>
          <w:sz w:val="24"/>
          <w:szCs w:val="24"/>
          <w:lang w:val="ro-MD"/>
        </w:rPr>
        <w:t>Sinteza recomandărilor specificate în Hotărârea Curții de Conturi nr.17 din 29.04.2021 cu privire la aprobarea Raportul</w:t>
      </w:r>
      <w:r w:rsidR="0082062B">
        <w:rPr>
          <w:rFonts w:asciiTheme="majorHAnsi" w:hAnsiTheme="majorHAnsi" w:cstheme="majorHAnsi"/>
          <w:b/>
          <w:sz w:val="24"/>
          <w:szCs w:val="24"/>
          <w:lang w:val="ro-MD"/>
        </w:rPr>
        <w:t>ui</w:t>
      </w:r>
      <w:r w:rsidRPr="00255E9C">
        <w:rPr>
          <w:rFonts w:asciiTheme="majorHAnsi" w:hAnsiTheme="majorHAnsi" w:cstheme="majorHAnsi"/>
          <w:b/>
          <w:sz w:val="24"/>
          <w:szCs w:val="24"/>
          <w:lang w:val="ro-MD"/>
        </w:rPr>
        <w:t xml:space="preserve"> auditului conformității asupra achizițiilor publice în cadrul Ministerului Economiei și Infrastructurii în anii 2019-2020</w:t>
      </w:r>
    </w:p>
    <w:tbl>
      <w:tblPr>
        <w:tblStyle w:val="PlainTable1"/>
        <w:tblpPr w:leftFromText="180" w:rightFromText="180" w:vertAnchor="text" w:horzAnchor="margin" w:tblpY="161"/>
        <w:tblW w:w="13732" w:type="dxa"/>
        <w:tblLook w:val="04A0" w:firstRow="1" w:lastRow="0" w:firstColumn="1" w:lastColumn="0" w:noHBand="0" w:noVBand="1"/>
      </w:tblPr>
      <w:tblGrid>
        <w:gridCol w:w="4717"/>
        <w:gridCol w:w="2366"/>
        <w:gridCol w:w="2355"/>
        <w:gridCol w:w="2147"/>
        <w:gridCol w:w="2147"/>
      </w:tblGrid>
      <w:tr w:rsidR="00CF7918" w:rsidRPr="001C7E9E" w14:paraId="471F16CD" w14:textId="77777777" w:rsidTr="0054310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717" w:type="dxa"/>
            <w:vMerge w:val="restart"/>
          </w:tcPr>
          <w:p w14:paraId="4F433CD8" w14:textId="639E1EE5" w:rsidR="00CF7918" w:rsidRPr="001C7E9E" w:rsidRDefault="00CF7918" w:rsidP="00543106">
            <w:pPr>
              <w:jc w:val="center"/>
              <w:rPr>
                <w:rFonts w:asciiTheme="majorHAnsi" w:hAnsiTheme="majorHAnsi" w:cstheme="majorHAnsi"/>
                <w:i/>
                <w:sz w:val="20"/>
                <w:szCs w:val="20"/>
                <w:lang w:val="ro-MD"/>
              </w:rPr>
            </w:pPr>
            <w:r w:rsidRPr="001C7E9E">
              <w:rPr>
                <w:rFonts w:asciiTheme="majorHAnsi" w:hAnsiTheme="majorHAnsi" w:cstheme="majorHAnsi"/>
                <w:i/>
                <w:sz w:val="20"/>
                <w:szCs w:val="20"/>
                <w:lang w:val="ro-MD"/>
              </w:rPr>
              <w:t>Recomandare</w:t>
            </w:r>
            <w:r w:rsidR="00913348">
              <w:rPr>
                <w:rFonts w:asciiTheme="majorHAnsi" w:hAnsiTheme="majorHAnsi" w:cstheme="majorHAnsi"/>
                <w:i/>
                <w:sz w:val="20"/>
                <w:szCs w:val="20"/>
                <w:lang w:val="ro-MD"/>
              </w:rPr>
              <w:t>a</w:t>
            </w:r>
            <w:r w:rsidRPr="001C7E9E">
              <w:rPr>
                <w:rFonts w:asciiTheme="majorHAnsi" w:hAnsiTheme="majorHAnsi" w:cstheme="majorHAnsi"/>
                <w:i/>
                <w:sz w:val="20"/>
                <w:szCs w:val="20"/>
                <w:lang w:val="ro-MD"/>
              </w:rPr>
              <w:t xml:space="preserve"> înaintată</w:t>
            </w:r>
          </w:p>
          <w:p w14:paraId="618212C4" w14:textId="77777777" w:rsidR="00CF7918" w:rsidRPr="001C7E9E" w:rsidRDefault="00CF7918" w:rsidP="00543106">
            <w:pPr>
              <w:jc w:val="center"/>
              <w:rPr>
                <w:rFonts w:asciiTheme="majorHAnsi" w:hAnsiTheme="majorHAnsi" w:cstheme="majorHAnsi"/>
                <w:i/>
                <w:sz w:val="20"/>
                <w:szCs w:val="20"/>
                <w:lang w:val="ro-MD"/>
              </w:rPr>
            </w:pPr>
          </w:p>
        </w:tc>
        <w:tc>
          <w:tcPr>
            <w:tcW w:w="9015" w:type="dxa"/>
            <w:gridSpan w:val="4"/>
          </w:tcPr>
          <w:p w14:paraId="5616E369" w14:textId="77777777" w:rsidR="00CF7918" w:rsidRPr="001C7E9E" w:rsidRDefault="00CF7918" w:rsidP="005431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Denumirea entității / Statut implementare</w:t>
            </w:r>
          </w:p>
        </w:tc>
      </w:tr>
      <w:tr w:rsidR="00CF7918" w:rsidRPr="001C7E9E" w14:paraId="62F26116" w14:textId="77777777" w:rsidTr="005431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17" w:type="dxa"/>
            <w:vMerge/>
          </w:tcPr>
          <w:p w14:paraId="0EBA8048" w14:textId="77777777" w:rsidR="00CF7918" w:rsidRPr="001C7E9E" w:rsidRDefault="00CF7918" w:rsidP="00543106">
            <w:pPr>
              <w:rPr>
                <w:rFonts w:asciiTheme="majorHAnsi" w:hAnsiTheme="majorHAnsi" w:cstheme="majorHAnsi"/>
                <w:sz w:val="20"/>
                <w:szCs w:val="20"/>
                <w:lang w:val="ro-MD"/>
              </w:rPr>
            </w:pPr>
          </w:p>
        </w:tc>
        <w:tc>
          <w:tcPr>
            <w:tcW w:w="2366" w:type="dxa"/>
          </w:tcPr>
          <w:p w14:paraId="23D7FA6A"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1C7E9E">
              <w:rPr>
                <w:rFonts w:asciiTheme="majorHAnsi" w:hAnsiTheme="majorHAnsi" w:cstheme="majorHAnsi"/>
                <w:b/>
                <w:i/>
                <w:sz w:val="20"/>
                <w:szCs w:val="20"/>
                <w:lang w:val="ro-MD"/>
              </w:rPr>
              <w:t>APCSP</w:t>
            </w:r>
          </w:p>
        </w:tc>
        <w:tc>
          <w:tcPr>
            <w:tcW w:w="2355" w:type="dxa"/>
          </w:tcPr>
          <w:p w14:paraId="2FAE6716"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1C7E9E">
              <w:rPr>
                <w:rFonts w:asciiTheme="majorHAnsi" w:hAnsiTheme="majorHAnsi" w:cstheme="majorHAnsi"/>
                <w:b/>
                <w:i/>
                <w:sz w:val="20"/>
                <w:szCs w:val="20"/>
                <w:lang w:val="ro-MD"/>
              </w:rPr>
              <w:t>INM</w:t>
            </w:r>
          </w:p>
        </w:tc>
        <w:tc>
          <w:tcPr>
            <w:tcW w:w="2147" w:type="dxa"/>
          </w:tcPr>
          <w:p w14:paraId="50B581C5"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1C7E9E">
              <w:rPr>
                <w:rFonts w:asciiTheme="majorHAnsi" w:hAnsiTheme="majorHAnsi" w:cstheme="majorHAnsi"/>
                <w:b/>
                <w:i/>
                <w:sz w:val="20"/>
                <w:szCs w:val="20"/>
                <w:lang w:val="ro-MD"/>
              </w:rPr>
              <w:t>ISM</w:t>
            </w:r>
          </w:p>
        </w:tc>
        <w:tc>
          <w:tcPr>
            <w:tcW w:w="2147" w:type="dxa"/>
          </w:tcPr>
          <w:p w14:paraId="5E40470B"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0"/>
                <w:szCs w:val="20"/>
                <w:lang w:val="ro-MD"/>
              </w:rPr>
            </w:pPr>
            <w:r w:rsidRPr="001C7E9E">
              <w:rPr>
                <w:rFonts w:asciiTheme="majorHAnsi" w:hAnsiTheme="majorHAnsi" w:cstheme="majorHAnsi"/>
                <w:b/>
                <w:i/>
                <w:sz w:val="20"/>
                <w:szCs w:val="20"/>
                <w:lang w:val="ro-MD"/>
              </w:rPr>
              <w:t>MOLDAC</w:t>
            </w:r>
          </w:p>
        </w:tc>
      </w:tr>
      <w:tr w:rsidR="00CF7918" w:rsidRPr="001C7E9E" w14:paraId="52AF7870" w14:textId="77777777" w:rsidTr="00543106">
        <w:trPr>
          <w:trHeight w:val="140"/>
        </w:trPr>
        <w:tc>
          <w:tcPr>
            <w:cnfStyle w:val="001000000000" w:firstRow="0" w:lastRow="0" w:firstColumn="1" w:lastColumn="0" w:oddVBand="0" w:evenVBand="0" w:oddHBand="0" w:evenHBand="0" w:firstRowFirstColumn="0" w:firstRowLastColumn="0" w:lastRowFirstColumn="0" w:lastRowLastColumn="0"/>
            <w:tcW w:w="4717" w:type="dxa"/>
          </w:tcPr>
          <w:p w14:paraId="07837F02" w14:textId="377FCC12" w:rsidR="00CF7918" w:rsidRPr="001C7E9E" w:rsidRDefault="00CF7918" w:rsidP="00543106">
            <w:pPr>
              <w:pStyle w:val="Default"/>
              <w:jc w:val="both"/>
              <w:rPr>
                <w:rFonts w:asciiTheme="majorHAnsi" w:hAnsiTheme="majorHAnsi" w:cstheme="majorHAnsi"/>
                <w:sz w:val="20"/>
                <w:szCs w:val="20"/>
              </w:rPr>
            </w:pPr>
            <w:r w:rsidRPr="001C7E9E">
              <w:rPr>
                <w:rFonts w:asciiTheme="majorHAnsi" w:hAnsiTheme="majorHAnsi" w:cstheme="majorHAnsi"/>
                <w:b w:val="0"/>
                <w:sz w:val="20"/>
                <w:szCs w:val="20"/>
              </w:rPr>
              <w:t>1.Să asigure elaborarea și realizarea unui plan de măsuri pentru lichidarea iregularităților și neajunsurilor constatate și enunțate în prezentul Raport, inclusiv în perioadele de gestiune viitoare</w:t>
            </w:r>
            <w:r w:rsidR="00EA1B33">
              <w:rPr>
                <w:rFonts w:asciiTheme="majorHAnsi" w:hAnsiTheme="majorHAnsi" w:cstheme="majorHAnsi"/>
                <w:b w:val="0"/>
                <w:sz w:val="20"/>
                <w:szCs w:val="20"/>
              </w:rPr>
              <w:t>.</w:t>
            </w:r>
            <w:r w:rsidRPr="001C7E9E">
              <w:rPr>
                <w:rFonts w:asciiTheme="majorHAnsi" w:hAnsiTheme="majorHAnsi" w:cstheme="majorHAnsi"/>
                <w:sz w:val="20"/>
                <w:szCs w:val="20"/>
              </w:rPr>
              <w:t xml:space="preserve"> </w:t>
            </w:r>
          </w:p>
        </w:tc>
        <w:tc>
          <w:tcPr>
            <w:tcW w:w="2366" w:type="dxa"/>
          </w:tcPr>
          <w:p w14:paraId="5AAC266C"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194AEE01"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355" w:type="dxa"/>
          </w:tcPr>
          <w:p w14:paraId="6A995E00"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18B80456"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147" w:type="dxa"/>
          </w:tcPr>
          <w:p w14:paraId="668B2504"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0317F920"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147" w:type="dxa"/>
          </w:tcPr>
          <w:p w14:paraId="49BCFEF7"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728E285D"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r>
      <w:tr w:rsidR="00CF7918" w:rsidRPr="001C7E9E" w14:paraId="6DC713C9" w14:textId="77777777" w:rsidTr="00543106">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717" w:type="dxa"/>
          </w:tcPr>
          <w:p w14:paraId="30AC35E2" w14:textId="77777777" w:rsidR="00CF7918" w:rsidRPr="001C7E9E" w:rsidRDefault="00CF7918" w:rsidP="00543106">
            <w:pPr>
              <w:pStyle w:val="Default"/>
              <w:jc w:val="both"/>
              <w:rPr>
                <w:rFonts w:asciiTheme="majorHAnsi" w:hAnsiTheme="majorHAnsi" w:cstheme="majorHAnsi"/>
                <w:i/>
                <w:sz w:val="20"/>
                <w:szCs w:val="20"/>
              </w:rPr>
            </w:pPr>
            <w:r w:rsidRPr="001C7E9E">
              <w:rPr>
                <w:rFonts w:asciiTheme="majorHAnsi" w:hAnsiTheme="majorHAnsi" w:cstheme="majorHAnsi"/>
                <w:i/>
                <w:sz w:val="20"/>
                <w:szCs w:val="20"/>
              </w:rPr>
              <w:t>Concluziile auditului</w:t>
            </w:r>
          </w:p>
        </w:tc>
        <w:tc>
          <w:tcPr>
            <w:tcW w:w="2366" w:type="dxa"/>
          </w:tcPr>
          <w:p w14:paraId="599BE6BB"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355" w:type="dxa"/>
          </w:tcPr>
          <w:p w14:paraId="4CEF86A6"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147" w:type="dxa"/>
          </w:tcPr>
          <w:p w14:paraId="1C0D6BAB"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147" w:type="dxa"/>
          </w:tcPr>
          <w:p w14:paraId="49E83F09"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r>
      <w:tr w:rsidR="00CF7918" w:rsidRPr="001C7E9E" w14:paraId="1F028D0A" w14:textId="77777777" w:rsidTr="00543106">
        <w:trPr>
          <w:trHeight w:val="140"/>
        </w:trPr>
        <w:tc>
          <w:tcPr>
            <w:cnfStyle w:val="001000000000" w:firstRow="0" w:lastRow="0" w:firstColumn="1" w:lastColumn="0" w:oddVBand="0" w:evenVBand="0" w:oddHBand="0" w:evenHBand="0" w:firstRowFirstColumn="0" w:firstRowLastColumn="0" w:lastRowFirstColumn="0" w:lastRowLastColumn="0"/>
            <w:tcW w:w="4717" w:type="dxa"/>
          </w:tcPr>
          <w:p w14:paraId="094EE5DB" w14:textId="3FA7A87A" w:rsidR="00CF7918" w:rsidRPr="001C7E9E" w:rsidRDefault="00CF7918" w:rsidP="00543106">
            <w:pPr>
              <w:pStyle w:val="Default"/>
              <w:jc w:val="both"/>
              <w:rPr>
                <w:rFonts w:asciiTheme="majorHAnsi" w:hAnsiTheme="majorHAnsi" w:cstheme="majorHAnsi"/>
                <w:b w:val="0"/>
                <w:sz w:val="20"/>
                <w:szCs w:val="20"/>
              </w:rPr>
            </w:pPr>
            <w:r w:rsidRPr="001C7E9E">
              <w:rPr>
                <w:rFonts w:asciiTheme="majorHAnsi" w:hAnsiTheme="majorHAnsi" w:cstheme="majorHAnsi"/>
                <w:b w:val="0"/>
                <w:sz w:val="20"/>
                <w:szCs w:val="20"/>
              </w:rPr>
              <w:t>2. Să asigure evaluarea, prin prisma Standardelor de control intern în sectorul public aplicabile, a procesului de achiziție publică, în scopul identificării și gestionării ulterioare a lacunelor, deficiențelor și riscurilor identificate aferente acestuia</w:t>
            </w:r>
            <w:r w:rsidR="00EA1B33">
              <w:rPr>
                <w:rFonts w:asciiTheme="majorHAnsi" w:hAnsiTheme="majorHAnsi" w:cstheme="majorHAnsi"/>
                <w:b w:val="0"/>
                <w:sz w:val="20"/>
                <w:szCs w:val="20"/>
              </w:rPr>
              <w:t>.</w:t>
            </w:r>
            <w:r w:rsidRPr="001C7E9E">
              <w:rPr>
                <w:rFonts w:asciiTheme="majorHAnsi" w:hAnsiTheme="majorHAnsi" w:cstheme="majorHAnsi"/>
                <w:b w:val="0"/>
                <w:sz w:val="20"/>
                <w:szCs w:val="20"/>
              </w:rPr>
              <w:t xml:space="preserve"> </w:t>
            </w:r>
          </w:p>
          <w:p w14:paraId="32D4C253" w14:textId="77777777" w:rsidR="00CF7918" w:rsidRPr="001C7E9E" w:rsidRDefault="00CF7918" w:rsidP="00543106">
            <w:pPr>
              <w:jc w:val="both"/>
              <w:rPr>
                <w:rFonts w:asciiTheme="majorHAnsi" w:hAnsiTheme="majorHAnsi" w:cstheme="majorHAnsi"/>
                <w:sz w:val="20"/>
                <w:szCs w:val="20"/>
                <w:lang w:val="ro-MD"/>
              </w:rPr>
            </w:pPr>
          </w:p>
        </w:tc>
        <w:tc>
          <w:tcPr>
            <w:tcW w:w="2366" w:type="dxa"/>
          </w:tcPr>
          <w:p w14:paraId="272FB3BC"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6C0EF502"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Neimplementat</w:t>
            </w:r>
          </w:p>
        </w:tc>
        <w:tc>
          <w:tcPr>
            <w:tcW w:w="2355" w:type="dxa"/>
          </w:tcPr>
          <w:p w14:paraId="14DA3308"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11E48390"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Parțial implementat</w:t>
            </w:r>
          </w:p>
        </w:tc>
        <w:tc>
          <w:tcPr>
            <w:tcW w:w="2147" w:type="dxa"/>
          </w:tcPr>
          <w:p w14:paraId="0697F3FF"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0E783875"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147" w:type="dxa"/>
          </w:tcPr>
          <w:p w14:paraId="351AAA89"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5B0D0EED"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r>
      <w:tr w:rsidR="00CF7918" w:rsidRPr="001C7E9E" w14:paraId="2B641830" w14:textId="77777777" w:rsidTr="00543106">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717" w:type="dxa"/>
          </w:tcPr>
          <w:p w14:paraId="3FE98489" w14:textId="77777777" w:rsidR="00CF7918" w:rsidRPr="001C7E9E" w:rsidRDefault="00CF7918" w:rsidP="00543106">
            <w:pPr>
              <w:pStyle w:val="Default"/>
              <w:jc w:val="both"/>
              <w:rPr>
                <w:rFonts w:asciiTheme="majorHAnsi" w:hAnsiTheme="majorHAnsi" w:cstheme="majorHAnsi"/>
                <w:i/>
                <w:sz w:val="20"/>
                <w:szCs w:val="20"/>
              </w:rPr>
            </w:pPr>
            <w:r w:rsidRPr="001C7E9E">
              <w:rPr>
                <w:rFonts w:asciiTheme="majorHAnsi" w:hAnsiTheme="majorHAnsi" w:cstheme="majorHAnsi"/>
                <w:i/>
                <w:sz w:val="20"/>
                <w:szCs w:val="20"/>
              </w:rPr>
              <w:t>Concluziile auditului</w:t>
            </w:r>
          </w:p>
        </w:tc>
        <w:tc>
          <w:tcPr>
            <w:tcW w:w="2366" w:type="dxa"/>
          </w:tcPr>
          <w:p w14:paraId="7C8E55AE"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 xml:space="preserve">Se propune pentru </w:t>
            </w:r>
            <w:r w:rsidRPr="001C7E9E">
              <w:rPr>
                <w:rFonts w:asciiTheme="majorHAnsi" w:hAnsiTheme="majorHAnsi" w:cstheme="majorHAnsi"/>
                <w:b/>
                <w:i/>
                <w:sz w:val="20"/>
                <w:szCs w:val="20"/>
                <w:lang w:val="ro-MD"/>
              </w:rPr>
              <w:t xml:space="preserve">reiterare </w:t>
            </w:r>
            <w:r w:rsidRPr="001C7E9E">
              <w:rPr>
                <w:rFonts w:asciiTheme="majorHAnsi" w:hAnsiTheme="majorHAnsi" w:cstheme="majorHAnsi"/>
                <w:i/>
                <w:sz w:val="20"/>
                <w:szCs w:val="20"/>
                <w:lang w:val="ro-MD"/>
              </w:rPr>
              <w:t>în prezentul Raport</w:t>
            </w:r>
          </w:p>
        </w:tc>
        <w:tc>
          <w:tcPr>
            <w:tcW w:w="2355" w:type="dxa"/>
          </w:tcPr>
          <w:p w14:paraId="7B79F336"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 xml:space="preserve">Se propune pentru </w:t>
            </w:r>
            <w:r w:rsidRPr="001C7E9E">
              <w:rPr>
                <w:rFonts w:asciiTheme="majorHAnsi" w:hAnsiTheme="majorHAnsi" w:cstheme="majorHAnsi"/>
                <w:b/>
                <w:i/>
                <w:sz w:val="20"/>
                <w:szCs w:val="20"/>
                <w:lang w:val="ro-MD"/>
              </w:rPr>
              <w:t xml:space="preserve">reiterare </w:t>
            </w:r>
            <w:r w:rsidRPr="001C7E9E">
              <w:rPr>
                <w:rFonts w:asciiTheme="majorHAnsi" w:hAnsiTheme="majorHAnsi" w:cstheme="majorHAnsi"/>
                <w:i/>
                <w:sz w:val="20"/>
                <w:szCs w:val="20"/>
                <w:lang w:val="ro-MD"/>
              </w:rPr>
              <w:t>în prezentul Raport</w:t>
            </w:r>
          </w:p>
        </w:tc>
        <w:tc>
          <w:tcPr>
            <w:tcW w:w="2147" w:type="dxa"/>
          </w:tcPr>
          <w:p w14:paraId="10745A54"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147" w:type="dxa"/>
          </w:tcPr>
          <w:p w14:paraId="5AB9F7CB"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r>
      <w:tr w:rsidR="00CF7918" w:rsidRPr="001C7E9E" w14:paraId="70E27526" w14:textId="77777777" w:rsidTr="00543106">
        <w:trPr>
          <w:trHeight w:val="140"/>
        </w:trPr>
        <w:tc>
          <w:tcPr>
            <w:cnfStyle w:val="001000000000" w:firstRow="0" w:lastRow="0" w:firstColumn="1" w:lastColumn="0" w:oddVBand="0" w:evenVBand="0" w:oddHBand="0" w:evenHBand="0" w:firstRowFirstColumn="0" w:firstRowLastColumn="0" w:lastRowFirstColumn="0" w:lastRowLastColumn="0"/>
            <w:tcW w:w="4717" w:type="dxa"/>
          </w:tcPr>
          <w:p w14:paraId="3A00C36D" w14:textId="51A6FF9D" w:rsidR="00CF7918" w:rsidRPr="001C7E9E" w:rsidRDefault="00CF7918" w:rsidP="00543106">
            <w:pPr>
              <w:jc w:val="both"/>
              <w:rPr>
                <w:rFonts w:asciiTheme="majorHAnsi" w:hAnsiTheme="majorHAnsi" w:cstheme="majorHAnsi"/>
                <w:sz w:val="20"/>
                <w:szCs w:val="20"/>
                <w:lang w:val="ro-MD"/>
              </w:rPr>
            </w:pPr>
            <w:r w:rsidRPr="001C7E9E">
              <w:rPr>
                <w:rFonts w:asciiTheme="majorHAnsi" w:hAnsiTheme="majorHAnsi" w:cstheme="majorHAnsi"/>
                <w:b w:val="0"/>
                <w:sz w:val="20"/>
                <w:szCs w:val="20"/>
                <w:lang w:val="ro-MD"/>
              </w:rPr>
              <w:t>3. Să asigure dezvoltarea cadrului regulator intern aferent funcționării grupului de lucru pentru achiziții publice prin elaborarea/ajustarea (după caz) a Regulamentului respectiv, inclusiv cu repartizarea sarcinilor/responsabilităților fiecărui membru al grupului de lucru, pentru a asigura funcționalitatea acestuia în corespundere cu principiile fundamentale stabilite prin cadrul normativ în vigoare: asumarea răspunderii; imparțialitate; profesionalism și independență</w:t>
            </w:r>
            <w:r w:rsidR="00EA1B33">
              <w:rPr>
                <w:rFonts w:asciiTheme="majorHAnsi" w:hAnsiTheme="majorHAnsi" w:cstheme="majorHAnsi"/>
                <w:b w:val="0"/>
                <w:sz w:val="20"/>
                <w:szCs w:val="20"/>
                <w:lang w:val="ro-MD"/>
              </w:rPr>
              <w:t>.</w:t>
            </w:r>
            <w:r w:rsidRPr="001C7E9E">
              <w:rPr>
                <w:rFonts w:asciiTheme="majorHAnsi" w:hAnsiTheme="majorHAnsi" w:cstheme="majorHAnsi"/>
                <w:sz w:val="20"/>
                <w:szCs w:val="20"/>
                <w:lang w:val="ro-MD"/>
              </w:rPr>
              <w:t xml:space="preserve"> </w:t>
            </w:r>
          </w:p>
        </w:tc>
        <w:tc>
          <w:tcPr>
            <w:tcW w:w="2366" w:type="dxa"/>
          </w:tcPr>
          <w:p w14:paraId="4A560C35"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621F1E66"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355" w:type="dxa"/>
          </w:tcPr>
          <w:p w14:paraId="5EDE2464"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0B26FB67"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147" w:type="dxa"/>
          </w:tcPr>
          <w:p w14:paraId="7187678C"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c>
          <w:tcPr>
            <w:tcW w:w="2147" w:type="dxa"/>
          </w:tcPr>
          <w:p w14:paraId="729C4A7C"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r>
      <w:tr w:rsidR="00CF7918" w:rsidRPr="001C7E9E" w14:paraId="7FD6C371" w14:textId="77777777" w:rsidTr="0054310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717" w:type="dxa"/>
          </w:tcPr>
          <w:p w14:paraId="3AB5279E" w14:textId="77777777" w:rsidR="00CF7918" w:rsidRPr="001C7E9E" w:rsidRDefault="00CF7918" w:rsidP="00543106">
            <w:pPr>
              <w:pStyle w:val="Default"/>
              <w:jc w:val="both"/>
              <w:rPr>
                <w:rFonts w:asciiTheme="majorHAnsi" w:hAnsiTheme="majorHAnsi" w:cstheme="majorHAnsi"/>
                <w:i/>
                <w:sz w:val="20"/>
                <w:szCs w:val="20"/>
              </w:rPr>
            </w:pPr>
            <w:r w:rsidRPr="001C7E9E">
              <w:rPr>
                <w:rFonts w:asciiTheme="majorHAnsi" w:hAnsiTheme="majorHAnsi" w:cstheme="majorHAnsi"/>
                <w:i/>
                <w:sz w:val="20"/>
                <w:szCs w:val="20"/>
              </w:rPr>
              <w:t>Concluziile auditului</w:t>
            </w:r>
          </w:p>
        </w:tc>
        <w:tc>
          <w:tcPr>
            <w:tcW w:w="2366" w:type="dxa"/>
          </w:tcPr>
          <w:p w14:paraId="52BDB921"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355" w:type="dxa"/>
          </w:tcPr>
          <w:p w14:paraId="537413EF"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147" w:type="dxa"/>
          </w:tcPr>
          <w:p w14:paraId="272D95B6"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x</w:t>
            </w:r>
          </w:p>
        </w:tc>
        <w:tc>
          <w:tcPr>
            <w:tcW w:w="2147" w:type="dxa"/>
          </w:tcPr>
          <w:p w14:paraId="1AD53173"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r>
      <w:tr w:rsidR="00CF7918" w:rsidRPr="001C7E9E" w14:paraId="4F803A05" w14:textId="77777777" w:rsidTr="00543106">
        <w:trPr>
          <w:trHeight w:val="140"/>
        </w:trPr>
        <w:tc>
          <w:tcPr>
            <w:cnfStyle w:val="001000000000" w:firstRow="0" w:lastRow="0" w:firstColumn="1" w:lastColumn="0" w:oddVBand="0" w:evenVBand="0" w:oddHBand="0" w:evenHBand="0" w:firstRowFirstColumn="0" w:firstRowLastColumn="0" w:lastRowFirstColumn="0" w:lastRowLastColumn="0"/>
            <w:tcW w:w="4717" w:type="dxa"/>
          </w:tcPr>
          <w:p w14:paraId="6D14CEDE" w14:textId="29DC1EDF" w:rsidR="00CF7918" w:rsidRPr="001C7E9E" w:rsidRDefault="00CF7918" w:rsidP="00543106">
            <w:pPr>
              <w:jc w:val="both"/>
              <w:rPr>
                <w:rFonts w:asciiTheme="majorHAnsi" w:hAnsiTheme="majorHAnsi" w:cstheme="majorHAnsi"/>
                <w:b w:val="0"/>
                <w:sz w:val="20"/>
                <w:szCs w:val="20"/>
                <w:lang w:val="ro-MD"/>
              </w:rPr>
            </w:pPr>
            <w:r w:rsidRPr="001C7E9E">
              <w:rPr>
                <w:rFonts w:asciiTheme="majorHAnsi" w:hAnsiTheme="majorHAnsi" w:cstheme="majorHAnsi"/>
                <w:b w:val="0"/>
                <w:sz w:val="20"/>
                <w:szCs w:val="20"/>
                <w:lang w:val="ro-MD"/>
              </w:rPr>
              <w:t>4. Să asigure consolidarea controlului intern prin definirea clară (descrierea, adoptarea și gestionarea) a mecanismului de identificare și sistematizare a necesităților entității de bunuri/lucrări/servicii pentru planificarea realistă a cheltuielilor, precum și efectuarea achizițiilor publice în concordanță cu acestea</w:t>
            </w:r>
            <w:r w:rsidR="00EA1B33">
              <w:rPr>
                <w:rFonts w:asciiTheme="majorHAnsi" w:hAnsiTheme="majorHAnsi" w:cstheme="majorHAnsi"/>
                <w:b w:val="0"/>
                <w:sz w:val="20"/>
                <w:szCs w:val="20"/>
                <w:lang w:val="ro-MD"/>
              </w:rPr>
              <w:t>.</w:t>
            </w:r>
            <w:r w:rsidRPr="001C7E9E">
              <w:rPr>
                <w:rFonts w:asciiTheme="majorHAnsi" w:hAnsiTheme="majorHAnsi" w:cstheme="majorHAnsi"/>
                <w:b w:val="0"/>
                <w:sz w:val="20"/>
                <w:szCs w:val="20"/>
                <w:lang w:val="ro-MD"/>
              </w:rPr>
              <w:t xml:space="preserve"> </w:t>
            </w:r>
          </w:p>
          <w:p w14:paraId="52510E90" w14:textId="77777777" w:rsidR="00CF7918" w:rsidRPr="001C7E9E" w:rsidRDefault="00CF7918" w:rsidP="00543106">
            <w:pPr>
              <w:jc w:val="both"/>
              <w:rPr>
                <w:rFonts w:asciiTheme="majorHAnsi" w:hAnsiTheme="majorHAnsi" w:cstheme="majorHAnsi"/>
                <w:sz w:val="20"/>
                <w:szCs w:val="20"/>
                <w:lang w:val="ro-MD"/>
              </w:rPr>
            </w:pPr>
          </w:p>
        </w:tc>
        <w:tc>
          <w:tcPr>
            <w:tcW w:w="2366" w:type="dxa"/>
          </w:tcPr>
          <w:p w14:paraId="0AA88428"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7DE29DD6"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355" w:type="dxa"/>
          </w:tcPr>
          <w:p w14:paraId="79CE1A7E"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p w14:paraId="72DB486F"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Implementat</w:t>
            </w:r>
          </w:p>
        </w:tc>
        <w:tc>
          <w:tcPr>
            <w:tcW w:w="2147" w:type="dxa"/>
          </w:tcPr>
          <w:p w14:paraId="6176C37B"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c>
          <w:tcPr>
            <w:tcW w:w="2147" w:type="dxa"/>
          </w:tcPr>
          <w:p w14:paraId="24363AF3" w14:textId="77777777" w:rsidR="00CF7918" w:rsidRPr="001C7E9E" w:rsidRDefault="00CF7918" w:rsidP="005431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r>
      <w:tr w:rsidR="00CF7918" w:rsidRPr="001C7E9E" w14:paraId="0F845742" w14:textId="77777777" w:rsidTr="0054310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717" w:type="dxa"/>
          </w:tcPr>
          <w:p w14:paraId="053E9F12" w14:textId="77777777" w:rsidR="00CF7918" w:rsidRPr="001C7E9E" w:rsidRDefault="00CF7918" w:rsidP="00543106">
            <w:pPr>
              <w:jc w:val="both"/>
              <w:rPr>
                <w:rFonts w:asciiTheme="majorHAnsi" w:hAnsiTheme="majorHAnsi" w:cstheme="majorHAnsi"/>
                <w:i/>
                <w:sz w:val="20"/>
                <w:szCs w:val="20"/>
                <w:lang w:val="ro-MD"/>
              </w:rPr>
            </w:pPr>
            <w:r w:rsidRPr="001C7E9E">
              <w:rPr>
                <w:rFonts w:asciiTheme="majorHAnsi" w:hAnsiTheme="majorHAnsi" w:cstheme="majorHAnsi"/>
                <w:i/>
                <w:sz w:val="20"/>
                <w:szCs w:val="20"/>
                <w:lang w:val="ro-MD"/>
              </w:rPr>
              <w:t>Concluziile auditului</w:t>
            </w:r>
          </w:p>
        </w:tc>
        <w:tc>
          <w:tcPr>
            <w:tcW w:w="2366" w:type="dxa"/>
          </w:tcPr>
          <w:p w14:paraId="4E69336E"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355" w:type="dxa"/>
          </w:tcPr>
          <w:p w14:paraId="34E6DE26"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lang w:val="ro-MD"/>
              </w:rPr>
            </w:pPr>
            <w:r w:rsidRPr="001C7E9E">
              <w:rPr>
                <w:rFonts w:asciiTheme="majorHAnsi" w:hAnsiTheme="majorHAnsi" w:cstheme="majorHAnsi"/>
                <w:i/>
                <w:sz w:val="20"/>
                <w:szCs w:val="20"/>
                <w:lang w:val="ro-MD"/>
              </w:rPr>
              <w:t>Se propune pentru excludere din regim de monitorizare</w:t>
            </w:r>
          </w:p>
        </w:tc>
        <w:tc>
          <w:tcPr>
            <w:tcW w:w="2147" w:type="dxa"/>
          </w:tcPr>
          <w:p w14:paraId="17E533D2"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c>
          <w:tcPr>
            <w:tcW w:w="2147" w:type="dxa"/>
          </w:tcPr>
          <w:p w14:paraId="4F01B4DD" w14:textId="77777777" w:rsidR="00CF7918" w:rsidRPr="001C7E9E" w:rsidRDefault="00CF7918" w:rsidP="005431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1C7E9E">
              <w:rPr>
                <w:rFonts w:asciiTheme="majorHAnsi" w:hAnsiTheme="majorHAnsi" w:cstheme="majorHAnsi"/>
                <w:sz w:val="20"/>
                <w:szCs w:val="20"/>
                <w:lang w:val="ro-MD"/>
              </w:rPr>
              <w:t>x</w:t>
            </w:r>
          </w:p>
        </w:tc>
      </w:tr>
    </w:tbl>
    <w:p w14:paraId="59D4E522" w14:textId="77777777" w:rsidR="009421A6" w:rsidRDefault="009421A6" w:rsidP="001E77CA">
      <w:pPr>
        <w:pStyle w:val="Heading2"/>
        <w:spacing w:before="0" w:after="240"/>
        <w:rPr>
          <w:rFonts w:eastAsiaTheme="minorHAnsi" w:cstheme="majorHAnsi"/>
          <w:color w:val="auto"/>
          <w:sz w:val="24"/>
          <w:szCs w:val="24"/>
          <w:lang w:eastAsia="ro-MD"/>
        </w:rPr>
      </w:pPr>
      <w:r>
        <w:rPr>
          <w:rFonts w:eastAsiaTheme="minorHAnsi" w:cstheme="majorHAnsi"/>
          <w:color w:val="auto"/>
          <w:sz w:val="24"/>
          <w:szCs w:val="24"/>
          <w:lang w:eastAsia="ro-MD"/>
        </w:rPr>
        <w:br w:type="page"/>
      </w:r>
    </w:p>
    <w:p w14:paraId="311C1F94" w14:textId="79A2138C" w:rsidR="001E77CA" w:rsidRDefault="001E77CA" w:rsidP="001E77CA">
      <w:pPr>
        <w:pStyle w:val="Heading2"/>
        <w:spacing w:before="0" w:after="240"/>
        <w:rPr>
          <w:rFonts w:cstheme="majorHAnsi"/>
          <w:b/>
          <w:color w:val="00B0F0"/>
          <w:sz w:val="24"/>
          <w:szCs w:val="24"/>
          <w:lang w:val="ro-MD"/>
        </w:rPr>
      </w:pPr>
      <w:bookmarkStart w:id="152" w:name="_Toc123116729"/>
      <w:r w:rsidRPr="001E77CA">
        <w:rPr>
          <w:rFonts w:cstheme="majorHAnsi"/>
          <w:b/>
          <w:color w:val="00B0F0"/>
          <w:sz w:val="24"/>
          <w:szCs w:val="24"/>
          <w:lang w:val="ro-MD"/>
        </w:rPr>
        <w:t>A</w:t>
      </w:r>
      <w:r>
        <w:rPr>
          <w:rFonts w:cstheme="majorHAnsi"/>
          <w:b/>
          <w:color w:val="00B0F0"/>
          <w:sz w:val="24"/>
          <w:szCs w:val="24"/>
          <w:lang w:val="ro-MD"/>
        </w:rPr>
        <w:t>nexa nr.8</w:t>
      </w:r>
      <w:r w:rsidRPr="001E77CA">
        <w:rPr>
          <w:rFonts w:cstheme="majorHAnsi"/>
          <w:b/>
          <w:color w:val="00B0F0"/>
          <w:sz w:val="24"/>
          <w:szCs w:val="24"/>
          <w:lang w:val="ro-MD"/>
        </w:rPr>
        <w:t xml:space="preserve">. </w:t>
      </w:r>
      <w:r w:rsidR="009B2697">
        <w:rPr>
          <w:rFonts w:cstheme="majorHAnsi"/>
          <w:b/>
          <w:color w:val="00B0F0"/>
          <w:sz w:val="24"/>
          <w:szCs w:val="24"/>
          <w:lang w:val="ro-MD"/>
        </w:rPr>
        <w:t>Planurile de acțiuni</w:t>
      </w:r>
      <w:bookmarkEnd w:id="152"/>
    </w:p>
    <w:p w14:paraId="00D6A1AB" w14:textId="77777777" w:rsidR="009421A6" w:rsidRDefault="009421A6" w:rsidP="009421A6">
      <w:pPr>
        <w:spacing w:after="0" w:line="276" w:lineRule="auto"/>
        <w:jc w:val="center"/>
        <w:rPr>
          <w:rFonts w:ascii="Calibri Light" w:hAnsi="Calibri Light" w:cs="Calibri Light"/>
          <w:b/>
          <w:bCs/>
          <w:sz w:val="24"/>
          <w:szCs w:val="24"/>
          <w:lang w:val="ro-MD"/>
        </w:rPr>
      </w:pPr>
      <w:r>
        <w:rPr>
          <w:rFonts w:ascii="Calibri Light" w:hAnsi="Calibri Light" w:cs="Calibri Light"/>
          <w:b/>
          <w:bCs/>
          <w:sz w:val="24"/>
          <w:szCs w:val="24"/>
          <w:lang w:val="ro-MD"/>
        </w:rPr>
        <w:t>P</w:t>
      </w:r>
      <w:r w:rsidRPr="000B2A60">
        <w:rPr>
          <w:rFonts w:ascii="Calibri Light" w:hAnsi="Calibri Light" w:cs="Calibri Light"/>
          <w:b/>
          <w:bCs/>
          <w:sz w:val="24"/>
          <w:szCs w:val="24"/>
          <w:lang w:val="ro-MD"/>
        </w:rPr>
        <w:t>LAN</w:t>
      </w:r>
      <w:r>
        <w:rPr>
          <w:rFonts w:ascii="Calibri Light" w:hAnsi="Calibri Light" w:cs="Calibri Light"/>
          <w:b/>
          <w:bCs/>
          <w:sz w:val="24"/>
          <w:szCs w:val="24"/>
          <w:lang w:val="ro-MD"/>
        </w:rPr>
        <w:t>UL</w:t>
      </w:r>
      <w:r w:rsidRPr="000B2A60">
        <w:rPr>
          <w:rFonts w:ascii="Calibri Light" w:hAnsi="Calibri Light" w:cs="Calibri Light"/>
          <w:b/>
          <w:bCs/>
          <w:sz w:val="24"/>
          <w:szCs w:val="24"/>
          <w:lang w:val="ro-MD"/>
        </w:rPr>
        <w:t xml:space="preserve"> DE ACȚIUNI</w:t>
      </w:r>
      <w:r>
        <w:rPr>
          <w:rFonts w:ascii="Calibri Light" w:hAnsi="Calibri Light" w:cs="Calibri Light"/>
          <w:b/>
          <w:bCs/>
          <w:sz w:val="24"/>
          <w:szCs w:val="24"/>
          <w:lang w:val="ro-MD"/>
        </w:rPr>
        <w:t xml:space="preserve"> </w:t>
      </w:r>
    </w:p>
    <w:p w14:paraId="4504CAAD" w14:textId="77777777" w:rsidR="009421A6" w:rsidRPr="0085276D" w:rsidRDefault="009421A6" w:rsidP="009421A6">
      <w:pPr>
        <w:spacing w:after="0" w:line="276" w:lineRule="auto"/>
        <w:jc w:val="center"/>
        <w:rPr>
          <w:rFonts w:ascii="Calibri Light" w:hAnsi="Calibri Light" w:cs="Calibri Light"/>
          <w:bCs/>
          <w:sz w:val="24"/>
          <w:szCs w:val="24"/>
          <w:lang w:val="ro-MD"/>
        </w:rPr>
      </w:pPr>
      <w:r>
        <w:rPr>
          <w:rFonts w:ascii="Calibri Light" w:hAnsi="Calibri Light" w:cs="Calibri Light"/>
          <w:b/>
          <w:bCs/>
          <w:sz w:val="24"/>
          <w:szCs w:val="24"/>
          <w:lang w:val="ro-MD"/>
        </w:rPr>
        <w:t>privind implementarea recomandărilor CCRM de către Centrul Național de Acreditare din Republica Moldova (MOLDAC)</w:t>
      </w:r>
    </w:p>
    <w:p w14:paraId="63E03978" w14:textId="77777777" w:rsidR="009421A6" w:rsidRDefault="009421A6" w:rsidP="009421A6"/>
    <w:tbl>
      <w:tblPr>
        <w:tblStyle w:val="TableGrid"/>
        <w:tblW w:w="5200" w:type="pct"/>
        <w:tblLook w:val="04A0" w:firstRow="1" w:lastRow="0" w:firstColumn="1" w:lastColumn="0" w:noHBand="0" w:noVBand="1"/>
      </w:tblPr>
      <w:tblGrid>
        <w:gridCol w:w="5061"/>
        <w:gridCol w:w="2904"/>
        <w:gridCol w:w="2503"/>
        <w:gridCol w:w="2188"/>
        <w:gridCol w:w="2191"/>
      </w:tblGrid>
      <w:tr w:rsidR="009421A6" w:rsidRPr="0044134C" w14:paraId="5CD435A9" w14:textId="77777777" w:rsidTr="00217DF9">
        <w:trPr>
          <w:trHeight w:val="1074"/>
        </w:trPr>
        <w:tc>
          <w:tcPr>
            <w:tcW w:w="1704" w:type="pct"/>
          </w:tcPr>
          <w:p w14:paraId="2C09A81B" w14:textId="77777777" w:rsidR="009421A6" w:rsidRPr="00255E9C" w:rsidRDefault="009421A6" w:rsidP="00217DF9">
            <w:pPr>
              <w:spacing w:line="276" w:lineRule="auto"/>
              <w:jc w:val="center"/>
              <w:rPr>
                <w:rFonts w:ascii="Calibri Light" w:hAnsi="Calibri Light" w:cs="Calibri Light"/>
                <w:b/>
                <w:bCs/>
                <w:sz w:val="20"/>
                <w:szCs w:val="20"/>
                <w:lang w:val="ro-RO"/>
              </w:rPr>
            </w:pPr>
          </w:p>
          <w:p w14:paraId="0982E2C9" w14:textId="77777777" w:rsidR="009421A6" w:rsidRPr="00255E9C" w:rsidRDefault="009421A6" w:rsidP="00217DF9">
            <w:pPr>
              <w:spacing w:line="276" w:lineRule="auto"/>
              <w:jc w:val="center"/>
              <w:rPr>
                <w:rFonts w:ascii="Calibri Light" w:hAnsi="Calibri Light" w:cs="Calibri Light"/>
                <w:b/>
                <w:bCs/>
                <w:sz w:val="20"/>
                <w:szCs w:val="20"/>
                <w:lang w:val="ro-RO"/>
              </w:rPr>
            </w:pPr>
          </w:p>
          <w:p w14:paraId="7D42FDBA" w14:textId="645D0BFE" w:rsidR="009421A6" w:rsidRPr="00255E9C" w:rsidRDefault="009421A6" w:rsidP="00217DF9">
            <w:pPr>
              <w:spacing w:line="276" w:lineRule="auto"/>
              <w:jc w:val="center"/>
              <w:rPr>
                <w:rFonts w:ascii="Calibri Light" w:hAnsi="Calibri Light" w:cs="Calibri Light"/>
                <w:b/>
                <w:bCs/>
                <w:sz w:val="20"/>
                <w:szCs w:val="20"/>
                <w:lang w:val="ro-RO"/>
              </w:rPr>
            </w:pPr>
            <w:r w:rsidRPr="00255E9C">
              <w:rPr>
                <w:rFonts w:ascii="Calibri Light" w:hAnsi="Calibri Light" w:cs="Calibri Light"/>
                <w:b/>
                <w:bCs/>
                <w:sz w:val="20"/>
                <w:szCs w:val="20"/>
                <w:lang w:val="ro-RO"/>
              </w:rPr>
              <w:t>Constat</w:t>
            </w:r>
            <w:r w:rsidR="00913348">
              <w:rPr>
                <w:rFonts w:ascii="Calibri Light" w:hAnsi="Calibri Light" w:cs="Calibri Light"/>
                <w:b/>
                <w:bCs/>
                <w:sz w:val="20"/>
                <w:szCs w:val="20"/>
                <w:lang w:val="ro-RO"/>
              </w:rPr>
              <w:t>ările</w:t>
            </w:r>
            <w:r w:rsidRPr="00255E9C">
              <w:rPr>
                <w:rFonts w:ascii="Calibri Light" w:hAnsi="Calibri Light" w:cs="Calibri Light"/>
                <w:b/>
                <w:bCs/>
                <w:sz w:val="20"/>
                <w:szCs w:val="20"/>
                <w:lang w:val="ro-RO"/>
              </w:rPr>
              <w:t xml:space="preserve"> de audit</w:t>
            </w:r>
          </w:p>
        </w:tc>
        <w:tc>
          <w:tcPr>
            <w:tcW w:w="978" w:type="pct"/>
            <w:hideMark/>
          </w:tcPr>
          <w:p w14:paraId="0E0CB811" w14:textId="77777777" w:rsidR="009421A6" w:rsidRPr="00255E9C" w:rsidRDefault="009421A6" w:rsidP="00217DF9">
            <w:pPr>
              <w:spacing w:line="276" w:lineRule="auto"/>
              <w:jc w:val="center"/>
              <w:rPr>
                <w:rFonts w:ascii="Calibri Light" w:hAnsi="Calibri Light" w:cs="Calibri Light"/>
                <w:b/>
                <w:bCs/>
                <w:sz w:val="20"/>
                <w:szCs w:val="20"/>
                <w:lang w:val="ro-RO"/>
              </w:rPr>
            </w:pPr>
          </w:p>
          <w:p w14:paraId="18FE2272" w14:textId="77777777" w:rsidR="009421A6" w:rsidRPr="00255E9C" w:rsidRDefault="009421A6" w:rsidP="00217DF9">
            <w:pPr>
              <w:spacing w:line="276" w:lineRule="auto"/>
              <w:jc w:val="center"/>
              <w:rPr>
                <w:rFonts w:ascii="Calibri Light" w:hAnsi="Calibri Light" w:cs="Calibri Light"/>
                <w:b/>
                <w:bCs/>
                <w:sz w:val="20"/>
                <w:szCs w:val="20"/>
                <w:lang w:val="ro-RO"/>
              </w:rPr>
            </w:pPr>
          </w:p>
          <w:p w14:paraId="687C20B7" w14:textId="77777777" w:rsidR="009421A6" w:rsidRPr="00255E9C" w:rsidRDefault="009421A6" w:rsidP="00217DF9">
            <w:pPr>
              <w:spacing w:line="276" w:lineRule="auto"/>
              <w:jc w:val="center"/>
              <w:rPr>
                <w:rFonts w:ascii="Calibri Light" w:eastAsia="Times New Roman" w:hAnsi="Calibri Light" w:cs="Calibri Light"/>
                <w:b/>
                <w:sz w:val="20"/>
                <w:szCs w:val="20"/>
                <w:lang w:val="ro-RO"/>
              </w:rPr>
            </w:pPr>
            <w:r w:rsidRPr="00255E9C">
              <w:rPr>
                <w:rFonts w:ascii="Calibri Light" w:hAnsi="Calibri Light" w:cs="Calibri Light"/>
                <w:b/>
                <w:bCs/>
                <w:sz w:val="20"/>
                <w:szCs w:val="20"/>
                <w:lang w:val="ro-RO"/>
              </w:rPr>
              <w:t>Recomandările auditului</w:t>
            </w:r>
          </w:p>
        </w:tc>
        <w:tc>
          <w:tcPr>
            <w:tcW w:w="843" w:type="pct"/>
            <w:hideMark/>
          </w:tcPr>
          <w:p w14:paraId="7CFFFA3F" w14:textId="77777777" w:rsidR="009421A6" w:rsidRPr="00255E9C" w:rsidRDefault="009421A6" w:rsidP="00217DF9">
            <w:pPr>
              <w:spacing w:line="276" w:lineRule="auto"/>
              <w:jc w:val="center"/>
              <w:rPr>
                <w:rFonts w:ascii="Calibri Light" w:eastAsia="Times New Roman" w:hAnsi="Calibri Light" w:cs="Calibri Light"/>
                <w:b/>
                <w:bCs/>
                <w:sz w:val="20"/>
                <w:szCs w:val="20"/>
                <w:lang w:val="ro-RO"/>
              </w:rPr>
            </w:pPr>
          </w:p>
          <w:p w14:paraId="03304710" w14:textId="77777777" w:rsidR="009421A6" w:rsidRPr="00255E9C" w:rsidRDefault="009421A6" w:rsidP="00217DF9">
            <w:pPr>
              <w:spacing w:line="276" w:lineRule="auto"/>
              <w:jc w:val="center"/>
              <w:rPr>
                <w:rFonts w:ascii="Calibri Light" w:eastAsia="Times New Roman" w:hAnsi="Calibri Light" w:cs="Calibri Light"/>
                <w:b/>
                <w:sz w:val="20"/>
                <w:szCs w:val="20"/>
                <w:lang w:val="ro-RO"/>
              </w:rPr>
            </w:pPr>
            <w:r w:rsidRPr="00255E9C">
              <w:rPr>
                <w:rFonts w:ascii="Calibri Light" w:eastAsia="Times New Roman" w:hAnsi="Calibri Light" w:cs="Calibri Light"/>
                <w:b/>
                <w:bCs/>
                <w:sz w:val="20"/>
                <w:szCs w:val="20"/>
                <w:lang w:val="ro-RO"/>
              </w:rPr>
              <w:t>Măsurile/acțiunile concrete care urmează a fi întreprinse</w:t>
            </w:r>
          </w:p>
        </w:tc>
        <w:tc>
          <w:tcPr>
            <w:tcW w:w="737" w:type="pct"/>
            <w:hideMark/>
          </w:tcPr>
          <w:p w14:paraId="6E22F42C" w14:textId="77777777" w:rsidR="009421A6" w:rsidRPr="00255E9C" w:rsidRDefault="009421A6" w:rsidP="00217DF9">
            <w:pPr>
              <w:spacing w:line="276" w:lineRule="auto"/>
              <w:jc w:val="center"/>
              <w:rPr>
                <w:rFonts w:ascii="Calibri Light" w:eastAsia="Times New Roman" w:hAnsi="Calibri Light" w:cs="Calibri Light"/>
                <w:b/>
                <w:bCs/>
                <w:sz w:val="20"/>
                <w:szCs w:val="20"/>
                <w:lang w:val="ro-RO"/>
              </w:rPr>
            </w:pPr>
          </w:p>
          <w:p w14:paraId="4DFE2124" w14:textId="77777777" w:rsidR="009421A6" w:rsidRPr="00255E9C" w:rsidRDefault="009421A6" w:rsidP="00217DF9">
            <w:pPr>
              <w:spacing w:line="276" w:lineRule="auto"/>
              <w:jc w:val="center"/>
              <w:rPr>
                <w:rFonts w:ascii="Calibri Light" w:eastAsia="Times New Roman" w:hAnsi="Calibri Light" w:cs="Calibri Light"/>
                <w:b/>
                <w:sz w:val="20"/>
                <w:szCs w:val="20"/>
                <w:lang w:val="ro-RO"/>
              </w:rPr>
            </w:pPr>
            <w:r w:rsidRPr="00255E9C">
              <w:rPr>
                <w:rFonts w:ascii="Calibri Light" w:eastAsia="Times New Roman" w:hAnsi="Calibri Light" w:cs="Calibri Light"/>
                <w:b/>
                <w:bCs/>
                <w:sz w:val="20"/>
                <w:szCs w:val="20"/>
                <w:lang w:val="ro-RO"/>
              </w:rPr>
              <w:t>Persoana responsabilă de implementare</w:t>
            </w:r>
          </w:p>
        </w:tc>
        <w:tc>
          <w:tcPr>
            <w:tcW w:w="738" w:type="pct"/>
            <w:hideMark/>
          </w:tcPr>
          <w:p w14:paraId="294A34E0" w14:textId="77777777" w:rsidR="009421A6" w:rsidRPr="00255E9C" w:rsidRDefault="009421A6" w:rsidP="00217DF9">
            <w:pPr>
              <w:spacing w:line="276" w:lineRule="auto"/>
              <w:jc w:val="center"/>
              <w:rPr>
                <w:rFonts w:ascii="Calibri Light" w:eastAsia="Times New Roman" w:hAnsi="Calibri Light" w:cs="Calibri Light"/>
                <w:b/>
                <w:bCs/>
                <w:sz w:val="20"/>
                <w:szCs w:val="20"/>
                <w:lang w:val="ro-RO"/>
              </w:rPr>
            </w:pPr>
            <w:r w:rsidRPr="00255E9C">
              <w:rPr>
                <w:rFonts w:ascii="Calibri Light" w:eastAsia="Times New Roman" w:hAnsi="Calibri Light" w:cs="Calibri Light"/>
                <w:b/>
                <w:bCs/>
                <w:sz w:val="20"/>
                <w:szCs w:val="20"/>
                <w:lang w:val="ro-RO"/>
              </w:rPr>
              <w:t>Termenul</w:t>
            </w:r>
          </w:p>
          <w:p w14:paraId="1EDB4434" w14:textId="77777777" w:rsidR="009421A6" w:rsidRPr="00255E9C" w:rsidRDefault="009421A6" w:rsidP="00217DF9">
            <w:pPr>
              <w:spacing w:line="276" w:lineRule="auto"/>
              <w:jc w:val="center"/>
              <w:rPr>
                <w:rFonts w:ascii="Calibri Light" w:eastAsia="Times New Roman" w:hAnsi="Calibri Light" w:cs="Calibri Light"/>
                <w:b/>
                <w:sz w:val="20"/>
                <w:szCs w:val="20"/>
                <w:lang w:val="ro-MD"/>
              </w:rPr>
            </w:pPr>
            <w:r w:rsidRPr="00255E9C">
              <w:rPr>
                <w:rFonts w:ascii="Calibri Light" w:eastAsia="Times New Roman" w:hAnsi="Calibri Light" w:cs="Calibri Light"/>
                <w:b/>
                <w:bCs/>
                <w:sz w:val="20"/>
                <w:szCs w:val="20"/>
                <w:lang w:val="ro-RO"/>
              </w:rPr>
              <w:t xml:space="preserve">de implementare (în caz de remediere, anexați </w:t>
            </w:r>
            <w:r w:rsidRPr="00255E9C">
              <w:rPr>
                <w:rFonts w:ascii="Calibri Light" w:eastAsia="Times New Roman" w:hAnsi="Calibri Light" w:cs="Calibri Light"/>
                <w:b/>
                <w:bCs/>
                <w:sz w:val="20"/>
                <w:szCs w:val="20"/>
                <w:lang w:val="ro-MD"/>
              </w:rPr>
              <w:t>documentele justificative)</w:t>
            </w:r>
          </w:p>
        </w:tc>
      </w:tr>
      <w:tr w:rsidR="009421A6" w:rsidRPr="000B2A60" w14:paraId="192C41EA" w14:textId="77777777" w:rsidTr="00217DF9">
        <w:trPr>
          <w:trHeight w:val="2220"/>
        </w:trPr>
        <w:tc>
          <w:tcPr>
            <w:tcW w:w="1704" w:type="pct"/>
          </w:tcPr>
          <w:p w14:paraId="541B8C21" w14:textId="77777777" w:rsidR="009421A6" w:rsidRPr="004E2AFF" w:rsidRDefault="009421A6" w:rsidP="00217DF9">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Evaluarea în contabilitate a imobilizărilor corporale se realizează in toate momentele de sintetizare, raportare si analiză a situației patrimoniului și a rezultatelor obținute</w:t>
            </w:r>
            <w:r w:rsidRPr="004E2AFF">
              <w:rPr>
                <w:rFonts w:ascii="Calibri Light" w:eastAsia="Times New Roman" w:hAnsi="Calibri Light" w:cs="Calibri Light"/>
                <w:bCs/>
                <w:i/>
                <w:iCs/>
                <w:sz w:val="20"/>
                <w:szCs w:val="20"/>
                <w:vertAlign w:val="superscript"/>
                <w:lang w:val="ro-RO"/>
              </w:rPr>
              <w:footnoteReference w:id="62"/>
            </w:r>
            <w:r w:rsidRPr="004E2AFF">
              <w:rPr>
                <w:rFonts w:ascii="Calibri Light" w:eastAsia="Times New Roman" w:hAnsi="Calibri Light" w:cs="Calibri Light"/>
                <w:bCs/>
                <w:i/>
                <w:iCs/>
                <w:sz w:val="20"/>
                <w:szCs w:val="20"/>
                <w:lang w:val="ro-RO"/>
              </w:rPr>
              <w:t>.</w:t>
            </w:r>
          </w:p>
          <w:p w14:paraId="3FDBB1DE" w14:textId="27B73009" w:rsidR="009421A6" w:rsidRPr="004E2AFF" w:rsidRDefault="009421A6" w:rsidP="00217DF9">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Activitățile desfășurate de audit atestă că MOLDAC deține 4 unități necorporale cu valoarea inițială de 138,18 mii lei</w:t>
            </w:r>
            <w:r w:rsidR="00172723">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xml:space="preserve"> precum și  29 unități de imobilizări corporale cu valoarea inițială de 380,51  mii lei</w:t>
            </w:r>
            <w:r w:rsidR="00172723">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xml:space="preserve"> amortizate integral, dar utilizate în activitatea operațională a instituțiilor, acestea nefiind reevaluate conform prevederilor aferente</w:t>
            </w:r>
            <w:r w:rsidRPr="004E2AFF">
              <w:rPr>
                <w:rFonts w:ascii="Calibri Light" w:eastAsia="Times New Roman" w:hAnsi="Calibri Light" w:cs="Calibri Light"/>
                <w:bCs/>
                <w:i/>
                <w:iCs/>
                <w:sz w:val="20"/>
                <w:szCs w:val="20"/>
                <w:vertAlign w:val="superscript"/>
              </w:rPr>
              <w:footnoteReference w:id="63"/>
            </w:r>
            <w:r w:rsidRPr="004E2AFF">
              <w:rPr>
                <w:rFonts w:ascii="Calibri Light" w:eastAsia="Times New Roman" w:hAnsi="Calibri Light" w:cs="Calibri Light"/>
                <w:bCs/>
                <w:i/>
                <w:iCs/>
                <w:sz w:val="20"/>
                <w:szCs w:val="20"/>
                <w:lang w:val="ro-RO"/>
              </w:rPr>
              <w:t>.</w:t>
            </w:r>
          </w:p>
          <w:p w14:paraId="6A43705B" w14:textId="60A1F27A"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bookmarkStart w:id="153" w:name="_Toc121243746"/>
            <w:r w:rsidRPr="004E2AFF">
              <w:rPr>
                <w:rFonts w:asciiTheme="majorHAnsi" w:hAnsiTheme="majorHAnsi" w:cstheme="majorHAnsi"/>
                <w:i/>
                <w:sz w:val="20"/>
                <w:szCs w:val="20"/>
                <w:lang w:val="ro-MD"/>
              </w:rPr>
              <w:t xml:space="preserve">Neajustarea valorii contabile a mijloacelor fixe amortizate integral și utilizate în procesul operațional creează condiții de aplicare a cuantumului tarifelor la serviciile prestate, care nu va putea asigura capacitatea investițională a </w:t>
            </w:r>
            <w:r w:rsidR="00172723">
              <w:rPr>
                <w:rFonts w:asciiTheme="majorHAnsi" w:hAnsiTheme="majorHAnsi" w:cstheme="majorHAnsi"/>
                <w:i/>
                <w:sz w:val="20"/>
                <w:szCs w:val="20"/>
                <w:lang w:val="ro-MD"/>
              </w:rPr>
              <w:t>instituțiilor publice</w:t>
            </w:r>
            <w:r w:rsidRPr="004E2AFF">
              <w:rPr>
                <w:rFonts w:asciiTheme="majorHAnsi" w:hAnsiTheme="majorHAnsi" w:cstheme="majorHAnsi"/>
                <w:i/>
                <w:sz w:val="20"/>
                <w:szCs w:val="20"/>
                <w:lang w:val="ro-MD"/>
              </w:rPr>
              <w:t xml:space="preserve"> din domeniul infrastructurii în perioadele de gestiune viitoare.</w:t>
            </w:r>
            <w:bookmarkEnd w:id="153"/>
          </w:p>
        </w:tc>
        <w:tc>
          <w:tcPr>
            <w:tcW w:w="978" w:type="pct"/>
          </w:tcPr>
          <w:p w14:paraId="383A43AD" w14:textId="12EE2F18" w:rsidR="009421A6" w:rsidRPr="004E2AFF" w:rsidRDefault="009421A6" w:rsidP="00217DF9">
            <w:pPr>
              <w:spacing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 xml:space="preserve">           S</w:t>
            </w:r>
            <w:r w:rsidRPr="004E2AFF">
              <w:rPr>
                <w:rFonts w:ascii="Calibri Light" w:eastAsia="Times New Roman" w:hAnsi="Calibri Light" w:cs="Calibri Light"/>
                <w:bCs/>
                <w:i/>
                <w:iCs/>
                <w:sz w:val="20"/>
                <w:szCs w:val="20"/>
                <w:lang w:val="ro-RO"/>
              </w:rPr>
              <w:t xml:space="preserve">ă asigure reevaluarea imobilizărilor necorporale și corporale în conformitate cu actele normative în vigoare </w:t>
            </w:r>
            <w:r w:rsidRPr="00255E9C">
              <w:rPr>
                <w:rFonts w:asciiTheme="majorHAnsi" w:eastAsia="Times New Roman" w:hAnsiTheme="majorHAnsi" w:cstheme="majorHAnsi"/>
                <w:bCs/>
                <w:i/>
                <w:color w:val="000000" w:themeColor="text1"/>
                <w:lang w:val="ro-MD"/>
              </w:rPr>
              <w:t>(pct. 4.1.2.3.)</w:t>
            </w:r>
            <w:r w:rsidR="00193A11" w:rsidRPr="00255E9C">
              <w:rPr>
                <w:rFonts w:asciiTheme="majorHAnsi" w:eastAsia="Times New Roman" w:hAnsiTheme="majorHAnsi" w:cstheme="majorHAnsi"/>
                <w:bCs/>
                <w:i/>
                <w:color w:val="000000" w:themeColor="text1"/>
                <w:lang w:val="ro-MD"/>
              </w:rPr>
              <w:t>.</w:t>
            </w:r>
          </w:p>
        </w:tc>
        <w:tc>
          <w:tcPr>
            <w:tcW w:w="843" w:type="pct"/>
          </w:tcPr>
          <w:p w14:paraId="2E431DEA" w14:textId="110C6A11" w:rsidR="009421A6" w:rsidRPr="00F55FAD" w:rsidRDefault="009421A6" w:rsidP="00217DF9">
            <w:pPr>
              <w:spacing w:line="276" w:lineRule="auto"/>
              <w:jc w:val="both"/>
              <w:rPr>
                <w:rFonts w:ascii="Calibri Light" w:eastAsia="Times New Roman" w:hAnsi="Calibri Light" w:cs="Calibri Light"/>
                <w:i/>
                <w:sz w:val="20"/>
                <w:szCs w:val="20"/>
                <w:lang w:val="ro-RO"/>
              </w:rPr>
            </w:pPr>
            <w:r w:rsidRPr="00F55FAD">
              <w:rPr>
                <w:rFonts w:ascii="Calibri Light" w:eastAsia="Times New Roman" w:hAnsi="Calibri Light" w:cs="Calibri Light"/>
                <w:i/>
                <w:sz w:val="20"/>
                <w:szCs w:val="20"/>
                <w:lang w:val="ro-RO"/>
              </w:rPr>
              <w:t>De creat o comisie</w:t>
            </w:r>
            <w:r w:rsidR="00172723">
              <w:rPr>
                <w:rFonts w:ascii="Calibri Light" w:eastAsia="Times New Roman" w:hAnsi="Calibri Light" w:cs="Calibri Light"/>
                <w:i/>
                <w:sz w:val="20"/>
                <w:szCs w:val="20"/>
                <w:lang w:val="ro-RO"/>
              </w:rPr>
              <w:t>,</w:t>
            </w:r>
            <w:r w:rsidRPr="00F55FAD">
              <w:rPr>
                <w:rFonts w:ascii="Calibri Light" w:eastAsia="Times New Roman" w:hAnsi="Calibri Light" w:cs="Calibri Light"/>
                <w:i/>
                <w:sz w:val="20"/>
                <w:szCs w:val="20"/>
                <w:lang w:val="ro-RO"/>
              </w:rPr>
              <w:t xml:space="preserve"> cu includerea reprezentantului fondatorului</w:t>
            </w:r>
            <w:r w:rsidR="00172723">
              <w:rPr>
                <w:rFonts w:ascii="Calibri Light" w:eastAsia="Times New Roman" w:hAnsi="Calibri Light" w:cs="Calibri Light"/>
                <w:i/>
                <w:sz w:val="20"/>
                <w:szCs w:val="20"/>
                <w:lang w:val="ro-RO"/>
              </w:rPr>
              <w:t>,</w:t>
            </w:r>
            <w:r w:rsidRPr="00F55FAD">
              <w:rPr>
                <w:rFonts w:ascii="Calibri Light" w:eastAsia="Times New Roman" w:hAnsi="Calibri Light" w:cs="Calibri Light"/>
                <w:i/>
                <w:sz w:val="20"/>
                <w:szCs w:val="20"/>
                <w:lang w:val="ro-RO"/>
              </w:rPr>
              <w:t xml:space="preserve"> pentru a efectua reevaluarea imobiliz</w:t>
            </w:r>
            <w:r w:rsidR="00172723">
              <w:rPr>
                <w:rFonts w:ascii="Calibri Light" w:eastAsia="Times New Roman" w:hAnsi="Calibri Light" w:cs="Calibri Light"/>
                <w:i/>
                <w:sz w:val="20"/>
                <w:szCs w:val="20"/>
                <w:lang w:val="ro-RO"/>
              </w:rPr>
              <w:t>ă</w:t>
            </w:r>
            <w:r w:rsidRPr="00F55FAD">
              <w:rPr>
                <w:rFonts w:ascii="Calibri Light" w:eastAsia="Times New Roman" w:hAnsi="Calibri Light" w:cs="Calibri Light"/>
                <w:i/>
                <w:sz w:val="20"/>
                <w:szCs w:val="20"/>
                <w:lang w:val="ro-RO"/>
              </w:rPr>
              <w:t>rilor necorporale și corporale.</w:t>
            </w:r>
          </w:p>
          <w:p w14:paraId="5FDF5A38" w14:textId="50ABCCE5" w:rsidR="009421A6" w:rsidRPr="00014180" w:rsidRDefault="009421A6" w:rsidP="00217DF9">
            <w:pPr>
              <w:spacing w:line="276" w:lineRule="auto"/>
              <w:jc w:val="both"/>
              <w:rPr>
                <w:rFonts w:ascii="Calibri Light" w:eastAsia="Times New Roman" w:hAnsi="Calibri Light" w:cs="Calibri Light"/>
                <w:sz w:val="20"/>
                <w:szCs w:val="20"/>
                <w:lang w:val="ro-RO"/>
              </w:rPr>
            </w:pPr>
            <w:r>
              <w:rPr>
                <w:rFonts w:ascii="Calibri Light" w:eastAsia="Times New Roman" w:hAnsi="Calibri Light" w:cs="Calibri Light"/>
                <w:i/>
                <w:sz w:val="20"/>
                <w:szCs w:val="20"/>
                <w:lang w:val="ro-RO"/>
              </w:rPr>
              <w:t>De revizuit</w:t>
            </w:r>
            <w:r w:rsidRPr="00F55FAD">
              <w:rPr>
                <w:rFonts w:ascii="Calibri Light" w:eastAsia="Times New Roman" w:hAnsi="Calibri Light" w:cs="Calibri Light"/>
                <w:i/>
                <w:sz w:val="20"/>
                <w:szCs w:val="20"/>
                <w:lang w:val="ro-RO"/>
              </w:rPr>
              <w:t xml:space="preserve"> Politicile </w:t>
            </w:r>
            <w:r w:rsidR="00172723">
              <w:rPr>
                <w:rFonts w:ascii="Calibri Light" w:eastAsia="Times New Roman" w:hAnsi="Calibri Light" w:cs="Calibri Light"/>
                <w:i/>
                <w:sz w:val="20"/>
                <w:szCs w:val="20"/>
                <w:lang w:val="ro-RO"/>
              </w:rPr>
              <w:t>c</w:t>
            </w:r>
            <w:r w:rsidRPr="00F55FAD">
              <w:rPr>
                <w:rFonts w:ascii="Calibri Light" w:eastAsia="Times New Roman" w:hAnsi="Calibri Light" w:cs="Calibri Light"/>
                <w:i/>
                <w:sz w:val="20"/>
                <w:szCs w:val="20"/>
                <w:lang w:val="ro-RO"/>
              </w:rPr>
              <w:t>ontabil</w:t>
            </w:r>
            <w:r>
              <w:rPr>
                <w:rFonts w:ascii="Calibri Light" w:eastAsia="Times New Roman" w:hAnsi="Calibri Light" w:cs="Calibri Light"/>
                <w:i/>
                <w:sz w:val="20"/>
                <w:szCs w:val="20"/>
                <w:lang w:val="ro-RO"/>
              </w:rPr>
              <w:t xml:space="preserve">e </w:t>
            </w:r>
            <w:r w:rsidR="00172723">
              <w:rPr>
                <w:rFonts w:ascii="Calibri Light" w:eastAsia="Times New Roman" w:hAnsi="Calibri Light" w:cs="Calibri Light"/>
                <w:i/>
                <w:sz w:val="20"/>
                <w:szCs w:val="20"/>
                <w:lang w:val="ro-RO"/>
              </w:rPr>
              <w:t xml:space="preserve">ale </w:t>
            </w:r>
            <w:r>
              <w:rPr>
                <w:rFonts w:ascii="Calibri Light" w:eastAsia="Times New Roman" w:hAnsi="Calibri Light" w:cs="Calibri Light"/>
                <w:i/>
                <w:sz w:val="20"/>
                <w:szCs w:val="20"/>
                <w:lang w:val="ro-RO"/>
              </w:rPr>
              <w:t>MOLDAC conform prevederil</w:t>
            </w:r>
            <w:r w:rsidR="00172723">
              <w:rPr>
                <w:rFonts w:ascii="Calibri Light" w:eastAsia="Times New Roman" w:hAnsi="Calibri Light" w:cs="Calibri Light"/>
                <w:i/>
                <w:sz w:val="20"/>
                <w:szCs w:val="20"/>
                <w:lang w:val="ro-RO"/>
              </w:rPr>
              <w:t xml:space="preserve">or </w:t>
            </w:r>
            <w:r>
              <w:rPr>
                <w:rFonts w:ascii="Calibri Light" w:eastAsia="Times New Roman" w:hAnsi="Calibri Light" w:cs="Calibri Light"/>
                <w:i/>
                <w:sz w:val="20"/>
                <w:szCs w:val="20"/>
                <w:lang w:val="ro-RO"/>
              </w:rPr>
              <w:t xml:space="preserve"> pct</w:t>
            </w:r>
            <w:r w:rsidRPr="00F55FAD">
              <w:rPr>
                <w:rFonts w:ascii="Calibri Light" w:eastAsia="Times New Roman" w:hAnsi="Calibri Light" w:cs="Calibri Light"/>
                <w:i/>
                <w:sz w:val="20"/>
                <w:szCs w:val="20"/>
                <w:lang w:val="ro-RO"/>
              </w:rPr>
              <w:t>.18 din SNC  privind reevaluarea imobiliz</w:t>
            </w:r>
            <w:r w:rsidR="00172723">
              <w:rPr>
                <w:rFonts w:ascii="Calibri Light" w:eastAsia="Times New Roman" w:hAnsi="Calibri Light" w:cs="Calibri Light"/>
                <w:i/>
                <w:sz w:val="20"/>
                <w:szCs w:val="20"/>
                <w:lang w:val="ro-RO"/>
              </w:rPr>
              <w:t>ă</w:t>
            </w:r>
            <w:r w:rsidRPr="00F55FAD">
              <w:rPr>
                <w:rFonts w:ascii="Calibri Light" w:eastAsia="Times New Roman" w:hAnsi="Calibri Light" w:cs="Calibri Light"/>
                <w:i/>
                <w:sz w:val="20"/>
                <w:szCs w:val="20"/>
                <w:lang w:val="ro-RO"/>
              </w:rPr>
              <w:t>rilo</w:t>
            </w:r>
            <w:r w:rsidR="00193A11">
              <w:rPr>
                <w:rFonts w:ascii="Calibri Light" w:eastAsia="Times New Roman" w:hAnsi="Calibri Light" w:cs="Calibri Light"/>
                <w:i/>
                <w:sz w:val="20"/>
                <w:szCs w:val="20"/>
                <w:lang w:val="ro-RO"/>
              </w:rPr>
              <w:t>.</w:t>
            </w:r>
            <w:r w:rsidRPr="00F55FAD">
              <w:rPr>
                <w:rFonts w:ascii="Calibri Light" w:eastAsia="Times New Roman" w:hAnsi="Calibri Light" w:cs="Calibri Light"/>
                <w:i/>
                <w:sz w:val="20"/>
                <w:szCs w:val="20"/>
                <w:lang w:val="ro-RO"/>
              </w:rPr>
              <w:t>r</w:t>
            </w:r>
            <w:r>
              <w:rPr>
                <w:rFonts w:ascii="Calibri Light" w:eastAsia="Times New Roman" w:hAnsi="Calibri Light" w:cs="Calibri Light"/>
                <w:sz w:val="20"/>
                <w:szCs w:val="20"/>
                <w:lang w:val="ro-RO"/>
              </w:rPr>
              <w:t xml:space="preserve"> </w:t>
            </w:r>
          </w:p>
        </w:tc>
        <w:tc>
          <w:tcPr>
            <w:tcW w:w="737" w:type="pct"/>
          </w:tcPr>
          <w:p w14:paraId="169509BC" w14:textId="69E04408"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Vice</w:t>
            </w:r>
            <w:r w:rsidR="00172723">
              <w:rPr>
                <w:rFonts w:ascii="Calibri Light" w:eastAsia="Times New Roman" w:hAnsi="Calibri Light" w:cs="Calibri Light"/>
                <w:i/>
                <w:sz w:val="20"/>
                <w:szCs w:val="20"/>
                <w:lang w:val="ro-RO"/>
              </w:rPr>
              <w:t>d</w:t>
            </w:r>
            <w:r>
              <w:rPr>
                <w:rFonts w:ascii="Calibri Light" w:eastAsia="Times New Roman" w:hAnsi="Calibri Light" w:cs="Calibri Light"/>
                <w:i/>
                <w:sz w:val="20"/>
                <w:szCs w:val="20"/>
                <w:lang w:val="ro-RO"/>
              </w:rPr>
              <w:t>irector</w:t>
            </w:r>
            <w:r w:rsidR="00172723">
              <w:rPr>
                <w:rFonts w:ascii="Calibri Light" w:eastAsia="Times New Roman" w:hAnsi="Calibri Light" w:cs="Calibri Light"/>
                <w:i/>
                <w:sz w:val="20"/>
                <w:szCs w:val="20"/>
                <w:lang w:val="ro-RO"/>
              </w:rPr>
              <w:t>ul</w:t>
            </w:r>
          </w:p>
          <w:p w14:paraId="6EA340A5" w14:textId="24B0AC95"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Contabil</w:t>
            </w:r>
            <w:r w:rsidR="00172723">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șef</w:t>
            </w:r>
          </w:p>
          <w:p w14:paraId="07F3E17F" w14:textId="1AC9F0A0"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Specialist</w:t>
            </w:r>
            <w:r w:rsidR="00172723">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principal DDA</w:t>
            </w:r>
          </w:p>
        </w:tc>
        <w:tc>
          <w:tcPr>
            <w:tcW w:w="738" w:type="pct"/>
          </w:tcPr>
          <w:p w14:paraId="321E79D0" w14:textId="7754AE87"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Anual</w:t>
            </w:r>
            <w:r w:rsidR="00172723">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p</w:t>
            </w:r>
            <w:r w:rsidR="00172723">
              <w:rPr>
                <w:rFonts w:ascii="Calibri Light" w:eastAsia="Times New Roman" w:hAnsi="Calibri Light" w:cs="Calibri Light"/>
                <w:i/>
                <w:sz w:val="20"/>
                <w:szCs w:val="20"/>
                <w:lang w:val="ro-RO"/>
              </w:rPr>
              <w:t>â</w:t>
            </w:r>
            <w:r>
              <w:rPr>
                <w:rFonts w:ascii="Calibri Light" w:eastAsia="Times New Roman" w:hAnsi="Calibri Light" w:cs="Calibri Light"/>
                <w:i/>
                <w:sz w:val="20"/>
                <w:szCs w:val="20"/>
                <w:lang w:val="ro-RO"/>
              </w:rPr>
              <w:t>n</w:t>
            </w:r>
            <w:r w:rsidR="00172723">
              <w:rPr>
                <w:rFonts w:ascii="Calibri Light" w:eastAsia="Times New Roman" w:hAnsi="Calibri Light" w:cs="Calibri Light"/>
                <w:i/>
                <w:sz w:val="20"/>
                <w:szCs w:val="20"/>
                <w:lang w:val="ro-RO"/>
              </w:rPr>
              <w:t>ă</w:t>
            </w:r>
            <w:r>
              <w:rPr>
                <w:rFonts w:ascii="Calibri Light" w:eastAsia="Times New Roman" w:hAnsi="Calibri Light" w:cs="Calibri Light"/>
                <w:i/>
                <w:sz w:val="20"/>
                <w:szCs w:val="20"/>
                <w:lang w:val="ro-RO"/>
              </w:rPr>
              <w:t xml:space="preserve"> la prezentarea situațiilor financiare</w:t>
            </w:r>
          </w:p>
          <w:p w14:paraId="5633EEA3" w14:textId="77777777" w:rsidR="009421A6" w:rsidRDefault="009421A6" w:rsidP="00217DF9">
            <w:pPr>
              <w:spacing w:line="276" w:lineRule="auto"/>
              <w:jc w:val="both"/>
              <w:rPr>
                <w:rFonts w:ascii="Calibri Light" w:eastAsia="Times New Roman" w:hAnsi="Calibri Light" w:cs="Calibri Light"/>
                <w:b/>
                <w:i/>
                <w:sz w:val="20"/>
                <w:szCs w:val="20"/>
                <w:lang w:val="ro-RO"/>
              </w:rPr>
            </w:pPr>
            <w:r w:rsidRPr="0005372B">
              <w:rPr>
                <w:rFonts w:ascii="Calibri Light" w:eastAsia="Times New Roman" w:hAnsi="Calibri Light" w:cs="Calibri Light"/>
                <w:b/>
                <w:i/>
                <w:sz w:val="20"/>
                <w:szCs w:val="20"/>
                <w:lang w:val="ro-RO"/>
              </w:rPr>
              <w:t>30.04.2023</w:t>
            </w:r>
          </w:p>
          <w:p w14:paraId="2156C765" w14:textId="3469521E" w:rsidR="009421A6" w:rsidRPr="0005372B" w:rsidRDefault="009421A6" w:rsidP="00217DF9">
            <w:pPr>
              <w:spacing w:line="276" w:lineRule="auto"/>
              <w:jc w:val="both"/>
              <w:rPr>
                <w:rFonts w:ascii="Calibri Light" w:eastAsia="Times New Roman" w:hAnsi="Calibri Light" w:cs="Calibri Light"/>
                <w:b/>
                <w:i/>
                <w:sz w:val="20"/>
                <w:szCs w:val="20"/>
                <w:lang w:val="ro-RO"/>
              </w:rPr>
            </w:pPr>
          </w:p>
        </w:tc>
      </w:tr>
      <w:tr w:rsidR="009421A6" w:rsidRPr="000B2A60" w14:paraId="5EE08077" w14:textId="77777777" w:rsidTr="00217DF9">
        <w:trPr>
          <w:trHeight w:val="2220"/>
        </w:trPr>
        <w:tc>
          <w:tcPr>
            <w:tcW w:w="1704" w:type="pct"/>
          </w:tcPr>
          <w:p w14:paraId="51E967C7" w14:textId="06B856A6" w:rsidR="009421A6" w:rsidRPr="004E2AFF" w:rsidRDefault="009421A6" w:rsidP="00217DF9">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Imobilizările corporale care nu sunt utilizate din diferite motive şi/sau care nu se supun restabilirii se includ într-o listă de inventariere separată</w:t>
            </w:r>
            <w:r w:rsidR="00172723">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xml:space="preserve"> cu indicarea motivelor care au cauzat neutilizarea lor (deteriorarea, uzura completă etc.)</w:t>
            </w:r>
            <w:r w:rsidR="00172723">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xml:space="preserve"> şi se transmit comisiei centrale, după caz, sau conducătorului entității, cu înaintarea propunerilor privind vânzarea, casarea sau reutilarea acestora</w:t>
            </w:r>
            <w:r w:rsidRPr="004E2AFF">
              <w:rPr>
                <w:rFonts w:ascii="Calibri Light" w:eastAsia="Times New Roman" w:hAnsi="Calibri Light" w:cs="Calibri Light"/>
                <w:bCs/>
                <w:i/>
                <w:iCs/>
                <w:szCs w:val="20"/>
                <w:vertAlign w:val="superscript"/>
                <w:lang w:val="ro-RO"/>
              </w:rPr>
              <w:footnoteReference w:id="64"/>
            </w:r>
            <w:r w:rsidRPr="004E2AFF">
              <w:rPr>
                <w:rFonts w:ascii="Calibri Light" w:eastAsia="Times New Roman" w:hAnsi="Calibri Light" w:cs="Calibri Light"/>
                <w:bCs/>
                <w:i/>
                <w:iCs/>
                <w:sz w:val="20"/>
                <w:szCs w:val="20"/>
                <w:lang w:val="ro-RO"/>
              </w:rPr>
              <w:t>.</w:t>
            </w:r>
          </w:p>
          <w:p w14:paraId="023F18DC" w14:textId="12D6B3AB" w:rsidR="009421A6" w:rsidRPr="004E2AFF" w:rsidRDefault="009421A6" w:rsidP="00217DF9">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 xml:space="preserve">Probele de audit acumulate denotă că, la situația  </w:t>
            </w:r>
            <w:r w:rsidR="00172723">
              <w:rPr>
                <w:rFonts w:ascii="Calibri Light" w:eastAsia="Times New Roman" w:hAnsi="Calibri Light" w:cs="Calibri Light"/>
                <w:bCs/>
                <w:i/>
                <w:iCs/>
                <w:sz w:val="20"/>
                <w:szCs w:val="20"/>
                <w:lang w:val="ro-RO"/>
              </w:rPr>
              <w:t xml:space="preserve">din </w:t>
            </w:r>
            <w:r w:rsidRPr="004E2AFF">
              <w:rPr>
                <w:rFonts w:ascii="Calibri Light" w:eastAsia="Times New Roman" w:hAnsi="Calibri Light" w:cs="Calibri Light"/>
                <w:bCs/>
                <w:i/>
                <w:iCs/>
                <w:sz w:val="20"/>
                <w:szCs w:val="20"/>
                <w:lang w:val="ro-RO"/>
              </w:rPr>
              <w:t>31 decembrie 2021,  MOLDAC deține   imobilizări corporale amortizate 100% (cu  valoarea inițială  de 380,5 mii lei</w:t>
            </w:r>
            <w:r w:rsidRPr="004E2AFF">
              <w:rPr>
                <w:rFonts w:ascii="Calibri Light" w:eastAsia="Times New Roman" w:hAnsi="Calibri Light" w:cs="Calibri Light"/>
                <w:bCs/>
                <w:i/>
                <w:iCs/>
                <w:szCs w:val="20"/>
                <w:vertAlign w:val="superscript"/>
                <w:lang w:val="ro-RO"/>
              </w:rPr>
              <w:footnoteReference w:id="65"/>
            </w:r>
            <w:r w:rsidRPr="004E2AFF">
              <w:rPr>
                <w:rFonts w:ascii="Calibri Light" w:eastAsia="Times New Roman" w:hAnsi="Calibri Light" w:cs="Calibri Light"/>
                <w:bCs/>
                <w:i/>
                <w:iCs/>
                <w:sz w:val="20"/>
                <w:szCs w:val="20"/>
                <w:lang w:val="ro-RO"/>
              </w:rPr>
              <w:t xml:space="preserve"> ), care nu sunt utilizate în activitatea operațională.</w:t>
            </w:r>
          </w:p>
          <w:p w14:paraId="49A9620C" w14:textId="77777777" w:rsidR="009421A6" w:rsidRPr="004E2AFF" w:rsidRDefault="009421A6" w:rsidP="00217DF9">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Totodată, MOLDAC deține bunuri neutilizate (9 unități de echipament tehnic pentru sălile de conferințe) în valoare de 330,8 mii lei, propuse în iulie 2019</w:t>
            </w:r>
            <w:r w:rsidRPr="004E2AFF">
              <w:rPr>
                <w:rFonts w:ascii="Calibri Light" w:eastAsia="Times New Roman" w:hAnsi="Calibri Light" w:cs="Calibri Light"/>
                <w:bCs/>
                <w:i/>
                <w:iCs/>
                <w:szCs w:val="20"/>
                <w:vertAlign w:val="superscript"/>
                <w:lang w:val="ro-RO"/>
              </w:rPr>
              <w:footnoteReference w:id="66"/>
            </w:r>
            <w:r w:rsidRPr="004E2AFF">
              <w:rPr>
                <w:rFonts w:ascii="Calibri Light" w:eastAsia="Times New Roman" w:hAnsi="Calibri Light" w:cs="Calibri Light"/>
                <w:bCs/>
                <w:i/>
                <w:iCs/>
                <w:sz w:val="20"/>
                <w:szCs w:val="20"/>
                <w:lang w:val="ro-RO"/>
              </w:rPr>
              <w:t xml:space="preserve"> fondatorului pentru examinarea și posibilitatea transmiterii acestora  altor entități din cadrul MEI,  procedura în cauză nefiind finalizată până în prezent. </w:t>
            </w:r>
            <w:bookmarkStart w:id="154" w:name="_Toc121243747"/>
          </w:p>
          <w:p w14:paraId="194AB13F" w14:textId="7C73976E" w:rsidR="009421A6" w:rsidRPr="009421A6" w:rsidRDefault="009421A6" w:rsidP="009421A6">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Drept urmare, neaplicarea reglementărilor aferente imobilizărilor corporale neutilizate în activitatea operațională nu contribuie la raportarea conformă a patrimoniului gestionat.</w:t>
            </w:r>
            <w:bookmarkEnd w:id="154"/>
          </w:p>
        </w:tc>
        <w:tc>
          <w:tcPr>
            <w:tcW w:w="978" w:type="pct"/>
          </w:tcPr>
          <w:p w14:paraId="617E6DC4" w14:textId="77777777" w:rsidR="009421A6" w:rsidRPr="004E2AFF" w:rsidRDefault="009421A6" w:rsidP="00217DF9">
            <w:pPr>
              <w:spacing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MD"/>
              </w:rPr>
              <w:t xml:space="preserve">             S</w:t>
            </w:r>
            <w:r w:rsidRPr="004E2AFF">
              <w:rPr>
                <w:rFonts w:ascii="Calibri Light" w:eastAsia="Times New Roman" w:hAnsi="Calibri Light" w:cs="Calibri Light"/>
                <w:bCs/>
                <w:i/>
                <w:iCs/>
                <w:sz w:val="20"/>
                <w:szCs w:val="20"/>
                <w:lang w:val="ro-RO"/>
              </w:rPr>
              <w:t>ă asigure casarea mijloacelor fixe uzate și neutilizate în procesul operațional în  conformitate cu actele normative în vigoare (pct.4.1.2.4.).</w:t>
            </w:r>
          </w:p>
        </w:tc>
        <w:tc>
          <w:tcPr>
            <w:tcW w:w="843" w:type="pct"/>
          </w:tcPr>
          <w:p w14:paraId="4A45D4AA" w14:textId="159D2328"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De finalizat procesul inițiat privind casarea imobiliz</w:t>
            </w:r>
            <w:r w:rsidR="00172723">
              <w:rPr>
                <w:rFonts w:ascii="Calibri Light" w:eastAsia="Times New Roman" w:hAnsi="Calibri Light" w:cs="Calibri Light"/>
                <w:i/>
                <w:sz w:val="20"/>
                <w:szCs w:val="20"/>
                <w:lang w:val="ro-RO"/>
              </w:rPr>
              <w:t>ă</w:t>
            </w:r>
            <w:r>
              <w:rPr>
                <w:rFonts w:ascii="Calibri Light" w:eastAsia="Times New Roman" w:hAnsi="Calibri Light" w:cs="Calibri Light"/>
                <w:i/>
                <w:sz w:val="20"/>
                <w:szCs w:val="20"/>
                <w:lang w:val="ro-RO"/>
              </w:rPr>
              <w:t>rilor corporale sau transmiterea cu titlu gratuit a bunurilor neutilizate în procesul activității.</w:t>
            </w:r>
          </w:p>
        </w:tc>
        <w:tc>
          <w:tcPr>
            <w:tcW w:w="737" w:type="pct"/>
          </w:tcPr>
          <w:p w14:paraId="73FC5D24" w14:textId="49D1431D"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Director</w:t>
            </w:r>
            <w:r w:rsidR="00172723">
              <w:rPr>
                <w:rFonts w:ascii="Calibri Light" w:eastAsia="Times New Roman" w:hAnsi="Calibri Light" w:cs="Calibri Light"/>
                <w:i/>
                <w:sz w:val="20"/>
                <w:szCs w:val="20"/>
                <w:lang w:val="ro-RO"/>
              </w:rPr>
              <w:t>ul</w:t>
            </w:r>
          </w:p>
          <w:p w14:paraId="338E10AF" w14:textId="37B173D4"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Specialist</w:t>
            </w:r>
            <w:r w:rsidR="00172723">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principal DDA</w:t>
            </w:r>
          </w:p>
          <w:p w14:paraId="6C22E4E9" w14:textId="485A71D9"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Contabil</w:t>
            </w:r>
            <w:r w:rsidR="00172723">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w:t>
            </w:r>
            <w:r w:rsidR="00172723">
              <w:rPr>
                <w:rFonts w:ascii="Calibri Light" w:eastAsia="Times New Roman" w:hAnsi="Calibri Light" w:cs="Calibri Light"/>
                <w:i/>
                <w:sz w:val="20"/>
                <w:szCs w:val="20"/>
                <w:lang w:val="ro-RO"/>
              </w:rPr>
              <w:t>ș</w:t>
            </w:r>
            <w:r>
              <w:rPr>
                <w:rFonts w:ascii="Calibri Light" w:eastAsia="Times New Roman" w:hAnsi="Calibri Light" w:cs="Calibri Light"/>
                <w:i/>
                <w:sz w:val="20"/>
                <w:szCs w:val="20"/>
                <w:lang w:val="ro-RO"/>
              </w:rPr>
              <w:t>ef</w:t>
            </w:r>
          </w:p>
        </w:tc>
        <w:tc>
          <w:tcPr>
            <w:tcW w:w="738" w:type="pct"/>
          </w:tcPr>
          <w:p w14:paraId="11B4A899"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31.03.2023</w:t>
            </w:r>
          </w:p>
          <w:p w14:paraId="5AB4A310" w14:textId="3A8C138A" w:rsidR="009421A6" w:rsidRPr="0086206E" w:rsidRDefault="009421A6" w:rsidP="00217DF9">
            <w:pPr>
              <w:spacing w:line="276" w:lineRule="auto"/>
              <w:jc w:val="both"/>
              <w:rPr>
                <w:rFonts w:ascii="Calibri Light" w:eastAsia="Times New Roman" w:hAnsi="Calibri Light" w:cs="Calibri Light"/>
                <w:i/>
                <w:sz w:val="20"/>
                <w:szCs w:val="20"/>
                <w:lang w:val="ro-RO"/>
              </w:rPr>
            </w:pPr>
          </w:p>
        </w:tc>
      </w:tr>
      <w:tr w:rsidR="009421A6" w:rsidRPr="000B2A60" w14:paraId="33C8C7AD" w14:textId="77777777" w:rsidTr="009421A6">
        <w:trPr>
          <w:trHeight w:val="1696"/>
        </w:trPr>
        <w:tc>
          <w:tcPr>
            <w:tcW w:w="1704" w:type="pct"/>
          </w:tcPr>
          <w:p w14:paraId="65AD4565" w14:textId="50CE7423"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 xml:space="preserve">În perioada supusă auditului public extern, deși inventarierea în cadrul </w:t>
            </w:r>
            <w:r w:rsidR="00685350">
              <w:rPr>
                <w:rFonts w:ascii="Calibri Light" w:eastAsia="Times New Roman" w:hAnsi="Calibri Light" w:cs="Calibri Light"/>
                <w:bCs/>
                <w:i/>
                <w:iCs/>
                <w:sz w:val="20"/>
                <w:szCs w:val="20"/>
                <w:lang w:val="ro-RO"/>
              </w:rPr>
              <w:t>instituțiilor</w:t>
            </w:r>
            <w:r w:rsidRPr="004E2AFF">
              <w:rPr>
                <w:rFonts w:ascii="Calibri Light" w:eastAsia="Times New Roman" w:hAnsi="Calibri Light" w:cs="Calibri Light"/>
                <w:bCs/>
                <w:i/>
                <w:iCs/>
                <w:sz w:val="20"/>
                <w:szCs w:val="20"/>
                <w:lang w:val="ro-RO"/>
              </w:rPr>
              <w:t xml:space="preserve"> </w:t>
            </w:r>
            <w:r w:rsidR="00913348">
              <w:rPr>
                <w:rFonts w:ascii="Calibri Light" w:eastAsia="Times New Roman" w:hAnsi="Calibri Light" w:cs="Calibri Light"/>
                <w:bCs/>
                <w:i/>
                <w:iCs/>
                <w:sz w:val="20"/>
                <w:szCs w:val="20"/>
                <w:lang w:val="ro-RO"/>
              </w:rPr>
              <w:t xml:space="preserve">publice </w:t>
            </w:r>
            <w:r w:rsidRPr="004E2AFF">
              <w:rPr>
                <w:rFonts w:ascii="Calibri Light" w:eastAsia="Times New Roman" w:hAnsi="Calibri Light" w:cs="Calibri Light"/>
                <w:bCs/>
                <w:i/>
                <w:iCs/>
                <w:sz w:val="20"/>
                <w:szCs w:val="20"/>
                <w:lang w:val="ro-RO"/>
              </w:rPr>
              <w:t>din domeniul infrastructurii calității, din punct de vedere procedural, a fost desfășurată în mod regulamentar,  se atestă că rezultatele inventarierii indică doar stabilirea existenței faptice și scriptice a bunurilor aflate în gestiunea entității, nefiind identificate bunurile neutilizate și/sau amor</w:t>
            </w:r>
            <w:r w:rsidRPr="00913348">
              <w:rPr>
                <w:rFonts w:ascii="Calibri Light" w:eastAsia="Times New Roman" w:hAnsi="Calibri Light" w:cs="Calibri Light"/>
                <w:bCs/>
                <w:i/>
                <w:iCs/>
                <w:sz w:val="20"/>
                <w:szCs w:val="20"/>
                <w:lang w:val="ro-RO"/>
              </w:rPr>
              <w:t>ti</w:t>
            </w:r>
            <w:r w:rsidRPr="004E2AFF">
              <w:rPr>
                <w:rFonts w:ascii="Calibri Light" w:eastAsia="Times New Roman" w:hAnsi="Calibri Light" w:cs="Calibri Light"/>
                <w:bCs/>
                <w:i/>
                <w:iCs/>
                <w:sz w:val="20"/>
                <w:szCs w:val="20"/>
                <w:lang w:val="ro-RO"/>
              </w:rPr>
              <w:t>zate integral, neevaluate corespunzător, necasate, netransmise altor entități și, prin urmare, nefiind luate deciziile manageriale de rigoare relevante acestora.</w:t>
            </w:r>
          </w:p>
          <w:p w14:paraId="434C30AC" w14:textId="62BF16E4" w:rsidR="009421A6" w:rsidRPr="004E2AFF" w:rsidRDefault="009421A6" w:rsidP="00217DF9">
            <w:pPr>
              <w:spacing w:line="276" w:lineRule="auto"/>
              <w:jc w:val="both"/>
              <w:rPr>
                <w:rFonts w:ascii="Calibri Light" w:eastAsia="Times New Roman" w:hAnsi="Calibri Light" w:cs="Calibri Light"/>
                <w:bCs/>
                <w:i/>
                <w:iCs/>
                <w:sz w:val="20"/>
                <w:szCs w:val="20"/>
                <w:lang w:val="ro-MD"/>
              </w:rPr>
            </w:pPr>
            <w:r w:rsidRPr="004E2AFF">
              <w:rPr>
                <w:rFonts w:ascii="Calibri Light" w:eastAsia="Times New Roman" w:hAnsi="Calibri Light" w:cs="Calibri Light"/>
                <w:bCs/>
                <w:i/>
                <w:iCs/>
                <w:sz w:val="20"/>
                <w:szCs w:val="20"/>
                <w:lang w:val="ro-RO"/>
              </w:rPr>
              <w:t xml:space="preserve">Totodată, </w:t>
            </w:r>
            <w:r w:rsidRPr="004E2AFF">
              <w:rPr>
                <w:rFonts w:ascii="Calibri Light" w:eastAsia="Times New Roman" w:hAnsi="Calibri Light" w:cs="Calibri Light"/>
                <w:bCs/>
                <w:i/>
                <w:iCs/>
                <w:sz w:val="20"/>
                <w:szCs w:val="20"/>
                <w:lang w:val="ro-MD"/>
              </w:rPr>
              <w:t>conform legislației în vigoare</w:t>
            </w:r>
            <w:r w:rsidRPr="004E2AFF">
              <w:rPr>
                <w:rFonts w:ascii="Calibri Light" w:eastAsia="Times New Roman" w:hAnsi="Calibri Light" w:cs="Calibri Light"/>
                <w:bCs/>
                <w:i/>
                <w:iCs/>
                <w:sz w:val="20"/>
                <w:szCs w:val="20"/>
                <w:vertAlign w:val="superscript"/>
                <w:lang w:val="ro-MD"/>
              </w:rPr>
              <w:footnoteReference w:id="67"/>
            </w:r>
            <w:r w:rsidRPr="004E2AFF">
              <w:rPr>
                <w:rFonts w:ascii="Calibri Light" w:eastAsia="Times New Roman" w:hAnsi="Calibri Light" w:cs="Calibri Light"/>
                <w:bCs/>
                <w:i/>
                <w:iCs/>
                <w:sz w:val="20"/>
                <w:szCs w:val="20"/>
                <w:lang w:val="ro-MD"/>
              </w:rPr>
              <w:t xml:space="preserve">, toate operațiunile economice, inclusiv cele de decontare a datoriilor cu termenul de prescripție expirat, trebuie să fie perfectate prin documente primare şi generalizate în registre contabile. </w:t>
            </w:r>
            <w:r w:rsidRPr="00EF4617">
              <w:rPr>
                <w:rFonts w:ascii="Calibri Light" w:eastAsia="Times New Roman" w:hAnsi="Calibri Light" w:cs="Calibri Light"/>
                <w:bCs/>
                <w:i/>
                <w:iCs/>
                <w:sz w:val="20"/>
                <w:szCs w:val="20"/>
                <w:lang w:val="ro-MD"/>
              </w:rPr>
              <w:t xml:space="preserve">Lacunele </w:t>
            </w:r>
            <w:r w:rsidRPr="00B52EC6">
              <w:rPr>
                <w:rFonts w:ascii="Calibri Light" w:eastAsia="Times New Roman" w:hAnsi="Calibri Light" w:cs="Calibri Light"/>
                <w:bCs/>
                <w:i/>
                <w:iCs/>
                <w:sz w:val="20"/>
                <w:szCs w:val="20"/>
                <w:lang w:val="ro-MD"/>
              </w:rPr>
              <w:t>controlului intern existent în cadrul MOLD</w:t>
            </w:r>
            <w:r w:rsidRPr="00EF4617">
              <w:rPr>
                <w:rFonts w:ascii="Calibri Light" w:eastAsia="Times New Roman" w:hAnsi="Calibri Light" w:cs="Calibri Light"/>
                <w:bCs/>
                <w:i/>
                <w:iCs/>
                <w:sz w:val="20"/>
                <w:szCs w:val="20"/>
                <w:lang w:val="ro-MD"/>
              </w:rPr>
              <w:t>AC</w:t>
            </w:r>
            <w:r w:rsidR="00EF4617" w:rsidRPr="00EF4617">
              <w:rPr>
                <w:rFonts w:ascii="Calibri Light" w:eastAsia="Times New Roman" w:hAnsi="Calibri Light" w:cs="Calibri Light"/>
                <w:bCs/>
                <w:i/>
                <w:iCs/>
                <w:sz w:val="20"/>
                <w:szCs w:val="20"/>
                <w:lang w:val="ro-MD"/>
              </w:rPr>
              <w:t xml:space="preserve"> și </w:t>
            </w:r>
            <w:r w:rsidRPr="00EF4617">
              <w:rPr>
                <w:rFonts w:ascii="Calibri Light" w:eastAsia="Times New Roman" w:hAnsi="Calibri Light" w:cs="Calibri Light"/>
                <w:bCs/>
                <w:i/>
                <w:iCs/>
                <w:sz w:val="20"/>
                <w:szCs w:val="20"/>
                <w:lang w:val="ro-MD"/>
              </w:rPr>
              <w:t xml:space="preserve">lipsa </w:t>
            </w:r>
            <w:r w:rsidRPr="00B52EC6">
              <w:rPr>
                <w:rFonts w:ascii="Calibri Light" w:eastAsia="Times New Roman" w:hAnsi="Calibri Light" w:cs="Calibri Light"/>
                <w:bCs/>
                <w:i/>
                <w:iCs/>
                <w:sz w:val="20"/>
                <w:szCs w:val="20"/>
                <w:lang w:val="ro-MD"/>
              </w:rPr>
              <w:t>documentelor primare</w:t>
            </w:r>
            <w:r w:rsidRPr="004E2AFF">
              <w:rPr>
                <w:rFonts w:ascii="Calibri Light" w:eastAsia="Times New Roman" w:hAnsi="Calibri Light" w:cs="Calibri Light"/>
                <w:bCs/>
                <w:i/>
                <w:iCs/>
                <w:sz w:val="20"/>
                <w:szCs w:val="20"/>
                <w:lang w:val="ro-MD"/>
              </w:rPr>
              <w:t xml:space="preserve"> (procesul-verbal </w:t>
            </w:r>
            <w:r w:rsidR="00685350">
              <w:rPr>
                <w:rFonts w:ascii="Calibri Light" w:eastAsia="Times New Roman" w:hAnsi="Calibri Light" w:cs="Calibri Light"/>
                <w:bCs/>
                <w:i/>
                <w:iCs/>
                <w:sz w:val="20"/>
                <w:szCs w:val="20"/>
                <w:lang w:val="ro-MD"/>
              </w:rPr>
              <w:t xml:space="preserve">al </w:t>
            </w:r>
            <w:r w:rsidRPr="004E2AFF">
              <w:rPr>
                <w:rFonts w:ascii="Calibri Light" w:eastAsia="Times New Roman" w:hAnsi="Calibri Light" w:cs="Calibri Light"/>
                <w:bCs/>
                <w:i/>
                <w:iCs/>
                <w:sz w:val="20"/>
                <w:szCs w:val="20"/>
                <w:lang w:val="ro-MD"/>
              </w:rPr>
              <w:t>comisiei de inventariere și/sau ordinul conducătorului</w:t>
            </w:r>
            <w:r w:rsidRPr="00EF4617">
              <w:rPr>
                <w:rFonts w:ascii="Calibri Light" w:eastAsia="Times New Roman" w:hAnsi="Calibri Light" w:cs="Calibri Light"/>
                <w:bCs/>
                <w:i/>
                <w:iCs/>
                <w:sz w:val="20"/>
                <w:szCs w:val="20"/>
                <w:lang w:val="ro-MD"/>
              </w:rPr>
              <w:t>), a</w:t>
            </w:r>
            <w:r w:rsidR="00C60F44" w:rsidRPr="00EF4617">
              <w:rPr>
                <w:rFonts w:ascii="Calibri Light" w:eastAsia="Times New Roman" w:hAnsi="Calibri Light" w:cs="Calibri Light"/>
                <w:bCs/>
                <w:i/>
                <w:iCs/>
                <w:sz w:val="20"/>
                <w:szCs w:val="20"/>
                <w:lang w:val="ro-MD"/>
              </w:rPr>
              <w:t>u</w:t>
            </w:r>
            <w:r w:rsidRPr="00EF4617">
              <w:rPr>
                <w:rFonts w:ascii="Calibri Light" w:eastAsia="Times New Roman" w:hAnsi="Calibri Light" w:cs="Calibri Light"/>
                <w:bCs/>
                <w:i/>
                <w:iCs/>
                <w:sz w:val="20"/>
                <w:szCs w:val="20"/>
                <w:lang w:val="ro-MD"/>
              </w:rPr>
              <w:t xml:space="preserve"> condiționat</w:t>
            </w:r>
            <w:r w:rsidRPr="004E2AFF">
              <w:rPr>
                <w:rFonts w:ascii="Calibri Light" w:eastAsia="Times New Roman" w:hAnsi="Calibri Light" w:cs="Calibri Light"/>
                <w:bCs/>
                <w:i/>
                <w:iCs/>
                <w:sz w:val="20"/>
                <w:szCs w:val="20"/>
                <w:lang w:val="ro-MD"/>
              </w:rPr>
              <w:t xml:space="preserve">  înregistrarea neîntemeiată în evidența contabilă la venituri a datoriilor cu termen</w:t>
            </w:r>
            <w:r w:rsidR="00C60F44">
              <w:rPr>
                <w:rFonts w:ascii="Calibri Light" w:eastAsia="Times New Roman" w:hAnsi="Calibri Light" w:cs="Calibri Light"/>
                <w:bCs/>
                <w:i/>
                <w:iCs/>
                <w:sz w:val="20"/>
                <w:szCs w:val="20"/>
                <w:lang w:val="ro-MD"/>
              </w:rPr>
              <w:t>ul</w:t>
            </w:r>
            <w:r w:rsidRPr="004E2AFF">
              <w:rPr>
                <w:rFonts w:ascii="Calibri Light" w:eastAsia="Times New Roman" w:hAnsi="Calibri Light" w:cs="Calibri Light"/>
                <w:bCs/>
                <w:i/>
                <w:iCs/>
                <w:sz w:val="20"/>
                <w:szCs w:val="20"/>
                <w:lang w:val="ro-MD"/>
              </w:rPr>
              <w:t xml:space="preserve"> de prescripție expirat în sumă totală de 29,4 mii lei.</w:t>
            </w:r>
          </w:p>
          <w:p w14:paraId="5CF40F6C" w14:textId="77777777"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MD"/>
              </w:rPr>
            </w:pPr>
          </w:p>
        </w:tc>
        <w:tc>
          <w:tcPr>
            <w:tcW w:w="978" w:type="pct"/>
          </w:tcPr>
          <w:p w14:paraId="1A009361" w14:textId="3417DB35" w:rsidR="009421A6" w:rsidRPr="004E2AFF" w:rsidRDefault="009421A6" w:rsidP="00217DF9">
            <w:pPr>
              <w:spacing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MD"/>
              </w:rPr>
              <w:t xml:space="preserve">             S</w:t>
            </w:r>
            <w:r w:rsidRPr="004E2AFF">
              <w:rPr>
                <w:rFonts w:ascii="Calibri Light" w:eastAsia="Times New Roman" w:hAnsi="Calibri Light" w:cs="Calibri Light"/>
                <w:bCs/>
                <w:i/>
                <w:iCs/>
                <w:sz w:val="20"/>
                <w:szCs w:val="20"/>
                <w:lang w:val="ro-RO"/>
              </w:rPr>
              <w:t>ă asigure  efectuarea regulamentară a inventarierilor anuale și documentarea corespunzătoare a rezultatelor acesteia (întocmirea Declarației pentru fiecare gestionar de bunuri, întocmirea listelor de inventariere a  creanțelor și datoriilor</w:t>
            </w:r>
            <w:r w:rsidRPr="00EF4617">
              <w:rPr>
                <w:rFonts w:ascii="Calibri Light" w:eastAsia="Times New Roman" w:hAnsi="Calibri Light" w:cs="Calibri Light"/>
                <w:bCs/>
                <w:i/>
                <w:iCs/>
                <w:sz w:val="20"/>
                <w:szCs w:val="20"/>
                <w:lang w:val="ro-RO"/>
              </w:rPr>
              <w:t xml:space="preserve">, </w:t>
            </w:r>
            <w:r w:rsidR="00EF4617" w:rsidRPr="00EF4617">
              <w:rPr>
                <w:rFonts w:ascii="Calibri Light" w:eastAsia="Times New Roman" w:hAnsi="Calibri Light" w:cs="Calibri Light"/>
                <w:bCs/>
                <w:i/>
                <w:iCs/>
                <w:sz w:val="20"/>
                <w:szCs w:val="20"/>
                <w:lang w:val="ro-RO"/>
              </w:rPr>
              <w:t>completarea</w:t>
            </w:r>
            <w:r w:rsidRPr="004E2AFF">
              <w:rPr>
                <w:rFonts w:ascii="Calibri Light" w:eastAsia="Times New Roman" w:hAnsi="Calibri Light" w:cs="Calibri Light"/>
                <w:bCs/>
                <w:i/>
                <w:iCs/>
                <w:sz w:val="20"/>
                <w:szCs w:val="20"/>
                <w:lang w:val="ro-RO"/>
              </w:rPr>
              <w:t xml:space="preserve"> listelor de inventariere cu mențiunile aferente stării bunurilor, aplicarea semnăturilor pe documentele de inventariere de către persoanele implicate în acest proces) (pct. 4.1.2.; 4.1.2.1.; 4.1.2.2.; 4.1.2.3.; 4.1.2.4.</w:t>
            </w:r>
            <w:r>
              <w:rPr>
                <w:rFonts w:ascii="Calibri Light" w:eastAsia="Times New Roman" w:hAnsi="Calibri Light" w:cs="Calibri Light"/>
                <w:bCs/>
                <w:i/>
                <w:iCs/>
                <w:sz w:val="20"/>
                <w:szCs w:val="20"/>
                <w:lang w:val="ro-RO"/>
              </w:rPr>
              <w:t>; 4.2.</w:t>
            </w:r>
            <w:r w:rsidRPr="004E2AFF">
              <w:rPr>
                <w:rFonts w:ascii="Calibri Light" w:eastAsia="Times New Roman" w:hAnsi="Calibri Light" w:cs="Calibri Light"/>
                <w:bCs/>
                <w:i/>
                <w:iCs/>
                <w:sz w:val="20"/>
                <w:szCs w:val="20"/>
                <w:lang w:val="ro-RO"/>
              </w:rPr>
              <w:t>)</w:t>
            </w:r>
            <w:r w:rsidR="00193A11">
              <w:rPr>
                <w:rFonts w:ascii="Calibri Light" w:eastAsia="Times New Roman" w:hAnsi="Calibri Light" w:cs="Calibri Light"/>
                <w:bCs/>
                <w:i/>
                <w:iCs/>
                <w:sz w:val="20"/>
                <w:szCs w:val="20"/>
                <w:lang w:val="ro-RO"/>
              </w:rPr>
              <w:t>.</w:t>
            </w:r>
          </w:p>
        </w:tc>
        <w:tc>
          <w:tcPr>
            <w:tcW w:w="843" w:type="pct"/>
          </w:tcPr>
          <w:p w14:paraId="2322AE5B" w14:textId="1B4A488C"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RO"/>
              </w:rPr>
              <w:t>A efectua inventarierea general</w:t>
            </w:r>
            <w:r w:rsidRPr="00255E9C">
              <w:rPr>
                <w:rFonts w:ascii="Calibri Light" w:eastAsia="Times New Roman" w:hAnsi="Calibri Light" w:cs="Calibri Light"/>
                <w:i/>
                <w:sz w:val="20"/>
                <w:szCs w:val="20"/>
                <w:lang w:val="ro-MD"/>
              </w:rPr>
              <w:t>ă în strictă conformitate cu prevederile Regulamentului privind inventarierea, aprobat prin Ordinul Ministerului Finantelor nr.60 din 29.05.2012</w:t>
            </w:r>
            <w:r w:rsidR="00685350">
              <w:rPr>
                <w:rFonts w:ascii="Calibri Light" w:eastAsia="Times New Roman" w:hAnsi="Calibri Light" w:cs="Calibri Light"/>
                <w:i/>
                <w:sz w:val="20"/>
                <w:szCs w:val="20"/>
                <w:lang w:val="ro-MD"/>
              </w:rPr>
              <w:t>,</w:t>
            </w:r>
            <w:r w:rsidRPr="00255E9C">
              <w:rPr>
                <w:rFonts w:ascii="Calibri Light" w:eastAsia="Times New Roman" w:hAnsi="Calibri Light" w:cs="Calibri Light"/>
                <w:i/>
                <w:sz w:val="20"/>
                <w:szCs w:val="20"/>
                <w:lang w:val="ro-MD"/>
              </w:rPr>
              <w:t xml:space="preserve"> cu întocmirea documentelor corespunz</w:t>
            </w:r>
            <w:r w:rsidR="00C60F44" w:rsidRPr="00913348">
              <w:rPr>
                <w:rFonts w:ascii="Calibri Light" w:eastAsia="Times New Roman" w:hAnsi="Calibri Light" w:cs="Calibri Light"/>
                <w:i/>
                <w:sz w:val="20"/>
                <w:szCs w:val="20"/>
                <w:lang w:val="ro-MD"/>
              </w:rPr>
              <w:t>ă</w:t>
            </w:r>
            <w:r w:rsidRPr="00255E9C">
              <w:rPr>
                <w:rFonts w:ascii="Calibri Light" w:eastAsia="Times New Roman" w:hAnsi="Calibri Light" w:cs="Calibri Light"/>
                <w:i/>
                <w:sz w:val="20"/>
                <w:szCs w:val="20"/>
                <w:lang w:val="ro-MD"/>
              </w:rPr>
              <w:t>toare și luarea deciziilor respective a</w:t>
            </w:r>
            <w:r w:rsidR="00C60F44" w:rsidRPr="00255E9C">
              <w:rPr>
                <w:rFonts w:ascii="Calibri Light" w:eastAsia="Times New Roman" w:hAnsi="Calibri Light" w:cs="Calibri Light"/>
                <w:i/>
                <w:sz w:val="20"/>
                <w:szCs w:val="20"/>
                <w:lang w:val="ro-MD"/>
              </w:rPr>
              <w:t xml:space="preserve">supra </w:t>
            </w:r>
            <w:r w:rsidRPr="00255E9C">
              <w:rPr>
                <w:rFonts w:ascii="Calibri Light" w:eastAsia="Times New Roman" w:hAnsi="Calibri Light" w:cs="Calibri Light"/>
                <w:i/>
                <w:sz w:val="20"/>
                <w:szCs w:val="20"/>
                <w:lang w:val="ro-MD"/>
              </w:rPr>
              <w:t xml:space="preserve"> bunurilor materiale pentru</w:t>
            </w:r>
            <w:r w:rsidR="00685350" w:rsidRPr="00913348">
              <w:rPr>
                <w:rFonts w:ascii="Calibri Light" w:eastAsia="Times New Roman" w:hAnsi="Calibri Light" w:cs="Calibri Light"/>
                <w:i/>
                <w:sz w:val="20"/>
                <w:szCs w:val="20"/>
                <w:lang w:val="ro-MD"/>
              </w:rPr>
              <w:t>:</w:t>
            </w:r>
            <w:r w:rsidRPr="00255E9C">
              <w:rPr>
                <w:rFonts w:ascii="Calibri Light" w:eastAsia="Times New Roman" w:hAnsi="Calibri Light" w:cs="Calibri Light"/>
                <w:i/>
                <w:sz w:val="20"/>
                <w:szCs w:val="20"/>
                <w:lang w:val="ro-MD"/>
              </w:rPr>
              <w:t xml:space="preserve"> </w:t>
            </w:r>
          </w:p>
          <w:p w14:paraId="0487A2CB" w14:textId="13937BAB"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MD"/>
              </w:rPr>
              <w:t>1.Stabilirea existenței efective a elementelor de activ și datorii (imobilizărilor necorporale și corporale</w:t>
            </w:r>
            <w:r w:rsidR="00685350">
              <w:rPr>
                <w:rFonts w:ascii="Calibri Light" w:eastAsia="Times New Roman" w:hAnsi="Calibri Light" w:cs="Calibri Light"/>
                <w:i/>
                <w:sz w:val="20"/>
                <w:szCs w:val="20"/>
                <w:lang w:val="ro-MD"/>
              </w:rPr>
              <w:t xml:space="preserve">, </w:t>
            </w:r>
            <w:r w:rsidRPr="00255E9C">
              <w:rPr>
                <w:rFonts w:ascii="Calibri Light" w:eastAsia="Times New Roman" w:hAnsi="Calibri Light" w:cs="Calibri Light"/>
                <w:i/>
                <w:sz w:val="20"/>
                <w:szCs w:val="20"/>
                <w:lang w:val="ro-MD"/>
              </w:rPr>
              <w:t>investițiilor financia</w:t>
            </w:r>
            <w:r w:rsidR="00685350">
              <w:rPr>
                <w:rFonts w:ascii="Calibri Light" w:eastAsia="Times New Roman" w:hAnsi="Calibri Light" w:cs="Calibri Light"/>
                <w:i/>
                <w:sz w:val="20"/>
                <w:szCs w:val="20"/>
                <w:lang w:val="ro-MD"/>
              </w:rPr>
              <w:t>r</w:t>
            </w:r>
            <w:r w:rsidRPr="00255E9C">
              <w:rPr>
                <w:rFonts w:ascii="Calibri Light" w:eastAsia="Times New Roman" w:hAnsi="Calibri Light" w:cs="Calibri Light"/>
                <w:i/>
                <w:sz w:val="20"/>
                <w:szCs w:val="20"/>
                <w:lang w:val="ro-MD"/>
              </w:rPr>
              <w:t>e,mijloacelor b</w:t>
            </w:r>
            <w:r w:rsidR="00685350">
              <w:rPr>
                <w:rFonts w:ascii="Calibri Light" w:eastAsia="Times New Roman" w:hAnsi="Calibri Light" w:cs="Calibri Light"/>
                <w:i/>
                <w:sz w:val="20"/>
                <w:szCs w:val="20"/>
                <w:lang w:val="ro-MD"/>
              </w:rPr>
              <w:t>ă</w:t>
            </w:r>
            <w:r w:rsidRPr="00255E9C">
              <w:rPr>
                <w:rFonts w:ascii="Calibri Light" w:eastAsia="Times New Roman" w:hAnsi="Calibri Light" w:cs="Calibri Light"/>
                <w:i/>
                <w:sz w:val="20"/>
                <w:szCs w:val="20"/>
                <w:lang w:val="ro-MD"/>
              </w:rPr>
              <w:t>nești,crean</w:t>
            </w:r>
            <w:r w:rsidR="00685350">
              <w:rPr>
                <w:rFonts w:ascii="Calibri Light" w:eastAsia="Times New Roman" w:hAnsi="Calibri Light" w:cs="Calibri Light"/>
                <w:i/>
                <w:sz w:val="20"/>
                <w:szCs w:val="20"/>
                <w:lang w:val="ro-MD"/>
              </w:rPr>
              <w:t>ț</w:t>
            </w:r>
            <w:r w:rsidRPr="00255E9C">
              <w:rPr>
                <w:rFonts w:ascii="Calibri Light" w:eastAsia="Times New Roman" w:hAnsi="Calibri Light" w:cs="Calibri Light"/>
                <w:i/>
                <w:sz w:val="20"/>
                <w:szCs w:val="20"/>
                <w:lang w:val="ro-MD"/>
              </w:rPr>
              <w:t>elor și datoriilor).</w:t>
            </w:r>
          </w:p>
          <w:p w14:paraId="627CEF08" w14:textId="1B723F88"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MD"/>
              </w:rPr>
              <w:t>2</w:t>
            </w:r>
            <w:r w:rsidR="00C60F44">
              <w:rPr>
                <w:rFonts w:ascii="Calibri Light" w:eastAsia="Times New Roman" w:hAnsi="Calibri Light" w:cs="Calibri Light"/>
                <w:i/>
                <w:sz w:val="20"/>
                <w:szCs w:val="20"/>
                <w:lang w:val="ro-MD"/>
              </w:rPr>
              <w:t>.</w:t>
            </w:r>
            <w:r w:rsidRPr="00255E9C">
              <w:rPr>
                <w:rFonts w:ascii="Calibri Light" w:eastAsia="Times New Roman" w:hAnsi="Calibri Light" w:cs="Calibri Light"/>
                <w:i/>
                <w:sz w:val="20"/>
                <w:szCs w:val="20"/>
                <w:lang w:val="ro-MD"/>
              </w:rPr>
              <w:t xml:space="preserve"> Verificarea integrității activelor prin compararea existenței efective a acestora cu datele contabilității.</w:t>
            </w:r>
          </w:p>
          <w:p w14:paraId="6DEAE2F7" w14:textId="1BFC1D93"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MD"/>
              </w:rPr>
              <w:t>3.Constatarea creanțelor compromise și datoriilor cu term</w:t>
            </w:r>
            <w:r w:rsidR="00685350">
              <w:rPr>
                <w:rFonts w:ascii="Calibri Light" w:eastAsia="Times New Roman" w:hAnsi="Calibri Light" w:cs="Calibri Light"/>
                <w:i/>
                <w:sz w:val="20"/>
                <w:szCs w:val="20"/>
                <w:lang w:val="ro-MD"/>
              </w:rPr>
              <w:t>enul</w:t>
            </w:r>
            <w:r w:rsidRPr="00255E9C">
              <w:rPr>
                <w:rFonts w:ascii="Calibri Light" w:eastAsia="Times New Roman" w:hAnsi="Calibri Light" w:cs="Calibri Light"/>
                <w:i/>
                <w:sz w:val="20"/>
                <w:szCs w:val="20"/>
                <w:lang w:val="ro-MD"/>
              </w:rPr>
              <w:t xml:space="preserve"> de prescripție expirat.</w:t>
            </w:r>
          </w:p>
          <w:p w14:paraId="67120E7F" w14:textId="2ED4C295"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MD"/>
              </w:rPr>
              <w:t>4.Stabilirea bunurilor care</w:t>
            </w:r>
            <w:r w:rsidR="00685350">
              <w:rPr>
                <w:rFonts w:ascii="Calibri Light" w:eastAsia="Times New Roman" w:hAnsi="Calibri Light" w:cs="Calibri Light"/>
                <w:i/>
                <w:sz w:val="20"/>
                <w:szCs w:val="20"/>
                <w:lang w:val="ro-MD"/>
              </w:rPr>
              <w:t>,</w:t>
            </w:r>
            <w:r w:rsidRPr="00255E9C">
              <w:rPr>
                <w:rFonts w:ascii="Calibri Light" w:eastAsia="Times New Roman" w:hAnsi="Calibri Light" w:cs="Calibri Light"/>
                <w:i/>
                <w:sz w:val="20"/>
                <w:szCs w:val="20"/>
                <w:lang w:val="ro-MD"/>
              </w:rPr>
              <w:t xml:space="preserve"> parțial sau total</w:t>
            </w:r>
            <w:r w:rsidR="00685350">
              <w:rPr>
                <w:rFonts w:ascii="Calibri Light" w:eastAsia="Times New Roman" w:hAnsi="Calibri Light" w:cs="Calibri Light"/>
                <w:i/>
                <w:sz w:val="20"/>
                <w:szCs w:val="20"/>
                <w:lang w:val="ro-MD"/>
              </w:rPr>
              <w:t>,</w:t>
            </w:r>
            <w:r w:rsidRPr="00255E9C">
              <w:rPr>
                <w:rFonts w:ascii="Calibri Light" w:eastAsia="Times New Roman" w:hAnsi="Calibri Light" w:cs="Calibri Light"/>
                <w:i/>
                <w:sz w:val="20"/>
                <w:szCs w:val="20"/>
                <w:lang w:val="ro-MD"/>
              </w:rPr>
              <w:t xml:space="preserve"> și-au perdut calitatea inițială</w:t>
            </w:r>
            <w:r w:rsidR="00685350">
              <w:rPr>
                <w:rFonts w:ascii="Calibri Light" w:eastAsia="Times New Roman" w:hAnsi="Calibri Light" w:cs="Calibri Light"/>
                <w:i/>
                <w:sz w:val="20"/>
                <w:szCs w:val="20"/>
                <w:lang w:val="ro-MD"/>
              </w:rPr>
              <w:t>.</w:t>
            </w:r>
          </w:p>
          <w:p w14:paraId="3AC30636" w14:textId="1FE8739E" w:rsidR="009421A6" w:rsidRPr="00255E9C" w:rsidRDefault="009421A6" w:rsidP="00217DF9">
            <w:pPr>
              <w:spacing w:line="276" w:lineRule="auto"/>
              <w:jc w:val="both"/>
              <w:rPr>
                <w:rFonts w:ascii="Calibri Light" w:eastAsia="Times New Roman" w:hAnsi="Calibri Light" w:cs="Calibri Light"/>
                <w:i/>
                <w:sz w:val="20"/>
                <w:szCs w:val="20"/>
                <w:lang w:val="ro-MD"/>
              </w:rPr>
            </w:pPr>
            <w:r w:rsidRPr="00255E9C">
              <w:rPr>
                <w:rFonts w:ascii="Calibri Light" w:eastAsia="Times New Roman" w:hAnsi="Calibri Light" w:cs="Calibri Light"/>
                <w:i/>
                <w:sz w:val="20"/>
                <w:szCs w:val="20"/>
                <w:lang w:val="ro-MD"/>
              </w:rPr>
              <w:t>5.Constatarea bunurilor neutilizate în activitatea entitații.</w:t>
            </w:r>
          </w:p>
        </w:tc>
        <w:tc>
          <w:tcPr>
            <w:tcW w:w="737" w:type="pct"/>
          </w:tcPr>
          <w:p w14:paraId="66D22AEB" w14:textId="32074AB3" w:rsidR="009421A6" w:rsidRPr="00913348" w:rsidRDefault="009421A6" w:rsidP="00217DF9">
            <w:pPr>
              <w:spacing w:line="276" w:lineRule="auto"/>
              <w:jc w:val="both"/>
              <w:rPr>
                <w:rFonts w:ascii="Calibri Light" w:eastAsia="Times New Roman" w:hAnsi="Calibri Light" w:cs="Calibri Light"/>
                <w:i/>
                <w:sz w:val="20"/>
                <w:szCs w:val="20"/>
                <w:lang w:val="ro-RO"/>
              </w:rPr>
            </w:pPr>
            <w:r w:rsidRPr="00913348">
              <w:rPr>
                <w:rFonts w:ascii="Calibri Light" w:eastAsia="Times New Roman" w:hAnsi="Calibri Light" w:cs="Calibri Light"/>
                <w:i/>
                <w:sz w:val="20"/>
                <w:szCs w:val="20"/>
                <w:lang w:val="ro-RO"/>
              </w:rPr>
              <w:t xml:space="preserve"> Președintele Comisiei de inventariere</w:t>
            </w:r>
          </w:p>
        </w:tc>
        <w:tc>
          <w:tcPr>
            <w:tcW w:w="738" w:type="pct"/>
          </w:tcPr>
          <w:p w14:paraId="27C56964"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Anual</w:t>
            </w:r>
          </w:p>
          <w:p w14:paraId="5B68EA02"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25.12.2022</w:t>
            </w:r>
          </w:p>
          <w:p w14:paraId="62E62FE8" w14:textId="08FE77DB" w:rsidR="009421A6" w:rsidRPr="00BA7F5D" w:rsidRDefault="009421A6" w:rsidP="00217DF9">
            <w:pPr>
              <w:spacing w:line="276" w:lineRule="auto"/>
              <w:jc w:val="both"/>
              <w:rPr>
                <w:rFonts w:ascii="Calibri Light" w:eastAsia="Times New Roman" w:hAnsi="Calibri Light" w:cs="Calibri Light"/>
                <w:b/>
                <w:i/>
                <w:sz w:val="20"/>
                <w:szCs w:val="20"/>
                <w:lang w:val="ro-RO"/>
              </w:rPr>
            </w:pPr>
          </w:p>
        </w:tc>
      </w:tr>
      <w:tr w:rsidR="009421A6" w:rsidRPr="000B2A60" w14:paraId="6A9F4D26" w14:textId="77777777" w:rsidTr="00217DF9">
        <w:trPr>
          <w:trHeight w:val="2220"/>
        </w:trPr>
        <w:tc>
          <w:tcPr>
            <w:tcW w:w="1704" w:type="pct"/>
          </w:tcPr>
          <w:p w14:paraId="38A0FD02" w14:textId="77777777" w:rsidR="009421A6" w:rsidRDefault="009421A6" w:rsidP="00217DF9">
            <w:pPr>
              <w:spacing w:line="276" w:lineRule="auto"/>
              <w:ind w:firstLine="709"/>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Potrivit cadrului de reglementare aplicabil</w:t>
            </w:r>
            <w:r w:rsidRPr="009555D5">
              <w:rPr>
                <w:rFonts w:ascii="Calibri Light" w:eastAsia="Times New Roman" w:hAnsi="Calibri Light" w:cs="Calibri Light"/>
                <w:bCs/>
                <w:i/>
                <w:iCs/>
                <w:sz w:val="20"/>
                <w:szCs w:val="20"/>
                <w:vertAlign w:val="superscript"/>
                <w:lang w:val="ro-RO"/>
              </w:rPr>
              <w:footnoteReference w:id="68"/>
            </w:r>
            <w:r w:rsidRPr="004E2AFF">
              <w:rPr>
                <w:rFonts w:ascii="Calibri Light" w:eastAsia="Times New Roman" w:hAnsi="Calibri Light" w:cs="Calibri Light"/>
                <w:bCs/>
                <w:i/>
                <w:iCs/>
                <w:sz w:val="20"/>
                <w:szCs w:val="20"/>
                <w:lang w:val="ro-RO"/>
              </w:rPr>
              <w:t xml:space="preserve">, orice entitate urmează să constituie provizioane pentru acoperirea anumitor pierderi sau cheltuieli a căror cauză este precisă și asupra cărora există o incertitudine în ceea ce privește mărimea sau data producerii lor, iar modalitatea de creare, calculare și contabilizare a acestora trebuie să fie în corelație cu riscurile şi cheltuielile estimate. </w:t>
            </w:r>
          </w:p>
          <w:p w14:paraId="1317024E" w14:textId="445ECEF8" w:rsidR="009421A6" w:rsidRPr="00392F6C" w:rsidRDefault="009421A6" w:rsidP="00217DF9">
            <w:pPr>
              <w:spacing w:line="276" w:lineRule="auto"/>
              <w:ind w:firstLine="709"/>
              <w:jc w:val="both"/>
              <w:rPr>
                <w:rFonts w:ascii="Calibri Light" w:eastAsia="Times New Roman" w:hAnsi="Calibri Light" w:cs="Calibri Light"/>
                <w:bCs/>
                <w:i/>
                <w:iCs/>
                <w:sz w:val="20"/>
                <w:szCs w:val="20"/>
                <w:lang w:val="ro-RO"/>
              </w:rPr>
            </w:pPr>
            <w:r w:rsidRPr="00392F6C">
              <w:rPr>
                <w:rFonts w:ascii="Calibri Light" w:eastAsia="Times New Roman" w:hAnsi="Calibri Light" w:cs="Calibri Light"/>
                <w:bCs/>
                <w:i/>
                <w:iCs/>
                <w:sz w:val="20"/>
                <w:szCs w:val="20"/>
                <w:lang w:val="ro-RO"/>
              </w:rPr>
              <w:t xml:space="preserve">Urmare </w:t>
            </w:r>
            <w:r w:rsidR="00C60F44" w:rsidRPr="00392F6C">
              <w:rPr>
                <w:rFonts w:ascii="Calibri Light" w:eastAsia="Times New Roman" w:hAnsi="Calibri Light" w:cs="Calibri Light"/>
                <w:bCs/>
                <w:i/>
                <w:iCs/>
                <w:sz w:val="20"/>
                <w:szCs w:val="20"/>
                <w:lang w:val="ro-RO"/>
              </w:rPr>
              <w:t>efectu</w:t>
            </w:r>
            <w:r w:rsidR="00C60F44">
              <w:rPr>
                <w:rFonts w:ascii="Calibri Light" w:eastAsia="Times New Roman" w:hAnsi="Calibri Light" w:cs="Calibri Light"/>
                <w:bCs/>
                <w:i/>
                <w:iCs/>
                <w:sz w:val="20"/>
                <w:szCs w:val="20"/>
                <w:lang w:val="ro-RO"/>
              </w:rPr>
              <w:t>ării</w:t>
            </w:r>
            <w:r w:rsidRPr="00392F6C">
              <w:rPr>
                <w:rFonts w:ascii="Calibri Light" w:eastAsia="Times New Roman" w:hAnsi="Calibri Light" w:cs="Calibri Light"/>
                <w:bCs/>
                <w:i/>
                <w:iCs/>
                <w:sz w:val="20"/>
                <w:szCs w:val="20"/>
                <w:lang w:val="ro-RO"/>
              </w:rPr>
              <w:t xml:space="preserve"> testelor de audit, s-a constatat că </w:t>
            </w:r>
            <w:r w:rsidR="00C60F44" w:rsidRPr="00B52EC6">
              <w:rPr>
                <w:rFonts w:ascii="Calibri Light" w:eastAsia="Times New Roman" w:hAnsi="Calibri Light" w:cs="Calibri Light"/>
                <w:bCs/>
                <w:i/>
                <w:iCs/>
                <w:sz w:val="20"/>
                <w:szCs w:val="20"/>
                <w:lang w:val="ro-RO"/>
              </w:rPr>
              <w:t xml:space="preserve">la </w:t>
            </w:r>
            <w:r w:rsidRPr="00B52EC6">
              <w:rPr>
                <w:rFonts w:ascii="Calibri Light" w:eastAsia="Times New Roman" w:hAnsi="Calibri Light" w:cs="Calibri Light"/>
                <w:bCs/>
                <w:i/>
                <w:iCs/>
                <w:sz w:val="20"/>
                <w:szCs w:val="20"/>
                <w:lang w:val="ro-RO"/>
              </w:rPr>
              <w:t>MOLDAC, la 31</w:t>
            </w:r>
            <w:r w:rsidRPr="00392F6C">
              <w:rPr>
                <w:rFonts w:ascii="Calibri Light" w:eastAsia="Times New Roman" w:hAnsi="Calibri Light" w:cs="Calibri Light"/>
                <w:bCs/>
                <w:i/>
                <w:iCs/>
                <w:sz w:val="20"/>
                <w:szCs w:val="20"/>
                <w:lang w:val="ro-RO"/>
              </w:rPr>
              <w:t>.12.2021</w:t>
            </w:r>
            <w:r w:rsidR="00C60F44">
              <w:rPr>
                <w:rFonts w:ascii="Calibri Light" w:eastAsia="Times New Roman" w:hAnsi="Calibri Light" w:cs="Calibri Light"/>
                <w:bCs/>
                <w:i/>
                <w:iCs/>
                <w:sz w:val="20"/>
                <w:szCs w:val="20"/>
                <w:lang w:val="ro-RO"/>
              </w:rPr>
              <w:t>,</w:t>
            </w:r>
            <w:r w:rsidRPr="00392F6C">
              <w:rPr>
                <w:rFonts w:ascii="Calibri Light" w:eastAsia="Times New Roman" w:hAnsi="Calibri Light" w:cs="Calibri Light"/>
                <w:bCs/>
                <w:i/>
                <w:iCs/>
                <w:sz w:val="20"/>
                <w:szCs w:val="20"/>
                <w:lang w:val="ro-RO"/>
              </w:rPr>
              <w:t xml:space="preserve"> </w:t>
            </w:r>
            <w:r w:rsidR="00C60F44">
              <w:rPr>
                <w:rFonts w:ascii="Calibri Light" w:eastAsia="Times New Roman" w:hAnsi="Calibri Light" w:cs="Calibri Light"/>
                <w:bCs/>
                <w:i/>
                <w:iCs/>
                <w:sz w:val="20"/>
                <w:szCs w:val="20"/>
                <w:lang w:val="ro-RO"/>
              </w:rPr>
              <w:t>s-au</w:t>
            </w:r>
            <w:r w:rsidRPr="00392F6C">
              <w:rPr>
                <w:rFonts w:ascii="Calibri Light" w:eastAsia="Times New Roman" w:hAnsi="Calibri Light" w:cs="Calibri Light"/>
                <w:bCs/>
                <w:i/>
                <w:iCs/>
                <w:sz w:val="20"/>
                <w:szCs w:val="20"/>
                <w:lang w:val="ro-RO"/>
              </w:rPr>
              <w:t xml:space="preserve"> acumulat 326 de zile  de concediu </w:t>
            </w:r>
            <w:r w:rsidR="00C60F44">
              <w:rPr>
                <w:rFonts w:ascii="Calibri Light" w:eastAsia="Times New Roman" w:hAnsi="Calibri Light" w:cs="Calibri Light"/>
                <w:bCs/>
                <w:i/>
                <w:iCs/>
                <w:sz w:val="20"/>
                <w:szCs w:val="20"/>
                <w:lang w:val="ro-RO"/>
              </w:rPr>
              <w:t xml:space="preserve">anual </w:t>
            </w:r>
            <w:r w:rsidRPr="00392F6C">
              <w:rPr>
                <w:rFonts w:ascii="Calibri Light" w:eastAsia="Times New Roman" w:hAnsi="Calibri Light" w:cs="Calibri Light"/>
                <w:bCs/>
                <w:i/>
                <w:iCs/>
                <w:sz w:val="20"/>
                <w:szCs w:val="20"/>
                <w:lang w:val="ro-RO"/>
              </w:rPr>
              <w:t>nefolosit</w:t>
            </w:r>
            <w:r w:rsidR="00C60F44">
              <w:rPr>
                <w:rFonts w:ascii="Calibri Light" w:eastAsia="Times New Roman" w:hAnsi="Calibri Light" w:cs="Calibri Light"/>
                <w:bCs/>
                <w:i/>
                <w:iCs/>
                <w:sz w:val="20"/>
                <w:szCs w:val="20"/>
                <w:lang w:val="ro-RO"/>
              </w:rPr>
              <w:t>e</w:t>
            </w:r>
            <w:r w:rsidRPr="00392F6C">
              <w:rPr>
                <w:rFonts w:ascii="Calibri Light" w:eastAsia="Times New Roman" w:hAnsi="Calibri Light" w:cs="Calibri Light"/>
                <w:bCs/>
                <w:i/>
                <w:iCs/>
                <w:sz w:val="20"/>
                <w:szCs w:val="20"/>
                <w:lang w:val="ro-RO"/>
              </w:rPr>
              <w:t xml:space="preserve"> aferente a 21 de salariați</w:t>
            </w:r>
            <w:r w:rsidR="00C60F44">
              <w:rPr>
                <w:rFonts w:ascii="Calibri Light" w:eastAsia="Times New Roman" w:hAnsi="Calibri Light" w:cs="Calibri Light"/>
                <w:bCs/>
                <w:i/>
                <w:iCs/>
                <w:sz w:val="20"/>
                <w:szCs w:val="20"/>
                <w:lang w:val="ro-RO"/>
              </w:rPr>
              <w:t>,</w:t>
            </w:r>
            <w:r w:rsidRPr="00392F6C">
              <w:rPr>
                <w:rFonts w:ascii="Calibri Light" w:eastAsia="Times New Roman" w:hAnsi="Calibri Light" w:cs="Calibri Light"/>
                <w:bCs/>
                <w:i/>
                <w:iCs/>
                <w:sz w:val="20"/>
                <w:szCs w:val="20"/>
                <w:lang w:val="ro-RO"/>
              </w:rPr>
              <w:t xml:space="preserve"> care, inevitabil, atrag după sine obligații legale față de personalul încadrat</w:t>
            </w:r>
            <w:r w:rsidR="00C60F44">
              <w:rPr>
                <w:rFonts w:ascii="Calibri Light" w:eastAsia="Times New Roman" w:hAnsi="Calibri Light" w:cs="Calibri Light"/>
                <w:bCs/>
                <w:i/>
                <w:iCs/>
                <w:sz w:val="20"/>
                <w:szCs w:val="20"/>
                <w:lang w:val="ro-RO"/>
              </w:rPr>
              <w:t>,</w:t>
            </w:r>
            <w:r w:rsidRPr="00392F6C">
              <w:rPr>
                <w:rFonts w:ascii="Calibri Light" w:eastAsia="Times New Roman" w:hAnsi="Calibri Light" w:cs="Calibri Light"/>
                <w:bCs/>
                <w:i/>
                <w:iCs/>
                <w:sz w:val="20"/>
                <w:szCs w:val="20"/>
                <w:lang w:val="ro-RO"/>
              </w:rPr>
              <w:t xml:space="preserve"> în sumă totală de c</w:t>
            </w:r>
            <w:r w:rsidR="00C60F44">
              <w:rPr>
                <w:rFonts w:ascii="Calibri Light" w:eastAsia="Times New Roman" w:hAnsi="Calibri Light" w:cs="Calibri Light"/>
                <w:bCs/>
                <w:i/>
                <w:iCs/>
                <w:sz w:val="20"/>
                <w:szCs w:val="20"/>
                <w:lang w:val="ro-RO"/>
              </w:rPr>
              <w:t>ir</w:t>
            </w:r>
            <w:r w:rsidRPr="00392F6C">
              <w:rPr>
                <w:rFonts w:ascii="Calibri Light" w:eastAsia="Times New Roman" w:hAnsi="Calibri Light" w:cs="Calibri Light"/>
                <w:bCs/>
                <w:i/>
                <w:iCs/>
                <w:sz w:val="20"/>
                <w:szCs w:val="20"/>
                <w:lang w:val="ro-RO"/>
              </w:rPr>
              <w:t>ca 197</w:t>
            </w:r>
            <w:r w:rsidR="00C60F44">
              <w:rPr>
                <w:rFonts w:ascii="Calibri Light" w:eastAsia="Times New Roman" w:hAnsi="Calibri Light" w:cs="Calibri Light"/>
                <w:bCs/>
                <w:i/>
                <w:iCs/>
                <w:sz w:val="20"/>
                <w:szCs w:val="20"/>
                <w:lang w:val="ro-RO"/>
              </w:rPr>
              <w:t>,0</w:t>
            </w:r>
            <w:r w:rsidRPr="00392F6C">
              <w:rPr>
                <w:rFonts w:ascii="Calibri Light" w:eastAsia="Times New Roman" w:hAnsi="Calibri Light" w:cs="Calibri Light"/>
                <w:bCs/>
                <w:i/>
                <w:iCs/>
                <w:sz w:val="20"/>
                <w:szCs w:val="20"/>
                <w:lang w:val="ro-RO"/>
              </w:rPr>
              <w:t xml:space="preserve"> mii lei (inclusiv contribuții de asigurare obligatorie de stat).</w:t>
            </w:r>
          </w:p>
          <w:p w14:paraId="74C0363C" w14:textId="45F4C746"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Deși MOLDAC organizează și ține evidența contabilă  în conformitate cu SNC, ac</w:t>
            </w:r>
            <w:r w:rsidR="00C60F44">
              <w:rPr>
                <w:rFonts w:ascii="Calibri Light" w:eastAsia="Times New Roman" w:hAnsi="Calibri Light" w:cs="Calibri Light"/>
                <w:bCs/>
                <w:i/>
                <w:iCs/>
                <w:sz w:val="20"/>
                <w:szCs w:val="20"/>
                <w:lang w:val="ro-RO"/>
              </w:rPr>
              <w:t>e</w:t>
            </w:r>
            <w:r w:rsidRPr="004E2AFF">
              <w:rPr>
                <w:rFonts w:ascii="Calibri Light" w:eastAsia="Times New Roman" w:hAnsi="Calibri Light" w:cs="Calibri Light"/>
                <w:bCs/>
                <w:i/>
                <w:iCs/>
                <w:sz w:val="20"/>
                <w:szCs w:val="20"/>
                <w:lang w:val="ro-RO"/>
              </w:rPr>
              <w:t>sta, prin politicile sale contabile adoptate, nu a reglementat modul de constituire a provizioanelor</w:t>
            </w:r>
            <w:r w:rsidR="00C60F44">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xml:space="preserve"> ceea ce nu asigură o gestionare prudentă a riscurilor corelate cu eventualele cheltuieli. </w:t>
            </w:r>
          </w:p>
        </w:tc>
        <w:tc>
          <w:tcPr>
            <w:tcW w:w="978" w:type="pct"/>
          </w:tcPr>
          <w:p w14:paraId="0CED9C14" w14:textId="787ACA64"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r w:rsidRPr="004E2AFF">
              <w:rPr>
                <w:rFonts w:ascii="Calibri Light" w:eastAsia="Times New Roman" w:hAnsi="Calibri Light" w:cs="Calibri Light"/>
                <w:bCs/>
                <w:i/>
                <w:iCs/>
                <w:sz w:val="20"/>
                <w:szCs w:val="20"/>
                <w:lang w:val="ro-RO"/>
              </w:rPr>
              <w:t>Prin politicile contabile adoptate, să asigure tratamentul contabil corespunzător aferent constituirii provizionului pentru datoriile  față de personalul încadrat privind concediile de odihnă nefolosite (pct. 4.3.2.)</w:t>
            </w:r>
            <w:r w:rsidR="00193A11">
              <w:rPr>
                <w:rFonts w:ascii="Calibri Light" w:eastAsia="Times New Roman" w:hAnsi="Calibri Light" w:cs="Calibri Light"/>
                <w:bCs/>
                <w:i/>
                <w:iCs/>
                <w:sz w:val="20"/>
                <w:szCs w:val="20"/>
                <w:lang w:val="ro-RO"/>
              </w:rPr>
              <w:t>.</w:t>
            </w:r>
          </w:p>
          <w:p w14:paraId="12895D8C" w14:textId="77777777"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p>
        </w:tc>
        <w:tc>
          <w:tcPr>
            <w:tcW w:w="843" w:type="pct"/>
          </w:tcPr>
          <w:p w14:paraId="3AD672C4" w14:textId="2B87EDBE"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De impl</w:t>
            </w:r>
            <w:r w:rsidR="00C60F44">
              <w:rPr>
                <w:rFonts w:ascii="Calibri Light" w:eastAsia="Times New Roman" w:hAnsi="Calibri Light" w:cs="Calibri Light"/>
                <w:i/>
                <w:sz w:val="20"/>
                <w:szCs w:val="20"/>
                <w:lang w:val="ro-RO"/>
              </w:rPr>
              <w:t>e</w:t>
            </w:r>
            <w:r>
              <w:rPr>
                <w:rFonts w:ascii="Calibri Light" w:eastAsia="Times New Roman" w:hAnsi="Calibri Light" w:cs="Calibri Light"/>
                <w:i/>
                <w:sz w:val="20"/>
                <w:szCs w:val="20"/>
                <w:lang w:val="ro-RO"/>
              </w:rPr>
              <w:t>mentat m</w:t>
            </w:r>
            <w:r w:rsidR="00C60F44">
              <w:rPr>
                <w:rFonts w:ascii="Calibri Light" w:eastAsia="Times New Roman" w:hAnsi="Calibri Light" w:cs="Calibri Light"/>
                <w:i/>
                <w:sz w:val="20"/>
                <w:szCs w:val="20"/>
                <w:lang w:val="ro-RO"/>
              </w:rPr>
              <w:t>ă</w:t>
            </w:r>
            <w:r>
              <w:rPr>
                <w:rFonts w:ascii="Calibri Light" w:eastAsia="Times New Roman" w:hAnsi="Calibri Light" w:cs="Calibri Light"/>
                <w:i/>
                <w:sz w:val="20"/>
                <w:szCs w:val="20"/>
                <w:lang w:val="ro-RO"/>
              </w:rPr>
              <w:t>suri privind  acordarea concediilor anuale pl</w:t>
            </w:r>
            <w:r w:rsidR="00C60F44">
              <w:rPr>
                <w:rFonts w:ascii="Calibri Light" w:eastAsia="Times New Roman" w:hAnsi="Calibri Light" w:cs="Calibri Light"/>
                <w:i/>
                <w:sz w:val="20"/>
                <w:szCs w:val="20"/>
                <w:lang w:val="ro-RO"/>
              </w:rPr>
              <w:t>ă</w:t>
            </w:r>
            <w:r>
              <w:rPr>
                <w:rFonts w:ascii="Calibri Light" w:eastAsia="Times New Roman" w:hAnsi="Calibri Light" w:cs="Calibri Light"/>
                <w:i/>
                <w:sz w:val="20"/>
                <w:szCs w:val="20"/>
                <w:lang w:val="ro-RO"/>
              </w:rPr>
              <w:t xml:space="preserve">tite și nefolosite cu respectatea </w:t>
            </w:r>
            <w:r w:rsidR="00C60F44">
              <w:rPr>
                <w:rFonts w:ascii="Calibri Light" w:eastAsia="Times New Roman" w:hAnsi="Calibri Light" w:cs="Calibri Light"/>
                <w:i/>
                <w:sz w:val="20"/>
                <w:szCs w:val="20"/>
                <w:lang w:val="ro-RO"/>
              </w:rPr>
              <w:t xml:space="preserve">strictă a </w:t>
            </w:r>
            <w:r>
              <w:rPr>
                <w:rFonts w:ascii="Calibri Light" w:eastAsia="Times New Roman" w:hAnsi="Calibri Light" w:cs="Calibri Light"/>
                <w:i/>
                <w:sz w:val="20"/>
                <w:szCs w:val="20"/>
                <w:lang w:val="ro-RO"/>
              </w:rPr>
              <w:t xml:space="preserve">cerințelor </w:t>
            </w:r>
            <w:r w:rsidRPr="00EF4617">
              <w:rPr>
                <w:rFonts w:ascii="Calibri Light" w:eastAsia="Times New Roman" w:hAnsi="Calibri Light" w:cs="Calibri Light"/>
                <w:i/>
                <w:sz w:val="20"/>
                <w:szCs w:val="20"/>
                <w:lang w:val="ro-RO"/>
              </w:rPr>
              <w:t>C</w:t>
            </w:r>
            <w:r w:rsidR="00EA1B33" w:rsidRPr="00EF4617">
              <w:rPr>
                <w:rFonts w:ascii="Calibri Light" w:eastAsia="Times New Roman" w:hAnsi="Calibri Light" w:cs="Calibri Light"/>
                <w:i/>
                <w:sz w:val="20"/>
                <w:szCs w:val="20"/>
                <w:lang w:val="ro-RO"/>
              </w:rPr>
              <w:t>odului muncii al</w:t>
            </w:r>
            <w:r w:rsidRPr="00EF4617">
              <w:rPr>
                <w:rFonts w:ascii="Calibri Light" w:eastAsia="Times New Roman" w:hAnsi="Calibri Light" w:cs="Calibri Light"/>
                <w:i/>
                <w:sz w:val="20"/>
                <w:szCs w:val="20"/>
                <w:lang w:val="ro-RO"/>
              </w:rPr>
              <w:t xml:space="preserve"> R</w:t>
            </w:r>
            <w:r w:rsidR="00EA1B33" w:rsidRPr="00EF4617">
              <w:rPr>
                <w:rFonts w:ascii="Calibri Light" w:eastAsia="Times New Roman" w:hAnsi="Calibri Light" w:cs="Calibri Light"/>
                <w:i/>
                <w:sz w:val="20"/>
                <w:szCs w:val="20"/>
                <w:lang w:val="ro-RO"/>
              </w:rPr>
              <w:t xml:space="preserve">epublicii </w:t>
            </w:r>
            <w:r w:rsidRPr="00EF4617">
              <w:rPr>
                <w:rFonts w:ascii="Calibri Light" w:eastAsia="Times New Roman" w:hAnsi="Calibri Light" w:cs="Calibri Light"/>
                <w:i/>
                <w:sz w:val="20"/>
                <w:szCs w:val="20"/>
                <w:lang w:val="ro-RO"/>
              </w:rPr>
              <w:t>M</w:t>
            </w:r>
            <w:r w:rsidR="00EA1B33" w:rsidRPr="00EF4617">
              <w:rPr>
                <w:rFonts w:ascii="Calibri Light" w:eastAsia="Times New Roman" w:hAnsi="Calibri Light" w:cs="Calibri Light"/>
                <w:i/>
                <w:sz w:val="20"/>
                <w:szCs w:val="20"/>
                <w:lang w:val="ro-RO"/>
              </w:rPr>
              <w:t>oldova</w:t>
            </w:r>
            <w:r w:rsidRPr="00EF4617">
              <w:rPr>
                <w:rFonts w:ascii="Calibri Light" w:eastAsia="Times New Roman" w:hAnsi="Calibri Light" w:cs="Calibri Light"/>
                <w:i/>
                <w:sz w:val="20"/>
                <w:szCs w:val="20"/>
                <w:lang w:val="ro-RO"/>
              </w:rPr>
              <w:t>.</w:t>
            </w:r>
          </w:p>
          <w:p w14:paraId="4FFD97CD" w14:textId="6591A151"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În cazul acumulării concediilor nefolosite</w:t>
            </w:r>
            <w:r w:rsidR="00C60F44">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de ținut cont </w:t>
            </w:r>
            <w:r w:rsidR="00C60F44">
              <w:rPr>
                <w:rFonts w:ascii="Calibri Light" w:eastAsia="Times New Roman" w:hAnsi="Calibri Light" w:cs="Calibri Light"/>
                <w:i/>
                <w:sz w:val="20"/>
                <w:szCs w:val="20"/>
                <w:lang w:val="ro-RO"/>
              </w:rPr>
              <w:t xml:space="preserve">de acestea </w:t>
            </w:r>
            <w:r>
              <w:rPr>
                <w:rFonts w:ascii="Calibri Light" w:eastAsia="Times New Roman" w:hAnsi="Calibri Light" w:cs="Calibri Light"/>
                <w:i/>
                <w:sz w:val="20"/>
                <w:szCs w:val="20"/>
                <w:lang w:val="ro-RO"/>
              </w:rPr>
              <w:t>la elaborarea devizului de venituri și cheltueli, la aprobarea tarifului cost om/zi .</w:t>
            </w:r>
          </w:p>
        </w:tc>
        <w:tc>
          <w:tcPr>
            <w:tcW w:w="737" w:type="pct"/>
          </w:tcPr>
          <w:p w14:paraId="4EB58211" w14:textId="1A4C0FA7"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Responsabil</w:t>
            </w:r>
            <w:r w:rsidR="00C60F44">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DDA</w:t>
            </w:r>
          </w:p>
          <w:p w14:paraId="244BA3EA" w14:textId="3B4D0902"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Contabil</w:t>
            </w:r>
            <w:r w:rsidR="00C60F44">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șef</w:t>
            </w:r>
          </w:p>
        </w:tc>
        <w:tc>
          <w:tcPr>
            <w:tcW w:w="738" w:type="pct"/>
          </w:tcPr>
          <w:p w14:paraId="04DC0467"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Permanent</w:t>
            </w:r>
          </w:p>
          <w:p w14:paraId="07A1A655"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30.01.2023</w:t>
            </w:r>
          </w:p>
          <w:p w14:paraId="5F76C638" w14:textId="477DD7B7" w:rsidR="009421A6" w:rsidRPr="00BA7F5D" w:rsidRDefault="009421A6" w:rsidP="00217DF9">
            <w:pPr>
              <w:spacing w:line="276" w:lineRule="auto"/>
              <w:jc w:val="both"/>
              <w:rPr>
                <w:rFonts w:ascii="Calibri Light" w:eastAsia="Times New Roman" w:hAnsi="Calibri Light" w:cs="Calibri Light"/>
                <w:b/>
                <w:i/>
                <w:sz w:val="20"/>
                <w:szCs w:val="20"/>
                <w:lang w:val="ro-RO"/>
              </w:rPr>
            </w:pPr>
          </w:p>
        </w:tc>
      </w:tr>
      <w:tr w:rsidR="009421A6" w:rsidRPr="000B2A60" w14:paraId="5FC9FDE4" w14:textId="77777777" w:rsidTr="00217DF9">
        <w:trPr>
          <w:trHeight w:val="2220"/>
        </w:trPr>
        <w:tc>
          <w:tcPr>
            <w:tcW w:w="1704" w:type="pct"/>
          </w:tcPr>
          <w:p w14:paraId="7B83F0AA" w14:textId="26684932" w:rsidR="009421A6" w:rsidRPr="00913348" w:rsidRDefault="009421A6" w:rsidP="00217DF9">
            <w:pPr>
              <w:pStyle w:val="ListParagraph"/>
              <w:tabs>
                <w:tab w:val="left" w:pos="993"/>
                <w:tab w:val="left" w:pos="1276"/>
              </w:tabs>
              <w:spacing w:line="276" w:lineRule="auto"/>
              <w:ind w:left="0"/>
              <w:jc w:val="both"/>
              <w:rPr>
                <w:rFonts w:ascii="Calibri Light" w:eastAsia="Times New Roman" w:hAnsi="Calibri Light" w:cs="Calibri Light"/>
                <w:bCs/>
                <w:i/>
                <w:iCs/>
                <w:sz w:val="20"/>
                <w:szCs w:val="20"/>
                <w:lang w:val="ro-RO"/>
              </w:rPr>
            </w:pPr>
            <w:r w:rsidRPr="00913348">
              <w:rPr>
                <w:rFonts w:ascii="Calibri Light" w:eastAsia="Times New Roman" w:hAnsi="Calibri Light" w:cs="Calibri Light"/>
                <w:bCs/>
                <w:i/>
                <w:iCs/>
                <w:sz w:val="20"/>
                <w:szCs w:val="20"/>
                <w:lang w:val="ro-RO"/>
              </w:rPr>
              <w:t>Angajații unităților pot beneficia de sporuri la salariul de bază pentru competență profesională înaltă, intensitatea muncii, precum și pentru îndeplinirea unor sarcini de importanță majoră sau de urgență</w:t>
            </w:r>
            <w:r w:rsidRPr="00913348">
              <w:rPr>
                <w:rStyle w:val="FootnoteReference"/>
                <w:rFonts w:ascii="Calibri Light" w:eastAsia="Times New Roman" w:hAnsi="Calibri Light" w:cs="Calibri Light"/>
                <w:bCs/>
                <w:i/>
                <w:iCs/>
                <w:szCs w:val="20"/>
                <w:lang w:val="ro-RO"/>
              </w:rPr>
              <w:footnoteReference w:id="69"/>
            </w:r>
            <w:r w:rsidR="00734345" w:rsidRPr="00913348">
              <w:rPr>
                <w:rFonts w:ascii="Calibri Light" w:eastAsia="Times New Roman" w:hAnsi="Calibri Light" w:cs="Calibri Light"/>
                <w:bCs/>
                <w:i/>
                <w:iCs/>
                <w:sz w:val="20"/>
                <w:szCs w:val="20"/>
                <w:lang w:val="ro-RO"/>
              </w:rPr>
              <w:t>.</w:t>
            </w:r>
          </w:p>
          <w:p w14:paraId="20E35460" w14:textId="355DA31F" w:rsidR="009421A6" w:rsidRPr="00255E9C" w:rsidRDefault="009421A6" w:rsidP="00217DF9">
            <w:pPr>
              <w:pStyle w:val="ListParagraph"/>
              <w:tabs>
                <w:tab w:val="left" w:pos="993"/>
                <w:tab w:val="left" w:pos="1276"/>
              </w:tabs>
              <w:spacing w:line="276" w:lineRule="auto"/>
              <w:ind w:left="0"/>
              <w:jc w:val="both"/>
              <w:rPr>
                <w:rFonts w:ascii="Calibri Light" w:eastAsia="Times New Roman" w:hAnsi="Calibri Light" w:cs="Calibri Light"/>
                <w:bCs/>
                <w:i/>
                <w:iCs/>
                <w:sz w:val="20"/>
                <w:szCs w:val="20"/>
                <w:lang w:val="ro-RO"/>
              </w:rPr>
            </w:pPr>
            <w:r w:rsidRPr="00255E9C">
              <w:rPr>
                <w:rFonts w:ascii="Calibri Light" w:eastAsia="Times New Roman" w:hAnsi="Calibri Light" w:cs="Calibri Light"/>
                <w:bCs/>
                <w:i/>
                <w:iCs/>
                <w:sz w:val="20"/>
                <w:szCs w:val="20"/>
                <w:lang w:val="ro-RO"/>
              </w:rPr>
              <w:t>Astfel, din cauza lipsei unor reglementări interne clare și exhaustive cu privire la modul și criteriile de stabilire a sporurilor stimulatorii, precum și a mărimii sporului aplicat pentru fiecare criteriu în parte, nu este asigurată transparența utilizării de către MOLDAC a resurselor financiare în sumă de 1.354,9 mii lei</w:t>
            </w:r>
            <w:r w:rsidRPr="00255E9C">
              <w:rPr>
                <w:rFonts w:ascii="Calibri Light" w:eastAsia="Times New Roman" w:hAnsi="Calibri Light" w:cs="Calibri Light"/>
                <w:bCs/>
                <w:i/>
                <w:iCs/>
                <w:sz w:val="20"/>
                <w:szCs w:val="20"/>
                <w:vertAlign w:val="superscript"/>
                <w:lang w:val="ro-RO"/>
              </w:rPr>
              <w:footnoteReference w:id="70"/>
            </w:r>
            <w:r w:rsidRPr="00255E9C">
              <w:rPr>
                <w:rFonts w:ascii="Calibri Light" w:eastAsia="Times New Roman" w:hAnsi="Calibri Light" w:cs="Calibri Light"/>
                <w:bCs/>
                <w:i/>
                <w:iCs/>
                <w:sz w:val="20"/>
                <w:szCs w:val="20"/>
                <w:lang w:val="ro-RO"/>
              </w:rPr>
              <w:t>. Mai mult decât atât, entitatea  nu deține documente justificative care ar confirma volumul sau tipul lucrului efectuat suplimentar de către angajații care au beneficiat de anumite sporuri.</w:t>
            </w:r>
          </w:p>
          <w:p w14:paraId="4C28A91C" w14:textId="0194769F" w:rsidR="009421A6" w:rsidRPr="00913348" w:rsidRDefault="009421A6" w:rsidP="00217DF9">
            <w:pPr>
              <w:pStyle w:val="ListParagraph"/>
              <w:tabs>
                <w:tab w:val="left" w:pos="993"/>
                <w:tab w:val="left" w:pos="1276"/>
              </w:tabs>
              <w:spacing w:line="276" w:lineRule="auto"/>
              <w:ind w:left="0"/>
              <w:jc w:val="both"/>
              <w:rPr>
                <w:rFonts w:ascii="Calibri Light" w:eastAsia="Times New Roman" w:hAnsi="Calibri Light" w:cs="Calibri Light"/>
                <w:bCs/>
                <w:i/>
                <w:iCs/>
                <w:sz w:val="20"/>
                <w:szCs w:val="20"/>
                <w:lang w:val="ro-RO"/>
              </w:rPr>
            </w:pPr>
            <w:r w:rsidRPr="00913348">
              <w:rPr>
                <w:rFonts w:ascii="Calibri Light" w:eastAsia="Times New Roman" w:hAnsi="Calibri Light" w:cs="Calibri Light"/>
                <w:bCs/>
                <w:i/>
                <w:iCs/>
                <w:sz w:val="20"/>
                <w:szCs w:val="20"/>
                <w:lang w:val="ro-RO"/>
              </w:rPr>
              <w:t>Totodată, potrivit cadrului</w:t>
            </w:r>
            <w:r w:rsidRPr="00255E9C">
              <w:rPr>
                <w:rFonts w:asciiTheme="majorHAnsi" w:hAnsiTheme="majorHAnsi" w:cstheme="majorHAnsi"/>
                <w:i/>
                <w:sz w:val="24"/>
                <w:szCs w:val="24"/>
                <w:lang w:val="ro-MD"/>
              </w:rPr>
              <w:t xml:space="preserve"> </w:t>
            </w:r>
            <w:r w:rsidRPr="00913348">
              <w:rPr>
                <w:rFonts w:ascii="Calibri Light" w:eastAsia="Times New Roman" w:hAnsi="Calibri Light" w:cs="Calibri Light"/>
                <w:bCs/>
                <w:i/>
                <w:iCs/>
                <w:sz w:val="20"/>
                <w:szCs w:val="20"/>
                <w:lang w:val="ro-RO"/>
              </w:rPr>
              <w:t>normativ în vigoare, persoanelor cu funcții de conducere nu Ii se permite cumularea a două funcții de conducere</w:t>
            </w:r>
            <w:r w:rsidRPr="00913348">
              <w:rPr>
                <w:rFonts w:ascii="Calibri Light" w:eastAsia="Times New Roman" w:hAnsi="Calibri Light" w:cs="Calibri Light"/>
                <w:bCs/>
                <w:i/>
                <w:iCs/>
                <w:sz w:val="20"/>
                <w:szCs w:val="20"/>
                <w:vertAlign w:val="superscript"/>
                <w:lang w:val="ro-RO"/>
              </w:rPr>
              <w:footnoteReference w:id="71"/>
            </w:r>
            <w:r w:rsidRPr="00913348">
              <w:rPr>
                <w:rFonts w:ascii="Calibri Light" w:eastAsia="Times New Roman" w:hAnsi="Calibri Light" w:cs="Calibri Light"/>
                <w:bCs/>
                <w:i/>
                <w:iCs/>
                <w:sz w:val="20"/>
                <w:szCs w:val="20"/>
                <w:lang w:val="ro-RO"/>
              </w:rPr>
              <w:t>. Probele colectate de audit relevă că</w:t>
            </w:r>
            <w:r w:rsidR="00734345">
              <w:rPr>
                <w:rFonts w:ascii="Calibri Light" w:eastAsia="Times New Roman" w:hAnsi="Calibri Light" w:cs="Calibri Light"/>
                <w:bCs/>
                <w:i/>
                <w:iCs/>
                <w:sz w:val="20"/>
                <w:szCs w:val="20"/>
                <w:lang w:val="ro-RO"/>
              </w:rPr>
              <w:t>,</w:t>
            </w:r>
            <w:r w:rsidRPr="00913348">
              <w:rPr>
                <w:rFonts w:ascii="Calibri Light" w:eastAsia="Times New Roman" w:hAnsi="Calibri Light" w:cs="Calibri Light"/>
                <w:bCs/>
                <w:i/>
                <w:iCs/>
                <w:sz w:val="20"/>
                <w:szCs w:val="20"/>
                <w:lang w:val="ro-RO"/>
              </w:rPr>
              <w:t xml:space="preserve"> în unele cazuri, persoanele responsabile nu au perfectat conform documentele privind relațiile juridice de muncă și a fost achitat spor pentru cumularea de profesii</w:t>
            </w:r>
            <w:r w:rsidRPr="00913348">
              <w:rPr>
                <w:rFonts w:ascii="Calibri Light" w:eastAsia="Times New Roman" w:hAnsi="Calibri Light" w:cs="Calibri Light"/>
                <w:bCs/>
                <w:i/>
                <w:iCs/>
                <w:sz w:val="20"/>
                <w:szCs w:val="20"/>
                <w:vertAlign w:val="superscript"/>
                <w:lang w:val="ro-RO"/>
              </w:rPr>
              <w:footnoteReference w:id="72"/>
            </w:r>
            <w:r w:rsidRPr="00913348">
              <w:rPr>
                <w:rFonts w:ascii="Calibri Light" w:eastAsia="Times New Roman" w:hAnsi="Calibri Light" w:cs="Calibri Light"/>
                <w:bCs/>
                <w:i/>
                <w:iCs/>
                <w:sz w:val="20"/>
                <w:szCs w:val="20"/>
                <w:lang w:val="ro-RO"/>
              </w:rPr>
              <w:t>, ceea ce a cauzat, în perioada auditată, suportarea cheltuielilor neconforme de către MOLDAC, în anul 2021, în cuantum de 63,92 mii lei.</w:t>
            </w:r>
          </w:p>
        </w:tc>
        <w:tc>
          <w:tcPr>
            <w:tcW w:w="978" w:type="pct"/>
          </w:tcPr>
          <w:p w14:paraId="62FFABFF" w14:textId="18B86665" w:rsidR="009421A6" w:rsidRPr="004E2AFF" w:rsidRDefault="009421A6" w:rsidP="00217DF9">
            <w:pPr>
              <w:spacing w:line="276" w:lineRule="auto"/>
              <w:ind w:firstLine="709"/>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S</w:t>
            </w:r>
            <w:r w:rsidRPr="004E2AFF">
              <w:rPr>
                <w:rFonts w:ascii="Calibri Light" w:eastAsia="Times New Roman" w:hAnsi="Calibri Light" w:cs="Calibri Light"/>
                <w:bCs/>
                <w:i/>
                <w:iCs/>
                <w:sz w:val="20"/>
                <w:szCs w:val="20"/>
                <w:lang w:val="ro-RO"/>
              </w:rPr>
              <w:t>ă asigure adoptarea cadrului regulator intern  aferent sistemului de salarizare (modalitatea și criteriile de stabilire a suplimentelor lunare stimulatorii, a sporului pentru cumulare de funcți</w:t>
            </w:r>
            <w:r w:rsidR="00734345">
              <w:rPr>
                <w:rFonts w:ascii="Calibri Light" w:eastAsia="Times New Roman" w:hAnsi="Calibri Light" w:cs="Calibri Light"/>
                <w:bCs/>
                <w:i/>
                <w:iCs/>
                <w:sz w:val="20"/>
                <w:szCs w:val="20"/>
                <w:lang w:val="ro-RO"/>
              </w:rPr>
              <w:t>i</w:t>
            </w:r>
            <w:r w:rsidRPr="004E2AFF">
              <w:rPr>
                <w:rFonts w:ascii="Calibri Light" w:eastAsia="Times New Roman" w:hAnsi="Calibri Light" w:cs="Calibri Light"/>
                <w:bCs/>
                <w:i/>
                <w:iCs/>
                <w:sz w:val="20"/>
                <w:szCs w:val="20"/>
                <w:lang w:val="ro-RO"/>
              </w:rPr>
              <w:t>, ajutoarelor materiale și premii</w:t>
            </w:r>
            <w:r w:rsidR="00734345">
              <w:rPr>
                <w:rFonts w:ascii="Calibri Light" w:eastAsia="Times New Roman" w:hAnsi="Calibri Light" w:cs="Calibri Light"/>
                <w:bCs/>
                <w:i/>
                <w:iCs/>
                <w:sz w:val="20"/>
                <w:szCs w:val="20"/>
                <w:lang w:val="ro-RO"/>
              </w:rPr>
              <w:t>lor</w:t>
            </w:r>
            <w:r w:rsidRPr="004E2AFF">
              <w:rPr>
                <w:rFonts w:ascii="Calibri Light" w:eastAsia="Times New Roman" w:hAnsi="Calibri Light" w:cs="Calibri Light"/>
                <w:bCs/>
                <w:i/>
                <w:iCs/>
                <w:sz w:val="20"/>
                <w:szCs w:val="20"/>
                <w:lang w:val="ro-RO"/>
              </w:rPr>
              <w:t xml:space="preserve"> unice, etc</w:t>
            </w:r>
            <w:r w:rsidR="00734345">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 (pct. 4.3.2.)</w:t>
            </w:r>
            <w:r w:rsidR="00734345">
              <w:rPr>
                <w:rFonts w:ascii="Calibri Light" w:eastAsia="Times New Roman" w:hAnsi="Calibri Light" w:cs="Calibri Light"/>
                <w:bCs/>
                <w:i/>
                <w:iCs/>
                <w:sz w:val="20"/>
                <w:szCs w:val="20"/>
                <w:lang w:val="ro-RO"/>
              </w:rPr>
              <w:t>.</w:t>
            </w:r>
          </w:p>
        </w:tc>
        <w:tc>
          <w:tcPr>
            <w:tcW w:w="843" w:type="pct"/>
          </w:tcPr>
          <w:p w14:paraId="259A43DE" w14:textId="74EB690D"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De ajustat Regulamentul privind salarizarea și motivarea salariaților MOLDAC</w:t>
            </w:r>
            <w:r w:rsidR="00734345">
              <w:rPr>
                <w:rFonts w:ascii="Calibri Light" w:eastAsia="Times New Roman" w:hAnsi="Calibri Light" w:cs="Calibri Light"/>
                <w:i/>
                <w:sz w:val="20"/>
                <w:szCs w:val="20"/>
                <w:lang w:val="ro-RO"/>
              </w:rPr>
              <w:t>.</w:t>
            </w:r>
          </w:p>
        </w:tc>
        <w:tc>
          <w:tcPr>
            <w:tcW w:w="737" w:type="pct"/>
          </w:tcPr>
          <w:p w14:paraId="2A2A6EE5" w14:textId="753CF865"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Vice</w:t>
            </w:r>
            <w:r w:rsidR="00734345">
              <w:rPr>
                <w:rFonts w:ascii="Calibri Light" w:eastAsia="Times New Roman" w:hAnsi="Calibri Light" w:cs="Calibri Light"/>
                <w:i/>
                <w:sz w:val="20"/>
                <w:szCs w:val="20"/>
                <w:lang w:val="ro-RO"/>
              </w:rPr>
              <w:t>d</w:t>
            </w:r>
            <w:r>
              <w:rPr>
                <w:rFonts w:ascii="Calibri Light" w:eastAsia="Times New Roman" w:hAnsi="Calibri Light" w:cs="Calibri Light"/>
                <w:i/>
                <w:sz w:val="20"/>
                <w:szCs w:val="20"/>
                <w:lang w:val="ro-RO"/>
              </w:rPr>
              <w:t>irector</w:t>
            </w:r>
            <w:r w:rsidR="00734345">
              <w:rPr>
                <w:rFonts w:ascii="Calibri Light" w:eastAsia="Times New Roman" w:hAnsi="Calibri Light" w:cs="Calibri Light"/>
                <w:i/>
                <w:sz w:val="20"/>
                <w:szCs w:val="20"/>
                <w:lang w:val="ro-RO"/>
              </w:rPr>
              <w:t>ul</w:t>
            </w:r>
          </w:p>
          <w:p w14:paraId="38ED1977" w14:textId="3F123460" w:rsidR="009421A6" w:rsidRPr="00EF4617"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 xml:space="preserve">Șef </w:t>
            </w:r>
            <w:r w:rsidR="00734345" w:rsidRPr="00EF4617">
              <w:rPr>
                <w:rFonts w:ascii="Calibri Light" w:eastAsia="Times New Roman" w:hAnsi="Calibri Light" w:cs="Calibri Light"/>
                <w:i/>
                <w:sz w:val="20"/>
                <w:szCs w:val="20"/>
                <w:lang w:val="ro-RO"/>
              </w:rPr>
              <w:t>D</w:t>
            </w:r>
            <w:r w:rsidRPr="00EF4617">
              <w:rPr>
                <w:rFonts w:ascii="Calibri Light" w:eastAsia="Times New Roman" w:hAnsi="Calibri Light" w:cs="Calibri Light"/>
                <w:i/>
                <w:sz w:val="20"/>
                <w:szCs w:val="20"/>
                <w:lang w:val="ro-RO"/>
              </w:rPr>
              <w:t>irecția DDA,</w:t>
            </w:r>
          </w:p>
          <w:p w14:paraId="7AF6AEA3" w14:textId="3870201E" w:rsidR="009421A6" w:rsidRDefault="009421A6" w:rsidP="00217DF9">
            <w:pPr>
              <w:spacing w:line="276" w:lineRule="auto"/>
              <w:jc w:val="both"/>
              <w:rPr>
                <w:rFonts w:ascii="Calibri Light" w:eastAsia="Times New Roman" w:hAnsi="Calibri Light" w:cs="Calibri Light"/>
                <w:i/>
                <w:sz w:val="20"/>
                <w:szCs w:val="20"/>
                <w:lang w:val="ro-RO"/>
              </w:rPr>
            </w:pPr>
            <w:r w:rsidRPr="00EF4617">
              <w:rPr>
                <w:rFonts w:ascii="Calibri Light" w:eastAsia="Times New Roman" w:hAnsi="Calibri Light" w:cs="Calibri Light"/>
                <w:i/>
                <w:sz w:val="20"/>
                <w:szCs w:val="20"/>
                <w:lang w:val="ro-RO"/>
              </w:rPr>
              <w:t xml:space="preserve">Șef </w:t>
            </w:r>
            <w:r w:rsidR="00734345" w:rsidRPr="00EF4617">
              <w:rPr>
                <w:rFonts w:ascii="Calibri Light" w:eastAsia="Times New Roman" w:hAnsi="Calibri Light" w:cs="Calibri Light"/>
                <w:i/>
                <w:sz w:val="20"/>
                <w:szCs w:val="20"/>
                <w:lang w:val="ro-RO"/>
              </w:rPr>
              <w:t>D</w:t>
            </w:r>
            <w:r w:rsidRPr="00EF4617">
              <w:rPr>
                <w:rFonts w:ascii="Calibri Light" w:eastAsia="Times New Roman" w:hAnsi="Calibri Light" w:cs="Calibri Light"/>
                <w:i/>
                <w:sz w:val="20"/>
                <w:szCs w:val="20"/>
                <w:lang w:val="ro-RO"/>
              </w:rPr>
              <w:t>irecția RSM</w:t>
            </w:r>
          </w:p>
          <w:p w14:paraId="64969D32" w14:textId="12049364" w:rsidR="009421A6"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Contabil</w:t>
            </w:r>
            <w:r w:rsidR="00734345">
              <w:rPr>
                <w:rFonts w:ascii="Calibri Light" w:eastAsia="Times New Roman" w:hAnsi="Calibri Light" w:cs="Calibri Light"/>
                <w:i/>
                <w:sz w:val="20"/>
                <w:szCs w:val="20"/>
                <w:lang w:val="ro-RO"/>
              </w:rPr>
              <w:t>ul-</w:t>
            </w:r>
            <w:r>
              <w:rPr>
                <w:rFonts w:ascii="Calibri Light" w:eastAsia="Times New Roman" w:hAnsi="Calibri Light" w:cs="Calibri Light"/>
                <w:i/>
                <w:sz w:val="20"/>
                <w:szCs w:val="20"/>
                <w:lang w:val="ro-RO"/>
              </w:rPr>
              <w:t xml:space="preserve"> șef</w:t>
            </w:r>
          </w:p>
          <w:p w14:paraId="01197C48" w14:textId="77777777" w:rsidR="009421A6" w:rsidRPr="004E2AFF" w:rsidRDefault="009421A6" w:rsidP="00217DF9">
            <w:pPr>
              <w:spacing w:line="276" w:lineRule="auto"/>
              <w:jc w:val="both"/>
              <w:rPr>
                <w:rFonts w:ascii="Calibri Light" w:eastAsia="Times New Roman" w:hAnsi="Calibri Light" w:cs="Calibri Light"/>
                <w:i/>
                <w:sz w:val="20"/>
                <w:szCs w:val="20"/>
                <w:lang w:val="ro-RO"/>
              </w:rPr>
            </w:pPr>
          </w:p>
        </w:tc>
        <w:tc>
          <w:tcPr>
            <w:tcW w:w="738" w:type="pct"/>
          </w:tcPr>
          <w:p w14:paraId="203D03DD" w14:textId="19DEC774" w:rsidR="009421A6" w:rsidRPr="00BA7F5D" w:rsidRDefault="00136C4E"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30.04.2023</w:t>
            </w:r>
          </w:p>
        </w:tc>
      </w:tr>
      <w:tr w:rsidR="009421A6" w:rsidRPr="000B2A60" w14:paraId="7249BB54" w14:textId="77777777" w:rsidTr="00217DF9">
        <w:trPr>
          <w:trHeight w:val="2220"/>
        </w:trPr>
        <w:tc>
          <w:tcPr>
            <w:tcW w:w="1704" w:type="pct"/>
          </w:tcPr>
          <w:p w14:paraId="631DEE0A" w14:textId="775B086E" w:rsidR="009421A6" w:rsidRPr="004E2AFF" w:rsidRDefault="009421A6" w:rsidP="00217DF9">
            <w:pPr>
              <w:pStyle w:val="ListParagraph"/>
              <w:tabs>
                <w:tab w:val="left" w:pos="270"/>
              </w:tabs>
              <w:spacing w:line="276" w:lineRule="auto"/>
              <w:ind w:left="0" w:firstLine="720"/>
              <w:jc w:val="both"/>
              <w:rPr>
                <w:rFonts w:asciiTheme="majorHAnsi" w:hAnsiTheme="majorHAnsi" w:cstheme="majorHAnsi"/>
                <w:i/>
                <w:sz w:val="20"/>
                <w:szCs w:val="20"/>
                <w:shd w:val="clear" w:color="auto" w:fill="FFFFFF"/>
                <w:lang w:val="ro-MD"/>
              </w:rPr>
            </w:pPr>
            <w:r w:rsidRPr="004E2AFF">
              <w:rPr>
                <w:rFonts w:asciiTheme="majorHAnsi" w:hAnsiTheme="majorHAnsi" w:cstheme="majorHAnsi"/>
                <w:i/>
                <w:color w:val="000000"/>
                <w:sz w:val="20"/>
                <w:szCs w:val="20"/>
                <w:lang w:val="ro-MD"/>
              </w:rPr>
              <w:t>MOLDAC</w:t>
            </w:r>
            <w:r w:rsidRPr="004E2AFF">
              <w:rPr>
                <w:rFonts w:asciiTheme="majorHAnsi" w:eastAsia="Times New Roman" w:hAnsiTheme="majorHAnsi" w:cstheme="majorHAnsi"/>
                <w:i/>
                <w:sz w:val="20"/>
                <w:szCs w:val="20"/>
              </w:rPr>
              <w:t xml:space="preserve"> </w:t>
            </w:r>
            <w:r w:rsidRPr="00FD408C">
              <w:rPr>
                <w:rFonts w:asciiTheme="majorHAnsi" w:eastAsia="Times New Roman" w:hAnsiTheme="majorHAnsi" w:cstheme="majorHAnsi"/>
                <w:i/>
                <w:sz w:val="20"/>
                <w:szCs w:val="20"/>
                <w:lang w:val="ro-MD"/>
              </w:rPr>
              <w:t>a încheiat suplimentar cu angajații din cadrul instituției</w:t>
            </w:r>
            <w:r>
              <w:rPr>
                <w:rFonts w:asciiTheme="majorHAnsi" w:eastAsia="Times New Roman" w:hAnsiTheme="majorHAnsi" w:cstheme="majorHAnsi"/>
                <w:i/>
                <w:sz w:val="20"/>
                <w:szCs w:val="20"/>
                <w:lang w:val="ro-MD"/>
              </w:rPr>
              <w:t>,</w:t>
            </w:r>
            <w:r w:rsidRPr="00FD408C">
              <w:rPr>
                <w:rFonts w:asciiTheme="majorHAnsi" w:eastAsia="Times New Roman" w:hAnsiTheme="majorHAnsi" w:cstheme="majorHAnsi"/>
                <w:i/>
                <w:sz w:val="20"/>
                <w:szCs w:val="20"/>
                <w:lang w:val="ro-MD"/>
              </w:rPr>
              <w:t xml:space="preserve"> în anul</w:t>
            </w:r>
            <w:r w:rsidRPr="004E2AFF">
              <w:rPr>
                <w:rFonts w:asciiTheme="majorHAnsi" w:eastAsia="Times New Roman" w:hAnsiTheme="majorHAnsi" w:cstheme="majorHAnsi"/>
                <w:i/>
                <w:sz w:val="20"/>
                <w:szCs w:val="20"/>
              </w:rPr>
              <w:t xml:space="preserve"> 2020, 16 </w:t>
            </w:r>
            <w:r w:rsidRPr="004E2AFF">
              <w:rPr>
                <w:rFonts w:asciiTheme="majorHAnsi" w:hAnsiTheme="majorHAnsi" w:cstheme="majorHAnsi"/>
                <w:i/>
                <w:sz w:val="20"/>
                <w:szCs w:val="20"/>
                <w:lang w:val="ro-RO"/>
              </w:rPr>
              <w:t xml:space="preserve">contracte de prestări servicii în valoare totală de 285,5 mii lei, iar în anul 2021, 14 contracte de prestări servicii în valoare totală de 232.5,0 mii lei, al căror obiect constituie participarea în grupuri de lucru pentru prestarea următoarelor servicii: I) elaborarea și modificarea documentelor (normative și informative privind activitatea de acreditare și de evaluare a conformității) ale sistemului de management al calității MOLDAC (reguli, proceduri și documente de referință); II) traducerea documentelor EA, ILAC, IAF din limba engleză în </w:t>
            </w:r>
            <w:r w:rsidR="00913348">
              <w:rPr>
                <w:rFonts w:asciiTheme="majorHAnsi" w:hAnsiTheme="majorHAnsi" w:cstheme="majorHAnsi"/>
                <w:i/>
                <w:sz w:val="20"/>
                <w:szCs w:val="20"/>
                <w:lang w:val="ro-RO"/>
              </w:rPr>
              <w:t xml:space="preserve">limba </w:t>
            </w:r>
            <w:r w:rsidRPr="004E2AFF">
              <w:rPr>
                <w:rFonts w:asciiTheme="majorHAnsi" w:hAnsiTheme="majorHAnsi" w:cstheme="majorHAnsi"/>
                <w:i/>
                <w:sz w:val="20"/>
                <w:szCs w:val="20"/>
                <w:lang w:val="ro-RO"/>
              </w:rPr>
              <w:t>rom</w:t>
            </w:r>
            <w:r w:rsidR="00913348">
              <w:rPr>
                <w:rFonts w:asciiTheme="majorHAnsi" w:hAnsiTheme="majorHAnsi" w:cstheme="majorHAnsi"/>
                <w:i/>
                <w:sz w:val="20"/>
                <w:szCs w:val="20"/>
                <w:lang w:val="ro-RO"/>
              </w:rPr>
              <w:t>â</w:t>
            </w:r>
            <w:r w:rsidRPr="004E2AFF">
              <w:rPr>
                <w:rFonts w:asciiTheme="majorHAnsi" w:hAnsiTheme="majorHAnsi" w:cstheme="majorHAnsi"/>
                <w:i/>
                <w:sz w:val="20"/>
                <w:szCs w:val="20"/>
                <w:lang w:val="ro-RO"/>
              </w:rPr>
              <w:t>nă; III) traducerea documentelor MOLDAC în limba engleză din</w:t>
            </w:r>
            <w:r w:rsidR="00913348">
              <w:rPr>
                <w:rFonts w:asciiTheme="majorHAnsi" w:hAnsiTheme="majorHAnsi" w:cstheme="majorHAnsi"/>
                <w:i/>
                <w:sz w:val="20"/>
                <w:szCs w:val="20"/>
                <w:lang w:val="ro-RO"/>
              </w:rPr>
              <w:t xml:space="preserve"> limba</w:t>
            </w:r>
            <w:r w:rsidRPr="004E2AFF">
              <w:rPr>
                <w:rFonts w:asciiTheme="majorHAnsi" w:hAnsiTheme="majorHAnsi" w:cstheme="majorHAnsi"/>
                <w:i/>
                <w:sz w:val="20"/>
                <w:szCs w:val="20"/>
                <w:lang w:val="ro-RO"/>
              </w:rPr>
              <w:t xml:space="preserve"> română; IV) traducerea documentelor MOLDAC în limba rusă din</w:t>
            </w:r>
            <w:r w:rsidR="00913348">
              <w:rPr>
                <w:rFonts w:asciiTheme="majorHAnsi" w:hAnsiTheme="majorHAnsi" w:cstheme="majorHAnsi"/>
                <w:i/>
                <w:sz w:val="20"/>
                <w:szCs w:val="20"/>
                <w:lang w:val="ro-RO"/>
              </w:rPr>
              <w:t xml:space="preserve"> limba</w:t>
            </w:r>
            <w:r w:rsidRPr="004E2AFF">
              <w:rPr>
                <w:rFonts w:asciiTheme="majorHAnsi" w:hAnsiTheme="majorHAnsi" w:cstheme="majorHAnsi"/>
                <w:i/>
                <w:sz w:val="20"/>
                <w:szCs w:val="20"/>
                <w:lang w:val="ro-RO"/>
              </w:rPr>
              <w:t xml:space="preserve"> română, în condițiile în care în cadrul MOLDAC există subdiviziuni structurale, cu atribuții specifice specialităților contractate suplimentar.</w:t>
            </w:r>
          </w:p>
          <w:p w14:paraId="0E41EA26" w14:textId="65608B3E" w:rsidR="009421A6" w:rsidRPr="00194F2B" w:rsidRDefault="009421A6" w:rsidP="00217DF9">
            <w:pPr>
              <w:pStyle w:val="ListParagraph"/>
              <w:tabs>
                <w:tab w:val="left" w:pos="270"/>
              </w:tabs>
              <w:spacing w:line="276" w:lineRule="auto"/>
              <w:ind w:left="0" w:firstLine="720"/>
              <w:jc w:val="both"/>
              <w:rPr>
                <w:rFonts w:asciiTheme="majorHAnsi" w:hAnsiTheme="majorHAnsi" w:cstheme="majorHAnsi"/>
                <w:i/>
                <w:sz w:val="20"/>
                <w:szCs w:val="20"/>
                <w:lang w:val="ro-MD"/>
              </w:rPr>
            </w:pPr>
            <w:r w:rsidRPr="004E2AFF">
              <w:rPr>
                <w:rFonts w:asciiTheme="majorHAnsi" w:hAnsiTheme="majorHAnsi" w:cstheme="majorHAnsi"/>
                <w:i/>
                <w:color w:val="000000"/>
                <w:sz w:val="20"/>
                <w:szCs w:val="20"/>
                <w:lang w:val="ro-MD"/>
              </w:rPr>
              <w:t>Activitățile</w:t>
            </w:r>
            <w:r w:rsidRPr="004E2AFF">
              <w:rPr>
                <w:rFonts w:asciiTheme="majorHAnsi" w:hAnsiTheme="majorHAnsi" w:cstheme="majorHAnsi"/>
                <w:i/>
                <w:sz w:val="20"/>
                <w:szCs w:val="20"/>
                <w:shd w:val="clear" w:color="auto" w:fill="FFFFFF"/>
                <w:lang w:val="ro-MD"/>
              </w:rPr>
              <w:t xml:space="preserve"> de audit desfășurate </w:t>
            </w:r>
            <w:r w:rsidRPr="004E2AFF">
              <w:rPr>
                <w:rFonts w:asciiTheme="majorHAnsi" w:hAnsiTheme="majorHAnsi" w:cstheme="majorHAnsi"/>
                <w:i/>
                <w:sz w:val="20"/>
                <w:szCs w:val="20"/>
                <w:lang w:val="ro-RO"/>
              </w:rPr>
              <w:t xml:space="preserve"> denotă că, contrar </w:t>
            </w:r>
            <w:r w:rsidRPr="004E2AFF">
              <w:rPr>
                <w:rFonts w:asciiTheme="majorHAnsi" w:hAnsiTheme="majorHAnsi" w:cstheme="majorHAnsi"/>
                <w:i/>
                <w:sz w:val="20"/>
                <w:szCs w:val="20"/>
                <w:lang w:val="ro-MD"/>
              </w:rPr>
              <w:t>prevederilor legale</w:t>
            </w:r>
            <w:r w:rsidRPr="004E2AFF">
              <w:rPr>
                <w:rStyle w:val="FootnoteReference"/>
                <w:rFonts w:asciiTheme="majorHAnsi" w:hAnsiTheme="majorHAnsi" w:cstheme="majorHAnsi"/>
                <w:i/>
                <w:szCs w:val="20"/>
                <w:lang w:val="ro-MD"/>
              </w:rPr>
              <w:footnoteReference w:id="73"/>
            </w:r>
            <w:r w:rsidR="00913348">
              <w:rPr>
                <w:rFonts w:asciiTheme="majorHAnsi" w:hAnsiTheme="majorHAnsi" w:cstheme="majorHAnsi"/>
                <w:i/>
                <w:sz w:val="20"/>
                <w:szCs w:val="20"/>
                <w:lang w:val="ro-MD"/>
              </w:rPr>
              <w:t>,</w:t>
            </w:r>
            <w:r w:rsidRPr="004E2AFF">
              <w:rPr>
                <w:rFonts w:asciiTheme="majorHAnsi" w:hAnsiTheme="majorHAnsi" w:cstheme="majorHAnsi"/>
                <w:i/>
                <w:sz w:val="20"/>
                <w:szCs w:val="20"/>
                <w:lang w:val="ro-MD"/>
              </w:rPr>
              <w:t xml:space="preserve"> plata pentru serviciile prestate a fost achitată în avans. Totodată</w:t>
            </w:r>
            <w:r w:rsidR="00913348">
              <w:rPr>
                <w:rFonts w:asciiTheme="majorHAnsi" w:hAnsiTheme="majorHAnsi" w:cstheme="majorHAnsi"/>
                <w:i/>
                <w:sz w:val="20"/>
                <w:szCs w:val="20"/>
                <w:lang w:val="ro-MD"/>
              </w:rPr>
              <w:t>,</w:t>
            </w:r>
            <w:r w:rsidRPr="004E2AFF">
              <w:rPr>
                <w:rFonts w:asciiTheme="majorHAnsi" w:hAnsiTheme="majorHAnsi" w:cstheme="majorHAnsi"/>
                <w:i/>
                <w:sz w:val="20"/>
                <w:szCs w:val="20"/>
                <w:lang w:val="ro-MD"/>
              </w:rPr>
              <w:t xml:space="preserve"> legislația prevede cunoștințe speciale în domeniu</w:t>
            </w:r>
            <w:r w:rsidRPr="004E2AFF">
              <w:rPr>
                <w:rStyle w:val="FootnoteReference"/>
                <w:rFonts w:asciiTheme="majorHAnsi" w:hAnsiTheme="majorHAnsi" w:cstheme="majorHAnsi"/>
                <w:i/>
                <w:szCs w:val="20"/>
                <w:lang w:val="ro-MD"/>
              </w:rPr>
              <w:footnoteReference w:id="74"/>
            </w:r>
            <w:r w:rsidR="00913348">
              <w:rPr>
                <w:rFonts w:asciiTheme="majorHAnsi" w:hAnsiTheme="majorHAnsi" w:cstheme="majorHAnsi"/>
                <w:i/>
                <w:sz w:val="20"/>
                <w:szCs w:val="20"/>
                <w:lang w:val="ro-MD"/>
              </w:rPr>
              <w:t>,</w:t>
            </w:r>
            <w:r w:rsidRPr="004E2AFF">
              <w:rPr>
                <w:rFonts w:asciiTheme="majorHAnsi" w:hAnsiTheme="majorHAnsi" w:cstheme="majorHAnsi"/>
                <w:i/>
                <w:sz w:val="20"/>
                <w:szCs w:val="20"/>
                <w:lang w:val="ro-MD"/>
              </w:rPr>
              <w:t xml:space="preserve"> normă de care nu s-a ținut cont la încheierea contractelor de prestări servicii aferent</w:t>
            </w:r>
            <w:r w:rsidR="00913348">
              <w:rPr>
                <w:rFonts w:asciiTheme="majorHAnsi" w:hAnsiTheme="majorHAnsi" w:cstheme="majorHAnsi"/>
                <w:i/>
                <w:sz w:val="20"/>
                <w:szCs w:val="20"/>
                <w:lang w:val="ro-MD"/>
              </w:rPr>
              <w:t>e</w:t>
            </w:r>
            <w:r w:rsidRPr="004E2AFF">
              <w:rPr>
                <w:rFonts w:asciiTheme="majorHAnsi" w:hAnsiTheme="majorHAnsi" w:cstheme="majorHAnsi"/>
                <w:i/>
                <w:sz w:val="20"/>
                <w:szCs w:val="20"/>
                <w:lang w:val="ro-MD"/>
              </w:rPr>
              <w:t xml:space="preserve"> traducerii documentelor MOLDAC pentru perioada anilor 2020-2021 (angajații care au prestat serviciile în cauză au fin</w:t>
            </w:r>
            <w:r w:rsidR="00913348">
              <w:rPr>
                <w:rFonts w:asciiTheme="majorHAnsi" w:hAnsiTheme="majorHAnsi" w:cstheme="majorHAnsi"/>
                <w:i/>
                <w:sz w:val="20"/>
                <w:szCs w:val="20"/>
                <w:lang w:val="ro-MD"/>
              </w:rPr>
              <w:t>aliz</w:t>
            </w:r>
            <w:r w:rsidRPr="004E2AFF">
              <w:rPr>
                <w:rFonts w:asciiTheme="majorHAnsi" w:hAnsiTheme="majorHAnsi" w:cstheme="majorHAnsi"/>
                <w:i/>
                <w:sz w:val="20"/>
                <w:szCs w:val="20"/>
                <w:lang w:val="ro-MD"/>
              </w:rPr>
              <w:t xml:space="preserve">at cursurile și </w:t>
            </w:r>
            <w:r w:rsidR="00913348">
              <w:rPr>
                <w:rFonts w:asciiTheme="majorHAnsi" w:hAnsiTheme="majorHAnsi" w:cstheme="majorHAnsi"/>
                <w:i/>
                <w:sz w:val="20"/>
                <w:szCs w:val="20"/>
                <w:lang w:val="ro-MD"/>
              </w:rPr>
              <w:t>au ob</w:t>
            </w:r>
            <w:r w:rsidRPr="004E2AFF">
              <w:rPr>
                <w:rFonts w:asciiTheme="majorHAnsi" w:hAnsiTheme="majorHAnsi" w:cstheme="majorHAnsi"/>
                <w:i/>
                <w:sz w:val="20"/>
                <w:szCs w:val="20"/>
                <w:lang w:val="ro-MD"/>
              </w:rPr>
              <w:t xml:space="preserve">ținut certificatul de cunoaștere a limbii engleze în lunile martie-mai anul 2021). </w:t>
            </w:r>
          </w:p>
        </w:tc>
        <w:tc>
          <w:tcPr>
            <w:tcW w:w="978" w:type="pct"/>
          </w:tcPr>
          <w:p w14:paraId="11C07898" w14:textId="2E4E3B90" w:rsidR="009421A6" w:rsidRPr="004E2AFF" w:rsidRDefault="009421A6" w:rsidP="00217DF9">
            <w:pPr>
              <w:tabs>
                <w:tab w:val="left" w:pos="1170"/>
              </w:tabs>
              <w:spacing w:line="276" w:lineRule="auto"/>
              <w:ind w:firstLine="746"/>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S</w:t>
            </w:r>
            <w:r w:rsidRPr="004E2AFF">
              <w:rPr>
                <w:rFonts w:ascii="Calibri Light" w:eastAsia="Times New Roman" w:hAnsi="Calibri Light" w:cs="Calibri Light"/>
                <w:bCs/>
                <w:i/>
                <w:iCs/>
                <w:sz w:val="20"/>
                <w:szCs w:val="20"/>
                <w:lang w:val="ro-RO"/>
              </w:rPr>
              <w:t>ă asigure respectarea cadrului normativ în vigoare prin necontractarea serviciilor suplimentare activității de bază a instituției (pct. 4.3.2</w:t>
            </w:r>
            <w:r w:rsidR="00913348">
              <w:rPr>
                <w:rFonts w:ascii="Calibri Light" w:eastAsia="Times New Roman" w:hAnsi="Calibri Light" w:cs="Calibri Light"/>
                <w:bCs/>
                <w:i/>
                <w:iCs/>
                <w:sz w:val="20"/>
                <w:szCs w:val="20"/>
                <w:lang w:val="ro-RO"/>
              </w:rPr>
              <w:t>.</w:t>
            </w:r>
            <w:r w:rsidRPr="004E2AFF">
              <w:rPr>
                <w:rFonts w:ascii="Calibri Light" w:eastAsia="Times New Roman" w:hAnsi="Calibri Light" w:cs="Calibri Light"/>
                <w:bCs/>
                <w:i/>
                <w:iCs/>
                <w:sz w:val="20"/>
                <w:szCs w:val="20"/>
                <w:lang w:val="ro-RO"/>
              </w:rPr>
              <w:t>)</w:t>
            </w:r>
            <w:r w:rsidR="00913348">
              <w:rPr>
                <w:rFonts w:ascii="Calibri Light" w:eastAsia="Times New Roman" w:hAnsi="Calibri Light" w:cs="Calibri Light"/>
                <w:bCs/>
                <w:i/>
                <w:iCs/>
                <w:sz w:val="20"/>
                <w:szCs w:val="20"/>
                <w:lang w:val="ro-RO"/>
              </w:rPr>
              <w:t>.</w:t>
            </w:r>
          </w:p>
        </w:tc>
        <w:tc>
          <w:tcPr>
            <w:tcW w:w="843" w:type="pct"/>
          </w:tcPr>
          <w:p w14:paraId="1FDF08F5" w14:textId="77777777" w:rsidR="009421A6" w:rsidRPr="004E2AFF" w:rsidRDefault="009421A6" w:rsidP="00217DF9">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De ajustat Regulamentul privind salarizarea și motivarea salariaților MOLDAC, de elaborat mecanismul de salarizare a persoanelor implicate în elaborarea, modificarea și traducerea documentelor  MOLDAC.</w:t>
            </w:r>
          </w:p>
        </w:tc>
        <w:tc>
          <w:tcPr>
            <w:tcW w:w="737" w:type="pct"/>
          </w:tcPr>
          <w:p w14:paraId="4A675926" w14:textId="4C9D1A20" w:rsidR="009421A6" w:rsidRPr="009555D5" w:rsidRDefault="009421A6" w:rsidP="00217DF9">
            <w:pPr>
              <w:rPr>
                <w:rFonts w:asciiTheme="majorHAnsi" w:hAnsiTheme="majorHAnsi" w:cstheme="majorHAnsi"/>
                <w:i/>
                <w:sz w:val="24"/>
                <w:szCs w:val="24"/>
                <w:lang w:val="ro-MD"/>
              </w:rPr>
            </w:pPr>
            <w:r>
              <w:rPr>
                <w:rFonts w:asciiTheme="majorHAnsi" w:hAnsiTheme="majorHAnsi" w:cstheme="majorHAnsi"/>
                <w:i/>
                <w:sz w:val="24"/>
                <w:szCs w:val="24"/>
                <w:lang w:val="ro-MD"/>
              </w:rPr>
              <w:t>Responsabil</w:t>
            </w:r>
            <w:r w:rsidR="00913348">
              <w:rPr>
                <w:rFonts w:asciiTheme="majorHAnsi" w:hAnsiTheme="majorHAnsi" w:cstheme="majorHAnsi"/>
                <w:i/>
                <w:sz w:val="24"/>
                <w:szCs w:val="24"/>
                <w:lang w:val="ro-MD"/>
              </w:rPr>
              <w:t>ul</w:t>
            </w:r>
            <w:r>
              <w:rPr>
                <w:rFonts w:asciiTheme="majorHAnsi" w:hAnsiTheme="majorHAnsi" w:cstheme="majorHAnsi"/>
                <w:i/>
                <w:sz w:val="24"/>
                <w:szCs w:val="24"/>
                <w:lang w:val="ro-MD"/>
              </w:rPr>
              <w:t xml:space="preserve"> RSM</w:t>
            </w:r>
          </w:p>
          <w:p w14:paraId="79D3DED8" w14:textId="558457EC" w:rsidR="009421A6" w:rsidRDefault="009421A6" w:rsidP="00217DF9">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Ș</w:t>
            </w:r>
            <w:r w:rsidR="00913348">
              <w:rPr>
                <w:rFonts w:ascii="Calibri Light" w:eastAsia="Times New Roman" w:hAnsi="Calibri Light" w:cs="Calibri Light"/>
                <w:i/>
                <w:sz w:val="20"/>
                <w:szCs w:val="20"/>
                <w:lang w:val="ro-MD"/>
              </w:rPr>
              <w:t>ef</w:t>
            </w:r>
            <w:r>
              <w:rPr>
                <w:rFonts w:ascii="Calibri Light" w:eastAsia="Times New Roman" w:hAnsi="Calibri Light" w:cs="Calibri Light"/>
                <w:i/>
                <w:sz w:val="20"/>
                <w:szCs w:val="20"/>
                <w:lang w:val="ro-MD"/>
              </w:rPr>
              <w:t xml:space="preserve"> Direcți</w:t>
            </w:r>
            <w:r w:rsidR="00913348">
              <w:rPr>
                <w:rFonts w:ascii="Calibri Light" w:eastAsia="Times New Roman" w:hAnsi="Calibri Light" w:cs="Calibri Light"/>
                <w:i/>
                <w:sz w:val="20"/>
                <w:szCs w:val="20"/>
                <w:lang w:val="ro-MD"/>
              </w:rPr>
              <w:t>a</w:t>
            </w:r>
            <w:r>
              <w:rPr>
                <w:rFonts w:ascii="Calibri Light" w:eastAsia="Times New Roman" w:hAnsi="Calibri Light" w:cs="Calibri Light"/>
                <w:i/>
                <w:sz w:val="20"/>
                <w:szCs w:val="20"/>
                <w:lang w:val="ro-MD"/>
              </w:rPr>
              <w:t xml:space="preserve"> DDA</w:t>
            </w:r>
          </w:p>
          <w:p w14:paraId="5018EEB7" w14:textId="3B1CB5C4" w:rsidR="009421A6" w:rsidRPr="00420D48" w:rsidRDefault="009421A6" w:rsidP="00217DF9">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Contabil</w:t>
            </w:r>
            <w:r w:rsidR="00913348">
              <w:rPr>
                <w:rFonts w:ascii="Calibri Light" w:eastAsia="Times New Roman" w:hAnsi="Calibri Light" w:cs="Calibri Light"/>
                <w:i/>
                <w:sz w:val="20"/>
                <w:szCs w:val="20"/>
                <w:lang w:val="ro-MD"/>
              </w:rPr>
              <w:t>ul-</w:t>
            </w:r>
            <w:r>
              <w:rPr>
                <w:rFonts w:ascii="Calibri Light" w:eastAsia="Times New Roman" w:hAnsi="Calibri Light" w:cs="Calibri Light"/>
                <w:i/>
                <w:sz w:val="20"/>
                <w:szCs w:val="20"/>
                <w:lang w:val="ro-MD"/>
              </w:rPr>
              <w:t xml:space="preserve"> șef</w:t>
            </w:r>
          </w:p>
        </w:tc>
        <w:tc>
          <w:tcPr>
            <w:tcW w:w="738" w:type="pct"/>
          </w:tcPr>
          <w:p w14:paraId="678AD232" w14:textId="77777777" w:rsidR="009421A6" w:rsidRDefault="009421A6" w:rsidP="00217DF9">
            <w:pPr>
              <w:spacing w:line="276" w:lineRule="auto"/>
              <w:jc w:val="both"/>
              <w:rPr>
                <w:rFonts w:ascii="Calibri Light" w:eastAsia="Times New Roman" w:hAnsi="Calibri Light" w:cs="Calibri Light"/>
                <w:b/>
                <w:i/>
                <w:sz w:val="20"/>
                <w:szCs w:val="20"/>
                <w:lang w:val="ro-RO"/>
              </w:rPr>
            </w:pPr>
            <w:r>
              <w:rPr>
                <w:rFonts w:ascii="Calibri Light" w:eastAsia="Times New Roman" w:hAnsi="Calibri Light" w:cs="Calibri Light"/>
                <w:b/>
                <w:i/>
                <w:sz w:val="20"/>
                <w:szCs w:val="20"/>
                <w:lang w:val="ro-RO"/>
              </w:rPr>
              <w:t>30.04.2023</w:t>
            </w:r>
          </w:p>
          <w:p w14:paraId="53AEC1B2" w14:textId="6892228F" w:rsidR="009421A6" w:rsidRPr="00BA7F5D" w:rsidRDefault="009421A6" w:rsidP="00217DF9">
            <w:pPr>
              <w:spacing w:line="276" w:lineRule="auto"/>
              <w:jc w:val="both"/>
              <w:rPr>
                <w:rFonts w:ascii="Calibri Light" w:eastAsia="Times New Roman" w:hAnsi="Calibri Light" w:cs="Calibri Light"/>
                <w:b/>
                <w:i/>
                <w:sz w:val="20"/>
                <w:szCs w:val="20"/>
                <w:lang w:val="ro-RO"/>
              </w:rPr>
            </w:pPr>
          </w:p>
        </w:tc>
      </w:tr>
    </w:tbl>
    <w:p w14:paraId="11A4746A" w14:textId="77777777" w:rsidR="009421A6" w:rsidRPr="00483518" w:rsidRDefault="009421A6" w:rsidP="009421A6">
      <w:pPr>
        <w:rPr>
          <w:rFonts w:asciiTheme="majorHAnsi" w:hAnsiTheme="majorHAnsi" w:cstheme="majorHAnsi"/>
          <w:i/>
          <w:sz w:val="24"/>
          <w:szCs w:val="24"/>
          <w:lang w:val="ro-MD"/>
        </w:rPr>
      </w:pPr>
      <w:r w:rsidRPr="0081688C">
        <w:rPr>
          <w:rFonts w:asciiTheme="majorHAnsi" w:hAnsiTheme="majorHAnsi" w:cstheme="majorHAnsi"/>
          <w:i/>
          <w:sz w:val="24"/>
          <w:szCs w:val="24"/>
          <w:lang w:val="ro-MD"/>
        </w:rPr>
        <w:t>Conducătorul</w:t>
      </w:r>
      <w:r w:rsidRPr="0081688C">
        <w:rPr>
          <w:rFonts w:asciiTheme="majorHAnsi" w:hAnsiTheme="majorHAnsi" w:cstheme="majorHAnsi"/>
          <w:i/>
          <w:sz w:val="24"/>
          <w:szCs w:val="24"/>
          <w:lang w:val="ro-RO"/>
        </w:rPr>
        <w:t xml:space="preserve"> </w:t>
      </w:r>
      <w:r>
        <w:rPr>
          <w:rFonts w:asciiTheme="majorHAnsi" w:hAnsiTheme="majorHAnsi" w:cstheme="majorHAnsi"/>
          <w:i/>
          <w:sz w:val="24"/>
          <w:szCs w:val="24"/>
          <w:lang w:val="ro-RO"/>
        </w:rPr>
        <w:t xml:space="preserve">IP </w:t>
      </w:r>
      <w:r w:rsidRPr="009555D5">
        <w:rPr>
          <w:rFonts w:asciiTheme="majorHAnsi" w:hAnsiTheme="majorHAnsi" w:cstheme="majorHAnsi"/>
          <w:i/>
          <w:sz w:val="24"/>
          <w:szCs w:val="24"/>
          <w:lang w:val="ro-MD"/>
        </w:rPr>
        <w:t>Centrul Național de Acreditare din Republica Moldova (MOLDAC)</w:t>
      </w:r>
      <w:r>
        <w:rPr>
          <w:rFonts w:asciiTheme="majorHAnsi" w:hAnsiTheme="majorHAnsi" w:cstheme="majorHAnsi"/>
          <w:i/>
          <w:sz w:val="24"/>
          <w:szCs w:val="24"/>
          <w:lang w:val="ro-MD"/>
        </w:rPr>
        <w:t xml:space="preserve">               Iurie Friptuleac</w:t>
      </w:r>
    </w:p>
    <w:p w14:paraId="3D5C6C46" w14:textId="77777777" w:rsidR="00154A0C" w:rsidRPr="00154A0C" w:rsidRDefault="00154A0C" w:rsidP="00154A0C">
      <w:pPr>
        <w:rPr>
          <w:lang w:val="ro-MD"/>
        </w:rPr>
      </w:pPr>
    </w:p>
    <w:p w14:paraId="038386E3" w14:textId="77777777" w:rsidR="001E77CA" w:rsidRDefault="001E77CA" w:rsidP="005A1FA4">
      <w:pPr>
        <w:rPr>
          <w:rFonts w:asciiTheme="majorHAnsi" w:hAnsiTheme="majorHAnsi" w:cstheme="majorHAnsi"/>
          <w:sz w:val="24"/>
          <w:szCs w:val="24"/>
          <w:lang w:eastAsia="ro-MD"/>
        </w:rPr>
      </w:pPr>
    </w:p>
    <w:p w14:paraId="6F217764" w14:textId="77777777" w:rsidR="00300DC4" w:rsidRDefault="00300DC4" w:rsidP="00300DC4">
      <w:pPr>
        <w:spacing w:after="0" w:line="276" w:lineRule="auto"/>
        <w:jc w:val="center"/>
        <w:rPr>
          <w:rFonts w:asciiTheme="majorHAnsi" w:hAnsiTheme="majorHAnsi" w:cstheme="majorHAnsi"/>
          <w:b/>
          <w:bCs/>
          <w:sz w:val="24"/>
          <w:szCs w:val="24"/>
          <w:lang w:val="ro-MD"/>
        </w:rPr>
      </w:pPr>
    </w:p>
    <w:p w14:paraId="2047EF23" w14:textId="77777777" w:rsidR="00300DC4" w:rsidRDefault="00300DC4" w:rsidP="00300DC4">
      <w:pPr>
        <w:spacing w:after="0" w:line="276" w:lineRule="auto"/>
        <w:jc w:val="center"/>
        <w:rPr>
          <w:rFonts w:asciiTheme="majorHAnsi" w:hAnsiTheme="majorHAnsi" w:cstheme="majorHAnsi"/>
          <w:b/>
          <w:bCs/>
          <w:sz w:val="24"/>
          <w:szCs w:val="24"/>
          <w:lang w:val="ro-MD"/>
        </w:rPr>
      </w:pPr>
    </w:p>
    <w:p w14:paraId="79442A3B" w14:textId="77777777" w:rsidR="00300DC4" w:rsidRDefault="00300DC4" w:rsidP="00300DC4">
      <w:pPr>
        <w:spacing w:after="0" w:line="276" w:lineRule="auto"/>
        <w:jc w:val="center"/>
        <w:rPr>
          <w:rFonts w:asciiTheme="majorHAnsi" w:hAnsiTheme="majorHAnsi" w:cstheme="majorHAnsi"/>
          <w:b/>
          <w:bCs/>
          <w:sz w:val="24"/>
          <w:szCs w:val="24"/>
          <w:lang w:val="ro-MD"/>
        </w:rPr>
      </w:pPr>
    </w:p>
    <w:p w14:paraId="287F667D" w14:textId="77777777" w:rsidR="00300DC4" w:rsidRDefault="00300DC4" w:rsidP="00300DC4">
      <w:pPr>
        <w:spacing w:after="0" w:line="276" w:lineRule="auto"/>
        <w:jc w:val="center"/>
        <w:rPr>
          <w:rFonts w:asciiTheme="majorHAnsi" w:hAnsiTheme="majorHAnsi" w:cstheme="majorHAnsi"/>
          <w:b/>
          <w:bCs/>
          <w:sz w:val="24"/>
          <w:szCs w:val="24"/>
          <w:lang w:val="ro-MD"/>
        </w:rPr>
      </w:pPr>
    </w:p>
    <w:p w14:paraId="65425F69" w14:textId="77777777" w:rsidR="00300DC4" w:rsidRDefault="00300DC4" w:rsidP="00300DC4">
      <w:pPr>
        <w:spacing w:after="0" w:line="276" w:lineRule="auto"/>
        <w:jc w:val="center"/>
        <w:rPr>
          <w:rFonts w:asciiTheme="majorHAnsi" w:hAnsiTheme="majorHAnsi" w:cstheme="majorHAnsi"/>
          <w:b/>
          <w:bCs/>
          <w:sz w:val="24"/>
          <w:szCs w:val="24"/>
          <w:lang w:val="ro-MD"/>
        </w:rPr>
      </w:pPr>
    </w:p>
    <w:p w14:paraId="6B2D34D6" w14:textId="77777777" w:rsidR="00300DC4" w:rsidRDefault="00300DC4" w:rsidP="00300DC4">
      <w:pPr>
        <w:spacing w:after="0" w:line="276" w:lineRule="auto"/>
        <w:jc w:val="center"/>
        <w:rPr>
          <w:rFonts w:asciiTheme="majorHAnsi" w:hAnsiTheme="majorHAnsi" w:cstheme="majorHAnsi"/>
          <w:b/>
          <w:bCs/>
          <w:sz w:val="24"/>
          <w:szCs w:val="24"/>
          <w:lang w:val="ro-MD"/>
        </w:rPr>
      </w:pPr>
    </w:p>
    <w:p w14:paraId="760968B9" w14:textId="77777777" w:rsidR="00300DC4" w:rsidRDefault="00300DC4" w:rsidP="00300DC4">
      <w:pPr>
        <w:spacing w:after="0" w:line="276" w:lineRule="auto"/>
        <w:jc w:val="center"/>
        <w:rPr>
          <w:rFonts w:asciiTheme="majorHAnsi" w:hAnsiTheme="majorHAnsi" w:cstheme="majorHAnsi"/>
          <w:b/>
          <w:bCs/>
          <w:sz w:val="24"/>
          <w:szCs w:val="24"/>
          <w:lang w:val="ro-MD"/>
        </w:rPr>
      </w:pPr>
    </w:p>
    <w:p w14:paraId="4E2B4317" w14:textId="77777777" w:rsidR="00300DC4" w:rsidRDefault="00300DC4" w:rsidP="00300DC4">
      <w:pPr>
        <w:spacing w:after="0" w:line="276" w:lineRule="auto"/>
        <w:jc w:val="center"/>
        <w:rPr>
          <w:rFonts w:asciiTheme="majorHAnsi" w:hAnsiTheme="majorHAnsi" w:cstheme="majorHAnsi"/>
          <w:b/>
          <w:bCs/>
          <w:sz w:val="24"/>
          <w:szCs w:val="24"/>
          <w:lang w:val="ro-MD"/>
        </w:rPr>
      </w:pPr>
    </w:p>
    <w:p w14:paraId="6B4E5316" w14:textId="77777777" w:rsidR="00300DC4" w:rsidRDefault="00300DC4" w:rsidP="00300DC4">
      <w:pPr>
        <w:spacing w:after="0" w:line="276" w:lineRule="auto"/>
        <w:jc w:val="center"/>
        <w:rPr>
          <w:rFonts w:asciiTheme="majorHAnsi" w:hAnsiTheme="majorHAnsi" w:cstheme="majorHAnsi"/>
          <w:b/>
          <w:bCs/>
          <w:sz w:val="24"/>
          <w:szCs w:val="24"/>
          <w:lang w:val="ro-MD"/>
        </w:rPr>
      </w:pPr>
    </w:p>
    <w:p w14:paraId="10087BEC" w14:textId="77777777" w:rsidR="00300DC4" w:rsidRDefault="00300DC4" w:rsidP="00300DC4">
      <w:pPr>
        <w:spacing w:after="0" w:line="276" w:lineRule="auto"/>
        <w:jc w:val="center"/>
        <w:rPr>
          <w:rFonts w:asciiTheme="majorHAnsi" w:hAnsiTheme="majorHAnsi" w:cstheme="majorHAnsi"/>
          <w:b/>
          <w:bCs/>
          <w:sz w:val="24"/>
          <w:szCs w:val="24"/>
          <w:lang w:val="ro-MD"/>
        </w:rPr>
      </w:pPr>
    </w:p>
    <w:p w14:paraId="48465DBF" w14:textId="77777777" w:rsidR="00300DC4" w:rsidRDefault="00300DC4" w:rsidP="00300DC4">
      <w:pPr>
        <w:spacing w:after="0" w:line="276" w:lineRule="auto"/>
        <w:jc w:val="center"/>
        <w:rPr>
          <w:rFonts w:asciiTheme="majorHAnsi" w:hAnsiTheme="majorHAnsi" w:cstheme="majorHAnsi"/>
          <w:b/>
          <w:bCs/>
          <w:sz w:val="24"/>
          <w:szCs w:val="24"/>
          <w:lang w:val="ro-MD"/>
        </w:rPr>
      </w:pPr>
    </w:p>
    <w:p w14:paraId="325C64D9" w14:textId="77777777" w:rsidR="00300DC4" w:rsidRDefault="00300DC4" w:rsidP="00300DC4">
      <w:pPr>
        <w:spacing w:after="0" w:line="276" w:lineRule="auto"/>
        <w:jc w:val="center"/>
        <w:rPr>
          <w:rFonts w:asciiTheme="majorHAnsi" w:hAnsiTheme="majorHAnsi" w:cstheme="majorHAnsi"/>
          <w:b/>
          <w:bCs/>
          <w:sz w:val="24"/>
          <w:szCs w:val="24"/>
          <w:lang w:val="ro-MD"/>
        </w:rPr>
      </w:pPr>
    </w:p>
    <w:p w14:paraId="2E5B0939" w14:textId="25A7D328" w:rsidR="00300DC4" w:rsidRPr="0087750D" w:rsidRDefault="00300DC4" w:rsidP="00300DC4">
      <w:pPr>
        <w:spacing w:after="0" w:line="276" w:lineRule="auto"/>
        <w:jc w:val="center"/>
        <w:rPr>
          <w:rFonts w:asciiTheme="majorHAnsi" w:hAnsiTheme="majorHAnsi" w:cstheme="majorHAnsi"/>
          <w:b/>
          <w:bCs/>
          <w:sz w:val="24"/>
          <w:szCs w:val="24"/>
          <w:lang w:val="ro-MD"/>
        </w:rPr>
      </w:pPr>
      <w:r w:rsidRPr="0087750D">
        <w:rPr>
          <w:rFonts w:asciiTheme="majorHAnsi" w:hAnsiTheme="majorHAnsi" w:cstheme="majorHAnsi"/>
          <w:b/>
          <w:bCs/>
          <w:sz w:val="24"/>
          <w:szCs w:val="24"/>
          <w:lang w:val="ro-MD"/>
        </w:rPr>
        <w:t xml:space="preserve">PLANUL DE ACȚIUNI </w:t>
      </w:r>
    </w:p>
    <w:p w14:paraId="757DA725" w14:textId="77777777" w:rsidR="00300DC4" w:rsidRPr="0087750D" w:rsidRDefault="00300DC4" w:rsidP="00300DC4">
      <w:pPr>
        <w:spacing w:after="0" w:line="276" w:lineRule="auto"/>
        <w:jc w:val="center"/>
        <w:rPr>
          <w:rFonts w:asciiTheme="majorHAnsi" w:hAnsiTheme="majorHAnsi" w:cstheme="majorHAnsi"/>
          <w:b/>
          <w:bCs/>
          <w:sz w:val="24"/>
          <w:szCs w:val="24"/>
          <w:lang w:val="ro-MD"/>
        </w:rPr>
      </w:pPr>
      <w:r w:rsidRPr="0087750D">
        <w:rPr>
          <w:rFonts w:asciiTheme="majorHAnsi" w:hAnsiTheme="majorHAnsi" w:cstheme="majorHAnsi"/>
          <w:b/>
          <w:bCs/>
          <w:sz w:val="24"/>
          <w:szCs w:val="24"/>
          <w:lang w:val="ro-MD"/>
        </w:rPr>
        <w:t>privind implementarea recomandărilor CCRM de către Inspectoratul de Stat pentru Supravegherea  Produselor Nealimentare și Protecția Consumatorilor (succesor de drepturi al  APCSP)</w:t>
      </w:r>
    </w:p>
    <w:p w14:paraId="708235AB" w14:textId="77777777" w:rsidR="00300DC4" w:rsidRPr="0087750D" w:rsidRDefault="00300DC4" w:rsidP="00300DC4">
      <w:pPr>
        <w:spacing w:after="0" w:line="276" w:lineRule="auto"/>
        <w:jc w:val="center"/>
        <w:rPr>
          <w:rFonts w:asciiTheme="majorHAnsi" w:hAnsiTheme="majorHAnsi" w:cstheme="majorHAnsi"/>
          <w:b/>
          <w:bCs/>
          <w:sz w:val="24"/>
          <w:szCs w:val="24"/>
          <w:lang w:val="ro-MD"/>
        </w:rPr>
      </w:pPr>
    </w:p>
    <w:tbl>
      <w:tblPr>
        <w:tblStyle w:val="TableGrid"/>
        <w:tblW w:w="5112" w:type="pct"/>
        <w:tblLook w:val="04A0" w:firstRow="1" w:lastRow="0" w:firstColumn="1" w:lastColumn="0" w:noHBand="0" w:noVBand="1"/>
      </w:tblPr>
      <w:tblGrid>
        <w:gridCol w:w="4961"/>
        <w:gridCol w:w="2792"/>
        <w:gridCol w:w="3851"/>
        <w:gridCol w:w="1582"/>
        <w:gridCol w:w="1410"/>
      </w:tblGrid>
      <w:tr w:rsidR="00300DC4" w:rsidRPr="0087750D" w14:paraId="1F4ED22E" w14:textId="77777777" w:rsidTr="00300DC4">
        <w:trPr>
          <w:trHeight w:val="1074"/>
        </w:trPr>
        <w:tc>
          <w:tcPr>
            <w:tcW w:w="1699" w:type="pct"/>
          </w:tcPr>
          <w:p w14:paraId="4E51CB72" w14:textId="77777777" w:rsidR="00300DC4" w:rsidRPr="00255E9C" w:rsidRDefault="00300DC4" w:rsidP="00217DF9">
            <w:pPr>
              <w:spacing w:line="276" w:lineRule="auto"/>
              <w:jc w:val="center"/>
              <w:rPr>
                <w:rFonts w:asciiTheme="majorHAnsi" w:hAnsiTheme="majorHAnsi" w:cstheme="majorHAnsi"/>
                <w:b/>
                <w:bCs/>
                <w:sz w:val="20"/>
                <w:szCs w:val="20"/>
                <w:lang w:val="ro-MD"/>
              </w:rPr>
            </w:pPr>
          </w:p>
          <w:p w14:paraId="32F6A4AA" w14:textId="77777777" w:rsidR="00300DC4" w:rsidRPr="00255E9C" w:rsidRDefault="00300DC4" w:rsidP="00217DF9">
            <w:pPr>
              <w:spacing w:line="276" w:lineRule="auto"/>
              <w:jc w:val="center"/>
              <w:rPr>
                <w:rFonts w:asciiTheme="majorHAnsi" w:hAnsiTheme="majorHAnsi" w:cstheme="majorHAnsi"/>
                <w:b/>
                <w:bCs/>
                <w:sz w:val="20"/>
                <w:szCs w:val="20"/>
                <w:lang w:val="ro-MD"/>
              </w:rPr>
            </w:pPr>
          </w:p>
          <w:p w14:paraId="3B17D5D7" w14:textId="512DE155" w:rsidR="00300DC4" w:rsidRPr="00255E9C" w:rsidRDefault="00300DC4" w:rsidP="00217DF9">
            <w:pPr>
              <w:spacing w:line="276" w:lineRule="auto"/>
              <w:jc w:val="center"/>
              <w:rPr>
                <w:rFonts w:asciiTheme="majorHAnsi" w:hAnsiTheme="majorHAnsi" w:cstheme="majorHAnsi"/>
                <w:b/>
                <w:bCs/>
                <w:sz w:val="20"/>
                <w:szCs w:val="20"/>
                <w:lang w:val="ro-MD"/>
              </w:rPr>
            </w:pPr>
            <w:r w:rsidRPr="00255E9C">
              <w:rPr>
                <w:rFonts w:asciiTheme="majorHAnsi" w:hAnsiTheme="majorHAnsi" w:cstheme="majorHAnsi"/>
                <w:b/>
                <w:bCs/>
                <w:sz w:val="20"/>
                <w:szCs w:val="20"/>
                <w:lang w:val="ro-MD"/>
              </w:rPr>
              <w:t>Constat</w:t>
            </w:r>
            <w:r w:rsidR="00EA1B33">
              <w:rPr>
                <w:rFonts w:asciiTheme="majorHAnsi" w:hAnsiTheme="majorHAnsi" w:cstheme="majorHAnsi"/>
                <w:b/>
                <w:bCs/>
                <w:sz w:val="20"/>
                <w:szCs w:val="20"/>
                <w:lang w:val="ro-MD"/>
              </w:rPr>
              <w:t>ările</w:t>
            </w:r>
            <w:r w:rsidRPr="00255E9C">
              <w:rPr>
                <w:rFonts w:asciiTheme="majorHAnsi" w:hAnsiTheme="majorHAnsi" w:cstheme="majorHAnsi"/>
                <w:b/>
                <w:bCs/>
                <w:sz w:val="20"/>
                <w:szCs w:val="20"/>
                <w:lang w:val="ro-MD"/>
              </w:rPr>
              <w:t xml:space="preserve"> de audit</w:t>
            </w:r>
          </w:p>
        </w:tc>
        <w:tc>
          <w:tcPr>
            <w:tcW w:w="956" w:type="pct"/>
            <w:hideMark/>
          </w:tcPr>
          <w:p w14:paraId="1C7368E8" w14:textId="77777777" w:rsidR="00300DC4" w:rsidRPr="00255E9C" w:rsidRDefault="00300DC4" w:rsidP="00217DF9">
            <w:pPr>
              <w:spacing w:line="276" w:lineRule="auto"/>
              <w:jc w:val="center"/>
              <w:rPr>
                <w:rFonts w:asciiTheme="majorHAnsi" w:hAnsiTheme="majorHAnsi" w:cstheme="majorHAnsi"/>
                <w:b/>
                <w:bCs/>
                <w:sz w:val="20"/>
                <w:szCs w:val="20"/>
                <w:lang w:val="ro-MD"/>
              </w:rPr>
            </w:pPr>
          </w:p>
          <w:p w14:paraId="128C50EB" w14:textId="77777777" w:rsidR="00300DC4" w:rsidRPr="00255E9C" w:rsidRDefault="00300DC4" w:rsidP="00217DF9">
            <w:pPr>
              <w:spacing w:line="276" w:lineRule="auto"/>
              <w:jc w:val="center"/>
              <w:rPr>
                <w:rFonts w:asciiTheme="majorHAnsi" w:hAnsiTheme="majorHAnsi" w:cstheme="majorHAnsi"/>
                <w:b/>
                <w:bCs/>
                <w:sz w:val="20"/>
                <w:szCs w:val="20"/>
                <w:lang w:val="ro-MD"/>
              </w:rPr>
            </w:pPr>
          </w:p>
          <w:p w14:paraId="2C090989" w14:textId="77777777" w:rsidR="00300DC4" w:rsidRPr="00255E9C" w:rsidRDefault="00300DC4" w:rsidP="00217DF9">
            <w:pPr>
              <w:spacing w:line="276" w:lineRule="auto"/>
              <w:jc w:val="center"/>
              <w:rPr>
                <w:rFonts w:asciiTheme="majorHAnsi" w:eastAsia="Times New Roman" w:hAnsiTheme="majorHAnsi" w:cstheme="majorHAnsi"/>
                <w:b/>
                <w:sz w:val="20"/>
                <w:szCs w:val="20"/>
                <w:lang w:val="ro-MD"/>
              </w:rPr>
            </w:pPr>
            <w:r w:rsidRPr="00255E9C">
              <w:rPr>
                <w:rFonts w:asciiTheme="majorHAnsi" w:hAnsiTheme="majorHAnsi" w:cstheme="majorHAnsi"/>
                <w:b/>
                <w:bCs/>
                <w:sz w:val="20"/>
                <w:szCs w:val="20"/>
                <w:lang w:val="ro-MD"/>
              </w:rPr>
              <w:t>Recomandările auditului</w:t>
            </w:r>
          </w:p>
        </w:tc>
        <w:tc>
          <w:tcPr>
            <w:tcW w:w="1319" w:type="pct"/>
            <w:hideMark/>
          </w:tcPr>
          <w:p w14:paraId="71BF8F27" w14:textId="77777777" w:rsidR="00300DC4" w:rsidRPr="00255E9C" w:rsidRDefault="00300DC4" w:rsidP="00217DF9">
            <w:pPr>
              <w:spacing w:line="276" w:lineRule="auto"/>
              <w:jc w:val="center"/>
              <w:rPr>
                <w:rFonts w:asciiTheme="majorHAnsi" w:eastAsia="Times New Roman" w:hAnsiTheme="majorHAnsi" w:cstheme="majorHAnsi"/>
                <w:b/>
                <w:bCs/>
                <w:sz w:val="20"/>
                <w:szCs w:val="20"/>
                <w:lang w:val="ro-MD"/>
              </w:rPr>
            </w:pPr>
          </w:p>
          <w:p w14:paraId="5CE3C8D2" w14:textId="77777777" w:rsidR="00300DC4" w:rsidRPr="00255E9C" w:rsidRDefault="00300DC4" w:rsidP="00217DF9">
            <w:pPr>
              <w:spacing w:line="276" w:lineRule="auto"/>
              <w:jc w:val="center"/>
              <w:rPr>
                <w:rFonts w:asciiTheme="majorHAnsi" w:eastAsia="Times New Roman" w:hAnsiTheme="majorHAnsi" w:cstheme="majorHAnsi"/>
                <w:b/>
                <w:bCs/>
                <w:sz w:val="20"/>
                <w:szCs w:val="20"/>
                <w:lang w:val="ro-MD"/>
              </w:rPr>
            </w:pPr>
          </w:p>
          <w:p w14:paraId="299C11A8" w14:textId="77777777" w:rsidR="00300DC4" w:rsidRPr="00255E9C" w:rsidRDefault="00300DC4" w:rsidP="00217DF9">
            <w:pPr>
              <w:spacing w:line="276" w:lineRule="auto"/>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Măsurile/acțiunile concrete care urmează a fi întreprinse</w:t>
            </w:r>
          </w:p>
        </w:tc>
        <w:tc>
          <w:tcPr>
            <w:tcW w:w="542" w:type="pct"/>
            <w:hideMark/>
          </w:tcPr>
          <w:p w14:paraId="635E2D0D" w14:textId="77777777" w:rsidR="00300DC4" w:rsidRPr="00255E9C" w:rsidRDefault="00300DC4" w:rsidP="00217DF9">
            <w:pPr>
              <w:spacing w:line="276" w:lineRule="auto"/>
              <w:jc w:val="center"/>
              <w:rPr>
                <w:rFonts w:asciiTheme="majorHAnsi" w:eastAsia="Times New Roman" w:hAnsiTheme="majorHAnsi" w:cstheme="majorHAnsi"/>
                <w:b/>
                <w:bCs/>
                <w:sz w:val="20"/>
                <w:szCs w:val="20"/>
                <w:lang w:val="ro-MD"/>
              </w:rPr>
            </w:pPr>
          </w:p>
          <w:p w14:paraId="2EF32F74" w14:textId="77777777" w:rsidR="00300DC4" w:rsidRPr="00255E9C" w:rsidRDefault="00300DC4" w:rsidP="00300DC4">
            <w:pPr>
              <w:spacing w:line="276" w:lineRule="auto"/>
              <w:ind w:firstLine="225"/>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Persoana responsabilă de implementare</w:t>
            </w:r>
          </w:p>
        </w:tc>
        <w:tc>
          <w:tcPr>
            <w:tcW w:w="483" w:type="pct"/>
            <w:hideMark/>
          </w:tcPr>
          <w:p w14:paraId="427045EA" w14:textId="77777777" w:rsidR="00300DC4" w:rsidRPr="00255E9C" w:rsidRDefault="00300DC4" w:rsidP="00217DF9">
            <w:pPr>
              <w:spacing w:line="276" w:lineRule="auto"/>
              <w:jc w:val="center"/>
              <w:rPr>
                <w:rFonts w:asciiTheme="majorHAnsi" w:eastAsia="Times New Roman" w:hAnsiTheme="majorHAnsi" w:cstheme="majorHAnsi"/>
                <w:b/>
                <w:bCs/>
                <w:sz w:val="20"/>
                <w:szCs w:val="20"/>
                <w:lang w:val="ro-MD"/>
              </w:rPr>
            </w:pPr>
            <w:r w:rsidRPr="00255E9C">
              <w:rPr>
                <w:rFonts w:asciiTheme="majorHAnsi" w:eastAsia="Times New Roman" w:hAnsiTheme="majorHAnsi" w:cstheme="majorHAnsi"/>
                <w:b/>
                <w:bCs/>
                <w:sz w:val="20"/>
                <w:szCs w:val="20"/>
                <w:lang w:val="ro-MD"/>
              </w:rPr>
              <w:t>Termenul</w:t>
            </w:r>
          </w:p>
          <w:p w14:paraId="6836F480" w14:textId="77777777" w:rsidR="00300DC4" w:rsidRPr="00255E9C" w:rsidRDefault="00300DC4" w:rsidP="00217DF9">
            <w:pPr>
              <w:spacing w:line="276" w:lineRule="auto"/>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de implementare (în caz de remediere, anexați documentele justificative)</w:t>
            </w:r>
          </w:p>
        </w:tc>
      </w:tr>
      <w:tr w:rsidR="00300DC4" w:rsidRPr="0087750D" w14:paraId="3A7123A0" w14:textId="77777777" w:rsidTr="00300DC4">
        <w:trPr>
          <w:trHeight w:val="492"/>
        </w:trPr>
        <w:tc>
          <w:tcPr>
            <w:tcW w:w="1699" w:type="pct"/>
          </w:tcPr>
          <w:p w14:paraId="2DE1F5F8" w14:textId="65238400" w:rsidR="00300DC4" w:rsidRPr="00255E9C" w:rsidRDefault="00300DC4" w:rsidP="00217DF9">
            <w:pPr>
              <w:pStyle w:val="ListParagraph"/>
              <w:tabs>
                <w:tab w:val="left" w:pos="270"/>
              </w:tabs>
              <w:spacing w:line="276" w:lineRule="auto"/>
              <w:ind w:left="0" w:firstLine="720"/>
              <w:jc w:val="both"/>
              <w:rPr>
                <w:rFonts w:asciiTheme="majorHAnsi" w:hAnsiTheme="majorHAnsi" w:cstheme="majorHAnsi"/>
                <w:i/>
                <w:sz w:val="24"/>
                <w:szCs w:val="24"/>
                <w:shd w:val="clear" w:color="auto" w:fill="FFFFFF"/>
                <w:vertAlign w:val="superscript"/>
                <w:lang w:val="ro-MD"/>
              </w:rPr>
            </w:pPr>
            <w:r w:rsidRPr="00255E9C">
              <w:rPr>
                <w:rFonts w:asciiTheme="majorHAnsi" w:eastAsia="Times New Roman" w:hAnsiTheme="majorHAnsi" w:cstheme="majorHAnsi"/>
                <w:bCs/>
                <w:i/>
                <w:iCs/>
                <w:sz w:val="24"/>
                <w:szCs w:val="24"/>
                <w:lang w:val="ro-MD"/>
              </w:rPr>
              <w:t>Mijloacele fixe care nu sunt utilizate din diferite motive şi/sau care nu se supun restabilirii se includ într-o listă de inventariere separată</w:t>
            </w:r>
            <w:r w:rsidR="00F232EE">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cu indicarea motivelor care au cauzat neutilizarea lor (deteriorarea, uzura completă etc.)</w:t>
            </w:r>
            <w:r w:rsidR="00F232EE">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şi se transmit comisiei centrale, după caz, sau conducătorului entității, cu înaintarea propunerilor privind vânzarea, casarea sau reutilarea acestora</w:t>
            </w:r>
            <w:r w:rsidRPr="00255E9C">
              <w:rPr>
                <w:rStyle w:val="FootnoteReference"/>
                <w:rFonts w:asciiTheme="majorHAnsi" w:hAnsiTheme="majorHAnsi" w:cstheme="majorHAnsi"/>
                <w:i/>
                <w:sz w:val="24"/>
                <w:szCs w:val="24"/>
                <w:shd w:val="clear" w:color="auto" w:fill="FFFFFF"/>
                <w:lang w:val="ro-MD"/>
              </w:rPr>
              <w:footnoteReference w:id="75"/>
            </w:r>
            <w:r w:rsidRPr="00255E9C">
              <w:rPr>
                <w:rFonts w:asciiTheme="majorHAnsi" w:hAnsiTheme="majorHAnsi" w:cstheme="majorHAnsi"/>
                <w:i/>
                <w:sz w:val="24"/>
                <w:szCs w:val="24"/>
                <w:shd w:val="clear" w:color="auto" w:fill="FFFFFF"/>
                <w:lang w:val="ro-MD"/>
              </w:rPr>
              <w:t>.</w:t>
            </w:r>
          </w:p>
          <w:p w14:paraId="50A5FAF7" w14:textId="1AA8AED5" w:rsidR="00300DC4" w:rsidRPr="00255E9C" w:rsidRDefault="00300DC4" w:rsidP="00217DF9">
            <w:pPr>
              <w:pStyle w:val="ListParagraph"/>
              <w:tabs>
                <w:tab w:val="left" w:pos="270"/>
              </w:tabs>
              <w:spacing w:line="276" w:lineRule="auto"/>
              <w:ind w:left="0" w:firstLine="720"/>
              <w:jc w:val="both"/>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 xml:space="preserve">Probele de audit acumulate denotă că, la situația  </w:t>
            </w:r>
            <w:r w:rsidR="00F232EE">
              <w:rPr>
                <w:rFonts w:asciiTheme="majorHAnsi" w:eastAsia="Times New Roman" w:hAnsiTheme="majorHAnsi" w:cstheme="majorHAnsi"/>
                <w:bCs/>
                <w:i/>
                <w:iCs/>
                <w:sz w:val="24"/>
                <w:szCs w:val="24"/>
                <w:lang w:val="ro-MD"/>
              </w:rPr>
              <w:t xml:space="preserve">din </w:t>
            </w:r>
            <w:r w:rsidRPr="00255E9C">
              <w:rPr>
                <w:rFonts w:asciiTheme="majorHAnsi" w:eastAsia="Times New Roman" w:hAnsiTheme="majorHAnsi" w:cstheme="majorHAnsi"/>
                <w:bCs/>
                <w:i/>
                <w:iCs/>
                <w:sz w:val="24"/>
                <w:szCs w:val="24"/>
                <w:lang w:val="ro-MD"/>
              </w:rPr>
              <w:t>31 decembrie 2021,  APCSP deține   mijloace fixe amortizate 100% (170 unități cu  valoarea inițială  de 1507,05 mii lei ), care nu sunt utilizate în activitatea operațională.</w:t>
            </w:r>
          </w:p>
        </w:tc>
        <w:tc>
          <w:tcPr>
            <w:tcW w:w="956" w:type="pct"/>
          </w:tcPr>
          <w:p w14:paraId="0A99C7B3" w14:textId="682A6998" w:rsidR="00300DC4" w:rsidRPr="00255E9C" w:rsidRDefault="00F232EE" w:rsidP="00217DF9">
            <w:pPr>
              <w:pStyle w:val="msonormalmailrucssattributepostfix"/>
              <w:spacing w:before="0" w:beforeAutospacing="0" w:after="0" w:afterAutospacing="0" w:line="276" w:lineRule="auto"/>
              <w:ind w:left="58" w:firstLine="567"/>
              <w:jc w:val="both"/>
              <w:rPr>
                <w:rFonts w:asciiTheme="majorHAnsi" w:eastAsia="Times New Roman" w:hAnsiTheme="majorHAnsi" w:cstheme="majorHAnsi"/>
                <w:bCs/>
                <w:i/>
                <w:iCs/>
                <w:lang w:val="ro-MD"/>
              </w:rPr>
            </w:pPr>
            <w:r>
              <w:rPr>
                <w:rFonts w:asciiTheme="majorHAnsi" w:eastAsia="Times New Roman" w:hAnsiTheme="majorHAnsi" w:cstheme="majorHAnsi"/>
                <w:bCs/>
                <w:i/>
                <w:iCs/>
                <w:lang w:val="ro-MD"/>
              </w:rPr>
              <w:t>S</w:t>
            </w:r>
            <w:r w:rsidR="00300DC4" w:rsidRPr="00255E9C">
              <w:rPr>
                <w:rFonts w:asciiTheme="majorHAnsi" w:eastAsia="Times New Roman" w:hAnsiTheme="majorHAnsi" w:cstheme="majorHAnsi"/>
                <w:bCs/>
                <w:i/>
                <w:iCs/>
                <w:lang w:val="ro-MD"/>
              </w:rPr>
              <w:t>ă asigure casarea mijloacelor fixe uzate și neutilizate în procesul operațional în  conformitate cu actele normative în vigoare  (pct. 4.1.2.3.)</w:t>
            </w:r>
            <w:r w:rsidR="00DA643B">
              <w:rPr>
                <w:rFonts w:asciiTheme="majorHAnsi" w:eastAsia="Times New Roman" w:hAnsiTheme="majorHAnsi" w:cstheme="majorHAnsi"/>
                <w:bCs/>
                <w:i/>
                <w:iCs/>
                <w:lang w:val="ro-MD"/>
              </w:rPr>
              <w:t>.</w:t>
            </w:r>
          </w:p>
          <w:p w14:paraId="488EDC11" w14:textId="77777777" w:rsidR="00300DC4" w:rsidRPr="00255E9C" w:rsidRDefault="00300DC4" w:rsidP="00217DF9">
            <w:pPr>
              <w:spacing w:line="276" w:lineRule="auto"/>
              <w:ind w:firstLine="179"/>
              <w:jc w:val="both"/>
              <w:rPr>
                <w:rFonts w:asciiTheme="majorHAnsi" w:eastAsia="Times New Roman" w:hAnsiTheme="majorHAnsi" w:cstheme="majorHAnsi"/>
                <w:bCs/>
                <w:i/>
                <w:iCs/>
                <w:sz w:val="24"/>
                <w:szCs w:val="24"/>
                <w:lang w:val="ro-MD"/>
              </w:rPr>
            </w:pPr>
          </w:p>
        </w:tc>
        <w:tc>
          <w:tcPr>
            <w:tcW w:w="1319" w:type="pct"/>
          </w:tcPr>
          <w:p w14:paraId="2B9D614D" w14:textId="15BAE708" w:rsidR="00300DC4" w:rsidRPr="00255E9C" w:rsidRDefault="00300DC4" w:rsidP="00217DF9">
            <w:pPr>
              <w:spacing w:line="276" w:lineRule="auto"/>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Inspectoratul de Stat pentru Supravegherea Produselor Nealimentare și Protecția Consumatorilor, conform ordinului conducătorului, va constitui comisia de inventariere, care</w:t>
            </w:r>
            <w:r w:rsidR="00F232EE">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în perioada 12-25 decembrie 2022, v</w:t>
            </w:r>
            <w:r w:rsidR="00F232EE">
              <w:rPr>
                <w:rFonts w:asciiTheme="majorHAnsi" w:eastAsia="Times New Roman" w:hAnsiTheme="majorHAnsi" w:cstheme="majorHAnsi"/>
                <w:bCs/>
                <w:i/>
                <w:iCs/>
                <w:sz w:val="24"/>
                <w:szCs w:val="24"/>
                <w:lang w:val="ro-MD"/>
              </w:rPr>
              <w:t>a</w:t>
            </w:r>
            <w:r w:rsidRPr="00255E9C">
              <w:rPr>
                <w:rFonts w:asciiTheme="majorHAnsi" w:eastAsia="Times New Roman" w:hAnsiTheme="majorHAnsi" w:cstheme="majorHAnsi"/>
                <w:bCs/>
                <w:i/>
                <w:iCs/>
                <w:sz w:val="24"/>
                <w:szCs w:val="24"/>
                <w:lang w:val="ro-MD"/>
              </w:rPr>
              <w:t xml:space="preserve"> supune inventarierii elementele de activ şi datoriile, v</w:t>
            </w:r>
            <w:r w:rsidR="00F232EE">
              <w:rPr>
                <w:rFonts w:asciiTheme="majorHAnsi" w:eastAsia="Times New Roman" w:hAnsiTheme="majorHAnsi" w:cstheme="majorHAnsi"/>
                <w:bCs/>
                <w:i/>
                <w:iCs/>
                <w:sz w:val="24"/>
                <w:szCs w:val="24"/>
                <w:lang w:val="ro-MD"/>
              </w:rPr>
              <w:t>a</w:t>
            </w:r>
            <w:r w:rsidRPr="00255E9C">
              <w:rPr>
                <w:rFonts w:asciiTheme="majorHAnsi" w:eastAsia="Times New Roman" w:hAnsiTheme="majorHAnsi" w:cstheme="majorHAnsi"/>
                <w:bCs/>
                <w:i/>
                <w:iCs/>
                <w:sz w:val="24"/>
                <w:szCs w:val="24"/>
                <w:lang w:val="ro-MD"/>
              </w:rPr>
              <w:t xml:space="preserve"> constata şi înregistra rezultatele inventarierii, precum şi </w:t>
            </w:r>
            <w:r w:rsidR="00F232EE">
              <w:rPr>
                <w:rFonts w:asciiTheme="majorHAnsi" w:eastAsia="Times New Roman" w:hAnsiTheme="majorHAnsi" w:cstheme="majorHAnsi"/>
                <w:bCs/>
                <w:i/>
                <w:iCs/>
                <w:sz w:val="24"/>
                <w:szCs w:val="24"/>
                <w:lang w:val="ro-MD"/>
              </w:rPr>
              <w:t xml:space="preserve">va </w:t>
            </w:r>
            <w:r w:rsidRPr="00255E9C">
              <w:rPr>
                <w:rFonts w:asciiTheme="majorHAnsi" w:eastAsia="Times New Roman" w:hAnsiTheme="majorHAnsi" w:cstheme="majorHAnsi"/>
                <w:bCs/>
                <w:i/>
                <w:iCs/>
                <w:sz w:val="24"/>
                <w:szCs w:val="24"/>
                <w:lang w:val="ro-MD"/>
              </w:rPr>
              <w:t>perfecta formularel</w:t>
            </w:r>
            <w:r w:rsidR="00F232EE">
              <w:rPr>
                <w:rFonts w:asciiTheme="majorHAnsi" w:eastAsia="Times New Roman" w:hAnsiTheme="majorHAnsi" w:cstheme="majorHAnsi"/>
                <w:bCs/>
                <w:i/>
                <w:iCs/>
                <w:sz w:val="24"/>
                <w:szCs w:val="24"/>
                <w:lang w:val="ro-MD"/>
              </w:rPr>
              <w:t>e</w:t>
            </w:r>
            <w:r w:rsidRPr="00255E9C">
              <w:rPr>
                <w:rFonts w:asciiTheme="majorHAnsi" w:eastAsia="Times New Roman" w:hAnsiTheme="majorHAnsi" w:cstheme="majorHAnsi"/>
                <w:bCs/>
                <w:i/>
                <w:iCs/>
                <w:sz w:val="24"/>
                <w:szCs w:val="24"/>
                <w:lang w:val="ro-MD"/>
              </w:rPr>
              <w:t xml:space="preserve"> utilizate la efectuarea inventarierii.</w:t>
            </w:r>
          </w:p>
          <w:p w14:paraId="4FAA9ABE" w14:textId="3E3DE251" w:rsidR="00300DC4" w:rsidRPr="00255E9C" w:rsidRDefault="00300DC4" w:rsidP="00217DF9">
            <w:pPr>
              <w:spacing w:line="276" w:lineRule="auto"/>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Totodată</w:t>
            </w:r>
            <w:r w:rsidR="00F232EE">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în procesul inventarierii, comisia va identifica mijloacele fixe uzate și cele neutilizate, urmând să le transmită către organul ierarhic superior, pentru a primi autorizația de casare.</w:t>
            </w:r>
          </w:p>
        </w:tc>
        <w:tc>
          <w:tcPr>
            <w:tcW w:w="542" w:type="pct"/>
          </w:tcPr>
          <w:p w14:paraId="5EFF47B5" w14:textId="543AC81C"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bCs/>
                <w:i/>
                <w:iCs/>
                <w:sz w:val="24"/>
                <w:szCs w:val="24"/>
                <w:lang w:val="ro-MD"/>
              </w:rPr>
              <w:t xml:space="preserve">Președintele comisiei de inventariere, </w:t>
            </w:r>
            <w:r w:rsidR="00F232EE">
              <w:rPr>
                <w:rFonts w:asciiTheme="majorHAnsi" w:eastAsia="Times New Roman" w:hAnsiTheme="majorHAnsi" w:cstheme="majorHAnsi"/>
                <w:bCs/>
                <w:i/>
                <w:iCs/>
                <w:sz w:val="24"/>
                <w:szCs w:val="24"/>
                <w:lang w:val="ro-MD"/>
              </w:rPr>
              <w:t>în</w:t>
            </w:r>
            <w:r w:rsidRPr="00255E9C">
              <w:rPr>
                <w:rFonts w:asciiTheme="majorHAnsi" w:eastAsia="Times New Roman" w:hAnsiTheme="majorHAnsi" w:cstheme="majorHAnsi"/>
                <w:bCs/>
                <w:i/>
                <w:iCs/>
                <w:sz w:val="24"/>
                <w:szCs w:val="24"/>
                <w:lang w:val="ro-MD"/>
              </w:rPr>
              <w:t xml:space="preserve"> comun cu contabilul-șef</w:t>
            </w:r>
          </w:p>
        </w:tc>
        <w:tc>
          <w:tcPr>
            <w:tcW w:w="483" w:type="pct"/>
          </w:tcPr>
          <w:p w14:paraId="026EDF0C" w14:textId="77777777" w:rsidR="00300DC4" w:rsidRPr="00255E9C" w:rsidRDefault="00300DC4" w:rsidP="00217DF9">
            <w:pPr>
              <w:spacing w:line="276" w:lineRule="auto"/>
              <w:jc w:val="center"/>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30.04.2023</w:t>
            </w:r>
          </w:p>
          <w:p w14:paraId="726F7F3C" w14:textId="7C570866" w:rsidR="00300DC4" w:rsidRPr="0087750D" w:rsidRDefault="00300DC4" w:rsidP="00217DF9">
            <w:pPr>
              <w:spacing w:line="276" w:lineRule="auto"/>
              <w:jc w:val="center"/>
              <w:rPr>
                <w:rFonts w:asciiTheme="majorHAnsi" w:eastAsia="Times New Roman" w:hAnsiTheme="majorHAnsi" w:cstheme="majorHAnsi"/>
                <w:sz w:val="24"/>
                <w:szCs w:val="24"/>
                <w:lang w:val="ro-MD"/>
              </w:rPr>
            </w:pPr>
          </w:p>
        </w:tc>
      </w:tr>
      <w:tr w:rsidR="00300DC4" w:rsidRPr="0087750D" w14:paraId="0D2B22F5" w14:textId="77777777" w:rsidTr="00300DC4">
        <w:trPr>
          <w:trHeight w:val="492"/>
        </w:trPr>
        <w:tc>
          <w:tcPr>
            <w:tcW w:w="1699" w:type="pct"/>
          </w:tcPr>
          <w:p w14:paraId="2170813A" w14:textId="6E1BB056" w:rsidR="00300DC4" w:rsidRPr="00255E9C" w:rsidRDefault="00300DC4" w:rsidP="00217DF9">
            <w:pPr>
              <w:spacing w:line="276" w:lineRule="auto"/>
              <w:ind w:firstLine="709"/>
              <w:jc w:val="both"/>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 xml:space="preserve">În perioada supusă auditului public extern, deși inventarierea în cadrul </w:t>
            </w:r>
            <w:r w:rsidR="00417A4F">
              <w:rPr>
                <w:rFonts w:asciiTheme="majorHAnsi" w:eastAsia="Times New Roman" w:hAnsiTheme="majorHAnsi" w:cstheme="majorHAnsi"/>
                <w:bCs/>
                <w:i/>
                <w:iCs/>
                <w:sz w:val="24"/>
                <w:szCs w:val="24"/>
                <w:lang w:val="ro-MD"/>
              </w:rPr>
              <w:t>instituțiilor publice</w:t>
            </w:r>
            <w:r w:rsidRPr="00255E9C">
              <w:rPr>
                <w:rFonts w:asciiTheme="majorHAnsi" w:eastAsia="Times New Roman" w:hAnsiTheme="majorHAnsi" w:cstheme="majorHAnsi"/>
                <w:bCs/>
                <w:i/>
                <w:iCs/>
                <w:sz w:val="24"/>
                <w:szCs w:val="24"/>
                <w:lang w:val="ro-MD"/>
              </w:rPr>
              <w:t xml:space="preserve"> din domeniul infrastructurii calității, din punct de vedere procedural, a fost desfășurată în mod regulamentar,  se atestă că rezultatele inventarierii indică doar stabilirea existenței faptice și scriptice a bunurilor aflate în gestiunea entității, nefiind identificate bunurile neutilizate și/sau amortizate integral, neevaluate corespunzător, necasate, netransmise altor entități și, prin urmare, nefiind luate deciziile manageriale de rigoare relevante acestora.</w:t>
            </w:r>
          </w:p>
        </w:tc>
        <w:tc>
          <w:tcPr>
            <w:tcW w:w="956" w:type="pct"/>
          </w:tcPr>
          <w:p w14:paraId="741A4836" w14:textId="434FCA36" w:rsidR="00300DC4" w:rsidRPr="00255E9C" w:rsidRDefault="00300DC4" w:rsidP="00217DF9">
            <w:pPr>
              <w:pStyle w:val="msonormalmailrucssattributepostfix"/>
              <w:spacing w:before="0" w:beforeAutospacing="0" w:after="0" w:afterAutospacing="0" w:line="276" w:lineRule="auto"/>
              <w:ind w:firstLine="746"/>
              <w:jc w:val="both"/>
              <w:rPr>
                <w:rFonts w:asciiTheme="majorHAnsi" w:eastAsia="Times New Roman" w:hAnsiTheme="majorHAnsi" w:cstheme="majorHAnsi"/>
                <w:bCs/>
                <w:i/>
                <w:iCs/>
                <w:lang w:val="ro-MD"/>
              </w:rPr>
            </w:pPr>
            <w:r w:rsidRPr="00255E9C">
              <w:rPr>
                <w:rFonts w:asciiTheme="majorHAnsi" w:eastAsia="Times New Roman" w:hAnsiTheme="majorHAnsi" w:cstheme="majorHAnsi"/>
                <w:bCs/>
                <w:i/>
                <w:iCs/>
                <w:lang w:val="ro-MD"/>
              </w:rPr>
              <w:t xml:space="preserve">Să asigure  efectuarea regulamentară a inventarierii anuale și documentarea corespunzătoare a rezultatelor acesteia (întocmirea Declarației pentru fiecare gestionar de bunuri, întocmirea listelor de inventariere a  creanțelor și datoriilor, </w:t>
            </w:r>
            <w:r w:rsidR="00E842E9" w:rsidRPr="00E842E9">
              <w:rPr>
                <w:rFonts w:asciiTheme="majorHAnsi" w:eastAsia="Times New Roman" w:hAnsiTheme="majorHAnsi" w:cstheme="majorHAnsi"/>
                <w:bCs/>
                <w:i/>
                <w:iCs/>
                <w:lang w:val="ro-MD"/>
              </w:rPr>
              <w:t>completarea</w:t>
            </w:r>
            <w:r w:rsidRPr="00255E9C">
              <w:rPr>
                <w:rFonts w:asciiTheme="majorHAnsi" w:eastAsia="Times New Roman" w:hAnsiTheme="majorHAnsi" w:cstheme="majorHAnsi"/>
                <w:bCs/>
                <w:i/>
                <w:iCs/>
                <w:lang w:val="ro-MD"/>
              </w:rPr>
              <w:t xml:space="preserve"> listelor de inventariere cu mențiunile aferente stării bunurilor, aplicarea semnăturilor pe documentele de inventariere de către persoanele implicate în acest proces) (pct. 4.1.2.; 4.1.2.1.; 4.1.2.2.; 4.1.2.3.; 4.1.2.4.)</w:t>
            </w:r>
            <w:r w:rsidR="00417A4F">
              <w:rPr>
                <w:rFonts w:asciiTheme="majorHAnsi" w:eastAsia="Times New Roman" w:hAnsiTheme="majorHAnsi" w:cstheme="majorHAnsi"/>
                <w:bCs/>
                <w:i/>
                <w:iCs/>
                <w:lang w:val="ro-MD"/>
              </w:rPr>
              <w:t>.</w:t>
            </w:r>
          </w:p>
          <w:p w14:paraId="2F513E06" w14:textId="77777777" w:rsidR="00300DC4" w:rsidRPr="00255E9C" w:rsidRDefault="00300DC4" w:rsidP="00217DF9">
            <w:pPr>
              <w:pStyle w:val="msonormalmailrucssattributepostfix"/>
              <w:spacing w:before="0" w:beforeAutospacing="0" w:after="0" w:afterAutospacing="0" w:line="276" w:lineRule="auto"/>
              <w:ind w:left="38"/>
              <w:jc w:val="both"/>
              <w:rPr>
                <w:rFonts w:asciiTheme="majorHAnsi" w:eastAsia="Times New Roman" w:hAnsiTheme="majorHAnsi" w:cstheme="majorHAnsi"/>
                <w:bCs/>
                <w:i/>
                <w:iCs/>
                <w:lang w:val="ro-MD"/>
              </w:rPr>
            </w:pPr>
          </w:p>
        </w:tc>
        <w:tc>
          <w:tcPr>
            <w:tcW w:w="1319" w:type="pct"/>
          </w:tcPr>
          <w:p w14:paraId="5AC53023" w14:textId="48C318FE" w:rsidR="00300DC4" w:rsidRPr="00255E9C" w:rsidRDefault="00300DC4" w:rsidP="00217DF9">
            <w:pPr>
              <w:spacing w:line="276" w:lineRule="auto"/>
              <w:jc w:val="both"/>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ISSPNPC inițiază regulamentar la sfârșitul anului de gestiune procesul de inventariere</w:t>
            </w:r>
            <w:r w:rsidR="00417A4F">
              <w:rPr>
                <w:rFonts w:asciiTheme="majorHAnsi" w:eastAsia="Times New Roman" w:hAnsiTheme="majorHAnsi" w:cstheme="majorHAnsi"/>
                <w:bCs/>
                <w:i/>
                <w:iCs/>
                <w:sz w:val="24"/>
                <w:szCs w:val="24"/>
                <w:lang w:val="ro-MD"/>
              </w:rPr>
              <w:t>. L</w:t>
            </w:r>
            <w:r w:rsidRPr="00255E9C">
              <w:rPr>
                <w:rFonts w:asciiTheme="majorHAnsi" w:eastAsia="Times New Roman" w:hAnsiTheme="majorHAnsi" w:cstheme="majorHAnsi"/>
                <w:bCs/>
                <w:i/>
                <w:iCs/>
                <w:sz w:val="24"/>
                <w:szCs w:val="24"/>
                <w:lang w:val="ro-MD"/>
              </w:rPr>
              <w:t>ipsa contabilului</w:t>
            </w:r>
            <w:r w:rsidR="00417A4F">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șef, dar și fluxul mare de personal </w:t>
            </w:r>
            <w:r w:rsidR="00417A4F">
              <w:rPr>
                <w:rFonts w:asciiTheme="majorHAnsi" w:eastAsia="Times New Roman" w:hAnsiTheme="majorHAnsi" w:cstheme="majorHAnsi"/>
                <w:bCs/>
                <w:i/>
                <w:iCs/>
                <w:sz w:val="24"/>
                <w:szCs w:val="24"/>
                <w:lang w:val="ro-MD"/>
              </w:rPr>
              <w:t xml:space="preserve">sunt </w:t>
            </w:r>
            <w:r w:rsidRPr="00255E9C">
              <w:rPr>
                <w:rFonts w:asciiTheme="majorHAnsi" w:eastAsia="Times New Roman" w:hAnsiTheme="majorHAnsi" w:cstheme="majorHAnsi"/>
                <w:bCs/>
                <w:i/>
                <w:iCs/>
                <w:sz w:val="24"/>
                <w:szCs w:val="24"/>
                <w:lang w:val="ro-MD"/>
              </w:rPr>
              <w:t xml:space="preserve"> un</w:t>
            </w:r>
            <w:r w:rsidR="00417A4F">
              <w:rPr>
                <w:rFonts w:asciiTheme="majorHAnsi" w:eastAsia="Times New Roman" w:hAnsiTheme="majorHAnsi" w:cstheme="majorHAnsi"/>
                <w:bCs/>
                <w:i/>
                <w:iCs/>
                <w:sz w:val="24"/>
                <w:szCs w:val="24"/>
                <w:lang w:val="ro-MD"/>
              </w:rPr>
              <w:t>ele</w:t>
            </w:r>
            <w:r w:rsidRPr="00255E9C">
              <w:rPr>
                <w:rFonts w:asciiTheme="majorHAnsi" w:eastAsia="Times New Roman" w:hAnsiTheme="majorHAnsi" w:cstheme="majorHAnsi"/>
                <w:bCs/>
                <w:i/>
                <w:iCs/>
                <w:sz w:val="24"/>
                <w:szCs w:val="24"/>
                <w:lang w:val="ro-MD"/>
              </w:rPr>
              <w:t xml:space="preserve"> din motivele un</w:t>
            </w:r>
            <w:r w:rsidR="00417A4F">
              <w:rPr>
                <w:rFonts w:asciiTheme="majorHAnsi" w:eastAsia="Times New Roman" w:hAnsiTheme="majorHAnsi" w:cstheme="majorHAnsi"/>
                <w:bCs/>
                <w:i/>
                <w:iCs/>
                <w:sz w:val="24"/>
                <w:szCs w:val="24"/>
                <w:lang w:val="ro-MD"/>
              </w:rPr>
              <w:t>or</w:t>
            </w:r>
            <w:r w:rsidRPr="00255E9C">
              <w:rPr>
                <w:rFonts w:asciiTheme="majorHAnsi" w:eastAsia="Times New Roman" w:hAnsiTheme="majorHAnsi" w:cstheme="majorHAnsi"/>
                <w:bCs/>
                <w:i/>
                <w:iCs/>
                <w:sz w:val="24"/>
                <w:szCs w:val="24"/>
                <w:lang w:val="ro-MD"/>
              </w:rPr>
              <w:t xml:space="preserve"> scăpări privind documentarea procesului corespunzător. Urmare a recomandării auditului, instituția va depune mai mult efort pentru a asigura documentarea rezultatelor inventarierii</w:t>
            </w:r>
            <w:r w:rsidR="00417A4F">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și anume</w:t>
            </w:r>
            <w:r w:rsidR="00417A4F">
              <w:rPr>
                <w:rFonts w:asciiTheme="majorHAnsi" w:eastAsia="Times New Roman" w:hAnsiTheme="majorHAnsi" w:cstheme="majorHAnsi"/>
                <w:bCs/>
                <w:i/>
                <w:iCs/>
                <w:sz w:val="24"/>
                <w:szCs w:val="24"/>
                <w:lang w:val="ro-MD"/>
              </w:rPr>
              <w:t>,</w:t>
            </w:r>
            <w:r w:rsidRPr="00255E9C">
              <w:rPr>
                <w:rFonts w:asciiTheme="majorHAnsi" w:eastAsia="Times New Roman" w:hAnsiTheme="majorHAnsi" w:cstheme="majorHAnsi"/>
                <w:bCs/>
                <w:i/>
                <w:iCs/>
                <w:sz w:val="24"/>
                <w:szCs w:val="24"/>
                <w:lang w:val="ro-MD"/>
              </w:rPr>
              <w:t xml:space="preserve"> întocmirea listelor cu mențiuni aferente stării bunurilor, precum și asigurarea</w:t>
            </w:r>
            <w:r w:rsidR="00DA643B">
              <w:rPr>
                <w:rFonts w:asciiTheme="majorHAnsi" w:eastAsia="Times New Roman" w:hAnsiTheme="majorHAnsi" w:cstheme="majorHAnsi"/>
                <w:bCs/>
                <w:i/>
                <w:iCs/>
                <w:sz w:val="24"/>
                <w:szCs w:val="24"/>
                <w:lang w:val="ro-MD"/>
              </w:rPr>
              <w:t xml:space="preserve"> cu </w:t>
            </w:r>
            <w:r w:rsidRPr="00255E9C">
              <w:rPr>
                <w:rFonts w:asciiTheme="majorHAnsi" w:eastAsia="Times New Roman" w:hAnsiTheme="majorHAnsi" w:cstheme="majorHAnsi"/>
                <w:bCs/>
                <w:i/>
                <w:iCs/>
                <w:sz w:val="24"/>
                <w:szCs w:val="24"/>
                <w:lang w:val="ro-MD"/>
              </w:rPr>
              <w:t xml:space="preserve"> semnătu</w:t>
            </w:r>
            <w:r w:rsidR="00DA643B">
              <w:rPr>
                <w:rFonts w:asciiTheme="majorHAnsi" w:eastAsia="Times New Roman" w:hAnsiTheme="majorHAnsi" w:cstheme="majorHAnsi"/>
                <w:bCs/>
                <w:i/>
                <w:iCs/>
                <w:sz w:val="24"/>
                <w:szCs w:val="24"/>
                <w:lang w:val="ro-MD"/>
              </w:rPr>
              <w:t>r</w:t>
            </w:r>
            <w:r w:rsidRPr="00255E9C">
              <w:rPr>
                <w:rFonts w:asciiTheme="majorHAnsi" w:eastAsia="Times New Roman" w:hAnsiTheme="majorHAnsi" w:cstheme="majorHAnsi"/>
                <w:bCs/>
                <w:i/>
                <w:iCs/>
                <w:sz w:val="24"/>
                <w:szCs w:val="24"/>
                <w:lang w:val="ro-MD"/>
              </w:rPr>
              <w:t xml:space="preserve">a persoanelor implicate </w:t>
            </w:r>
            <w:r w:rsidR="00DA643B">
              <w:rPr>
                <w:rFonts w:asciiTheme="majorHAnsi" w:eastAsia="Times New Roman" w:hAnsiTheme="majorHAnsi" w:cstheme="majorHAnsi"/>
                <w:bCs/>
                <w:i/>
                <w:iCs/>
                <w:sz w:val="24"/>
                <w:szCs w:val="24"/>
                <w:lang w:val="ro-MD"/>
              </w:rPr>
              <w:t>î</w:t>
            </w:r>
            <w:r w:rsidRPr="00255E9C">
              <w:rPr>
                <w:rFonts w:asciiTheme="majorHAnsi" w:eastAsia="Times New Roman" w:hAnsiTheme="majorHAnsi" w:cstheme="majorHAnsi"/>
                <w:bCs/>
                <w:i/>
                <w:iCs/>
                <w:sz w:val="24"/>
                <w:szCs w:val="24"/>
                <w:lang w:val="ro-MD"/>
              </w:rPr>
              <w:t>n proces.</w:t>
            </w:r>
          </w:p>
        </w:tc>
        <w:tc>
          <w:tcPr>
            <w:tcW w:w="542" w:type="pct"/>
          </w:tcPr>
          <w:p w14:paraId="59D4A540" w14:textId="77777777"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Comisia de Inventariere</w:t>
            </w:r>
          </w:p>
          <w:p w14:paraId="4DD46FBA" w14:textId="77777777"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Secretarul comisiei</w:t>
            </w:r>
          </w:p>
        </w:tc>
        <w:tc>
          <w:tcPr>
            <w:tcW w:w="483" w:type="pct"/>
          </w:tcPr>
          <w:p w14:paraId="69CF067D" w14:textId="77777777" w:rsidR="00300DC4" w:rsidRPr="00255E9C" w:rsidRDefault="00300DC4" w:rsidP="00217DF9">
            <w:pPr>
              <w:spacing w:line="276" w:lineRule="auto"/>
              <w:jc w:val="center"/>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31.12.2022</w:t>
            </w:r>
          </w:p>
          <w:p w14:paraId="4638D408" w14:textId="1126C311" w:rsidR="00300DC4" w:rsidRPr="00255E9C" w:rsidRDefault="00300DC4" w:rsidP="00217DF9">
            <w:pPr>
              <w:spacing w:line="276" w:lineRule="auto"/>
              <w:jc w:val="center"/>
              <w:rPr>
                <w:rFonts w:asciiTheme="majorHAnsi" w:eastAsia="Times New Roman" w:hAnsiTheme="majorHAnsi" w:cstheme="majorHAnsi"/>
                <w:i/>
                <w:sz w:val="24"/>
                <w:szCs w:val="24"/>
                <w:lang w:val="ro-MD"/>
              </w:rPr>
            </w:pPr>
          </w:p>
        </w:tc>
      </w:tr>
      <w:tr w:rsidR="00300DC4" w:rsidRPr="0087750D" w14:paraId="3F5D01F4" w14:textId="77777777" w:rsidTr="00300DC4">
        <w:trPr>
          <w:trHeight w:val="3354"/>
        </w:trPr>
        <w:tc>
          <w:tcPr>
            <w:tcW w:w="1699" w:type="pct"/>
          </w:tcPr>
          <w:p w14:paraId="4AE8C1A2" w14:textId="7FA294D9" w:rsidR="00300DC4" w:rsidRPr="00255E9C" w:rsidRDefault="00300DC4" w:rsidP="00217DF9">
            <w:pPr>
              <w:spacing w:line="276" w:lineRule="auto"/>
              <w:ind w:firstLine="709"/>
              <w:jc w:val="both"/>
              <w:rPr>
                <w:rFonts w:asciiTheme="majorHAnsi" w:eastAsia="Times New Roman" w:hAnsiTheme="majorHAnsi" w:cstheme="majorHAnsi"/>
                <w:bCs/>
                <w:i/>
                <w:iCs/>
                <w:sz w:val="24"/>
                <w:szCs w:val="24"/>
                <w:lang w:val="ro-MD"/>
              </w:rPr>
            </w:pPr>
            <w:r w:rsidRPr="00255E9C">
              <w:rPr>
                <w:rFonts w:asciiTheme="majorHAnsi" w:eastAsia="Times New Roman" w:hAnsiTheme="majorHAnsi" w:cstheme="majorHAnsi"/>
                <w:bCs/>
                <w:i/>
                <w:iCs/>
                <w:sz w:val="24"/>
                <w:szCs w:val="24"/>
                <w:lang w:val="ro-MD"/>
              </w:rPr>
              <w:t xml:space="preserve">APCSP, la data de 31.12.2021, a acumulat 1 555 zile de concediu </w:t>
            </w:r>
            <w:r w:rsidR="00DA643B">
              <w:rPr>
                <w:rFonts w:asciiTheme="majorHAnsi" w:eastAsia="Times New Roman" w:hAnsiTheme="majorHAnsi" w:cstheme="majorHAnsi"/>
                <w:bCs/>
                <w:i/>
                <w:iCs/>
                <w:sz w:val="24"/>
                <w:szCs w:val="24"/>
                <w:lang w:val="ro-MD"/>
              </w:rPr>
              <w:t xml:space="preserve">anual </w:t>
            </w:r>
            <w:r w:rsidRPr="00255E9C">
              <w:rPr>
                <w:rFonts w:asciiTheme="majorHAnsi" w:eastAsia="Times New Roman" w:hAnsiTheme="majorHAnsi" w:cstheme="majorHAnsi"/>
                <w:bCs/>
                <w:i/>
                <w:iCs/>
                <w:sz w:val="24"/>
                <w:szCs w:val="24"/>
                <w:lang w:val="ro-MD"/>
              </w:rPr>
              <w:t>nefolosit</w:t>
            </w:r>
            <w:r w:rsidR="00DA643B">
              <w:rPr>
                <w:rFonts w:asciiTheme="majorHAnsi" w:eastAsia="Times New Roman" w:hAnsiTheme="majorHAnsi" w:cstheme="majorHAnsi"/>
                <w:bCs/>
                <w:i/>
                <w:iCs/>
                <w:sz w:val="24"/>
                <w:szCs w:val="24"/>
                <w:lang w:val="ro-MD"/>
              </w:rPr>
              <w:t>e</w:t>
            </w:r>
            <w:r w:rsidRPr="00255E9C">
              <w:rPr>
                <w:rFonts w:asciiTheme="majorHAnsi" w:eastAsia="Times New Roman" w:hAnsiTheme="majorHAnsi" w:cstheme="majorHAnsi"/>
                <w:bCs/>
                <w:i/>
                <w:iCs/>
                <w:sz w:val="24"/>
                <w:szCs w:val="24"/>
                <w:lang w:val="ro-MD"/>
              </w:rPr>
              <w:t xml:space="preserve"> aferente </w:t>
            </w:r>
            <w:r w:rsidR="00DA643B">
              <w:rPr>
                <w:rFonts w:asciiTheme="majorHAnsi" w:eastAsia="Times New Roman" w:hAnsiTheme="majorHAnsi" w:cstheme="majorHAnsi"/>
                <w:bCs/>
                <w:i/>
                <w:iCs/>
                <w:sz w:val="24"/>
                <w:szCs w:val="24"/>
                <w:lang w:val="ro-MD"/>
              </w:rPr>
              <w:t xml:space="preserve"> </w:t>
            </w:r>
            <w:r w:rsidR="00B52EC6">
              <w:rPr>
                <w:rFonts w:asciiTheme="majorHAnsi" w:eastAsia="Times New Roman" w:hAnsiTheme="majorHAnsi" w:cstheme="majorHAnsi"/>
                <w:bCs/>
                <w:i/>
                <w:iCs/>
                <w:sz w:val="24"/>
                <w:szCs w:val="24"/>
                <w:lang w:val="ro-MD"/>
              </w:rPr>
              <w:t xml:space="preserve">a </w:t>
            </w:r>
            <w:r w:rsidRPr="00255E9C">
              <w:rPr>
                <w:rFonts w:asciiTheme="majorHAnsi" w:eastAsia="Times New Roman" w:hAnsiTheme="majorHAnsi" w:cstheme="majorHAnsi"/>
                <w:bCs/>
                <w:i/>
                <w:iCs/>
                <w:sz w:val="24"/>
                <w:szCs w:val="24"/>
                <w:lang w:val="ro-MD"/>
              </w:rPr>
              <w:t xml:space="preserve">39 funcționari, care, </w:t>
            </w:r>
            <w:r w:rsidR="00DA643B">
              <w:rPr>
                <w:rFonts w:asciiTheme="majorHAnsi" w:eastAsia="Times New Roman" w:hAnsiTheme="majorHAnsi" w:cstheme="majorHAnsi"/>
                <w:bCs/>
                <w:i/>
                <w:iCs/>
                <w:sz w:val="24"/>
                <w:szCs w:val="24"/>
                <w:lang w:val="ro-MD"/>
              </w:rPr>
              <w:t>potrivit</w:t>
            </w:r>
            <w:r w:rsidRPr="00255E9C">
              <w:rPr>
                <w:rFonts w:asciiTheme="majorHAnsi" w:eastAsia="Times New Roman" w:hAnsiTheme="majorHAnsi" w:cstheme="majorHAnsi"/>
                <w:bCs/>
                <w:i/>
                <w:iCs/>
                <w:sz w:val="24"/>
                <w:szCs w:val="24"/>
                <w:lang w:val="ro-MD"/>
              </w:rPr>
              <w:t xml:space="preserve"> estimărilor de audit, impun angajamente legale aferente în valoare de circa 708</w:t>
            </w:r>
            <w:r w:rsidR="00DA643B">
              <w:rPr>
                <w:rFonts w:asciiTheme="majorHAnsi" w:eastAsia="Times New Roman" w:hAnsiTheme="majorHAnsi" w:cstheme="majorHAnsi"/>
                <w:bCs/>
                <w:i/>
                <w:iCs/>
                <w:sz w:val="24"/>
                <w:szCs w:val="24"/>
                <w:lang w:val="ro-MD"/>
              </w:rPr>
              <w:t>,0</w:t>
            </w:r>
            <w:r w:rsidRPr="00255E9C">
              <w:rPr>
                <w:rFonts w:asciiTheme="majorHAnsi" w:eastAsia="Times New Roman" w:hAnsiTheme="majorHAnsi" w:cstheme="majorHAnsi"/>
                <w:bCs/>
                <w:i/>
                <w:iCs/>
                <w:sz w:val="24"/>
                <w:szCs w:val="24"/>
                <w:lang w:val="ro-MD"/>
              </w:rPr>
              <w:t xml:space="preserve"> mii lei. Deși APCSP nu are obligația de a constitui provizioane</w:t>
            </w:r>
            <w:r w:rsidRPr="00255E9C">
              <w:rPr>
                <w:rFonts w:asciiTheme="majorHAnsi" w:eastAsia="Times New Roman" w:hAnsiTheme="majorHAnsi" w:cstheme="majorHAnsi"/>
                <w:bCs/>
                <w:i/>
                <w:iCs/>
                <w:sz w:val="24"/>
                <w:szCs w:val="24"/>
                <w:vertAlign w:val="superscript"/>
                <w:lang w:val="ro-MD"/>
              </w:rPr>
              <w:footnoteReference w:id="76"/>
            </w:r>
            <w:r w:rsidRPr="00255E9C">
              <w:rPr>
                <w:rFonts w:asciiTheme="majorHAnsi" w:eastAsia="Times New Roman" w:hAnsiTheme="majorHAnsi" w:cstheme="majorHAnsi"/>
                <w:bCs/>
                <w:i/>
                <w:iCs/>
                <w:sz w:val="24"/>
                <w:szCs w:val="24"/>
                <w:lang w:val="ro-MD"/>
              </w:rPr>
              <w:t>, această situație condiționează perturbarea echilibrului bugetar al Inspectoratului pentru perioadele viitoare de gestiune. Mai mult decât atât, contrar prevederilor legale</w:t>
            </w:r>
            <w:r w:rsidRPr="00255E9C">
              <w:rPr>
                <w:rFonts w:asciiTheme="majorHAnsi" w:eastAsia="Times New Roman" w:hAnsiTheme="majorHAnsi" w:cstheme="majorHAnsi"/>
                <w:bCs/>
                <w:i/>
                <w:iCs/>
                <w:sz w:val="24"/>
                <w:szCs w:val="24"/>
                <w:vertAlign w:val="superscript"/>
                <w:lang w:val="ro-MD"/>
              </w:rPr>
              <w:footnoteReference w:id="77"/>
            </w:r>
            <w:r w:rsidRPr="00255E9C">
              <w:rPr>
                <w:rFonts w:asciiTheme="majorHAnsi" w:eastAsia="Times New Roman" w:hAnsiTheme="majorHAnsi" w:cstheme="majorHAnsi"/>
                <w:bCs/>
                <w:i/>
                <w:iCs/>
                <w:sz w:val="24"/>
                <w:szCs w:val="24"/>
                <w:lang w:val="ro-MD"/>
              </w:rPr>
              <w:t>, prin rechemarea unor angajați din concediul de odihnă, APCSP neîntemeiat a compensat remunerațiile pentru concediile nefolosite în sumă de c</w:t>
            </w:r>
            <w:r w:rsidR="00DA643B">
              <w:rPr>
                <w:rFonts w:asciiTheme="majorHAnsi" w:eastAsia="Times New Roman" w:hAnsiTheme="majorHAnsi" w:cstheme="majorHAnsi"/>
                <w:bCs/>
                <w:i/>
                <w:iCs/>
                <w:sz w:val="24"/>
                <w:szCs w:val="24"/>
                <w:lang w:val="ro-MD"/>
              </w:rPr>
              <w:t>ir</w:t>
            </w:r>
            <w:r w:rsidRPr="00255E9C">
              <w:rPr>
                <w:rFonts w:asciiTheme="majorHAnsi" w:eastAsia="Times New Roman" w:hAnsiTheme="majorHAnsi" w:cstheme="majorHAnsi"/>
                <w:bCs/>
                <w:i/>
                <w:iCs/>
                <w:sz w:val="24"/>
                <w:szCs w:val="24"/>
                <w:lang w:val="ro-MD"/>
              </w:rPr>
              <w:t xml:space="preserve">ca 44,85 mii lei.  </w:t>
            </w:r>
          </w:p>
          <w:p w14:paraId="5E593945" w14:textId="77777777" w:rsidR="00300DC4" w:rsidRPr="00255E9C" w:rsidRDefault="00300DC4" w:rsidP="00217DF9">
            <w:pPr>
              <w:spacing w:line="276" w:lineRule="auto"/>
              <w:ind w:firstLine="709"/>
              <w:jc w:val="both"/>
              <w:rPr>
                <w:rFonts w:asciiTheme="majorHAnsi" w:eastAsia="Times New Roman" w:hAnsiTheme="majorHAnsi" w:cstheme="majorHAnsi"/>
                <w:bCs/>
                <w:i/>
                <w:iCs/>
                <w:sz w:val="24"/>
                <w:szCs w:val="24"/>
                <w:lang w:val="ro-MD"/>
              </w:rPr>
            </w:pPr>
          </w:p>
        </w:tc>
        <w:tc>
          <w:tcPr>
            <w:tcW w:w="956" w:type="pct"/>
          </w:tcPr>
          <w:p w14:paraId="1FF6E89B" w14:textId="1B353B1A" w:rsidR="00300DC4" w:rsidRPr="00255E9C" w:rsidRDefault="00DA643B" w:rsidP="00217DF9">
            <w:pPr>
              <w:pStyle w:val="msonormalmailrucssattributepostfix"/>
              <w:spacing w:before="0" w:beforeAutospacing="0" w:after="0" w:afterAutospacing="0" w:line="276" w:lineRule="auto"/>
              <w:ind w:firstLine="625"/>
              <w:jc w:val="both"/>
              <w:rPr>
                <w:rFonts w:asciiTheme="majorHAnsi" w:eastAsia="Times New Roman" w:hAnsiTheme="majorHAnsi" w:cstheme="majorHAnsi"/>
                <w:bCs/>
                <w:i/>
                <w:iCs/>
                <w:lang w:val="ro-MD"/>
              </w:rPr>
            </w:pPr>
            <w:r>
              <w:rPr>
                <w:rFonts w:asciiTheme="majorHAnsi" w:eastAsia="Times New Roman" w:hAnsiTheme="majorHAnsi" w:cstheme="majorHAnsi"/>
                <w:bCs/>
                <w:i/>
                <w:iCs/>
                <w:lang w:val="ro-MD"/>
              </w:rPr>
              <w:t>S</w:t>
            </w:r>
            <w:r w:rsidR="00300DC4" w:rsidRPr="00255E9C">
              <w:rPr>
                <w:rFonts w:asciiTheme="majorHAnsi" w:eastAsia="Times New Roman" w:hAnsiTheme="majorHAnsi" w:cstheme="majorHAnsi"/>
                <w:bCs/>
                <w:i/>
                <w:iCs/>
                <w:lang w:val="ro-MD"/>
              </w:rPr>
              <w:t>ă asigure acordarea concediilor anuale în conformitate cu prevederile  cadrului regulator în vigoare (pct.4.3.2.)</w:t>
            </w:r>
            <w:r>
              <w:rPr>
                <w:rFonts w:asciiTheme="majorHAnsi" w:eastAsia="Times New Roman" w:hAnsiTheme="majorHAnsi" w:cstheme="majorHAnsi"/>
                <w:bCs/>
                <w:i/>
                <w:iCs/>
                <w:lang w:val="ro-MD"/>
              </w:rPr>
              <w:t>.</w:t>
            </w:r>
          </w:p>
          <w:p w14:paraId="5E46424C" w14:textId="77777777" w:rsidR="00300DC4" w:rsidRPr="00255E9C" w:rsidRDefault="00300DC4" w:rsidP="00217DF9">
            <w:pPr>
              <w:spacing w:line="276" w:lineRule="auto"/>
              <w:ind w:firstLine="179"/>
              <w:jc w:val="both"/>
              <w:rPr>
                <w:rFonts w:asciiTheme="majorHAnsi" w:eastAsia="Times New Roman" w:hAnsiTheme="majorHAnsi" w:cstheme="majorHAnsi"/>
                <w:bCs/>
                <w:i/>
                <w:iCs/>
                <w:sz w:val="24"/>
                <w:szCs w:val="24"/>
                <w:lang w:val="ro-MD"/>
              </w:rPr>
            </w:pPr>
          </w:p>
        </w:tc>
        <w:tc>
          <w:tcPr>
            <w:tcW w:w="1319" w:type="pct"/>
          </w:tcPr>
          <w:p w14:paraId="486A3C18" w14:textId="5A50F277"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Cu referire la acumularea numărului semnificativ de zile de concediu anual nefolosite</w:t>
            </w:r>
            <w:r w:rsidR="00DA643B">
              <w:rPr>
                <w:rFonts w:asciiTheme="majorHAnsi" w:eastAsia="Times New Roman" w:hAnsiTheme="majorHAnsi" w:cstheme="majorHAnsi"/>
                <w:i/>
                <w:sz w:val="24"/>
                <w:szCs w:val="24"/>
                <w:lang w:val="ro-MD"/>
              </w:rPr>
              <w:t>,</w:t>
            </w:r>
            <w:r w:rsidRPr="00255E9C">
              <w:rPr>
                <w:rFonts w:asciiTheme="majorHAnsi" w:eastAsia="Times New Roman" w:hAnsiTheme="majorHAnsi" w:cstheme="majorHAnsi"/>
                <w:i/>
                <w:sz w:val="24"/>
                <w:szCs w:val="24"/>
                <w:lang w:val="ro-MD"/>
              </w:rPr>
              <w:t xml:space="preserve"> comunicăm următoarele.</w:t>
            </w:r>
          </w:p>
          <w:p w14:paraId="2E90406F" w14:textId="77777777"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 xml:space="preserve">Dat fiind faptul că la data de 31.12.2021 în cadrul Agenției a existat un număr semnificativ de funcții vacante, dar și fluctuația mare a personalului, angajații care au activat au fost în imposibilitatea de a folosi tot concediul anual de odihnă care se cuvine, din motiv că au exercitat un volum considerabil de lucru. </w:t>
            </w:r>
          </w:p>
          <w:p w14:paraId="6F04A263" w14:textId="08C5691D"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 xml:space="preserve">Prin urmare, conform recomandărilor din partea </w:t>
            </w:r>
            <w:r w:rsidR="00A9242C">
              <w:rPr>
                <w:rFonts w:asciiTheme="majorHAnsi" w:eastAsia="Times New Roman" w:hAnsiTheme="majorHAnsi" w:cstheme="majorHAnsi"/>
                <w:i/>
                <w:sz w:val="24"/>
                <w:szCs w:val="24"/>
                <w:lang w:val="ro-MD"/>
              </w:rPr>
              <w:t>Serviciului</w:t>
            </w:r>
            <w:r w:rsidRPr="00255E9C">
              <w:rPr>
                <w:rFonts w:asciiTheme="majorHAnsi" w:eastAsia="Times New Roman" w:hAnsiTheme="majorHAnsi" w:cstheme="majorHAnsi"/>
                <w:i/>
                <w:sz w:val="24"/>
                <w:szCs w:val="24"/>
                <w:lang w:val="ro-MD"/>
              </w:rPr>
              <w:t xml:space="preserve"> </w:t>
            </w:r>
            <w:r w:rsidR="00A9242C">
              <w:rPr>
                <w:rFonts w:asciiTheme="majorHAnsi" w:eastAsia="Times New Roman" w:hAnsiTheme="majorHAnsi" w:cstheme="majorHAnsi"/>
                <w:i/>
                <w:sz w:val="24"/>
                <w:szCs w:val="24"/>
                <w:lang w:val="ro-MD"/>
              </w:rPr>
              <w:t>R</w:t>
            </w:r>
            <w:r w:rsidRPr="00255E9C">
              <w:rPr>
                <w:rFonts w:asciiTheme="majorHAnsi" w:eastAsia="Times New Roman" w:hAnsiTheme="majorHAnsi" w:cstheme="majorHAnsi"/>
                <w:i/>
                <w:sz w:val="24"/>
                <w:szCs w:val="24"/>
                <w:lang w:val="ro-MD"/>
              </w:rPr>
              <w:t>esurse</w:t>
            </w:r>
            <w:r w:rsidR="00A9242C">
              <w:rPr>
                <w:rFonts w:asciiTheme="majorHAnsi" w:eastAsia="Times New Roman" w:hAnsiTheme="majorHAnsi" w:cstheme="majorHAnsi"/>
                <w:i/>
                <w:sz w:val="24"/>
                <w:szCs w:val="24"/>
                <w:lang w:val="ro-MD"/>
              </w:rPr>
              <w:t xml:space="preserve"> U</w:t>
            </w:r>
            <w:r w:rsidRPr="00255E9C">
              <w:rPr>
                <w:rFonts w:asciiTheme="majorHAnsi" w:eastAsia="Times New Roman" w:hAnsiTheme="majorHAnsi" w:cstheme="majorHAnsi"/>
                <w:i/>
                <w:sz w:val="24"/>
                <w:szCs w:val="24"/>
                <w:lang w:val="ro-MD"/>
              </w:rPr>
              <w:t xml:space="preserve">mane, precum și măsurilor luate de către </w:t>
            </w:r>
            <w:r w:rsidR="00A9242C">
              <w:rPr>
                <w:rFonts w:asciiTheme="majorHAnsi" w:eastAsia="Times New Roman" w:hAnsiTheme="majorHAnsi" w:cstheme="majorHAnsi"/>
                <w:i/>
                <w:sz w:val="24"/>
                <w:szCs w:val="24"/>
                <w:lang w:val="ro-MD"/>
              </w:rPr>
              <w:t>c</w:t>
            </w:r>
            <w:r w:rsidRPr="00255E9C">
              <w:rPr>
                <w:rFonts w:asciiTheme="majorHAnsi" w:eastAsia="Times New Roman" w:hAnsiTheme="majorHAnsi" w:cstheme="majorHAnsi"/>
                <w:i/>
                <w:sz w:val="24"/>
                <w:szCs w:val="24"/>
                <w:lang w:val="ro-MD"/>
              </w:rPr>
              <w:t>onducere în scopul utilizării concediilor nefolosite, la situația din 08 decembrie 2022</w:t>
            </w:r>
            <w:r w:rsidR="00A9242C">
              <w:rPr>
                <w:rFonts w:asciiTheme="majorHAnsi" w:eastAsia="Times New Roman" w:hAnsiTheme="majorHAnsi" w:cstheme="majorHAnsi"/>
                <w:i/>
                <w:sz w:val="24"/>
                <w:szCs w:val="24"/>
                <w:lang w:val="ro-MD"/>
              </w:rPr>
              <w:t>,</w:t>
            </w:r>
            <w:r w:rsidRPr="00255E9C">
              <w:rPr>
                <w:rFonts w:asciiTheme="majorHAnsi" w:eastAsia="Times New Roman" w:hAnsiTheme="majorHAnsi" w:cstheme="majorHAnsi"/>
                <w:i/>
                <w:sz w:val="24"/>
                <w:szCs w:val="24"/>
                <w:lang w:val="ro-MD"/>
              </w:rPr>
              <w:t xml:space="preserve"> au fost folosite 1384 zile de concediu de odihnă anual, iar angajaților care au încetat raporturile de serviciu</w:t>
            </w:r>
            <w:r w:rsidR="00A9242C">
              <w:rPr>
                <w:rFonts w:asciiTheme="majorHAnsi" w:eastAsia="Times New Roman" w:hAnsiTheme="majorHAnsi" w:cstheme="majorHAnsi"/>
                <w:i/>
                <w:sz w:val="24"/>
                <w:szCs w:val="24"/>
                <w:lang w:val="ro-MD"/>
              </w:rPr>
              <w:t>,</w:t>
            </w:r>
            <w:r w:rsidRPr="00255E9C">
              <w:rPr>
                <w:rFonts w:asciiTheme="majorHAnsi" w:eastAsia="Times New Roman" w:hAnsiTheme="majorHAnsi" w:cstheme="majorHAnsi"/>
                <w:i/>
                <w:sz w:val="24"/>
                <w:szCs w:val="24"/>
                <w:lang w:val="ro-MD"/>
              </w:rPr>
              <w:t xml:space="preserve"> prin demisie pe parcursul anului 2022, li s-a achitat compensație pentru 378 zile de concediu nefolosite.</w:t>
            </w:r>
          </w:p>
          <w:p w14:paraId="1FD6956C" w14:textId="01256B82"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Totodată</w:t>
            </w:r>
            <w:r w:rsidR="00A9242C">
              <w:rPr>
                <w:rFonts w:asciiTheme="majorHAnsi" w:eastAsia="Times New Roman" w:hAnsiTheme="majorHAnsi" w:cstheme="majorHAnsi"/>
                <w:i/>
                <w:sz w:val="24"/>
                <w:szCs w:val="24"/>
                <w:lang w:val="ro-MD"/>
              </w:rPr>
              <w:t>,</w:t>
            </w:r>
            <w:r w:rsidRPr="00255E9C">
              <w:rPr>
                <w:rFonts w:asciiTheme="majorHAnsi" w:eastAsia="Times New Roman" w:hAnsiTheme="majorHAnsi" w:cstheme="majorHAnsi"/>
                <w:i/>
                <w:sz w:val="24"/>
                <w:szCs w:val="24"/>
                <w:lang w:val="ro-MD"/>
              </w:rPr>
              <w:t xml:space="preserve"> la 15 decembrie 2021 a fost aprobat graficul concediilor de odihnă ale salariaților pentru anul 2022, țin</w:t>
            </w:r>
            <w:r w:rsidR="00A9242C">
              <w:rPr>
                <w:rFonts w:asciiTheme="majorHAnsi" w:eastAsia="Times New Roman" w:hAnsiTheme="majorHAnsi" w:cstheme="majorHAnsi"/>
                <w:i/>
                <w:sz w:val="24"/>
                <w:szCs w:val="24"/>
                <w:lang w:val="ro-MD"/>
              </w:rPr>
              <w:t>â</w:t>
            </w:r>
            <w:r w:rsidRPr="00255E9C">
              <w:rPr>
                <w:rFonts w:asciiTheme="majorHAnsi" w:eastAsia="Times New Roman" w:hAnsiTheme="majorHAnsi" w:cstheme="majorHAnsi"/>
                <w:i/>
                <w:sz w:val="24"/>
                <w:szCs w:val="24"/>
                <w:lang w:val="ro-MD"/>
              </w:rPr>
              <w:t xml:space="preserve">ndu-se cont de dorința fiecărui salariat, precum și </w:t>
            </w:r>
            <w:r w:rsidR="00A9242C">
              <w:rPr>
                <w:rFonts w:asciiTheme="majorHAnsi" w:eastAsia="Times New Roman" w:hAnsiTheme="majorHAnsi" w:cstheme="majorHAnsi"/>
                <w:i/>
                <w:sz w:val="24"/>
                <w:szCs w:val="24"/>
                <w:lang w:val="ro-MD"/>
              </w:rPr>
              <w:t xml:space="preserve">de </w:t>
            </w:r>
            <w:r w:rsidRPr="00255E9C">
              <w:rPr>
                <w:rFonts w:asciiTheme="majorHAnsi" w:eastAsia="Times New Roman" w:hAnsiTheme="majorHAnsi" w:cstheme="majorHAnsi"/>
                <w:i/>
                <w:sz w:val="24"/>
                <w:szCs w:val="24"/>
                <w:lang w:val="ro-MD"/>
              </w:rPr>
              <w:t>necesitatea asigurării bunei funcționări a subdiviziunilor. Pe parcursul anului 2023</w:t>
            </w:r>
            <w:r w:rsidR="00A9242C">
              <w:rPr>
                <w:rFonts w:asciiTheme="majorHAnsi" w:eastAsia="Times New Roman" w:hAnsiTheme="majorHAnsi" w:cstheme="majorHAnsi"/>
                <w:i/>
                <w:sz w:val="24"/>
                <w:szCs w:val="24"/>
                <w:lang w:val="ro-MD"/>
              </w:rPr>
              <w:t>,</w:t>
            </w:r>
            <w:r w:rsidRPr="00255E9C">
              <w:rPr>
                <w:rFonts w:asciiTheme="majorHAnsi" w:eastAsia="Times New Roman" w:hAnsiTheme="majorHAnsi" w:cstheme="majorHAnsi"/>
                <w:i/>
                <w:sz w:val="24"/>
                <w:szCs w:val="24"/>
                <w:lang w:val="ro-MD"/>
              </w:rPr>
              <w:t xml:space="preserve"> Serviciul Resurse Umane va monitoriza zilele de concediu si va înainta propuneri privind acordarea concediilor în conformitate cu prevederile  cadrului normativ</w:t>
            </w:r>
            <w:r w:rsidR="00A9242C">
              <w:rPr>
                <w:rFonts w:asciiTheme="majorHAnsi" w:eastAsia="Times New Roman" w:hAnsiTheme="majorHAnsi" w:cstheme="majorHAnsi"/>
                <w:i/>
                <w:sz w:val="24"/>
                <w:szCs w:val="24"/>
                <w:lang w:val="ro-MD"/>
              </w:rPr>
              <w:t>.</w:t>
            </w:r>
          </w:p>
          <w:p w14:paraId="062F019E" w14:textId="77777777" w:rsidR="00300DC4" w:rsidRPr="00255E9C" w:rsidRDefault="00300DC4" w:rsidP="00217DF9">
            <w:pPr>
              <w:spacing w:line="276" w:lineRule="auto"/>
              <w:jc w:val="both"/>
              <w:rPr>
                <w:rFonts w:asciiTheme="majorHAnsi" w:eastAsia="Times New Roman" w:hAnsiTheme="majorHAnsi" w:cstheme="majorHAnsi"/>
                <w:i/>
                <w:sz w:val="24"/>
                <w:szCs w:val="24"/>
                <w:lang w:val="ro-MD"/>
              </w:rPr>
            </w:pPr>
          </w:p>
        </w:tc>
        <w:tc>
          <w:tcPr>
            <w:tcW w:w="542" w:type="pct"/>
          </w:tcPr>
          <w:p w14:paraId="545DB269" w14:textId="77777777" w:rsidR="00300DC4" w:rsidRPr="00255E9C" w:rsidRDefault="00300DC4" w:rsidP="00217DF9">
            <w:pPr>
              <w:spacing w:line="276" w:lineRule="auto"/>
              <w:jc w:val="both"/>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Serviciul Resurse Umane</w:t>
            </w:r>
          </w:p>
        </w:tc>
        <w:tc>
          <w:tcPr>
            <w:tcW w:w="483" w:type="pct"/>
          </w:tcPr>
          <w:p w14:paraId="07F8EDDA" w14:textId="464257CD" w:rsidR="00DA643B" w:rsidRDefault="00300DC4" w:rsidP="00217DF9">
            <w:pPr>
              <w:spacing w:line="276" w:lineRule="auto"/>
              <w:jc w:val="center"/>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Pe parcursul anului 2023</w:t>
            </w:r>
          </w:p>
          <w:p w14:paraId="29923FD6" w14:textId="1399FBB9" w:rsidR="00300DC4" w:rsidRPr="00255E9C" w:rsidRDefault="00300DC4" w:rsidP="00217DF9">
            <w:pPr>
              <w:spacing w:line="276" w:lineRule="auto"/>
              <w:jc w:val="center"/>
              <w:rPr>
                <w:rFonts w:asciiTheme="majorHAnsi" w:eastAsia="Times New Roman" w:hAnsiTheme="majorHAnsi" w:cstheme="majorHAnsi"/>
                <w:i/>
                <w:sz w:val="24"/>
                <w:szCs w:val="24"/>
                <w:lang w:val="ro-MD"/>
              </w:rPr>
            </w:pPr>
          </w:p>
          <w:p w14:paraId="2EDC0CB2" w14:textId="1D6D3A97" w:rsidR="00BC70D1" w:rsidRPr="00255E9C" w:rsidRDefault="00FD5A86" w:rsidP="00217DF9">
            <w:pPr>
              <w:spacing w:line="276" w:lineRule="auto"/>
              <w:jc w:val="center"/>
              <w:rPr>
                <w:rFonts w:asciiTheme="majorHAnsi" w:eastAsia="Times New Roman" w:hAnsiTheme="majorHAnsi" w:cstheme="majorHAnsi"/>
                <w:i/>
                <w:sz w:val="24"/>
                <w:szCs w:val="24"/>
                <w:lang w:val="ro-MD"/>
              </w:rPr>
            </w:pPr>
            <w:r w:rsidRPr="00255E9C">
              <w:rPr>
                <w:rFonts w:asciiTheme="majorHAnsi" w:eastAsia="Times New Roman" w:hAnsiTheme="majorHAnsi" w:cstheme="majorHAnsi"/>
                <w:i/>
                <w:sz w:val="24"/>
                <w:szCs w:val="24"/>
                <w:lang w:val="ro-MD"/>
              </w:rPr>
              <w:t>30.06</w:t>
            </w:r>
            <w:r w:rsidR="00BC70D1" w:rsidRPr="00255E9C">
              <w:rPr>
                <w:rFonts w:asciiTheme="majorHAnsi" w:eastAsia="Times New Roman" w:hAnsiTheme="majorHAnsi" w:cstheme="majorHAnsi"/>
                <w:i/>
                <w:sz w:val="24"/>
                <w:szCs w:val="24"/>
                <w:lang w:val="ro-MD"/>
              </w:rPr>
              <w:t>.2023</w:t>
            </w:r>
          </w:p>
          <w:p w14:paraId="6AA7B87A" w14:textId="77777777" w:rsidR="00300DC4" w:rsidRPr="0087750D" w:rsidRDefault="00300DC4" w:rsidP="00217DF9">
            <w:pPr>
              <w:spacing w:line="276" w:lineRule="auto"/>
              <w:jc w:val="center"/>
              <w:rPr>
                <w:rFonts w:asciiTheme="majorHAnsi" w:eastAsia="Times New Roman" w:hAnsiTheme="majorHAnsi" w:cstheme="majorHAnsi"/>
                <w:sz w:val="24"/>
                <w:szCs w:val="24"/>
                <w:lang w:val="ro-MD"/>
              </w:rPr>
            </w:pPr>
          </w:p>
        </w:tc>
      </w:tr>
    </w:tbl>
    <w:p w14:paraId="6E20BB1D" w14:textId="77777777" w:rsidR="00300DC4" w:rsidRPr="0087750D" w:rsidRDefault="00300DC4" w:rsidP="00300DC4">
      <w:pPr>
        <w:spacing w:after="0" w:line="276" w:lineRule="auto"/>
        <w:jc w:val="center"/>
        <w:rPr>
          <w:rFonts w:asciiTheme="majorHAnsi" w:hAnsiTheme="majorHAnsi" w:cstheme="majorHAnsi"/>
          <w:b/>
          <w:bCs/>
          <w:sz w:val="24"/>
          <w:szCs w:val="24"/>
          <w:lang w:val="ro-MD"/>
        </w:rPr>
      </w:pPr>
    </w:p>
    <w:p w14:paraId="78B740B1" w14:textId="77777777" w:rsidR="00300DC4" w:rsidRPr="0087750D" w:rsidRDefault="00300DC4" w:rsidP="00300DC4">
      <w:pPr>
        <w:rPr>
          <w:rFonts w:asciiTheme="majorHAnsi" w:hAnsiTheme="majorHAnsi" w:cstheme="majorHAnsi"/>
          <w:sz w:val="24"/>
          <w:szCs w:val="24"/>
          <w:lang w:val="ro-MD"/>
        </w:rPr>
      </w:pPr>
    </w:p>
    <w:p w14:paraId="2939BB91" w14:textId="77777777" w:rsidR="00300DC4" w:rsidRPr="0087750D" w:rsidRDefault="00300DC4" w:rsidP="00300DC4">
      <w:pPr>
        <w:rPr>
          <w:rFonts w:asciiTheme="majorHAnsi" w:hAnsiTheme="majorHAnsi" w:cstheme="majorHAnsi"/>
          <w:sz w:val="24"/>
          <w:szCs w:val="24"/>
          <w:lang w:val="ro-MD"/>
        </w:rPr>
      </w:pPr>
      <w:r w:rsidRPr="0087750D">
        <w:rPr>
          <w:rFonts w:asciiTheme="majorHAnsi" w:hAnsiTheme="majorHAnsi" w:cstheme="majorHAnsi"/>
          <w:sz w:val="24"/>
          <w:szCs w:val="24"/>
          <w:lang w:val="ro-MD"/>
        </w:rPr>
        <w:t>Conducătorul ISSPNPC, Sergiu DĂRĂNUȚĂ    ______________________________</w:t>
      </w:r>
    </w:p>
    <w:p w14:paraId="26DD677E" w14:textId="77777777" w:rsidR="00300DC4" w:rsidRPr="0087750D" w:rsidRDefault="00300DC4" w:rsidP="00300DC4">
      <w:pPr>
        <w:rPr>
          <w:rFonts w:asciiTheme="majorHAnsi" w:hAnsiTheme="majorHAnsi" w:cstheme="majorHAnsi"/>
          <w:sz w:val="24"/>
          <w:szCs w:val="24"/>
          <w:lang w:val="ro-MD"/>
        </w:rPr>
      </w:pPr>
    </w:p>
    <w:p w14:paraId="16D820FF" w14:textId="386E2B9A" w:rsidR="00300DC4" w:rsidRDefault="00300DC4" w:rsidP="00300DC4">
      <w:pPr>
        <w:rPr>
          <w:rFonts w:asciiTheme="majorHAnsi" w:hAnsiTheme="majorHAnsi" w:cstheme="majorHAnsi"/>
          <w:sz w:val="24"/>
          <w:szCs w:val="24"/>
          <w:lang w:val="ro-MD"/>
        </w:rPr>
      </w:pPr>
      <w:r w:rsidRPr="0087750D">
        <w:rPr>
          <w:rFonts w:asciiTheme="majorHAnsi" w:hAnsiTheme="majorHAnsi" w:cstheme="majorHAnsi"/>
          <w:sz w:val="24"/>
          <w:szCs w:val="24"/>
          <w:lang w:val="ro-MD"/>
        </w:rPr>
        <w:t xml:space="preserve">Executor: Șef </w:t>
      </w:r>
      <w:r w:rsidR="008E6CA1">
        <w:rPr>
          <w:rFonts w:asciiTheme="majorHAnsi" w:hAnsiTheme="majorHAnsi" w:cstheme="majorHAnsi"/>
          <w:sz w:val="24"/>
          <w:szCs w:val="24"/>
          <w:lang w:val="ro-MD"/>
        </w:rPr>
        <w:t>D</w:t>
      </w:r>
      <w:r w:rsidRPr="0087750D">
        <w:rPr>
          <w:rFonts w:asciiTheme="majorHAnsi" w:hAnsiTheme="majorHAnsi" w:cstheme="majorHAnsi"/>
          <w:sz w:val="24"/>
          <w:szCs w:val="24"/>
          <w:lang w:val="ro-MD"/>
        </w:rPr>
        <w:t>irecți</w:t>
      </w:r>
      <w:r w:rsidR="008201E8">
        <w:rPr>
          <w:rFonts w:asciiTheme="majorHAnsi" w:hAnsiTheme="majorHAnsi" w:cstheme="majorHAnsi"/>
          <w:sz w:val="24"/>
          <w:szCs w:val="24"/>
          <w:lang w:val="ro-MD"/>
        </w:rPr>
        <w:t>a</w:t>
      </w:r>
      <w:r w:rsidRPr="0087750D">
        <w:rPr>
          <w:rFonts w:asciiTheme="majorHAnsi" w:hAnsiTheme="majorHAnsi" w:cstheme="majorHAnsi"/>
          <w:sz w:val="24"/>
          <w:szCs w:val="24"/>
          <w:lang w:val="ro-MD"/>
        </w:rPr>
        <w:t xml:space="preserve"> management institu</w:t>
      </w:r>
      <w:r w:rsidR="008201E8">
        <w:rPr>
          <w:rFonts w:asciiTheme="majorHAnsi" w:hAnsiTheme="majorHAnsi" w:cstheme="majorHAnsi"/>
          <w:sz w:val="24"/>
          <w:szCs w:val="24"/>
          <w:lang w:val="ro-MD"/>
        </w:rPr>
        <w:t>ț</w:t>
      </w:r>
      <w:r w:rsidRPr="0087750D">
        <w:rPr>
          <w:rFonts w:asciiTheme="majorHAnsi" w:hAnsiTheme="majorHAnsi" w:cstheme="majorHAnsi"/>
          <w:sz w:val="24"/>
          <w:szCs w:val="24"/>
          <w:lang w:val="ro-MD"/>
        </w:rPr>
        <w:t>ional, Viorica Iuzi  ___________________</w:t>
      </w:r>
    </w:p>
    <w:p w14:paraId="1E7C45B9" w14:textId="068E8DDE" w:rsidR="00A9242C" w:rsidRDefault="00A9242C" w:rsidP="00300DC4">
      <w:pPr>
        <w:rPr>
          <w:rFonts w:asciiTheme="majorHAnsi" w:hAnsiTheme="majorHAnsi" w:cstheme="majorHAnsi"/>
          <w:sz w:val="24"/>
          <w:szCs w:val="24"/>
          <w:lang w:val="ro-MD"/>
        </w:rPr>
      </w:pPr>
    </w:p>
    <w:p w14:paraId="25E5340C" w14:textId="2D81CA37" w:rsidR="00A9242C" w:rsidRDefault="00A9242C" w:rsidP="00300DC4">
      <w:pPr>
        <w:rPr>
          <w:rFonts w:asciiTheme="majorHAnsi" w:hAnsiTheme="majorHAnsi" w:cstheme="majorHAnsi"/>
          <w:sz w:val="24"/>
          <w:szCs w:val="24"/>
          <w:lang w:val="ro-MD"/>
        </w:rPr>
      </w:pPr>
    </w:p>
    <w:p w14:paraId="67376D87" w14:textId="77777777" w:rsidR="00A9242C" w:rsidRPr="0087750D" w:rsidRDefault="00A9242C" w:rsidP="00300DC4">
      <w:pPr>
        <w:rPr>
          <w:rFonts w:asciiTheme="majorHAnsi" w:hAnsiTheme="majorHAnsi" w:cstheme="majorHAnsi"/>
          <w:sz w:val="24"/>
          <w:szCs w:val="24"/>
          <w:lang w:val="ro-MD"/>
        </w:rPr>
      </w:pPr>
    </w:p>
    <w:p w14:paraId="30260C11" w14:textId="77777777" w:rsidR="00BD1605" w:rsidRDefault="00BD1605" w:rsidP="00BD1605">
      <w:pPr>
        <w:spacing w:after="0" w:line="276" w:lineRule="auto"/>
        <w:jc w:val="center"/>
        <w:rPr>
          <w:rFonts w:cs="Calibri"/>
          <w:b/>
          <w:sz w:val="24"/>
          <w:szCs w:val="24"/>
        </w:rPr>
      </w:pPr>
      <w:r>
        <w:rPr>
          <w:rFonts w:cs="Calibri"/>
          <w:b/>
          <w:sz w:val="24"/>
          <w:szCs w:val="24"/>
        </w:rPr>
        <w:t xml:space="preserve">PLANUL DE ACȚIUNI </w:t>
      </w:r>
    </w:p>
    <w:p w14:paraId="3EA9A2EC" w14:textId="77777777" w:rsidR="00BD1605" w:rsidRDefault="00BD1605" w:rsidP="00BD1605">
      <w:pPr>
        <w:spacing w:after="0" w:line="276" w:lineRule="auto"/>
        <w:jc w:val="center"/>
        <w:rPr>
          <w:rFonts w:cs="Calibri"/>
          <w:b/>
          <w:sz w:val="24"/>
          <w:szCs w:val="24"/>
        </w:rPr>
      </w:pPr>
      <w:r>
        <w:rPr>
          <w:rFonts w:cs="Calibri"/>
          <w:b/>
          <w:sz w:val="24"/>
          <w:szCs w:val="24"/>
        </w:rPr>
        <w:t>privind implementarea recomandărilor CCRM de către Institutul Național de Metrologie</w:t>
      </w:r>
    </w:p>
    <w:p w14:paraId="0CDBFACC" w14:textId="77777777" w:rsidR="00BD1605" w:rsidRDefault="00BD1605" w:rsidP="00BD1605">
      <w:pPr>
        <w:spacing w:after="0" w:line="276" w:lineRule="auto"/>
        <w:jc w:val="center"/>
        <w:rPr>
          <w:rFonts w:cs="Calibri"/>
          <w:b/>
          <w:sz w:val="24"/>
          <w:szCs w:val="24"/>
        </w:rPr>
      </w:pPr>
    </w:p>
    <w:tbl>
      <w:tblPr>
        <w:tblW w:w="13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2694"/>
        <w:gridCol w:w="1985"/>
        <w:gridCol w:w="1985"/>
        <w:gridCol w:w="1848"/>
      </w:tblGrid>
      <w:tr w:rsidR="00BD1605" w14:paraId="260FFAD9" w14:textId="77777777" w:rsidTr="00461A81">
        <w:trPr>
          <w:trHeight w:val="1074"/>
        </w:trPr>
        <w:tc>
          <w:tcPr>
            <w:tcW w:w="4956" w:type="dxa"/>
          </w:tcPr>
          <w:p w14:paraId="6E312D63" w14:textId="77777777" w:rsidR="00BD1605" w:rsidRPr="00255E9C" w:rsidRDefault="00BD1605" w:rsidP="00461A81">
            <w:pPr>
              <w:spacing w:line="276" w:lineRule="auto"/>
              <w:jc w:val="center"/>
              <w:rPr>
                <w:rFonts w:cs="Calibri"/>
                <w:b/>
                <w:sz w:val="20"/>
                <w:szCs w:val="20"/>
              </w:rPr>
            </w:pPr>
          </w:p>
          <w:p w14:paraId="6FA72187" w14:textId="77777777" w:rsidR="00BD1605" w:rsidRPr="00255E9C" w:rsidRDefault="00BD1605" w:rsidP="00461A81">
            <w:pPr>
              <w:spacing w:line="276" w:lineRule="auto"/>
              <w:jc w:val="center"/>
              <w:rPr>
                <w:rFonts w:cs="Calibri"/>
                <w:b/>
                <w:sz w:val="20"/>
                <w:szCs w:val="20"/>
              </w:rPr>
            </w:pPr>
          </w:p>
          <w:p w14:paraId="79BE2DE7" w14:textId="758B8045" w:rsidR="00BD1605" w:rsidRPr="00255E9C" w:rsidRDefault="00BD1605" w:rsidP="00461A81">
            <w:pPr>
              <w:spacing w:line="276" w:lineRule="auto"/>
              <w:jc w:val="center"/>
              <w:rPr>
                <w:rFonts w:cs="Calibri"/>
                <w:b/>
                <w:sz w:val="20"/>
                <w:szCs w:val="20"/>
              </w:rPr>
            </w:pPr>
            <w:r w:rsidRPr="00255E9C">
              <w:rPr>
                <w:rFonts w:cs="Calibri"/>
                <w:b/>
                <w:sz w:val="20"/>
                <w:szCs w:val="20"/>
              </w:rPr>
              <w:t>Constat</w:t>
            </w:r>
            <w:r w:rsidR="00913348">
              <w:rPr>
                <w:rFonts w:cs="Calibri"/>
                <w:b/>
                <w:sz w:val="20"/>
                <w:szCs w:val="20"/>
              </w:rPr>
              <w:t>ările</w:t>
            </w:r>
            <w:r w:rsidRPr="00255E9C">
              <w:rPr>
                <w:rFonts w:cs="Calibri"/>
                <w:b/>
                <w:sz w:val="20"/>
                <w:szCs w:val="20"/>
              </w:rPr>
              <w:t xml:space="preserve"> de audit</w:t>
            </w:r>
          </w:p>
        </w:tc>
        <w:tc>
          <w:tcPr>
            <w:tcW w:w="2694" w:type="dxa"/>
          </w:tcPr>
          <w:p w14:paraId="0FF3EC7C" w14:textId="77777777" w:rsidR="00BD1605" w:rsidRPr="00255E9C" w:rsidRDefault="00BD1605" w:rsidP="00461A81">
            <w:pPr>
              <w:spacing w:line="276" w:lineRule="auto"/>
              <w:jc w:val="center"/>
              <w:rPr>
                <w:rFonts w:cs="Calibri"/>
                <w:b/>
                <w:sz w:val="20"/>
                <w:szCs w:val="20"/>
              </w:rPr>
            </w:pPr>
          </w:p>
          <w:p w14:paraId="1BC40460" w14:textId="77777777" w:rsidR="00BD1605" w:rsidRPr="00255E9C" w:rsidRDefault="00BD1605" w:rsidP="00461A81">
            <w:pPr>
              <w:spacing w:line="276" w:lineRule="auto"/>
              <w:jc w:val="center"/>
              <w:rPr>
                <w:rFonts w:cs="Calibri"/>
                <w:b/>
                <w:sz w:val="20"/>
                <w:szCs w:val="20"/>
              </w:rPr>
            </w:pPr>
          </w:p>
          <w:p w14:paraId="49E89A9C" w14:textId="77777777" w:rsidR="00BD1605" w:rsidRPr="00255E9C" w:rsidRDefault="00BD1605" w:rsidP="00461A81">
            <w:pPr>
              <w:spacing w:line="276" w:lineRule="auto"/>
              <w:jc w:val="center"/>
              <w:rPr>
                <w:rFonts w:cs="Calibri"/>
                <w:b/>
                <w:sz w:val="20"/>
                <w:szCs w:val="20"/>
              </w:rPr>
            </w:pPr>
            <w:r w:rsidRPr="00255E9C">
              <w:rPr>
                <w:rFonts w:cs="Calibri"/>
                <w:b/>
                <w:sz w:val="20"/>
                <w:szCs w:val="20"/>
              </w:rPr>
              <w:t>Recomandările auditului</w:t>
            </w:r>
          </w:p>
        </w:tc>
        <w:tc>
          <w:tcPr>
            <w:tcW w:w="1985" w:type="dxa"/>
          </w:tcPr>
          <w:p w14:paraId="7B80344D" w14:textId="77777777" w:rsidR="00BD1605" w:rsidRPr="00255E9C" w:rsidRDefault="00BD1605" w:rsidP="00461A81">
            <w:pPr>
              <w:spacing w:line="276" w:lineRule="auto"/>
              <w:jc w:val="center"/>
              <w:rPr>
                <w:rFonts w:cs="Calibri"/>
                <w:b/>
                <w:sz w:val="20"/>
                <w:szCs w:val="20"/>
              </w:rPr>
            </w:pPr>
          </w:p>
          <w:p w14:paraId="006361D1" w14:textId="77777777" w:rsidR="00BD1605" w:rsidRPr="00255E9C" w:rsidRDefault="00BD1605" w:rsidP="00461A81">
            <w:pPr>
              <w:spacing w:line="276" w:lineRule="auto"/>
              <w:jc w:val="center"/>
              <w:rPr>
                <w:rFonts w:cs="Calibri"/>
                <w:b/>
                <w:sz w:val="20"/>
                <w:szCs w:val="20"/>
              </w:rPr>
            </w:pPr>
            <w:r w:rsidRPr="00255E9C">
              <w:rPr>
                <w:rFonts w:cs="Calibri"/>
                <w:b/>
                <w:sz w:val="20"/>
                <w:szCs w:val="20"/>
              </w:rPr>
              <w:t>Măsurile/acțiunile concrete care urmează a fi întreprinse</w:t>
            </w:r>
          </w:p>
        </w:tc>
        <w:tc>
          <w:tcPr>
            <w:tcW w:w="1985" w:type="dxa"/>
          </w:tcPr>
          <w:p w14:paraId="7FAC3B81" w14:textId="77777777" w:rsidR="00BD1605" w:rsidRPr="00255E9C" w:rsidRDefault="00BD1605" w:rsidP="00461A81">
            <w:pPr>
              <w:spacing w:line="276" w:lineRule="auto"/>
              <w:jc w:val="center"/>
              <w:rPr>
                <w:rFonts w:cs="Calibri"/>
                <w:b/>
                <w:sz w:val="20"/>
                <w:szCs w:val="20"/>
              </w:rPr>
            </w:pPr>
          </w:p>
          <w:p w14:paraId="0D73C6FE" w14:textId="77777777" w:rsidR="00BD1605" w:rsidRPr="00255E9C" w:rsidRDefault="00BD1605" w:rsidP="00461A81">
            <w:pPr>
              <w:spacing w:line="276" w:lineRule="auto"/>
              <w:jc w:val="center"/>
              <w:rPr>
                <w:rFonts w:cs="Calibri"/>
                <w:b/>
                <w:sz w:val="20"/>
                <w:szCs w:val="20"/>
              </w:rPr>
            </w:pPr>
            <w:r w:rsidRPr="00255E9C">
              <w:rPr>
                <w:rFonts w:cs="Calibri"/>
                <w:b/>
                <w:sz w:val="20"/>
                <w:szCs w:val="20"/>
              </w:rPr>
              <w:t>Persoana responsabilă de implementare</w:t>
            </w:r>
          </w:p>
        </w:tc>
        <w:tc>
          <w:tcPr>
            <w:tcW w:w="1848" w:type="dxa"/>
          </w:tcPr>
          <w:p w14:paraId="2DA5BB31" w14:textId="77777777" w:rsidR="00BD1605" w:rsidRPr="00255E9C" w:rsidRDefault="00BD1605" w:rsidP="00461A81">
            <w:pPr>
              <w:spacing w:line="276" w:lineRule="auto"/>
              <w:jc w:val="center"/>
              <w:rPr>
                <w:rFonts w:cs="Calibri"/>
                <w:b/>
                <w:sz w:val="20"/>
                <w:szCs w:val="20"/>
              </w:rPr>
            </w:pPr>
            <w:r w:rsidRPr="00255E9C">
              <w:rPr>
                <w:rFonts w:cs="Calibri"/>
                <w:b/>
                <w:sz w:val="20"/>
                <w:szCs w:val="20"/>
              </w:rPr>
              <w:t>Termenul</w:t>
            </w:r>
          </w:p>
          <w:p w14:paraId="4A0B1420" w14:textId="77777777" w:rsidR="00BD1605" w:rsidRPr="00255E9C" w:rsidRDefault="00BD1605" w:rsidP="00461A81">
            <w:pPr>
              <w:spacing w:line="276" w:lineRule="auto"/>
              <w:jc w:val="center"/>
              <w:rPr>
                <w:rFonts w:cs="Calibri"/>
                <w:b/>
                <w:sz w:val="20"/>
                <w:szCs w:val="20"/>
              </w:rPr>
            </w:pPr>
            <w:r w:rsidRPr="00255E9C">
              <w:rPr>
                <w:rFonts w:cs="Calibri"/>
                <w:b/>
                <w:sz w:val="20"/>
                <w:szCs w:val="20"/>
              </w:rPr>
              <w:t>de implementare (în caz de remediere, anexați documentele justificative)</w:t>
            </w:r>
          </w:p>
        </w:tc>
      </w:tr>
      <w:tr w:rsidR="00BD1605" w14:paraId="03AF31FC" w14:textId="77777777" w:rsidTr="00461A81">
        <w:trPr>
          <w:trHeight w:val="557"/>
        </w:trPr>
        <w:tc>
          <w:tcPr>
            <w:tcW w:w="4956" w:type="dxa"/>
          </w:tcPr>
          <w:p w14:paraId="4E172DE6" w14:textId="5FF78D46" w:rsidR="00BD1605" w:rsidRDefault="00BD1605" w:rsidP="00461A81">
            <w:pPr>
              <w:pBdr>
                <w:top w:val="nil"/>
                <w:left w:val="nil"/>
                <w:bottom w:val="nil"/>
                <w:right w:val="nil"/>
                <w:between w:val="nil"/>
              </w:pBdr>
              <w:tabs>
                <w:tab w:val="left" w:pos="270"/>
              </w:tabs>
              <w:spacing w:line="276" w:lineRule="auto"/>
              <w:ind w:firstLine="720"/>
              <w:jc w:val="both"/>
              <w:rPr>
                <w:rFonts w:cs="Calibri"/>
                <w:i/>
                <w:color w:val="000000"/>
                <w:sz w:val="20"/>
                <w:szCs w:val="20"/>
              </w:rPr>
            </w:pPr>
            <w:r>
              <w:rPr>
                <w:rFonts w:cs="Calibri"/>
                <w:i/>
                <w:color w:val="000000"/>
                <w:sz w:val="20"/>
                <w:szCs w:val="20"/>
              </w:rPr>
              <w:t>Potrivit prevederilor normative</w:t>
            </w:r>
            <w:r>
              <w:rPr>
                <w:rFonts w:cs="Calibri"/>
                <w:i/>
                <w:color w:val="000000"/>
                <w:sz w:val="20"/>
                <w:szCs w:val="20"/>
                <w:vertAlign w:val="superscript"/>
              </w:rPr>
              <w:footnoteReference w:id="78"/>
            </w:r>
            <w:r w:rsidR="00632678">
              <w:rPr>
                <w:rFonts w:cs="Calibri"/>
                <w:i/>
                <w:color w:val="000000"/>
                <w:sz w:val="20"/>
                <w:szCs w:val="20"/>
              </w:rPr>
              <w:t>,</w:t>
            </w:r>
            <w:r>
              <w:rPr>
                <w:rFonts w:cs="Calibri"/>
                <w:i/>
                <w:color w:val="000000"/>
                <w:sz w:val="20"/>
                <w:szCs w:val="20"/>
              </w:rPr>
              <w:t xml:space="preserve"> în cadrul reorganizării prin contopire a ÎS „Institutul Naţional de Standardizare şi Metrologie”, ÎS „Centrul de Standardizare şi Metrologie din Bălţi”, ÎS „Centrul de Standardizare şi Metrologie din Ceadîr-Lunga” în ÎS „Centrul de Metrologie Aplicată şi Certificare”, patrimoniul  urma a fi transmis în conformitate cu prevederile cadrului normativ în vigoare</w:t>
            </w:r>
            <w:r>
              <w:rPr>
                <w:rFonts w:cs="Calibri"/>
                <w:i/>
                <w:color w:val="000000"/>
                <w:sz w:val="20"/>
                <w:szCs w:val="20"/>
                <w:vertAlign w:val="superscript"/>
              </w:rPr>
              <w:footnoteReference w:id="79"/>
            </w:r>
            <w:r w:rsidR="00632678">
              <w:rPr>
                <w:rFonts w:cs="Calibri"/>
                <w:i/>
                <w:color w:val="000000"/>
                <w:sz w:val="20"/>
                <w:szCs w:val="20"/>
              </w:rPr>
              <w:t>.</w:t>
            </w:r>
            <w:r>
              <w:rPr>
                <w:rFonts w:cs="Calibri"/>
                <w:i/>
                <w:color w:val="000000"/>
                <w:sz w:val="20"/>
                <w:szCs w:val="20"/>
              </w:rPr>
              <w:t xml:space="preserve"> .</w:t>
            </w:r>
          </w:p>
          <w:p w14:paraId="6A48ACF0" w14:textId="1B5479E0" w:rsidR="00BD1605" w:rsidRDefault="00BD1605" w:rsidP="00461A81">
            <w:pPr>
              <w:pBdr>
                <w:top w:val="nil"/>
                <w:left w:val="nil"/>
                <w:bottom w:val="nil"/>
                <w:right w:val="nil"/>
                <w:between w:val="nil"/>
              </w:pBdr>
              <w:tabs>
                <w:tab w:val="left" w:pos="270"/>
              </w:tabs>
              <w:spacing w:line="276" w:lineRule="auto"/>
              <w:ind w:firstLine="720"/>
              <w:jc w:val="both"/>
              <w:rPr>
                <w:rFonts w:cs="Calibri"/>
                <w:i/>
                <w:color w:val="000000"/>
                <w:sz w:val="20"/>
                <w:szCs w:val="20"/>
              </w:rPr>
            </w:pPr>
            <w:r>
              <w:rPr>
                <w:rFonts w:cs="Calibri"/>
                <w:i/>
                <w:color w:val="000000"/>
                <w:sz w:val="20"/>
                <w:szCs w:val="20"/>
              </w:rPr>
              <w:t>Urmare activităților de audit public extern desfășurate, se denotă că  prevederile normative</w:t>
            </w:r>
            <w:r>
              <w:rPr>
                <w:rFonts w:cs="Calibri"/>
                <w:i/>
                <w:color w:val="000000"/>
                <w:sz w:val="20"/>
                <w:szCs w:val="20"/>
                <w:vertAlign w:val="superscript"/>
              </w:rPr>
              <w:footnoteReference w:id="80"/>
            </w:r>
            <w:r>
              <w:rPr>
                <w:rFonts w:cs="Calibri"/>
                <w:i/>
                <w:color w:val="000000"/>
                <w:sz w:val="20"/>
                <w:szCs w:val="20"/>
              </w:rPr>
              <w:t xml:space="preserve"> nu definesc expres modul de divizare și transmitere a bunurilor proprietate publică instituțiilor nou create (INM și ISM), fiind  compromisă realizarea obiectivă și transparentă a procesului în cauză. Totodată</w:t>
            </w:r>
            <w:r w:rsidR="00632678">
              <w:rPr>
                <w:rFonts w:cs="Calibri"/>
                <w:i/>
                <w:color w:val="000000"/>
                <w:sz w:val="20"/>
                <w:szCs w:val="20"/>
              </w:rPr>
              <w:t>,</w:t>
            </w:r>
            <w:r>
              <w:rPr>
                <w:rFonts w:cs="Calibri"/>
                <w:i/>
                <w:color w:val="000000"/>
                <w:sz w:val="20"/>
                <w:szCs w:val="20"/>
              </w:rPr>
              <w:t xml:space="preserve"> echipa de audit a fost limitată în evaluarea integrității patrimoniului public, la momentul transmiterii acestuia instituțiilor nou create, dat</w:t>
            </w:r>
            <w:r w:rsidR="00735277">
              <w:rPr>
                <w:rFonts w:cs="Calibri"/>
                <w:i/>
                <w:color w:val="000000"/>
                <w:sz w:val="20"/>
                <w:szCs w:val="20"/>
              </w:rPr>
              <w:t>ă</w:t>
            </w:r>
            <w:r>
              <w:rPr>
                <w:rFonts w:cs="Calibri"/>
                <w:i/>
                <w:color w:val="000000"/>
                <w:sz w:val="20"/>
                <w:szCs w:val="20"/>
              </w:rPr>
              <w:t xml:space="preserve"> fiind lipsa unor acte de predare-primire din dosarele INM</w:t>
            </w:r>
            <w:r w:rsidR="00735277">
              <w:rPr>
                <w:rFonts w:cs="Calibri"/>
                <w:i/>
                <w:color w:val="000000"/>
                <w:sz w:val="20"/>
                <w:szCs w:val="20"/>
              </w:rPr>
              <w:t>,</w:t>
            </w:r>
            <w:r>
              <w:rPr>
                <w:rFonts w:cs="Calibri"/>
                <w:i/>
                <w:color w:val="000000"/>
                <w:sz w:val="20"/>
                <w:szCs w:val="20"/>
              </w:rPr>
              <w:t xml:space="preserve"> prezentate auditului, cauzată de iresponsabilitatea managerială manifestată în procesul de arhivare și păstrare a documentelor.</w:t>
            </w:r>
          </w:p>
        </w:tc>
        <w:tc>
          <w:tcPr>
            <w:tcW w:w="2694" w:type="dxa"/>
          </w:tcPr>
          <w:p w14:paraId="011F71F8" w14:textId="55F327BE" w:rsidR="00BD1605" w:rsidRDefault="00BD1605" w:rsidP="00461A81">
            <w:pPr>
              <w:pBdr>
                <w:top w:val="nil"/>
                <w:left w:val="nil"/>
                <w:bottom w:val="nil"/>
                <w:right w:val="nil"/>
                <w:between w:val="nil"/>
              </w:pBdr>
              <w:spacing w:line="276" w:lineRule="auto"/>
              <w:ind w:firstLine="545"/>
              <w:jc w:val="both"/>
              <w:rPr>
                <w:rFonts w:cs="Calibri"/>
                <w:i/>
                <w:color w:val="000000"/>
                <w:sz w:val="20"/>
                <w:szCs w:val="20"/>
              </w:rPr>
            </w:pPr>
            <w:bookmarkStart w:id="155" w:name="_heading=h.gjdgxs" w:colFirst="0" w:colLast="0"/>
            <w:bookmarkEnd w:id="155"/>
            <w:r>
              <w:rPr>
                <w:rFonts w:cs="Calibri"/>
                <w:i/>
                <w:color w:val="000000"/>
                <w:sz w:val="20"/>
                <w:szCs w:val="20"/>
              </w:rPr>
              <w:t>Să  stabilească  proceduri de control intern managerial pentru a asigura păstrarea corespunzătoare a dosarelor arhivate (pct.4.1.1.)</w:t>
            </w:r>
            <w:r w:rsidR="00632678">
              <w:rPr>
                <w:rFonts w:cs="Calibri"/>
                <w:i/>
                <w:color w:val="000000"/>
                <w:sz w:val="20"/>
                <w:szCs w:val="20"/>
              </w:rPr>
              <w:t>.</w:t>
            </w:r>
          </w:p>
          <w:p w14:paraId="2E63F775" w14:textId="77777777" w:rsidR="00BD1605" w:rsidRDefault="00BD1605" w:rsidP="00461A81">
            <w:pPr>
              <w:spacing w:line="276" w:lineRule="auto"/>
              <w:jc w:val="center"/>
              <w:rPr>
                <w:rFonts w:cs="Calibri"/>
                <w:i/>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91E78" w14:textId="351DE0FB" w:rsidR="00BD1605" w:rsidRPr="00F87EE9" w:rsidRDefault="00BD1605" w:rsidP="00461A81">
            <w:pPr>
              <w:spacing w:before="240" w:line="276" w:lineRule="auto"/>
              <w:rPr>
                <w:rFonts w:eastAsia="Arial" w:cstheme="minorHAnsi"/>
                <w:i/>
                <w:sz w:val="20"/>
                <w:szCs w:val="20"/>
              </w:rPr>
            </w:pPr>
            <w:r w:rsidRPr="00F87EE9">
              <w:rPr>
                <w:rFonts w:eastAsia="Arial" w:cstheme="minorHAnsi"/>
                <w:i/>
                <w:sz w:val="20"/>
                <w:szCs w:val="20"/>
              </w:rPr>
              <w:t>Revizuirea Regulamentului cu privire la condițiile de depunere, păstrare și utilizare a documentelor în arhivă</w:t>
            </w:r>
            <w:r w:rsidR="00632678">
              <w:rPr>
                <w:rFonts w:eastAsia="Arial" w:cstheme="minorHAnsi"/>
                <w:i/>
                <w:sz w:val="20"/>
                <w:szCs w:val="20"/>
              </w:rPr>
              <w: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2B433" w14:textId="77777777" w:rsidR="00BD1605" w:rsidRPr="00F87EE9" w:rsidRDefault="00BD1605" w:rsidP="00461A81">
            <w:pPr>
              <w:spacing w:line="276" w:lineRule="auto"/>
              <w:rPr>
                <w:rFonts w:eastAsia="Arial" w:cstheme="minorHAnsi"/>
                <w:i/>
                <w:sz w:val="20"/>
                <w:szCs w:val="20"/>
              </w:rPr>
            </w:pPr>
            <w:r w:rsidRPr="00F87EE9">
              <w:rPr>
                <w:rFonts w:eastAsia="Arial" w:cstheme="minorHAnsi"/>
                <w:i/>
                <w:sz w:val="20"/>
                <w:szCs w:val="20"/>
              </w:rPr>
              <w:t>Secția Juridică, Resurse Umane și Cancelarie (SJRUC):</w:t>
            </w:r>
          </w:p>
          <w:p w14:paraId="34B7FF84" w14:textId="03C4C24B" w:rsidR="00BD1605" w:rsidRPr="00F87EE9" w:rsidRDefault="00BD1605" w:rsidP="00BD1605">
            <w:pPr>
              <w:pStyle w:val="ListParagraph"/>
              <w:numPr>
                <w:ilvl w:val="0"/>
                <w:numId w:val="45"/>
              </w:numPr>
              <w:spacing w:line="276" w:lineRule="auto"/>
              <w:ind w:left="179" w:hanging="179"/>
              <w:rPr>
                <w:rFonts w:eastAsia="Arial" w:cstheme="minorHAnsi"/>
                <w:i/>
                <w:sz w:val="20"/>
                <w:szCs w:val="20"/>
              </w:rPr>
            </w:pPr>
            <w:r w:rsidRPr="00F87EE9">
              <w:rPr>
                <w:rFonts w:eastAsia="Arial" w:cstheme="minorHAnsi"/>
                <w:i/>
                <w:sz w:val="20"/>
                <w:szCs w:val="20"/>
              </w:rPr>
              <w:t>Șef Secți</w:t>
            </w:r>
            <w:r w:rsidR="00632678">
              <w:rPr>
                <w:rFonts w:eastAsia="Arial" w:cstheme="minorHAnsi"/>
                <w:i/>
                <w:sz w:val="20"/>
                <w:szCs w:val="20"/>
              </w:rPr>
              <w:t>a</w:t>
            </w:r>
            <w:r w:rsidRPr="00F87EE9">
              <w:rPr>
                <w:rFonts w:eastAsia="Arial" w:cstheme="minorHAnsi"/>
                <w:i/>
                <w:sz w:val="20"/>
                <w:szCs w:val="20"/>
              </w:rPr>
              <w:t xml:space="preserve"> JRUC</w:t>
            </w:r>
          </w:p>
          <w:p w14:paraId="11D22F84" w14:textId="77777777" w:rsidR="00BD1605" w:rsidRPr="00F87EE9" w:rsidRDefault="00BD1605" w:rsidP="00BD1605">
            <w:pPr>
              <w:pStyle w:val="ListParagraph"/>
              <w:numPr>
                <w:ilvl w:val="0"/>
                <w:numId w:val="45"/>
              </w:numPr>
              <w:spacing w:line="276" w:lineRule="auto"/>
              <w:ind w:left="179" w:hanging="179"/>
              <w:rPr>
                <w:rFonts w:eastAsia="Arial" w:cstheme="minorHAnsi"/>
                <w:i/>
                <w:sz w:val="20"/>
                <w:szCs w:val="20"/>
              </w:rPr>
            </w:pPr>
            <w:r w:rsidRPr="00F87EE9">
              <w:rPr>
                <w:rFonts w:eastAsia="Arial" w:cstheme="minorHAnsi"/>
                <w:i/>
                <w:sz w:val="20"/>
                <w:szCs w:val="20"/>
              </w:rPr>
              <w:t>Specialist principal RU</w:t>
            </w:r>
          </w:p>
          <w:p w14:paraId="47759625" w14:textId="77777777" w:rsidR="00BD1605" w:rsidRPr="00F87EE9" w:rsidRDefault="00BD1605" w:rsidP="00461A81">
            <w:pPr>
              <w:pStyle w:val="ListParagraph"/>
              <w:spacing w:line="276" w:lineRule="auto"/>
              <w:ind w:left="179"/>
              <w:rPr>
                <w:rFonts w:eastAsia="Arial" w:cstheme="minorHAnsi"/>
                <w:i/>
                <w:sz w:val="20"/>
                <w:szCs w:val="20"/>
              </w:rPr>
            </w:pP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DF651" w14:textId="77777777" w:rsidR="00BD1605" w:rsidRDefault="00BD1605" w:rsidP="00461A81">
            <w:pPr>
              <w:spacing w:before="240" w:line="276" w:lineRule="auto"/>
              <w:jc w:val="center"/>
              <w:rPr>
                <w:rFonts w:ascii="Arial" w:eastAsia="Arial" w:hAnsi="Arial" w:cs="Arial"/>
                <w:b/>
                <w:i/>
                <w:sz w:val="20"/>
                <w:szCs w:val="20"/>
              </w:rPr>
            </w:pPr>
            <w:r>
              <w:rPr>
                <w:rFonts w:ascii="Arial" w:eastAsia="Arial" w:hAnsi="Arial" w:cs="Arial"/>
                <w:b/>
                <w:i/>
                <w:sz w:val="20"/>
                <w:szCs w:val="20"/>
              </w:rPr>
              <w:t>6 luni</w:t>
            </w:r>
          </w:p>
        </w:tc>
      </w:tr>
      <w:tr w:rsidR="00BD1605" w14:paraId="4ED70AF1" w14:textId="77777777" w:rsidTr="00461A81">
        <w:trPr>
          <w:trHeight w:val="699"/>
        </w:trPr>
        <w:tc>
          <w:tcPr>
            <w:tcW w:w="4956" w:type="dxa"/>
          </w:tcPr>
          <w:p w14:paraId="731D38A1" w14:textId="2E5E6807" w:rsidR="00BD1605" w:rsidRDefault="00BD1605" w:rsidP="00461A81">
            <w:pPr>
              <w:pBdr>
                <w:top w:val="nil"/>
                <w:left w:val="nil"/>
                <w:bottom w:val="nil"/>
                <w:right w:val="nil"/>
                <w:between w:val="nil"/>
              </w:pBdr>
              <w:tabs>
                <w:tab w:val="left" w:pos="270"/>
              </w:tabs>
              <w:spacing w:line="276" w:lineRule="auto"/>
              <w:ind w:firstLine="720"/>
              <w:jc w:val="both"/>
              <w:rPr>
                <w:rFonts w:cs="Calibri"/>
                <w:i/>
                <w:color w:val="000000"/>
                <w:sz w:val="20"/>
                <w:szCs w:val="20"/>
              </w:rPr>
            </w:pPr>
            <w:r>
              <w:rPr>
                <w:rFonts w:cs="Calibri"/>
                <w:i/>
                <w:color w:val="000000"/>
                <w:sz w:val="20"/>
                <w:szCs w:val="20"/>
              </w:rPr>
              <w:t xml:space="preserve">Evaluarea în contabilitate a imobilizărilor corporale se realizează </w:t>
            </w:r>
            <w:r w:rsidR="00735277">
              <w:rPr>
                <w:rFonts w:cs="Calibri"/>
                <w:i/>
                <w:color w:val="000000"/>
                <w:sz w:val="20"/>
                <w:szCs w:val="20"/>
              </w:rPr>
              <w:t>î</w:t>
            </w:r>
            <w:r>
              <w:rPr>
                <w:rFonts w:cs="Calibri"/>
                <w:i/>
                <w:color w:val="000000"/>
                <w:sz w:val="20"/>
                <w:szCs w:val="20"/>
              </w:rPr>
              <w:t>n toate momentele de sintetizare, raportare si analiză a situației patrimoniului și a rezultatelor obținute</w:t>
            </w:r>
            <w:r>
              <w:rPr>
                <w:rFonts w:cs="Calibri"/>
                <w:i/>
                <w:color w:val="000000"/>
                <w:sz w:val="20"/>
                <w:szCs w:val="20"/>
                <w:vertAlign w:val="superscript"/>
              </w:rPr>
              <w:footnoteReference w:id="81"/>
            </w:r>
            <w:r>
              <w:rPr>
                <w:rFonts w:cs="Calibri"/>
                <w:i/>
                <w:color w:val="000000"/>
                <w:sz w:val="20"/>
                <w:szCs w:val="20"/>
              </w:rPr>
              <w:t>.</w:t>
            </w:r>
          </w:p>
          <w:p w14:paraId="43127F82" w14:textId="72B1921C" w:rsidR="00BD1605" w:rsidRDefault="00BD1605" w:rsidP="00461A81">
            <w:pPr>
              <w:pBdr>
                <w:top w:val="nil"/>
                <w:left w:val="nil"/>
                <w:bottom w:val="nil"/>
                <w:right w:val="nil"/>
                <w:between w:val="nil"/>
              </w:pBdr>
              <w:tabs>
                <w:tab w:val="left" w:pos="270"/>
              </w:tabs>
              <w:spacing w:line="276" w:lineRule="auto"/>
              <w:ind w:firstLine="720"/>
              <w:jc w:val="both"/>
              <w:rPr>
                <w:rFonts w:cs="Calibri"/>
                <w:i/>
                <w:color w:val="000000"/>
                <w:sz w:val="20"/>
                <w:szCs w:val="20"/>
              </w:rPr>
            </w:pPr>
            <w:r>
              <w:rPr>
                <w:rFonts w:cs="Calibri"/>
                <w:i/>
                <w:color w:val="000000"/>
                <w:sz w:val="20"/>
                <w:szCs w:val="20"/>
              </w:rPr>
              <w:t>Activitățile desfășurate de audit atestă că INM deține 4 unități necorporale cu valoarea inițială de 2.163,99 mii lei</w:t>
            </w:r>
            <w:r w:rsidR="00735277">
              <w:rPr>
                <w:rFonts w:cs="Calibri"/>
                <w:i/>
                <w:color w:val="000000"/>
                <w:sz w:val="20"/>
                <w:szCs w:val="20"/>
              </w:rPr>
              <w:t>,</w:t>
            </w:r>
            <w:r>
              <w:rPr>
                <w:rFonts w:cs="Calibri"/>
                <w:i/>
                <w:color w:val="000000"/>
                <w:sz w:val="20"/>
                <w:szCs w:val="20"/>
              </w:rPr>
              <w:t xml:space="preserve"> precum și  206 unități de imobilizări corporale cu valoarea inițială de 43.246,88  mii lei</w:t>
            </w:r>
            <w:r w:rsidR="00735277">
              <w:rPr>
                <w:rFonts w:cs="Calibri"/>
                <w:i/>
                <w:color w:val="000000"/>
                <w:sz w:val="20"/>
                <w:szCs w:val="20"/>
              </w:rPr>
              <w:t>,</w:t>
            </w:r>
            <w:r>
              <w:rPr>
                <w:rFonts w:cs="Calibri"/>
                <w:i/>
                <w:color w:val="000000"/>
                <w:sz w:val="20"/>
                <w:szCs w:val="20"/>
              </w:rPr>
              <w:t xml:space="preserve"> amortizate integral, dar utilizate în activitatea operațională a instituțiilor, acestea nefiind reevaluate conform prevederilor aferente</w:t>
            </w:r>
            <w:r>
              <w:rPr>
                <w:rFonts w:cs="Calibri"/>
                <w:i/>
                <w:color w:val="000000"/>
                <w:sz w:val="20"/>
                <w:szCs w:val="20"/>
                <w:vertAlign w:val="superscript"/>
              </w:rPr>
              <w:footnoteReference w:id="82"/>
            </w:r>
            <w:r>
              <w:rPr>
                <w:rFonts w:cs="Calibri"/>
                <w:i/>
                <w:color w:val="000000"/>
                <w:sz w:val="20"/>
                <w:szCs w:val="20"/>
              </w:rPr>
              <w:t>.</w:t>
            </w:r>
          </w:p>
          <w:p w14:paraId="37B2845B" w14:textId="76C99188" w:rsidR="00BD1605" w:rsidRDefault="00BD1605" w:rsidP="00461A81">
            <w:pPr>
              <w:spacing w:line="276" w:lineRule="auto"/>
              <w:ind w:firstLine="709"/>
              <w:jc w:val="both"/>
              <w:rPr>
                <w:rFonts w:cs="Calibri"/>
                <w:i/>
                <w:sz w:val="20"/>
                <w:szCs w:val="20"/>
              </w:rPr>
            </w:pPr>
            <w:r>
              <w:rPr>
                <w:rFonts w:cs="Calibri"/>
                <w:i/>
                <w:sz w:val="20"/>
                <w:szCs w:val="20"/>
              </w:rPr>
              <w:t xml:space="preserve">Neajustarea valorii contabile a mijloacelor fixe amortizate integral și utilizate în procesul operațional creează condiții de aplicare a cuantumului tarifelor la serviciile prestate, care nu va putea asigura capacitatea investițională a </w:t>
            </w:r>
            <w:r w:rsidR="00735277">
              <w:rPr>
                <w:rFonts w:cs="Calibri"/>
                <w:i/>
                <w:sz w:val="20"/>
                <w:szCs w:val="20"/>
              </w:rPr>
              <w:t>instituțiilor publice</w:t>
            </w:r>
            <w:r>
              <w:rPr>
                <w:rFonts w:cs="Calibri"/>
                <w:i/>
                <w:sz w:val="20"/>
                <w:szCs w:val="20"/>
              </w:rPr>
              <w:t xml:space="preserve"> din domeniul infrastructurii în perioadele de gestiune viitoare.</w:t>
            </w:r>
          </w:p>
        </w:tc>
        <w:tc>
          <w:tcPr>
            <w:tcW w:w="2694" w:type="dxa"/>
          </w:tcPr>
          <w:p w14:paraId="568C60A3" w14:textId="36DF0B21" w:rsidR="00BD1605" w:rsidRDefault="00BD1605" w:rsidP="00461A81">
            <w:pPr>
              <w:spacing w:line="276" w:lineRule="auto"/>
              <w:jc w:val="both"/>
              <w:rPr>
                <w:rFonts w:cs="Calibri"/>
                <w:i/>
                <w:sz w:val="20"/>
                <w:szCs w:val="20"/>
              </w:rPr>
            </w:pPr>
            <w:r>
              <w:rPr>
                <w:rFonts w:cs="Calibri"/>
                <w:i/>
                <w:sz w:val="20"/>
                <w:szCs w:val="20"/>
              </w:rPr>
              <w:t xml:space="preserve">           Să asigure reevaluarea imobilizărilor necorporale și corporale în conformitate cu actele normative în vigoare (pct. 4.1.2.3.)</w:t>
            </w:r>
            <w:r w:rsidR="00735277">
              <w:rPr>
                <w:rFonts w:cs="Calibri"/>
                <w:i/>
                <w:sz w:val="20"/>
                <w:szCs w:val="20"/>
              </w:rPr>
              <w:t>.</w:t>
            </w:r>
          </w:p>
        </w:tc>
        <w:tc>
          <w:tcPr>
            <w:tcW w:w="1985" w:type="dxa"/>
          </w:tcPr>
          <w:p w14:paraId="6264354A" w14:textId="77777777" w:rsidR="00BD1605" w:rsidRPr="004E73E4" w:rsidRDefault="00BD1605" w:rsidP="00461A81">
            <w:pPr>
              <w:spacing w:line="276" w:lineRule="auto"/>
              <w:rPr>
                <w:i/>
                <w:strike/>
                <w:sz w:val="20"/>
                <w:szCs w:val="20"/>
              </w:rPr>
            </w:pPr>
            <w:r>
              <w:rPr>
                <w:i/>
                <w:sz w:val="20"/>
                <w:szCs w:val="20"/>
              </w:rPr>
              <w:t>Revizuirea politicilor contabile și asigurarea reevaluării imobilizărilor necorporale și corporale.</w:t>
            </w:r>
          </w:p>
          <w:p w14:paraId="395D3D30" w14:textId="77777777" w:rsidR="00BD1605" w:rsidRDefault="00BD1605" w:rsidP="00461A81">
            <w:pPr>
              <w:spacing w:line="276" w:lineRule="auto"/>
              <w:rPr>
                <w:i/>
                <w:sz w:val="20"/>
                <w:szCs w:val="20"/>
              </w:rPr>
            </w:pPr>
            <w:r>
              <w:rPr>
                <w:i/>
                <w:sz w:val="20"/>
                <w:szCs w:val="20"/>
              </w:rPr>
              <w:t>Adoptarea Regulamentului de evidență contabilă a bunurilor.</w:t>
            </w:r>
          </w:p>
          <w:p w14:paraId="49012417" w14:textId="77777777" w:rsidR="00BD1605" w:rsidRDefault="00BD1605" w:rsidP="00461A81">
            <w:pPr>
              <w:spacing w:line="276" w:lineRule="auto"/>
              <w:jc w:val="both"/>
              <w:rPr>
                <w:rFonts w:cs="Calibri"/>
                <w:i/>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27566" w14:textId="77777777" w:rsidR="00BD1605" w:rsidRPr="00F87EE9" w:rsidRDefault="00BD1605" w:rsidP="00461A81">
            <w:pPr>
              <w:spacing w:line="276" w:lineRule="auto"/>
              <w:jc w:val="both"/>
              <w:rPr>
                <w:rFonts w:eastAsia="Arial" w:cstheme="minorHAnsi"/>
                <w:i/>
                <w:sz w:val="20"/>
                <w:szCs w:val="20"/>
              </w:rPr>
            </w:pPr>
            <w:r w:rsidRPr="00F87EE9">
              <w:rPr>
                <w:rFonts w:eastAsia="Arial" w:cstheme="minorHAnsi"/>
                <w:i/>
                <w:sz w:val="20"/>
                <w:szCs w:val="20"/>
              </w:rPr>
              <w:t>Serviciul contabilitate:</w:t>
            </w:r>
          </w:p>
          <w:p w14:paraId="63EEAB3C" w14:textId="1F7D24AB" w:rsidR="00BD1605" w:rsidRPr="00F87EE9" w:rsidRDefault="00BD1605" w:rsidP="00461A81">
            <w:pPr>
              <w:spacing w:line="276" w:lineRule="auto"/>
              <w:jc w:val="both"/>
              <w:rPr>
                <w:rFonts w:eastAsia="Arial" w:cstheme="minorHAnsi"/>
                <w:i/>
                <w:sz w:val="20"/>
                <w:szCs w:val="20"/>
              </w:rPr>
            </w:pPr>
            <w:r w:rsidRPr="00F87EE9">
              <w:rPr>
                <w:rFonts w:eastAsia="Arial" w:cstheme="minorHAnsi"/>
                <w:i/>
                <w:sz w:val="20"/>
                <w:szCs w:val="20"/>
              </w:rPr>
              <w:t>-</w:t>
            </w:r>
            <w:r w:rsidR="00735277">
              <w:rPr>
                <w:rFonts w:eastAsia="Arial" w:cstheme="minorHAnsi"/>
                <w:i/>
                <w:sz w:val="20"/>
                <w:szCs w:val="20"/>
              </w:rPr>
              <w:t xml:space="preserve"> </w:t>
            </w:r>
            <w:r w:rsidRPr="00F87EE9">
              <w:rPr>
                <w:rFonts w:eastAsia="Arial" w:cstheme="minorHAnsi"/>
                <w:i/>
                <w:sz w:val="20"/>
                <w:szCs w:val="20"/>
              </w:rPr>
              <w:t>Contabil</w:t>
            </w:r>
            <w:r w:rsidR="00735277">
              <w:rPr>
                <w:rFonts w:eastAsia="Arial" w:cstheme="minorHAnsi"/>
                <w:i/>
                <w:sz w:val="20"/>
                <w:szCs w:val="20"/>
              </w:rPr>
              <w:t>ul-</w:t>
            </w:r>
            <w:r w:rsidRPr="00F87EE9">
              <w:rPr>
                <w:rFonts w:eastAsia="Arial" w:cstheme="minorHAnsi"/>
                <w:i/>
                <w:sz w:val="20"/>
                <w:szCs w:val="20"/>
              </w:rPr>
              <w:t xml:space="preserve"> șef</w:t>
            </w:r>
            <w:r w:rsidR="00735277">
              <w:rPr>
                <w:rFonts w:eastAsia="Arial" w:cstheme="minorHAnsi"/>
                <w:i/>
                <w:sz w:val="20"/>
                <w:szCs w:val="20"/>
              </w:rPr>
              <w:t>,</w:t>
            </w:r>
          </w:p>
          <w:p w14:paraId="562C0D30" w14:textId="730308E8" w:rsidR="00BD1605" w:rsidRDefault="00BD1605" w:rsidP="00461A81">
            <w:pPr>
              <w:spacing w:line="276" w:lineRule="auto"/>
              <w:jc w:val="both"/>
              <w:rPr>
                <w:rFonts w:ascii="Arial" w:eastAsia="Arial" w:hAnsi="Arial" w:cs="Arial"/>
                <w:i/>
                <w:sz w:val="20"/>
                <w:szCs w:val="20"/>
              </w:rPr>
            </w:pPr>
            <w:r w:rsidRPr="00F87EE9">
              <w:rPr>
                <w:rFonts w:eastAsia="Arial" w:cstheme="minorHAnsi"/>
                <w:i/>
                <w:sz w:val="20"/>
                <w:szCs w:val="20"/>
              </w:rPr>
              <w:t>- contabil</w:t>
            </w:r>
            <w:r w:rsidR="00735277">
              <w:rPr>
                <w:rFonts w:eastAsia="Arial" w:cstheme="minorHAnsi"/>
                <w:i/>
                <w:sz w:val="20"/>
                <w:szCs w:val="20"/>
              </w:rPr>
              <w:t>ul</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02D5F5" w14:textId="77777777" w:rsidR="00BD1605" w:rsidRDefault="00BD1605" w:rsidP="00461A81">
            <w:pPr>
              <w:spacing w:before="240" w:line="276" w:lineRule="auto"/>
              <w:jc w:val="both"/>
              <w:rPr>
                <w:rFonts w:ascii="Arial" w:eastAsia="Arial" w:hAnsi="Arial" w:cs="Arial"/>
                <w:b/>
                <w:i/>
                <w:sz w:val="20"/>
                <w:szCs w:val="20"/>
              </w:rPr>
            </w:pPr>
            <w:r>
              <w:rPr>
                <w:rFonts w:ascii="Arial" w:eastAsia="Arial" w:hAnsi="Arial" w:cs="Arial"/>
                <w:b/>
                <w:i/>
                <w:sz w:val="20"/>
                <w:szCs w:val="20"/>
              </w:rPr>
              <w:t xml:space="preserve">  6 luni</w:t>
            </w:r>
          </w:p>
        </w:tc>
      </w:tr>
      <w:tr w:rsidR="00BD1605" w14:paraId="75E92ADD" w14:textId="77777777" w:rsidTr="00461A81">
        <w:trPr>
          <w:trHeight w:val="2220"/>
        </w:trPr>
        <w:tc>
          <w:tcPr>
            <w:tcW w:w="4956" w:type="dxa"/>
          </w:tcPr>
          <w:p w14:paraId="2ACBB1F8" w14:textId="2DE10911" w:rsidR="00BD1605" w:rsidRDefault="00BD1605" w:rsidP="00461A81">
            <w:pPr>
              <w:spacing w:line="276" w:lineRule="auto"/>
              <w:ind w:firstLine="709"/>
              <w:jc w:val="both"/>
              <w:rPr>
                <w:rFonts w:cs="Calibri"/>
                <w:i/>
                <w:sz w:val="20"/>
                <w:szCs w:val="20"/>
              </w:rPr>
            </w:pPr>
            <w:r>
              <w:rPr>
                <w:rFonts w:cs="Calibri"/>
                <w:i/>
                <w:sz w:val="20"/>
                <w:szCs w:val="20"/>
              </w:rPr>
              <w:t xml:space="preserve">În perioada supusă auditului public extern, deși inventarierea în cadrul </w:t>
            </w:r>
            <w:r w:rsidR="00B52EC6">
              <w:rPr>
                <w:rFonts w:cs="Calibri"/>
                <w:i/>
                <w:sz w:val="20"/>
                <w:szCs w:val="20"/>
              </w:rPr>
              <w:t>instituț</w:t>
            </w:r>
            <w:r w:rsidR="00735277">
              <w:rPr>
                <w:rFonts w:cs="Calibri"/>
                <w:i/>
                <w:sz w:val="20"/>
                <w:szCs w:val="20"/>
              </w:rPr>
              <w:t>iilor publice</w:t>
            </w:r>
            <w:r>
              <w:rPr>
                <w:rFonts w:cs="Calibri"/>
                <w:i/>
                <w:sz w:val="20"/>
                <w:szCs w:val="20"/>
              </w:rPr>
              <w:t xml:space="preserve"> din domeniul infrastructurii calității, din punct de vedere procedural, a fost desfășurată în mod regulamentar,  se atestă că rezultatele inventarierii indică doar stabilirea existenței faptice și scriptice a bunurilor aflate în gestiunea entității, nefiind identificate bunurile neutilizate și/sau amortizate integral, neevaluate corespunzător, necasate, netransmise altor entități și, prin urmare, nefiind luate deciziile manageriale de rigoare relevante acestora.</w:t>
            </w:r>
          </w:p>
          <w:p w14:paraId="63773894" w14:textId="77777777" w:rsidR="00BD1605" w:rsidRDefault="00BD1605" w:rsidP="00461A81">
            <w:pPr>
              <w:spacing w:line="276" w:lineRule="auto"/>
              <w:jc w:val="both"/>
              <w:rPr>
                <w:rFonts w:cs="Calibri"/>
                <w:i/>
                <w:sz w:val="20"/>
                <w:szCs w:val="20"/>
              </w:rPr>
            </w:pPr>
          </w:p>
        </w:tc>
        <w:tc>
          <w:tcPr>
            <w:tcW w:w="2694" w:type="dxa"/>
          </w:tcPr>
          <w:p w14:paraId="6FC27C86" w14:textId="2B5F2172" w:rsidR="00BD1605" w:rsidRDefault="00BD1605" w:rsidP="00461A81">
            <w:pPr>
              <w:spacing w:line="276" w:lineRule="auto"/>
              <w:jc w:val="both"/>
              <w:rPr>
                <w:rFonts w:cs="Calibri"/>
                <w:i/>
                <w:sz w:val="20"/>
                <w:szCs w:val="20"/>
              </w:rPr>
            </w:pPr>
            <w:r>
              <w:rPr>
                <w:rFonts w:cs="Calibri"/>
                <w:i/>
                <w:sz w:val="20"/>
                <w:szCs w:val="20"/>
              </w:rPr>
              <w:t xml:space="preserve">             Să asigure  efectuarea regulamentară a inventarierilor anuale și documentarea corespunzătoare a rezultatelor acesteia (întocmirea Declarației pentru fiecare gestionar de bunuri, întocmirea listelor de inventariere a  creanțelor și </w:t>
            </w:r>
            <w:r w:rsidRPr="00E842E9">
              <w:rPr>
                <w:rFonts w:cs="Calibri"/>
                <w:i/>
                <w:sz w:val="20"/>
                <w:szCs w:val="20"/>
              </w:rPr>
              <w:t xml:space="preserve">datoriilor, </w:t>
            </w:r>
            <w:r w:rsidR="00E842E9" w:rsidRPr="00E842E9">
              <w:rPr>
                <w:rFonts w:cs="Calibri"/>
                <w:i/>
                <w:sz w:val="20"/>
                <w:szCs w:val="20"/>
              </w:rPr>
              <w:t>completarea</w:t>
            </w:r>
            <w:r>
              <w:rPr>
                <w:rFonts w:cs="Calibri"/>
                <w:i/>
                <w:sz w:val="20"/>
                <w:szCs w:val="20"/>
              </w:rPr>
              <w:t xml:space="preserve"> listelor de inventariere cu mențiunile aferente stării bunurilor, aplicarea semnăturilor pe documentele de inventariere de către persoanele implicate în acest proces) (pct. 4.1.2.; 4.1.2.1.; 4.1.2.2.; 4.1.2.3.; 4.1.2.4.; 4.2.)</w:t>
            </w:r>
            <w:r w:rsidR="00735277">
              <w:rPr>
                <w:rFonts w:cs="Calibri"/>
                <w:i/>
                <w:sz w:val="20"/>
                <w:szCs w:val="20"/>
              </w:rPr>
              <w:t>.</w:t>
            </w:r>
          </w:p>
        </w:tc>
        <w:tc>
          <w:tcPr>
            <w:tcW w:w="1985" w:type="dxa"/>
          </w:tcPr>
          <w:p w14:paraId="13301D10" w14:textId="77777777" w:rsidR="00BD1605" w:rsidRPr="007B3C4C" w:rsidRDefault="00BD1605" w:rsidP="00461A81">
            <w:pPr>
              <w:spacing w:line="276" w:lineRule="auto"/>
              <w:rPr>
                <w:i/>
                <w:sz w:val="20"/>
                <w:szCs w:val="20"/>
              </w:rPr>
            </w:pPr>
            <w:r w:rsidRPr="007B3C4C">
              <w:rPr>
                <w:i/>
                <w:sz w:val="20"/>
                <w:szCs w:val="20"/>
              </w:rPr>
              <w:t>Adoptarea Regulamentului de evidență contabilă a bunurilor.</w:t>
            </w:r>
          </w:p>
          <w:p w14:paraId="37D7B65F" w14:textId="2D2591FD" w:rsidR="00BD1605" w:rsidRPr="007B3C4C" w:rsidRDefault="00BD1605" w:rsidP="00461A81">
            <w:pPr>
              <w:spacing w:line="276" w:lineRule="auto"/>
              <w:rPr>
                <w:i/>
                <w:sz w:val="20"/>
                <w:szCs w:val="20"/>
              </w:rPr>
            </w:pPr>
            <w:r w:rsidRPr="007B3C4C">
              <w:rPr>
                <w:i/>
                <w:sz w:val="20"/>
                <w:szCs w:val="20"/>
              </w:rPr>
              <w:t xml:space="preserve">Efectuarea inventarierii în conformitate cu Regulamentul privind inventarierea, aprobat prin </w:t>
            </w:r>
            <w:r w:rsidR="00735277">
              <w:rPr>
                <w:i/>
                <w:sz w:val="20"/>
                <w:szCs w:val="20"/>
              </w:rPr>
              <w:t>O</w:t>
            </w:r>
            <w:r w:rsidRPr="007B3C4C">
              <w:rPr>
                <w:i/>
                <w:sz w:val="20"/>
                <w:szCs w:val="20"/>
              </w:rPr>
              <w:t>rdinul M</w:t>
            </w:r>
            <w:r w:rsidR="00735277">
              <w:rPr>
                <w:i/>
                <w:sz w:val="20"/>
                <w:szCs w:val="20"/>
              </w:rPr>
              <w:t xml:space="preserve">inisterului </w:t>
            </w:r>
            <w:r w:rsidRPr="007B3C4C">
              <w:rPr>
                <w:i/>
                <w:sz w:val="20"/>
                <w:szCs w:val="20"/>
              </w:rPr>
              <w:t>F</w:t>
            </w:r>
            <w:r w:rsidR="00735277">
              <w:rPr>
                <w:i/>
                <w:sz w:val="20"/>
                <w:szCs w:val="20"/>
              </w:rPr>
              <w:t>inanțelor</w:t>
            </w:r>
            <w:r w:rsidRPr="007B3C4C">
              <w:rPr>
                <w:i/>
                <w:sz w:val="20"/>
                <w:szCs w:val="20"/>
              </w:rPr>
              <w:t xml:space="preserve"> nr. 60 din 29.05.2012</w:t>
            </w:r>
            <w:r w:rsidR="00735277">
              <w:rPr>
                <w:i/>
                <w:sz w:val="20"/>
                <w:szCs w:val="20"/>
              </w:rPr>
              <w:t>,</w:t>
            </w:r>
            <w:r w:rsidRPr="007B3C4C">
              <w:rPr>
                <w:i/>
                <w:sz w:val="20"/>
                <w:szCs w:val="20"/>
              </w:rPr>
              <w:t xml:space="preserve"> cu întocmirea documentelor de rigoare.</w:t>
            </w:r>
          </w:p>
          <w:p w14:paraId="697C1FE5" w14:textId="77777777" w:rsidR="00BD1605" w:rsidRDefault="00BD1605" w:rsidP="00461A81">
            <w:pPr>
              <w:spacing w:line="276" w:lineRule="auto"/>
              <w:jc w:val="both"/>
              <w:rPr>
                <w:i/>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75AC" w14:textId="77777777" w:rsidR="00BD1605" w:rsidRDefault="00BD1605" w:rsidP="00461A81">
            <w:pPr>
              <w:spacing w:line="276" w:lineRule="auto"/>
              <w:jc w:val="both"/>
              <w:rPr>
                <w:rFonts w:ascii="Arial" w:eastAsia="Arial" w:hAnsi="Arial" w:cs="Arial"/>
                <w:i/>
                <w:sz w:val="20"/>
                <w:szCs w:val="20"/>
              </w:rPr>
            </w:pPr>
            <w:r>
              <w:rPr>
                <w:rFonts w:ascii="Arial" w:eastAsia="Arial" w:hAnsi="Arial" w:cs="Arial"/>
                <w:i/>
                <w:sz w:val="20"/>
                <w:szCs w:val="20"/>
              </w:rPr>
              <w:t>Serviciul contabilitate:</w:t>
            </w:r>
          </w:p>
          <w:p w14:paraId="130F2D64" w14:textId="6806058F" w:rsidR="00BD1605" w:rsidRPr="00C35EFE"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w:t>
            </w:r>
            <w:r w:rsidR="00735277">
              <w:rPr>
                <w:rFonts w:ascii="Arial" w:eastAsia="Arial" w:hAnsi="Arial" w:cs="Arial"/>
                <w:i/>
                <w:sz w:val="20"/>
                <w:szCs w:val="20"/>
              </w:rPr>
              <w:t xml:space="preserve"> </w:t>
            </w:r>
            <w:r w:rsidRPr="00C35EFE">
              <w:rPr>
                <w:rFonts w:ascii="Arial" w:eastAsia="Arial" w:hAnsi="Arial" w:cs="Arial"/>
                <w:i/>
                <w:sz w:val="20"/>
                <w:szCs w:val="20"/>
              </w:rPr>
              <w:t>Contabil</w:t>
            </w:r>
            <w:r w:rsidR="00735277">
              <w:rPr>
                <w:rFonts w:ascii="Arial" w:eastAsia="Arial" w:hAnsi="Arial" w:cs="Arial"/>
                <w:i/>
                <w:sz w:val="20"/>
                <w:szCs w:val="20"/>
              </w:rPr>
              <w:t>ul-</w:t>
            </w:r>
            <w:r w:rsidRPr="00C35EFE">
              <w:rPr>
                <w:rFonts w:ascii="Arial" w:eastAsia="Arial" w:hAnsi="Arial" w:cs="Arial"/>
                <w:i/>
                <w:sz w:val="20"/>
                <w:szCs w:val="20"/>
              </w:rPr>
              <w:t xml:space="preserve"> șef</w:t>
            </w:r>
            <w:r w:rsidR="00735277">
              <w:rPr>
                <w:rFonts w:ascii="Arial" w:eastAsia="Arial" w:hAnsi="Arial" w:cs="Arial"/>
                <w:i/>
                <w:sz w:val="20"/>
                <w:szCs w:val="20"/>
              </w:rPr>
              <w:t>,</w:t>
            </w:r>
          </w:p>
          <w:p w14:paraId="484D0A01" w14:textId="2AA1946B" w:rsidR="00BD1605"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 contabil</w:t>
            </w:r>
            <w:r w:rsidR="00735277">
              <w:rPr>
                <w:rFonts w:ascii="Arial" w:eastAsia="Arial" w:hAnsi="Arial" w:cs="Arial"/>
                <w:i/>
                <w:sz w:val="20"/>
                <w:szCs w:val="20"/>
              </w:rPr>
              <w:t>ul</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859670" w14:textId="77777777" w:rsidR="00BD1605" w:rsidRDefault="00BD1605" w:rsidP="00461A81">
            <w:pPr>
              <w:spacing w:before="240" w:line="276" w:lineRule="auto"/>
              <w:jc w:val="both"/>
              <w:rPr>
                <w:rFonts w:ascii="Arial" w:eastAsia="Arial" w:hAnsi="Arial" w:cs="Arial"/>
                <w:b/>
                <w:i/>
                <w:sz w:val="20"/>
                <w:szCs w:val="20"/>
              </w:rPr>
            </w:pPr>
            <w:r>
              <w:rPr>
                <w:rFonts w:ascii="Arial" w:eastAsia="Arial" w:hAnsi="Arial" w:cs="Arial"/>
                <w:b/>
                <w:i/>
                <w:sz w:val="20"/>
                <w:szCs w:val="20"/>
              </w:rPr>
              <w:t xml:space="preserve"> 6 luni</w:t>
            </w:r>
          </w:p>
        </w:tc>
      </w:tr>
      <w:tr w:rsidR="00BD1605" w14:paraId="528495D6" w14:textId="77777777" w:rsidTr="00461A81">
        <w:trPr>
          <w:trHeight w:val="1124"/>
        </w:trPr>
        <w:tc>
          <w:tcPr>
            <w:tcW w:w="4956" w:type="dxa"/>
          </w:tcPr>
          <w:p w14:paraId="0D1E5ADF" w14:textId="77777777" w:rsidR="00BD1605" w:rsidRDefault="00BD1605" w:rsidP="00461A81">
            <w:pPr>
              <w:spacing w:line="276" w:lineRule="auto"/>
              <w:ind w:firstLine="709"/>
              <w:jc w:val="both"/>
              <w:rPr>
                <w:rFonts w:cs="Calibri"/>
                <w:i/>
                <w:sz w:val="20"/>
                <w:szCs w:val="20"/>
              </w:rPr>
            </w:pPr>
            <w:r>
              <w:rPr>
                <w:rFonts w:cs="Calibri"/>
                <w:i/>
                <w:sz w:val="20"/>
                <w:szCs w:val="20"/>
              </w:rPr>
              <w:t>Potrivit cadrului de reglementare aplicabil</w:t>
            </w:r>
            <w:r>
              <w:rPr>
                <w:rFonts w:cs="Calibri"/>
                <w:i/>
                <w:sz w:val="20"/>
                <w:szCs w:val="20"/>
                <w:vertAlign w:val="superscript"/>
              </w:rPr>
              <w:footnoteReference w:id="83"/>
            </w:r>
            <w:r>
              <w:rPr>
                <w:rFonts w:cs="Calibri"/>
                <w:i/>
                <w:sz w:val="20"/>
                <w:szCs w:val="20"/>
              </w:rPr>
              <w:t xml:space="preserve">, orice entitate urmează să constituie provizioane pentru acoperirea anumitor pierderi sau cheltuieli a căror cauză este precisă și asupra cărora există o incertitudine în ceea ce privește mărimea sau data producerii lor, iar modalitatea de creare, calculare și contabilizare a acestora trebuie să fie în corelație cu riscurile şi cheltuielile estimate. </w:t>
            </w:r>
          </w:p>
          <w:p w14:paraId="6090D6C8" w14:textId="3937313C" w:rsidR="00BD1605" w:rsidRDefault="00BD1605" w:rsidP="00461A81">
            <w:pPr>
              <w:spacing w:line="276" w:lineRule="auto"/>
              <w:ind w:firstLine="709"/>
              <w:jc w:val="both"/>
              <w:rPr>
                <w:rFonts w:cs="Calibri"/>
                <w:i/>
                <w:sz w:val="20"/>
                <w:szCs w:val="20"/>
              </w:rPr>
            </w:pPr>
            <w:r>
              <w:rPr>
                <w:rFonts w:cs="Calibri"/>
                <w:i/>
                <w:sz w:val="20"/>
                <w:szCs w:val="20"/>
              </w:rPr>
              <w:t>Deși INM organizează și ține evidența contabilă  în conformitate cu SNC, aceasta, prin politicile sale contabile adoptate, nu a reglementat modul de constituire a provizioanelor</w:t>
            </w:r>
            <w:r w:rsidR="000A047F">
              <w:rPr>
                <w:rFonts w:cs="Calibri"/>
                <w:i/>
                <w:sz w:val="20"/>
                <w:szCs w:val="20"/>
              </w:rPr>
              <w:t>,</w:t>
            </w:r>
            <w:r>
              <w:rPr>
                <w:rFonts w:cs="Calibri"/>
                <w:i/>
                <w:sz w:val="20"/>
                <w:szCs w:val="20"/>
              </w:rPr>
              <w:t xml:space="preserve"> ceea ce nu asigură o gestionare prudentă a riscurilor corelate cu eventualele cheltuieli. </w:t>
            </w:r>
          </w:p>
        </w:tc>
        <w:tc>
          <w:tcPr>
            <w:tcW w:w="2694" w:type="dxa"/>
          </w:tcPr>
          <w:p w14:paraId="2F8C9238" w14:textId="61D8562A" w:rsidR="00BD1605" w:rsidRDefault="00BD1605" w:rsidP="00461A81">
            <w:pPr>
              <w:spacing w:line="276" w:lineRule="auto"/>
              <w:ind w:firstLine="709"/>
              <w:jc w:val="both"/>
              <w:rPr>
                <w:rFonts w:cs="Calibri"/>
                <w:i/>
                <w:sz w:val="20"/>
                <w:szCs w:val="20"/>
              </w:rPr>
            </w:pPr>
            <w:r>
              <w:rPr>
                <w:rFonts w:cs="Calibri"/>
                <w:i/>
                <w:sz w:val="20"/>
                <w:szCs w:val="20"/>
              </w:rPr>
              <w:t>Prin politicile contabile adoptate, să asigure tratamentul contabil corespunzător aferent constituirii provizionului pentru datoriile  față de personalul încadrat privind concediile de odihnă nefolosite (pct. 4.3.2.)</w:t>
            </w:r>
            <w:r w:rsidR="00735277">
              <w:rPr>
                <w:rFonts w:cs="Calibri"/>
                <w:i/>
                <w:sz w:val="20"/>
                <w:szCs w:val="20"/>
              </w:rPr>
              <w:t>.</w:t>
            </w:r>
          </w:p>
          <w:p w14:paraId="3ED246D6" w14:textId="77777777" w:rsidR="00BD1605" w:rsidRDefault="00BD1605" w:rsidP="00461A81">
            <w:pPr>
              <w:spacing w:line="276" w:lineRule="auto"/>
              <w:ind w:firstLine="709"/>
              <w:jc w:val="both"/>
              <w:rPr>
                <w:rFonts w:cs="Calibri"/>
                <w:i/>
                <w:sz w:val="20"/>
                <w:szCs w:val="20"/>
              </w:rPr>
            </w:pPr>
          </w:p>
        </w:tc>
        <w:tc>
          <w:tcPr>
            <w:tcW w:w="1985" w:type="dxa"/>
          </w:tcPr>
          <w:p w14:paraId="23F44713" w14:textId="34DF72A4" w:rsidR="00BD1605" w:rsidRPr="00100C3B" w:rsidRDefault="00BD1605" w:rsidP="00461A81">
            <w:pPr>
              <w:spacing w:line="276" w:lineRule="auto"/>
              <w:rPr>
                <w:i/>
                <w:sz w:val="20"/>
                <w:szCs w:val="20"/>
              </w:rPr>
            </w:pPr>
            <w:r>
              <w:rPr>
                <w:i/>
                <w:sz w:val="20"/>
                <w:szCs w:val="20"/>
              </w:rPr>
              <w:t xml:space="preserve">Revizuirea politicilor contabile ( </w:t>
            </w:r>
            <w:r w:rsidRPr="00100C3B">
              <w:rPr>
                <w:i/>
                <w:sz w:val="20"/>
                <w:szCs w:val="20"/>
              </w:rPr>
              <w:t>va</w:t>
            </w:r>
            <w:r>
              <w:rPr>
                <w:i/>
                <w:sz w:val="20"/>
                <w:szCs w:val="20"/>
              </w:rPr>
              <w:t xml:space="preserve"> fi asigurată constituirea provizionului </w:t>
            </w:r>
            <w:r w:rsidRPr="007B3C4C">
              <w:rPr>
                <w:i/>
                <w:sz w:val="20"/>
                <w:szCs w:val="20"/>
              </w:rPr>
              <w:t>pentru datoriile  față de personalul încadrat privind concediile de odihnă nefolosite</w:t>
            </w:r>
            <w:r>
              <w:rPr>
                <w:i/>
                <w:sz w:val="20"/>
                <w:szCs w:val="20"/>
              </w:rPr>
              <w:t>)</w:t>
            </w:r>
            <w:r w:rsidR="00735277">
              <w:rPr>
                <w:i/>
                <w:sz w:val="20"/>
                <w:szCs w:val="20"/>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77ABE" w14:textId="77777777" w:rsidR="00BD1605" w:rsidRDefault="00BD1605" w:rsidP="00461A81">
            <w:pPr>
              <w:spacing w:line="276" w:lineRule="auto"/>
              <w:jc w:val="both"/>
              <w:rPr>
                <w:rFonts w:ascii="Arial" w:eastAsia="Arial" w:hAnsi="Arial" w:cs="Arial"/>
                <w:i/>
                <w:sz w:val="20"/>
                <w:szCs w:val="20"/>
              </w:rPr>
            </w:pPr>
            <w:r>
              <w:rPr>
                <w:rFonts w:ascii="Arial" w:eastAsia="Arial" w:hAnsi="Arial" w:cs="Arial"/>
                <w:i/>
                <w:sz w:val="20"/>
                <w:szCs w:val="20"/>
              </w:rPr>
              <w:t>Serviciul contabilitate:</w:t>
            </w:r>
          </w:p>
          <w:p w14:paraId="500CB8DE" w14:textId="6AE8019C" w:rsidR="00BD1605" w:rsidRPr="00C35EFE"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w:t>
            </w:r>
            <w:r w:rsidR="00735277">
              <w:rPr>
                <w:rFonts w:ascii="Arial" w:eastAsia="Arial" w:hAnsi="Arial" w:cs="Arial"/>
                <w:i/>
                <w:sz w:val="20"/>
                <w:szCs w:val="20"/>
              </w:rPr>
              <w:t xml:space="preserve"> </w:t>
            </w:r>
            <w:r w:rsidRPr="00C35EFE">
              <w:rPr>
                <w:rFonts w:ascii="Arial" w:eastAsia="Arial" w:hAnsi="Arial" w:cs="Arial"/>
                <w:i/>
                <w:sz w:val="20"/>
                <w:szCs w:val="20"/>
              </w:rPr>
              <w:t>Contabil</w:t>
            </w:r>
            <w:r w:rsidR="00735277">
              <w:rPr>
                <w:rFonts w:ascii="Arial" w:eastAsia="Arial" w:hAnsi="Arial" w:cs="Arial"/>
                <w:i/>
                <w:sz w:val="20"/>
                <w:szCs w:val="20"/>
              </w:rPr>
              <w:t>ul-</w:t>
            </w:r>
            <w:r w:rsidRPr="00C35EFE">
              <w:rPr>
                <w:rFonts w:ascii="Arial" w:eastAsia="Arial" w:hAnsi="Arial" w:cs="Arial"/>
                <w:i/>
                <w:sz w:val="20"/>
                <w:szCs w:val="20"/>
              </w:rPr>
              <w:t xml:space="preserve"> șef</w:t>
            </w:r>
            <w:r w:rsidR="00735277">
              <w:rPr>
                <w:rFonts w:ascii="Arial" w:eastAsia="Arial" w:hAnsi="Arial" w:cs="Arial"/>
                <w:i/>
                <w:sz w:val="20"/>
                <w:szCs w:val="20"/>
              </w:rPr>
              <w:t>,</w:t>
            </w:r>
          </w:p>
          <w:p w14:paraId="131D0194" w14:textId="607A7E19" w:rsidR="00BD1605"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 contabil</w:t>
            </w:r>
            <w:r w:rsidR="00735277">
              <w:rPr>
                <w:rFonts w:ascii="Arial" w:eastAsia="Arial" w:hAnsi="Arial" w:cs="Arial"/>
                <w:i/>
                <w:sz w:val="20"/>
                <w:szCs w:val="20"/>
              </w:rPr>
              <w:t>ul</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D257F1" w14:textId="77777777" w:rsidR="00BD1605" w:rsidRDefault="00BD1605" w:rsidP="00461A81">
            <w:pPr>
              <w:spacing w:before="240" w:line="276" w:lineRule="auto"/>
              <w:jc w:val="both"/>
              <w:rPr>
                <w:rFonts w:ascii="Arial" w:eastAsia="Arial" w:hAnsi="Arial" w:cs="Arial"/>
                <w:b/>
                <w:i/>
                <w:sz w:val="20"/>
                <w:szCs w:val="20"/>
              </w:rPr>
            </w:pPr>
            <w:r>
              <w:rPr>
                <w:rFonts w:ascii="Arial" w:eastAsia="Arial" w:hAnsi="Arial" w:cs="Arial"/>
                <w:b/>
                <w:i/>
                <w:sz w:val="20"/>
                <w:szCs w:val="20"/>
              </w:rPr>
              <w:t xml:space="preserve"> 6 luni</w:t>
            </w:r>
          </w:p>
        </w:tc>
      </w:tr>
      <w:tr w:rsidR="00BD1605" w14:paraId="331D4C91" w14:textId="77777777" w:rsidTr="00461A81">
        <w:trPr>
          <w:trHeight w:val="2220"/>
        </w:trPr>
        <w:tc>
          <w:tcPr>
            <w:tcW w:w="4956" w:type="dxa"/>
          </w:tcPr>
          <w:p w14:paraId="4375120D" w14:textId="7C400EF3" w:rsidR="00BD1605" w:rsidRDefault="00BD1605" w:rsidP="00461A81">
            <w:pPr>
              <w:pBdr>
                <w:top w:val="nil"/>
                <w:left w:val="nil"/>
                <w:bottom w:val="nil"/>
                <w:right w:val="nil"/>
                <w:between w:val="nil"/>
              </w:pBdr>
              <w:tabs>
                <w:tab w:val="left" w:pos="270"/>
              </w:tabs>
              <w:spacing w:line="276" w:lineRule="auto"/>
              <w:ind w:firstLine="720"/>
              <w:jc w:val="both"/>
              <w:rPr>
                <w:rFonts w:cs="Calibri"/>
                <w:i/>
                <w:color w:val="000000"/>
                <w:sz w:val="20"/>
                <w:szCs w:val="20"/>
              </w:rPr>
            </w:pPr>
            <w:r>
              <w:rPr>
                <w:rFonts w:cs="Calibri"/>
                <w:i/>
                <w:color w:val="000000"/>
                <w:sz w:val="20"/>
                <w:szCs w:val="20"/>
              </w:rPr>
              <w:t>Se relevă că,</w:t>
            </w:r>
            <w:r>
              <w:rPr>
                <w:rFonts w:cs="Calibri"/>
                <w:b/>
                <w:i/>
                <w:color w:val="000000"/>
                <w:sz w:val="20"/>
                <w:szCs w:val="20"/>
              </w:rPr>
              <w:t xml:space="preserve"> </w:t>
            </w:r>
            <w:r>
              <w:rPr>
                <w:rFonts w:cs="Calibri"/>
                <w:i/>
                <w:color w:val="000000"/>
                <w:sz w:val="20"/>
                <w:szCs w:val="20"/>
              </w:rPr>
              <w:t>în perioada anilor 2020 – 2021</w:t>
            </w:r>
            <w:r w:rsidR="008D6A32">
              <w:rPr>
                <w:rFonts w:cs="Calibri"/>
                <w:i/>
                <w:color w:val="000000"/>
                <w:sz w:val="20"/>
                <w:szCs w:val="20"/>
              </w:rPr>
              <w:t>,</w:t>
            </w:r>
            <w:r>
              <w:rPr>
                <w:rFonts w:cs="Calibri"/>
                <w:i/>
                <w:color w:val="000000"/>
                <w:sz w:val="20"/>
                <w:szCs w:val="20"/>
              </w:rPr>
              <w:t xml:space="preserve"> INM a participat, în calitate de partener extern finanțat, la unele proiecte de cercetare în cadrul comunității europene</w:t>
            </w:r>
            <w:r>
              <w:rPr>
                <w:rFonts w:cs="Calibri"/>
                <w:i/>
                <w:color w:val="000000"/>
                <w:sz w:val="20"/>
                <w:szCs w:val="20"/>
                <w:vertAlign w:val="superscript"/>
              </w:rPr>
              <w:footnoteReference w:id="84"/>
            </w:r>
            <w:r>
              <w:rPr>
                <w:rFonts w:cs="Calibri"/>
                <w:i/>
                <w:color w:val="000000"/>
                <w:sz w:val="20"/>
                <w:szCs w:val="20"/>
              </w:rPr>
              <w:t>. Remunerarea salariaților INM participanți în proiecte în anul 2020 a constituit 92</w:t>
            </w:r>
            <w:r w:rsidR="008D6A32">
              <w:rPr>
                <w:rFonts w:cs="Calibri"/>
                <w:i/>
                <w:color w:val="000000"/>
                <w:sz w:val="20"/>
                <w:szCs w:val="20"/>
              </w:rPr>
              <w:t>,</w:t>
            </w:r>
            <w:r>
              <w:rPr>
                <w:rFonts w:cs="Calibri"/>
                <w:i/>
                <w:color w:val="000000"/>
                <w:sz w:val="20"/>
                <w:szCs w:val="20"/>
              </w:rPr>
              <w:t xml:space="preserve">3 mii lei, iar în anul 2021 </w:t>
            </w:r>
            <w:r w:rsidR="008D6A32">
              <w:rPr>
                <w:rFonts w:cs="Calibri"/>
                <w:i/>
                <w:color w:val="000000"/>
                <w:sz w:val="20"/>
                <w:szCs w:val="20"/>
              </w:rPr>
              <w:t xml:space="preserve">- </w:t>
            </w:r>
            <w:r>
              <w:rPr>
                <w:rFonts w:cs="Calibri"/>
                <w:i/>
                <w:color w:val="000000"/>
                <w:sz w:val="20"/>
                <w:szCs w:val="20"/>
              </w:rPr>
              <w:t xml:space="preserve"> 247</w:t>
            </w:r>
            <w:r w:rsidR="008D6A32">
              <w:rPr>
                <w:rFonts w:cs="Calibri"/>
                <w:i/>
                <w:color w:val="000000"/>
                <w:sz w:val="20"/>
                <w:szCs w:val="20"/>
              </w:rPr>
              <w:t>,</w:t>
            </w:r>
            <w:r>
              <w:rPr>
                <w:rFonts w:cs="Calibri"/>
                <w:i/>
                <w:color w:val="000000"/>
                <w:sz w:val="20"/>
                <w:szCs w:val="20"/>
              </w:rPr>
              <w:t xml:space="preserve">0 mii lei. </w:t>
            </w:r>
          </w:p>
          <w:p w14:paraId="7D42585B" w14:textId="49B6BF1E" w:rsidR="00BD1605" w:rsidRDefault="00BD1605" w:rsidP="00461A81">
            <w:pPr>
              <w:pBdr>
                <w:top w:val="nil"/>
                <w:left w:val="nil"/>
                <w:bottom w:val="nil"/>
                <w:right w:val="nil"/>
                <w:between w:val="nil"/>
              </w:pBdr>
              <w:tabs>
                <w:tab w:val="left" w:pos="270"/>
              </w:tabs>
              <w:spacing w:line="276" w:lineRule="auto"/>
              <w:ind w:firstLine="720"/>
              <w:jc w:val="both"/>
              <w:rPr>
                <w:rFonts w:cs="Calibri"/>
                <w:b/>
                <w:i/>
                <w:color w:val="000000"/>
                <w:sz w:val="20"/>
                <w:szCs w:val="20"/>
                <w:highlight w:val="white"/>
              </w:rPr>
            </w:pPr>
            <w:r>
              <w:rPr>
                <w:rFonts w:cs="Calibri"/>
                <w:i/>
                <w:color w:val="000000"/>
                <w:sz w:val="20"/>
                <w:szCs w:val="20"/>
              </w:rPr>
              <w:t xml:space="preserve">Prin urmare, norma de plată pentru remunerarea salariaților INM participanți în cadrul proiectelor (anii 2020 - 2021) </w:t>
            </w:r>
            <w:r w:rsidR="00193A11">
              <w:rPr>
                <w:rFonts w:cs="Calibri"/>
                <w:i/>
                <w:color w:val="000000"/>
                <w:sz w:val="20"/>
                <w:szCs w:val="20"/>
              </w:rPr>
              <w:t>s-</w:t>
            </w:r>
            <w:r>
              <w:rPr>
                <w:rFonts w:cs="Calibri"/>
                <w:i/>
                <w:color w:val="000000"/>
                <w:sz w:val="20"/>
                <w:szCs w:val="20"/>
              </w:rPr>
              <w:t>a aplicat în conformitate cu Hotărârea  Guvern</w:t>
            </w:r>
            <w:r w:rsidR="008D6A32">
              <w:rPr>
                <w:rFonts w:cs="Calibri"/>
                <w:i/>
                <w:color w:val="000000"/>
                <w:sz w:val="20"/>
                <w:szCs w:val="20"/>
              </w:rPr>
              <w:t xml:space="preserve">ului </w:t>
            </w:r>
            <w:r>
              <w:rPr>
                <w:rFonts w:cs="Calibri"/>
                <w:i/>
                <w:color w:val="000000"/>
                <w:sz w:val="20"/>
                <w:szCs w:val="20"/>
              </w:rPr>
              <w:t xml:space="preserve"> nr. 534 din 20.07.2012</w:t>
            </w:r>
            <w:r>
              <w:rPr>
                <w:rFonts w:cs="Calibri"/>
                <w:i/>
                <w:color w:val="000000"/>
                <w:sz w:val="20"/>
                <w:szCs w:val="20"/>
                <w:vertAlign w:val="superscript"/>
              </w:rPr>
              <w:footnoteReference w:id="85"/>
            </w:r>
            <w:r w:rsidR="008D6A32">
              <w:rPr>
                <w:rFonts w:cs="Calibri"/>
                <w:i/>
                <w:color w:val="000000"/>
                <w:sz w:val="20"/>
                <w:szCs w:val="20"/>
              </w:rPr>
              <w:t>,</w:t>
            </w:r>
            <w:r>
              <w:rPr>
                <w:rFonts w:cs="Calibri"/>
                <w:i/>
                <w:color w:val="000000"/>
                <w:sz w:val="20"/>
                <w:szCs w:val="20"/>
              </w:rPr>
              <w:t xml:space="preserve"> care a fost abrogată pe data de 01 ianuarie 2021, ceea ce a condiționat remunerarea  salariaților INM participanți în cadrul proiectelor  pentru anul 2021 în sumă totală de 247,0 mii lei.</w:t>
            </w:r>
            <w:r>
              <w:rPr>
                <w:rFonts w:cs="Calibri"/>
                <w:b/>
                <w:i/>
                <w:color w:val="000000"/>
                <w:sz w:val="20"/>
                <w:szCs w:val="20"/>
                <w:highlight w:val="white"/>
              </w:rPr>
              <w:t xml:space="preserve">  </w:t>
            </w:r>
          </w:p>
          <w:p w14:paraId="7544A0E1" w14:textId="77777777" w:rsidR="00BD1605" w:rsidRDefault="00BD1605" w:rsidP="00461A81">
            <w:pPr>
              <w:spacing w:line="276" w:lineRule="auto"/>
              <w:ind w:firstLine="709"/>
              <w:jc w:val="both"/>
              <w:rPr>
                <w:rFonts w:cs="Calibri"/>
                <w:i/>
                <w:sz w:val="20"/>
                <w:szCs w:val="20"/>
              </w:rPr>
            </w:pPr>
          </w:p>
        </w:tc>
        <w:tc>
          <w:tcPr>
            <w:tcW w:w="2694" w:type="dxa"/>
          </w:tcPr>
          <w:p w14:paraId="64DCC176" w14:textId="4616C291" w:rsidR="00BD1605" w:rsidRDefault="00BD1605" w:rsidP="00461A81">
            <w:pPr>
              <w:pBdr>
                <w:top w:val="nil"/>
                <w:left w:val="nil"/>
                <w:bottom w:val="nil"/>
                <w:right w:val="nil"/>
                <w:between w:val="nil"/>
              </w:pBdr>
              <w:spacing w:line="276" w:lineRule="auto"/>
              <w:jc w:val="both"/>
              <w:rPr>
                <w:rFonts w:cs="Calibri"/>
                <w:i/>
                <w:color w:val="000000"/>
                <w:sz w:val="20"/>
                <w:szCs w:val="20"/>
              </w:rPr>
            </w:pPr>
            <w:r>
              <w:rPr>
                <w:rFonts w:cs="Calibri"/>
                <w:i/>
                <w:color w:val="000000"/>
                <w:sz w:val="20"/>
                <w:szCs w:val="20"/>
              </w:rPr>
              <w:t xml:space="preserve">             Să asigure adoptarea cadrului regulator intern  aferent salarizării personalului încadrat în realizarea proiectelor internaționale (4.3.2.)</w:t>
            </w:r>
            <w:r w:rsidR="008D6A32">
              <w:rPr>
                <w:rFonts w:cs="Calibri"/>
                <w:i/>
                <w:color w:val="000000"/>
                <w:sz w:val="20"/>
                <w:szCs w:val="20"/>
              </w:rPr>
              <w:t>.</w:t>
            </w:r>
          </w:p>
          <w:p w14:paraId="03F6B119" w14:textId="77777777" w:rsidR="00BD1605" w:rsidRDefault="00BD1605" w:rsidP="00461A81">
            <w:pPr>
              <w:spacing w:line="276" w:lineRule="auto"/>
              <w:ind w:firstLine="709"/>
              <w:jc w:val="both"/>
              <w:rPr>
                <w:rFonts w:cs="Calibri"/>
                <w:i/>
                <w:sz w:val="20"/>
                <w:szCs w:val="20"/>
              </w:rPr>
            </w:pPr>
          </w:p>
        </w:tc>
        <w:tc>
          <w:tcPr>
            <w:tcW w:w="1985" w:type="dxa"/>
          </w:tcPr>
          <w:p w14:paraId="29F4CEC5" w14:textId="77777777" w:rsidR="00BD1605" w:rsidRDefault="00BD1605" w:rsidP="00461A81">
            <w:pPr>
              <w:spacing w:line="276" w:lineRule="auto"/>
              <w:rPr>
                <w:i/>
                <w:sz w:val="20"/>
                <w:szCs w:val="20"/>
              </w:rPr>
            </w:pPr>
            <w:r>
              <w:rPr>
                <w:i/>
                <w:sz w:val="20"/>
                <w:szCs w:val="20"/>
              </w:rPr>
              <w:t>Revizuirea politicilor contabile.</w:t>
            </w:r>
          </w:p>
          <w:p w14:paraId="2FAD285F" w14:textId="77777777" w:rsidR="00BD1605" w:rsidRDefault="00BD1605" w:rsidP="00461A81">
            <w:pPr>
              <w:spacing w:line="276" w:lineRule="auto"/>
              <w:rPr>
                <w:rFonts w:cs="Calibri"/>
                <w:i/>
                <w:sz w:val="20"/>
                <w:szCs w:val="20"/>
              </w:rPr>
            </w:pPr>
            <w:r>
              <w:rPr>
                <w:i/>
                <w:sz w:val="20"/>
                <w:szCs w:val="20"/>
              </w:rPr>
              <w:t>Elaborarea și  adoptarea Regulamentului de salarizare a personalului încadrat în realizarea proiectelor.</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7EF5" w14:textId="77777777" w:rsidR="00BD1605" w:rsidRDefault="00BD1605" w:rsidP="00461A81">
            <w:pPr>
              <w:spacing w:line="276" w:lineRule="auto"/>
              <w:jc w:val="both"/>
              <w:rPr>
                <w:rFonts w:ascii="Arial" w:eastAsia="Arial" w:hAnsi="Arial" w:cs="Arial"/>
                <w:i/>
                <w:sz w:val="20"/>
                <w:szCs w:val="20"/>
              </w:rPr>
            </w:pPr>
            <w:r>
              <w:rPr>
                <w:rFonts w:ascii="Times New Roman" w:eastAsia="Times New Roman" w:hAnsi="Times New Roman"/>
                <w:i/>
                <w:sz w:val="14"/>
                <w:szCs w:val="14"/>
              </w:rPr>
              <w:t xml:space="preserve"> </w:t>
            </w:r>
            <w:r>
              <w:rPr>
                <w:rFonts w:ascii="Arial" w:eastAsia="Arial" w:hAnsi="Arial" w:cs="Arial"/>
                <w:i/>
                <w:sz w:val="20"/>
                <w:szCs w:val="20"/>
              </w:rPr>
              <w:t>Serviciul contabilitate:</w:t>
            </w:r>
          </w:p>
          <w:p w14:paraId="11FD4A8F" w14:textId="02CEAC62" w:rsidR="00BD1605" w:rsidRPr="00C35EFE"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w:t>
            </w:r>
            <w:r w:rsidR="008D6A32">
              <w:rPr>
                <w:rFonts w:ascii="Arial" w:eastAsia="Arial" w:hAnsi="Arial" w:cs="Arial"/>
                <w:i/>
                <w:sz w:val="20"/>
                <w:szCs w:val="20"/>
              </w:rPr>
              <w:t xml:space="preserve"> </w:t>
            </w:r>
            <w:r w:rsidRPr="00C35EFE">
              <w:rPr>
                <w:rFonts w:ascii="Arial" w:eastAsia="Arial" w:hAnsi="Arial" w:cs="Arial"/>
                <w:i/>
                <w:sz w:val="20"/>
                <w:szCs w:val="20"/>
              </w:rPr>
              <w:t>Contabil</w:t>
            </w:r>
            <w:r w:rsidR="008D6A32">
              <w:rPr>
                <w:rFonts w:ascii="Arial" w:eastAsia="Arial" w:hAnsi="Arial" w:cs="Arial"/>
                <w:i/>
                <w:sz w:val="20"/>
                <w:szCs w:val="20"/>
              </w:rPr>
              <w:t>ul-</w:t>
            </w:r>
            <w:r w:rsidRPr="00C35EFE">
              <w:rPr>
                <w:rFonts w:ascii="Arial" w:eastAsia="Arial" w:hAnsi="Arial" w:cs="Arial"/>
                <w:i/>
                <w:sz w:val="20"/>
                <w:szCs w:val="20"/>
              </w:rPr>
              <w:t>șef</w:t>
            </w:r>
            <w:r w:rsidR="008D6A32">
              <w:rPr>
                <w:rFonts w:ascii="Arial" w:eastAsia="Arial" w:hAnsi="Arial" w:cs="Arial"/>
                <w:i/>
                <w:sz w:val="20"/>
                <w:szCs w:val="20"/>
              </w:rPr>
              <w:t>,</w:t>
            </w:r>
          </w:p>
          <w:p w14:paraId="3D22035A" w14:textId="27DB693B" w:rsidR="00BD1605"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 contabil</w:t>
            </w:r>
            <w:r w:rsidR="008D6A32">
              <w:rPr>
                <w:rFonts w:ascii="Arial" w:eastAsia="Arial" w:hAnsi="Arial" w:cs="Arial"/>
                <w:i/>
                <w:sz w:val="20"/>
                <w:szCs w:val="20"/>
              </w:rPr>
              <w:t>ul</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E75E66" w14:textId="77777777" w:rsidR="00BD1605" w:rsidRDefault="00BD1605" w:rsidP="00461A81">
            <w:pPr>
              <w:spacing w:before="240" w:line="276" w:lineRule="auto"/>
              <w:jc w:val="both"/>
              <w:rPr>
                <w:rFonts w:ascii="Arial" w:eastAsia="Arial" w:hAnsi="Arial" w:cs="Arial"/>
                <w:b/>
                <w:i/>
                <w:sz w:val="20"/>
                <w:szCs w:val="20"/>
              </w:rPr>
            </w:pPr>
            <w:r>
              <w:rPr>
                <w:rFonts w:ascii="Arial" w:eastAsia="Arial" w:hAnsi="Arial" w:cs="Arial"/>
                <w:b/>
                <w:i/>
                <w:sz w:val="20"/>
                <w:szCs w:val="20"/>
              </w:rPr>
              <w:t xml:space="preserve"> 6 luni</w:t>
            </w:r>
          </w:p>
        </w:tc>
      </w:tr>
      <w:tr w:rsidR="00BD1605" w14:paraId="425D6D99" w14:textId="77777777" w:rsidTr="00461A81">
        <w:trPr>
          <w:trHeight w:val="2220"/>
        </w:trPr>
        <w:tc>
          <w:tcPr>
            <w:tcW w:w="4956" w:type="dxa"/>
          </w:tcPr>
          <w:p w14:paraId="060F2488" w14:textId="5B8D6BBA" w:rsidR="00BD1605" w:rsidRDefault="00BD1605" w:rsidP="00461A81">
            <w:pPr>
              <w:tabs>
                <w:tab w:val="left" w:pos="0"/>
                <w:tab w:val="left" w:pos="270"/>
                <w:tab w:val="left" w:pos="990"/>
                <w:tab w:val="left" w:pos="1080"/>
              </w:tabs>
              <w:spacing w:line="276" w:lineRule="auto"/>
              <w:jc w:val="both"/>
              <w:rPr>
                <w:rFonts w:cs="Calibri"/>
                <w:i/>
                <w:sz w:val="20"/>
                <w:szCs w:val="20"/>
              </w:rPr>
            </w:pPr>
            <w:r>
              <w:rPr>
                <w:rFonts w:cs="Calibri"/>
                <w:i/>
                <w:sz w:val="20"/>
                <w:szCs w:val="20"/>
              </w:rPr>
              <w:t xml:space="preserve">             Conform cadrului legal</w:t>
            </w:r>
            <w:r>
              <w:rPr>
                <w:rFonts w:cs="Calibri"/>
                <w:i/>
                <w:sz w:val="20"/>
                <w:szCs w:val="20"/>
                <w:vertAlign w:val="superscript"/>
              </w:rPr>
              <w:footnoteReference w:id="86"/>
            </w:r>
            <w:r>
              <w:rPr>
                <w:rFonts w:cs="Calibri"/>
                <w:i/>
                <w:sz w:val="20"/>
                <w:szCs w:val="20"/>
              </w:rPr>
              <w:t>,  „veniturile provenite din acordarea serviciilor prevăzute la art.5 alin.(4) pct.2) lit.a) şi</w:t>
            </w:r>
            <w:r w:rsidR="00193A11">
              <w:rPr>
                <w:rFonts w:cs="Calibri"/>
                <w:i/>
                <w:sz w:val="20"/>
                <w:szCs w:val="20"/>
              </w:rPr>
              <w:t xml:space="preserve"> lit.</w:t>
            </w:r>
            <w:r>
              <w:rPr>
                <w:rFonts w:cs="Calibri"/>
                <w:i/>
                <w:sz w:val="20"/>
                <w:szCs w:val="20"/>
              </w:rPr>
              <w:t xml:space="preserve">i) de către INM se constituie şi se utilizează în conformitate cu Regulamentul de constituire şi utilizare a veniturilor colectate. </w:t>
            </w:r>
            <w:r w:rsidR="00C633D3">
              <w:rPr>
                <w:rFonts w:cs="Calibri"/>
                <w:i/>
                <w:sz w:val="20"/>
                <w:szCs w:val="20"/>
              </w:rPr>
              <w:t>Un a</w:t>
            </w:r>
            <w:r>
              <w:rPr>
                <w:rFonts w:cs="Calibri"/>
                <w:i/>
                <w:sz w:val="20"/>
                <w:szCs w:val="20"/>
              </w:rPr>
              <w:t xml:space="preserve">semenea Regulament nu a fost elaborat și </w:t>
            </w:r>
            <w:r w:rsidR="00C633D3">
              <w:rPr>
                <w:rFonts w:cs="Calibri"/>
                <w:i/>
                <w:sz w:val="20"/>
                <w:szCs w:val="20"/>
              </w:rPr>
              <w:t xml:space="preserve">nici </w:t>
            </w:r>
            <w:r>
              <w:rPr>
                <w:rFonts w:cs="Calibri"/>
                <w:i/>
                <w:sz w:val="20"/>
                <w:szCs w:val="20"/>
              </w:rPr>
              <w:t>aprobat, iar Politicile contabile ale instituției nu stabilesc procedurile/procesele de constituire și utilizare a acestora. De asemenea, INM nu a asigurat acumularea integrală a unor venituri provenite din prestarea serviciilor, care, conform prevederilor cadrului normativ</w:t>
            </w:r>
            <w:r>
              <w:rPr>
                <w:rFonts w:cs="Calibri"/>
                <w:i/>
                <w:sz w:val="20"/>
                <w:szCs w:val="20"/>
                <w:vertAlign w:val="superscript"/>
              </w:rPr>
              <w:footnoteReference w:id="87"/>
            </w:r>
            <w:r>
              <w:rPr>
                <w:rFonts w:cs="Calibri"/>
                <w:i/>
                <w:sz w:val="20"/>
                <w:szCs w:val="20"/>
              </w:rPr>
              <w:t xml:space="preserve"> , urmau a fi efectuate după achitarea plății pentru aceste servicii. Prin urmare, unele servicii realizate nu au fost achitate și recepționate de solicitanți</w:t>
            </w:r>
            <w:r w:rsidR="00C633D3">
              <w:rPr>
                <w:rFonts w:cs="Calibri"/>
                <w:i/>
                <w:sz w:val="20"/>
                <w:szCs w:val="20"/>
              </w:rPr>
              <w:t>,</w:t>
            </w:r>
            <w:r>
              <w:rPr>
                <w:rFonts w:cs="Calibri"/>
                <w:i/>
                <w:sz w:val="20"/>
                <w:szCs w:val="20"/>
              </w:rPr>
              <w:t xml:space="preserve"> ceea ce a  condiționat suportarea unor cheltuieli nejustificate pentru remunerarea persoanelor implicate în procesul prestării serviciilor.</w:t>
            </w:r>
          </w:p>
          <w:p w14:paraId="0DF91E52" w14:textId="77777777" w:rsidR="00BD1605" w:rsidRDefault="00BD1605" w:rsidP="00461A81">
            <w:pPr>
              <w:pStyle w:val="Heading1"/>
              <w:spacing w:line="276" w:lineRule="auto"/>
              <w:jc w:val="both"/>
              <w:rPr>
                <w:rFonts w:ascii="Calibri" w:eastAsia="Calibri" w:hAnsi="Calibri" w:cs="Calibri"/>
                <w:i/>
                <w:color w:val="000000"/>
                <w:sz w:val="20"/>
                <w:szCs w:val="20"/>
              </w:rPr>
            </w:pPr>
          </w:p>
        </w:tc>
        <w:tc>
          <w:tcPr>
            <w:tcW w:w="2694" w:type="dxa"/>
          </w:tcPr>
          <w:p w14:paraId="290CEA03" w14:textId="007248D9" w:rsidR="00BD1605" w:rsidRDefault="00BD1605" w:rsidP="00461A81">
            <w:pPr>
              <w:pBdr>
                <w:top w:val="nil"/>
                <w:left w:val="nil"/>
                <w:bottom w:val="nil"/>
                <w:right w:val="nil"/>
                <w:between w:val="nil"/>
              </w:pBdr>
              <w:spacing w:line="276" w:lineRule="auto"/>
              <w:jc w:val="both"/>
              <w:rPr>
                <w:rFonts w:cs="Calibri"/>
                <w:i/>
                <w:color w:val="000000"/>
                <w:sz w:val="20"/>
                <w:szCs w:val="20"/>
              </w:rPr>
            </w:pPr>
            <w:r>
              <w:rPr>
                <w:rFonts w:cs="Calibri"/>
                <w:i/>
                <w:color w:val="000000"/>
                <w:sz w:val="20"/>
                <w:szCs w:val="20"/>
              </w:rPr>
              <w:t xml:space="preserve">            Să asigure elaborarea și aprobarea Regulamentului de constituire și utilizare a veniturilor colectate conform prevederilor legale (pct.4.2.)</w:t>
            </w:r>
            <w:r w:rsidR="00C633D3">
              <w:rPr>
                <w:rFonts w:cs="Calibri"/>
                <w:i/>
                <w:color w:val="000000"/>
                <w:sz w:val="20"/>
                <w:szCs w:val="20"/>
              </w:rPr>
              <w:t>.</w:t>
            </w:r>
          </w:p>
          <w:p w14:paraId="6F7A2DBC" w14:textId="77777777" w:rsidR="00BD1605" w:rsidRDefault="00BD1605" w:rsidP="00461A81">
            <w:pPr>
              <w:tabs>
                <w:tab w:val="left" w:pos="1170"/>
              </w:tabs>
              <w:spacing w:line="276" w:lineRule="auto"/>
              <w:ind w:firstLine="746"/>
              <w:jc w:val="both"/>
              <w:rPr>
                <w:rFonts w:cs="Calibri"/>
                <w:i/>
                <w:sz w:val="20"/>
                <w:szCs w:val="20"/>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6B6D" w14:textId="77777777" w:rsidR="00BD1605" w:rsidRDefault="00BD1605" w:rsidP="00461A81">
            <w:pPr>
              <w:spacing w:line="276" w:lineRule="auto"/>
              <w:rPr>
                <w:i/>
                <w:sz w:val="20"/>
                <w:szCs w:val="20"/>
              </w:rPr>
            </w:pPr>
            <w:r>
              <w:rPr>
                <w:i/>
                <w:sz w:val="20"/>
                <w:szCs w:val="20"/>
              </w:rPr>
              <w:t>Revizuirea politicilor contabile.</w:t>
            </w:r>
          </w:p>
          <w:p w14:paraId="5EDAFE40" w14:textId="25043CDF" w:rsidR="00BD1605" w:rsidRDefault="00BD1605" w:rsidP="00461A81">
            <w:pPr>
              <w:spacing w:line="276" w:lineRule="auto"/>
              <w:rPr>
                <w:rFonts w:ascii="Arial" w:eastAsia="Arial" w:hAnsi="Arial" w:cs="Arial"/>
                <w:i/>
                <w:sz w:val="20"/>
                <w:szCs w:val="20"/>
              </w:rPr>
            </w:pPr>
            <w:r>
              <w:rPr>
                <w:i/>
                <w:sz w:val="20"/>
                <w:szCs w:val="20"/>
              </w:rPr>
              <w:t xml:space="preserve">Elaborarea și adoptarea Regulamentului de </w:t>
            </w:r>
            <w:r w:rsidRPr="00E842E9">
              <w:rPr>
                <w:i/>
                <w:sz w:val="20"/>
                <w:szCs w:val="20"/>
              </w:rPr>
              <w:t xml:space="preserve">constituire </w:t>
            </w:r>
            <w:r w:rsidR="00C633D3" w:rsidRPr="00E842E9">
              <w:rPr>
                <w:i/>
                <w:sz w:val="20"/>
                <w:szCs w:val="20"/>
              </w:rPr>
              <w:t xml:space="preserve">a </w:t>
            </w:r>
            <w:r w:rsidRPr="00E842E9">
              <w:rPr>
                <w:i/>
                <w:sz w:val="20"/>
                <w:szCs w:val="20"/>
              </w:rPr>
              <w:t>prețurilor de servicii și utilizare a veniturilor</w:t>
            </w:r>
            <w:r w:rsidRPr="00C633D3">
              <w:rPr>
                <w:i/>
                <w:sz w:val="20"/>
                <w:szCs w:val="20"/>
              </w:rPr>
              <w:t xml:space="preserve"> colectate.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58CC4C" w14:textId="5B6AA0A6" w:rsidR="00BD1605" w:rsidRDefault="00BD1605" w:rsidP="00461A81">
            <w:pPr>
              <w:spacing w:line="276" w:lineRule="auto"/>
              <w:rPr>
                <w:rFonts w:ascii="Arial" w:eastAsia="Arial" w:hAnsi="Arial" w:cs="Arial"/>
                <w:i/>
                <w:sz w:val="20"/>
                <w:szCs w:val="20"/>
              </w:rPr>
            </w:pPr>
            <w:r>
              <w:rPr>
                <w:rFonts w:ascii="Arial" w:eastAsia="Arial" w:hAnsi="Arial" w:cs="Arial"/>
                <w:i/>
                <w:sz w:val="20"/>
                <w:szCs w:val="20"/>
              </w:rPr>
              <w:t xml:space="preserve">Direcția </w:t>
            </w:r>
            <w:r w:rsidR="00C633D3">
              <w:rPr>
                <w:rFonts w:ascii="Arial" w:eastAsia="Arial" w:hAnsi="Arial" w:cs="Arial"/>
                <w:i/>
                <w:sz w:val="20"/>
                <w:szCs w:val="20"/>
              </w:rPr>
              <w:t>a</w:t>
            </w:r>
            <w:r>
              <w:rPr>
                <w:rFonts w:ascii="Arial" w:eastAsia="Arial" w:hAnsi="Arial" w:cs="Arial"/>
                <w:i/>
                <w:sz w:val="20"/>
                <w:szCs w:val="20"/>
              </w:rPr>
              <w:t>dministrativă:</w:t>
            </w:r>
          </w:p>
          <w:p w14:paraId="73A23A6D" w14:textId="3FE8B23D" w:rsidR="00BD1605" w:rsidRPr="00C35EFE" w:rsidRDefault="00BD1605" w:rsidP="00BD1605">
            <w:pPr>
              <w:pStyle w:val="ListParagraph"/>
              <w:numPr>
                <w:ilvl w:val="0"/>
                <w:numId w:val="44"/>
              </w:numPr>
              <w:spacing w:line="276" w:lineRule="auto"/>
              <w:ind w:left="179" w:hanging="179"/>
              <w:rPr>
                <w:rFonts w:ascii="Arial" w:eastAsia="Arial" w:hAnsi="Arial" w:cs="Arial"/>
                <w:i/>
                <w:sz w:val="20"/>
                <w:szCs w:val="20"/>
              </w:rPr>
            </w:pPr>
            <w:r w:rsidRPr="00C35EFE">
              <w:rPr>
                <w:rFonts w:ascii="Arial" w:eastAsia="Arial" w:hAnsi="Arial" w:cs="Arial"/>
                <w:i/>
                <w:sz w:val="20"/>
                <w:szCs w:val="20"/>
              </w:rPr>
              <w:t>Șef DA</w:t>
            </w:r>
            <w:r w:rsidR="00C633D3">
              <w:rPr>
                <w:rFonts w:ascii="Arial" w:eastAsia="Arial" w:hAnsi="Arial" w:cs="Arial"/>
                <w:i/>
                <w:sz w:val="20"/>
                <w:szCs w:val="20"/>
              </w:rPr>
              <w:t>,</w:t>
            </w:r>
          </w:p>
          <w:p w14:paraId="31A857FE" w14:textId="77777777" w:rsidR="00BD1605" w:rsidRPr="00C35EFE" w:rsidRDefault="00BD1605" w:rsidP="00BD1605">
            <w:pPr>
              <w:pStyle w:val="ListParagraph"/>
              <w:numPr>
                <w:ilvl w:val="0"/>
                <w:numId w:val="44"/>
              </w:numPr>
              <w:spacing w:line="276" w:lineRule="auto"/>
              <w:ind w:left="179" w:hanging="142"/>
              <w:rPr>
                <w:rFonts w:ascii="Arial" w:eastAsia="Arial" w:hAnsi="Arial" w:cs="Arial"/>
                <w:i/>
                <w:sz w:val="20"/>
                <w:szCs w:val="20"/>
              </w:rPr>
            </w:pPr>
            <w:r w:rsidRPr="00C35EFE">
              <w:rPr>
                <w:rFonts w:ascii="Arial" w:eastAsia="Arial" w:hAnsi="Arial" w:cs="Arial"/>
                <w:i/>
                <w:sz w:val="20"/>
                <w:szCs w:val="20"/>
              </w:rPr>
              <w:t>Șef secție JRUC</w:t>
            </w:r>
          </w:p>
          <w:p w14:paraId="2244706F" w14:textId="77777777" w:rsidR="00BD1605" w:rsidRDefault="00BD1605" w:rsidP="00461A81">
            <w:pPr>
              <w:spacing w:line="276" w:lineRule="auto"/>
              <w:ind w:left="480" w:hanging="220"/>
              <w:jc w:val="both"/>
              <w:rPr>
                <w:rFonts w:ascii="Arial" w:eastAsia="Arial" w:hAnsi="Arial" w:cs="Arial"/>
                <w:i/>
                <w:sz w:val="20"/>
                <w:szCs w:val="20"/>
              </w:rPr>
            </w:pPr>
          </w:p>
          <w:p w14:paraId="369A1EE7" w14:textId="77777777" w:rsidR="00BD1605" w:rsidRDefault="00BD1605" w:rsidP="00461A81">
            <w:pPr>
              <w:spacing w:line="276" w:lineRule="auto"/>
              <w:jc w:val="both"/>
              <w:rPr>
                <w:rFonts w:ascii="Arial" w:eastAsia="Arial" w:hAnsi="Arial" w:cs="Arial"/>
                <w:i/>
                <w:sz w:val="20"/>
                <w:szCs w:val="20"/>
              </w:rPr>
            </w:pPr>
            <w:r>
              <w:rPr>
                <w:rFonts w:ascii="Arial" w:eastAsia="Arial" w:hAnsi="Arial" w:cs="Arial"/>
                <w:i/>
                <w:sz w:val="20"/>
                <w:szCs w:val="20"/>
              </w:rPr>
              <w:t>Serviciul contabilitate:</w:t>
            </w:r>
          </w:p>
          <w:p w14:paraId="51A04FD2" w14:textId="24A1F798" w:rsidR="00BD1605" w:rsidRPr="00C35EFE"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w:t>
            </w:r>
            <w:r w:rsidR="00C633D3">
              <w:rPr>
                <w:rFonts w:ascii="Arial" w:eastAsia="Arial" w:hAnsi="Arial" w:cs="Arial"/>
                <w:i/>
                <w:sz w:val="20"/>
                <w:szCs w:val="20"/>
              </w:rPr>
              <w:t xml:space="preserve"> </w:t>
            </w:r>
            <w:r w:rsidRPr="00C35EFE">
              <w:rPr>
                <w:rFonts w:ascii="Arial" w:eastAsia="Arial" w:hAnsi="Arial" w:cs="Arial"/>
                <w:i/>
                <w:sz w:val="20"/>
                <w:szCs w:val="20"/>
              </w:rPr>
              <w:t>Contabil</w:t>
            </w:r>
            <w:r w:rsidR="00C633D3">
              <w:rPr>
                <w:rFonts w:ascii="Arial" w:eastAsia="Arial" w:hAnsi="Arial" w:cs="Arial"/>
                <w:i/>
                <w:sz w:val="20"/>
                <w:szCs w:val="20"/>
              </w:rPr>
              <w:t>ul-</w:t>
            </w:r>
            <w:r w:rsidRPr="00C35EFE">
              <w:rPr>
                <w:rFonts w:ascii="Arial" w:eastAsia="Arial" w:hAnsi="Arial" w:cs="Arial"/>
                <w:i/>
                <w:sz w:val="20"/>
                <w:szCs w:val="20"/>
              </w:rPr>
              <w:t>șef</w:t>
            </w:r>
            <w:r w:rsidR="00C633D3">
              <w:rPr>
                <w:rFonts w:ascii="Arial" w:eastAsia="Arial" w:hAnsi="Arial" w:cs="Arial"/>
                <w:i/>
                <w:sz w:val="20"/>
                <w:szCs w:val="20"/>
              </w:rPr>
              <w:t>,</w:t>
            </w:r>
          </w:p>
          <w:p w14:paraId="0E230535" w14:textId="46D0D870" w:rsidR="00BD1605" w:rsidRDefault="00BD1605" w:rsidP="00461A81">
            <w:pPr>
              <w:spacing w:line="276" w:lineRule="auto"/>
              <w:jc w:val="both"/>
              <w:rPr>
                <w:rFonts w:ascii="Arial" w:eastAsia="Arial" w:hAnsi="Arial" w:cs="Arial"/>
                <w:i/>
                <w:sz w:val="20"/>
                <w:szCs w:val="20"/>
              </w:rPr>
            </w:pPr>
            <w:r w:rsidRPr="00C35EFE">
              <w:rPr>
                <w:rFonts w:ascii="Arial" w:eastAsia="Arial" w:hAnsi="Arial" w:cs="Arial"/>
                <w:i/>
                <w:sz w:val="20"/>
                <w:szCs w:val="20"/>
              </w:rPr>
              <w:t xml:space="preserve">- </w:t>
            </w:r>
            <w:r>
              <w:rPr>
                <w:rFonts w:ascii="Arial" w:eastAsia="Arial" w:hAnsi="Arial" w:cs="Arial"/>
                <w:i/>
                <w:sz w:val="20"/>
                <w:szCs w:val="20"/>
              </w:rPr>
              <w:t>C</w:t>
            </w:r>
            <w:r w:rsidRPr="00C35EFE">
              <w:rPr>
                <w:rFonts w:ascii="Arial" w:eastAsia="Arial" w:hAnsi="Arial" w:cs="Arial"/>
                <w:i/>
                <w:sz w:val="20"/>
                <w:szCs w:val="20"/>
              </w:rPr>
              <w:t>ontabil</w:t>
            </w:r>
            <w:r w:rsidR="00C633D3">
              <w:rPr>
                <w:rFonts w:ascii="Arial" w:eastAsia="Arial" w:hAnsi="Arial" w:cs="Arial"/>
                <w:i/>
                <w:sz w:val="20"/>
                <w:szCs w:val="20"/>
              </w:rPr>
              <w:t>ul</w:t>
            </w:r>
          </w:p>
          <w:p w14:paraId="708B7487" w14:textId="77777777" w:rsidR="00BD1605" w:rsidRDefault="00BD1605" w:rsidP="00461A81">
            <w:pPr>
              <w:spacing w:before="240" w:line="276" w:lineRule="auto"/>
              <w:jc w:val="both"/>
              <w:rPr>
                <w:rFonts w:ascii="Arial" w:eastAsia="Arial" w:hAnsi="Arial" w:cs="Arial"/>
                <w:i/>
                <w:sz w:val="20"/>
                <w:szCs w:val="20"/>
              </w:rPr>
            </w:pPr>
            <w:r>
              <w:rPr>
                <w:rFonts w:ascii="Arial" w:eastAsia="Arial" w:hAnsi="Arial" w:cs="Arial"/>
                <w:i/>
                <w:sz w:val="20"/>
                <w:szCs w:val="20"/>
              </w:rPr>
              <w:t xml:space="preserve"> </w:t>
            </w:r>
          </w:p>
        </w:tc>
        <w:tc>
          <w:tcPr>
            <w:tcW w:w="18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25AAD" w14:textId="77777777" w:rsidR="00BD1605" w:rsidRDefault="00BD1605" w:rsidP="00461A81">
            <w:pPr>
              <w:spacing w:before="240" w:line="276" w:lineRule="auto"/>
              <w:jc w:val="both"/>
              <w:rPr>
                <w:rFonts w:ascii="Arial" w:eastAsia="Arial" w:hAnsi="Arial" w:cs="Arial"/>
                <w:b/>
                <w:i/>
                <w:sz w:val="20"/>
                <w:szCs w:val="20"/>
              </w:rPr>
            </w:pPr>
            <w:r>
              <w:rPr>
                <w:rFonts w:ascii="Arial" w:eastAsia="Arial" w:hAnsi="Arial" w:cs="Arial"/>
                <w:b/>
                <w:i/>
                <w:sz w:val="20"/>
                <w:szCs w:val="20"/>
              </w:rPr>
              <w:t>6 luni</w:t>
            </w:r>
          </w:p>
        </w:tc>
      </w:tr>
    </w:tbl>
    <w:p w14:paraId="15425CC1" w14:textId="77777777" w:rsidR="00BD1605" w:rsidRDefault="00BD1605" w:rsidP="00BD1605">
      <w:pPr>
        <w:spacing w:after="0" w:line="276" w:lineRule="auto"/>
        <w:jc w:val="center"/>
        <w:rPr>
          <w:rFonts w:cs="Calibri"/>
          <w:b/>
          <w:sz w:val="24"/>
          <w:szCs w:val="24"/>
        </w:rPr>
      </w:pPr>
    </w:p>
    <w:p w14:paraId="2DED073F" w14:textId="77777777" w:rsidR="00BD1605" w:rsidRDefault="00BD1605" w:rsidP="00BD1605">
      <w:pPr>
        <w:spacing w:after="0" w:line="276" w:lineRule="auto"/>
        <w:rPr>
          <w:rFonts w:cs="Calibri"/>
          <w:sz w:val="24"/>
          <w:szCs w:val="24"/>
        </w:rPr>
      </w:pPr>
    </w:p>
    <w:p w14:paraId="793BB906" w14:textId="77777777" w:rsidR="00BD1605" w:rsidRPr="00E24A49" w:rsidRDefault="00BD1605" w:rsidP="00BD1605">
      <w:pPr>
        <w:rPr>
          <w:rFonts w:cs="Calibri"/>
          <w:i/>
          <w:sz w:val="24"/>
          <w:szCs w:val="24"/>
          <w:lang w:val="ro-MD"/>
        </w:rPr>
      </w:pPr>
      <w:r>
        <w:rPr>
          <w:rFonts w:cs="Calibri"/>
          <w:i/>
          <w:sz w:val="24"/>
          <w:szCs w:val="24"/>
        </w:rPr>
        <w:t xml:space="preserve">Conducătorul IP                     </w:t>
      </w:r>
      <w:r>
        <w:rPr>
          <w:rFonts w:cs="Calibri"/>
          <w:i/>
          <w:sz w:val="24"/>
          <w:szCs w:val="24"/>
          <w:lang w:val="ro-MD"/>
        </w:rPr>
        <w:t>Alexei Pianîh</w:t>
      </w:r>
    </w:p>
    <w:p w14:paraId="5B151272" w14:textId="63969174" w:rsidR="001E77CA" w:rsidRDefault="001E77CA" w:rsidP="005A1FA4">
      <w:pPr>
        <w:rPr>
          <w:rFonts w:asciiTheme="majorHAnsi" w:hAnsiTheme="majorHAnsi" w:cstheme="majorHAnsi"/>
          <w:sz w:val="24"/>
          <w:szCs w:val="24"/>
          <w:lang w:val="ro-MD" w:eastAsia="ro-MD"/>
        </w:rPr>
      </w:pPr>
    </w:p>
    <w:p w14:paraId="2256F01A" w14:textId="39CA0F02" w:rsidR="007A20C9" w:rsidRDefault="007A20C9" w:rsidP="005A1FA4">
      <w:pPr>
        <w:rPr>
          <w:rFonts w:asciiTheme="majorHAnsi" w:hAnsiTheme="majorHAnsi" w:cstheme="majorHAnsi"/>
          <w:sz w:val="24"/>
          <w:szCs w:val="24"/>
          <w:lang w:val="ro-MD" w:eastAsia="ro-MD"/>
        </w:rPr>
      </w:pPr>
    </w:p>
    <w:p w14:paraId="17AE80EB" w14:textId="77777777" w:rsidR="00C633D3" w:rsidRDefault="00C633D3" w:rsidP="005A1FA4">
      <w:pPr>
        <w:rPr>
          <w:rFonts w:asciiTheme="majorHAnsi" w:hAnsiTheme="majorHAnsi" w:cstheme="majorHAnsi"/>
          <w:sz w:val="24"/>
          <w:szCs w:val="24"/>
          <w:lang w:val="ro-MD" w:eastAsia="ro-MD"/>
        </w:rPr>
      </w:pPr>
    </w:p>
    <w:p w14:paraId="236A44FA" w14:textId="46CB1B10" w:rsidR="007A20C9" w:rsidRDefault="007A20C9" w:rsidP="005A1FA4">
      <w:pPr>
        <w:rPr>
          <w:rFonts w:asciiTheme="majorHAnsi" w:hAnsiTheme="majorHAnsi" w:cstheme="majorHAnsi"/>
          <w:sz w:val="24"/>
          <w:szCs w:val="24"/>
          <w:lang w:val="ro-MD" w:eastAsia="ro-MD"/>
        </w:rPr>
      </w:pPr>
    </w:p>
    <w:p w14:paraId="1CFEC93E" w14:textId="77777777" w:rsidR="007A20C9" w:rsidRDefault="007A20C9" w:rsidP="007A20C9">
      <w:pPr>
        <w:spacing w:after="0" w:line="276" w:lineRule="auto"/>
        <w:jc w:val="center"/>
        <w:rPr>
          <w:rFonts w:ascii="Calibri Light" w:hAnsi="Calibri Light" w:cs="Calibri Light"/>
          <w:b/>
          <w:bCs/>
          <w:sz w:val="24"/>
          <w:szCs w:val="24"/>
          <w:lang w:val="ro-MD"/>
        </w:rPr>
      </w:pPr>
      <w:r>
        <w:rPr>
          <w:rFonts w:ascii="Calibri Light" w:hAnsi="Calibri Light" w:cs="Calibri Light"/>
          <w:b/>
          <w:bCs/>
          <w:sz w:val="24"/>
          <w:szCs w:val="24"/>
          <w:lang w:val="ro-MD"/>
        </w:rPr>
        <w:t>P</w:t>
      </w:r>
      <w:r w:rsidRPr="000B2A60">
        <w:rPr>
          <w:rFonts w:ascii="Calibri Light" w:hAnsi="Calibri Light" w:cs="Calibri Light"/>
          <w:b/>
          <w:bCs/>
          <w:sz w:val="24"/>
          <w:szCs w:val="24"/>
          <w:lang w:val="ro-MD"/>
        </w:rPr>
        <w:t>LAN</w:t>
      </w:r>
      <w:r>
        <w:rPr>
          <w:rFonts w:ascii="Calibri Light" w:hAnsi="Calibri Light" w:cs="Calibri Light"/>
          <w:b/>
          <w:bCs/>
          <w:sz w:val="24"/>
          <w:szCs w:val="24"/>
          <w:lang w:val="ro-MD"/>
        </w:rPr>
        <w:t>UL</w:t>
      </w:r>
      <w:r w:rsidRPr="000B2A60">
        <w:rPr>
          <w:rFonts w:ascii="Calibri Light" w:hAnsi="Calibri Light" w:cs="Calibri Light"/>
          <w:b/>
          <w:bCs/>
          <w:sz w:val="24"/>
          <w:szCs w:val="24"/>
          <w:lang w:val="ro-MD"/>
        </w:rPr>
        <w:t xml:space="preserve"> DE ACȚIUNI</w:t>
      </w:r>
      <w:r>
        <w:rPr>
          <w:rFonts w:ascii="Calibri Light" w:hAnsi="Calibri Light" w:cs="Calibri Light"/>
          <w:b/>
          <w:bCs/>
          <w:sz w:val="24"/>
          <w:szCs w:val="24"/>
          <w:lang w:val="ro-MD"/>
        </w:rPr>
        <w:t xml:space="preserve"> </w:t>
      </w:r>
    </w:p>
    <w:p w14:paraId="757B14C1" w14:textId="77777777" w:rsidR="007A20C9" w:rsidRPr="0085276D" w:rsidRDefault="007A20C9" w:rsidP="007A20C9">
      <w:pPr>
        <w:spacing w:after="0" w:line="276" w:lineRule="auto"/>
        <w:jc w:val="center"/>
        <w:rPr>
          <w:rFonts w:ascii="Calibri Light" w:hAnsi="Calibri Light" w:cs="Calibri Light"/>
          <w:bCs/>
          <w:sz w:val="24"/>
          <w:szCs w:val="24"/>
          <w:lang w:val="ro-MD"/>
        </w:rPr>
      </w:pPr>
      <w:r>
        <w:rPr>
          <w:rFonts w:ascii="Calibri Light" w:hAnsi="Calibri Light" w:cs="Calibri Light"/>
          <w:b/>
          <w:bCs/>
          <w:sz w:val="24"/>
          <w:szCs w:val="24"/>
          <w:lang w:val="ro-MD"/>
        </w:rPr>
        <w:t>privind implementarea recomandărilor CCRM de către Institutul de Standardizare din Moldova</w:t>
      </w:r>
    </w:p>
    <w:tbl>
      <w:tblPr>
        <w:tblStyle w:val="TableGrid"/>
        <w:tblW w:w="5143" w:type="pct"/>
        <w:tblLook w:val="04A0" w:firstRow="1" w:lastRow="0" w:firstColumn="1" w:lastColumn="0" w:noHBand="0" w:noVBand="1"/>
      </w:tblPr>
      <w:tblGrid>
        <w:gridCol w:w="4972"/>
        <w:gridCol w:w="2805"/>
        <w:gridCol w:w="2722"/>
        <w:gridCol w:w="1894"/>
        <w:gridCol w:w="2291"/>
      </w:tblGrid>
      <w:tr w:rsidR="007A20C9" w:rsidRPr="00DC51BB" w14:paraId="4BF566E6" w14:textId="77777777" w:rsidTr="00461A81">
        <w:trPr>
          <w:trHeight w:val="1074"/>
        </w:trPr>
        <w:tc>
          <w:tcPr>
            <w:tcW w:w="1693" w:type="pct"/>
          </w:tcPr>
          <w:p w14:paraId="0DD82A06" w14:textId="77777777" w:rsidR="007A20C9" w:rsidRPr="00255E9C" w:rsidRDefault="007A20C9" w:rsidP="00461A81">
            <w:pPr>
              <w:spacing w:line="276" w:lineRule="auto"/>
              <w:jc w:val="center"/>
              <w:rPr>
                <w:rFonts w:ascii="Calibri Light" w:hAnsi="Calibri Light" w:cs="Calibri Light"/>
                <w:b/>
                <w:bCs/>
                <w:sz w:val="20"/>
                <w:szCs w:val="20"/>
                <w:lang w:val="ro-RO"/>
              </w:rPr>
            </w:pPr>
          </w:p>
          <w:p w14:paraId="38D0F009" w14:textId="77777777" w:rsidR="007A20C9" w:rsidRPr="00255E9C" w:rsidRDefault="007A20C9" w:rsidP="00461A81">
            <w:pPr>
              <w:spacing w:line="276" w:lineRule="auto"/>
              <w:jc w:val="center"/>
              <w:rPr>
                <w:rFonts w:ascii="Calibri Light" w:hAnsi="Calibri Light" w:cs="Calibri Light"/>
                <w:b/>
                <w:bCs/>
                <w:sz w:val="20"/>
                <w:szCs w:val="20"/>
                <w:lang w:val="ro-RO"/>
              </w:rPr>
            </w:pPr>
          </w:p>
          <w:p w14:paraId="42956A87" w14:textId="74A43C49" w:rsidR="007A20C9" w:rsidRPr="00255E9C" w:rsidRDefault="007A20C9" w:rsidP="00461A81">
            <w:pPr>
              <w:spacing w:line="276" w:lineRule="auto"/>
              <w:jc w:val="center"/>
              <w:rPr>
                <w:rFonts w:ascii="Calibri Light" w:hAnsi="Calibri Light" w:cs="Calibri Light"/>
                <w:b/>
                <w:bCs/>
                <w:sz w:val="20"/>
                <w:szCs w:val="20"/>
                <w:lang w:val="ro-RO"/>
              </w:rPr>
            </w:pPr>
            <w:r w:rsidRPr="00255E9C">
              <w:rPr>
                <w:rFonts w:ascii="Calibri Light" w:hAnsi="Calibri Light" w:cs="Calibri Light"/>
                <w:b/>
                <w:bCs/>
                <w:sz w:val="20"/>
                <w:szCs w:val="20"/>
                <w:lang w:val="ro-RO"/>
              </w:rPr>
              <w:t>Constat</w:t>
            </w:r>
            <w:r w:rsidR="00C633D3">
              <w:rPr>
                <w:rFonts w:ascii="Calibri Light" w:hAnsi="Calibri Light" w:cs="Calibri Light"/>
                <w:b/>
                <w:bCs/>
                <w:sz w:val="20"/>
                <w:szCs w:val="20"/>
                <w:lang w:val="ro-RO"/>
              </w:rPr>
              <w:t>ările</w:t>
            </w:r>
            <w:r w:rsidRPr="00255E9C">
              <w:rPr>
                <w:rFonts w:ascii="Calibri Light" w:hAnsi="Calibri Light" w:cs="Calibri Light"/>
                <w:b/>
                <w:bCs/>
                <w:sz w:val="20"/>
                <w:szCs w:val="20"/>
                <w:lang w:val="ro-RO"/>
              </w:rPr>
              <w:t xml:space="preserve"> de audit</w:t>
            </w:r>
          </w:p>
        </w:tc>
        <w:tc>
          <w:tcPr>
            <w:tcW w:w="955" w:type="pct"/>
            <w:hideMark/>
          </w:tcPr>
          <w:p w14:paraId="79248E0A" w14:textId="77777777" w:rsidR="007A20C9" w:rsidRPr="00255E9C" w:rsidRDefault="007A20C9" w:rsidP="00461A81">
            <w:pPr>
              <w:spacing w:line="276" w:lineRule="auto"/>
              <w:jc w:val="center"/>
              <w:rPr>
                <w:rFonts w:ascii="Calibri Light" w:hAnsi="Calibri Light" w:cs="Calibri Light"/>
                <w:b/>
                <w:bCs/>
                <w:sz w:val="20"/>
                <w:szCs w:val="20"/>
                <w:lang w:val="ro-RO"/>
              </w:rPr>
            </w:pPr>
          </w:p>
          <w:p w14:paraId="0A69FD0A" w14:textId="77777777" w:rsidR="007A20C9" w:rsidRPr="00255E9C" w:rsidRDefault="007A20C9" w:rsidP="00461A81">
            <w:pPr>
              <w:spacing w:line="276" w:lineRule="auto"/>
              <w:jc w:val="center"/>
              <w:rPr>
                <w:rFonts w:ascii="Calibri Light" w:hAnsi="Calibri Light" w:cs="Calibri Light"/>
                <w:b/>
                <w:bCs/>
                <w:sz w:val="20"/>
                <w:szCs w:val="20"/>
                <w:lang w:val="ro-RO"/>
              </w:rPr>
            </w:pPr>
          </w:p>
          <w:p w14:paraId="1F1D0F39" w14:textId="77777777" w:rsidR="007A20C9" w:rsidRPr="00255E9C" w:rsidRDefault="007A20C9" w:rsidP="00461A81">
            <w:pPr>
              <w:spacing w:line="276" w:lineRule="auto"/>
              <w:jc w:val="center"/>
              <w:rPr>
                <w:rFonts w:ascii="Calibri Light" w:eastAsia="Times New Roman" w:hAnsi="Calibri Light" w:cs="Calibri Light"/>
                <w:b/>
                <w:sz w:val="20"/>
                <w:szCs w:val="20"/>
                <w:lang w:val="ro-RO"/>
              </w:rPr>
            </w:pPr>
            <w:r w:rsidRPr="00255E9C">
              <w:rPr>
                <w:rFonts w:ascii="Calibri Light" w:hAnsi="Calibri Light" w:cs="Calibri Light"/>
                <w:b/>
                <w:bCs/>
                <w:sz w:val="20"/>
                <w:szCs w:val="20"/>
                <w:lang w:val="ro-RO"/>
              </w:rPr>
              <w:t>Recomandările auditului</w:t>
            </w:r>
          </w:p>
        </w:tc>
        <w:tc>
          <w:tcPr>
            <w:tcW w:w="927" w:type="pct"/>
            <w:hideMark/>
          </w:tcPr>
          <w:p w14:paraId="38DDC617" w14:textId="77777777" w:rsidR="007A20C9" w:rsidRPr="00255E9C" w:rsidRDefault="007A20C9" w:rsidP="00461A81">
            <w:pPr>
              <w:spacing w:line="276" w:lineRule="auto"/>
              <w:jc w:val="center"/>
              <w:rPr>
                <w:rFonts w:ascii="Calibri Light" w:eastAsia="Times New Roman" w:hAnsi="Calibri Light" w:cs="Calibri Light"/>
                <w:b/>
                <w:bCs/>
                <w:sz w:val="20"/>
                <w:szCs w:val="20"/>
                <w:lang w:val="ro-RO"/>
              </w:rPr>
            </w:pPr>
          </w:p>
          <w:p w14:paraId="2F0525AA" w14:textId="77777777" w:rsidR="007A20C9" w:rsidRPr="00255E9C" w:rsidRDefault="007A20C9" w:rsidP="00461A81">
            <w:pPr>
              <w:spacing w:line="276" w:lineRule="auto"/>
              <w:jc w:val="center"/>
              <w:rPr>
                <w:rFonts w:ascii="Calibri Light" w:eastAsia="Times New Roman" w:hAnsi="Calibri Light" w:cs="Calibri Light"/>
                <w:b/>
                <w:bCs/>
                <w:sz w:val="20"/>
                <w:szCs w:val="20"/>
                <w:lang w:val="ro-RO"/>
              </w:rPr>
            </w:pPr>
          </w:p>
          <w:p w14:paraId="7382C545" w14:textId="77777777" w:rsidR="007A20C9" w:rsidRPr="00255E9C" w:rsidRDefault="007A20C9" w:rsidP="00461A81">
            <w:pPr>
              <w:spacing w:line="276" w:lineRule="auto"/>
              <w:jc w:val="center"/>
              <w:rPr>
                <w:rFonts w:ascii="Calibri Light" w:eastAsia="Times New Roman" w:hAnsi="Calibri Light" w:cs="Calibri Light"/>
                <w:b/>
                <w:sz w:val="20"/>
                <w:szCs w:val="20"/>
                <w:lang w:val="ro-RO"/>
              </w:rPr>
            </w:pPr>
            <w:r w:rsidRPr="00255E9C">
              <w:rPr>
                <w:rFonts w:ascii="Calibri Light" w:eastAsia="Times New Roman" w:hAnsi="Calibri Light" w:cs="Calibri Light"/>
                <w:b/>
                <w:bCs/>
                <w:sz w:val="20"/>
                <w:szCs w:val="20"/>
                <w:lang w:val="ro-RO"/>
              </w:rPr>
              <w:t>Măsurile/acțiunile concrete care urmează a fi întreprinse</w:t>
            </w:r>
          </w:p>
        </w:tc>
        <w:tc>
          <w:tcPr>
            <w:tcW w:w="645" w:type="pct"/>
            <w:hideMark/>
          </w:tcPr>
          <w:p w14:paraId="7AD6D216" w14:textId="77777777" w:rsidR="007A20C9" w:rsidRPr="00255E9C" w:rsidRDefault="007A20C9" w:rsidP="00461A81">
            <w:pPr>
              <w:spacing w:line="276" w:lineRule="auto"/>
              <w:jc w:val="center"/>
              <w:rPr>
                <w:rFonts w:ascii="Calibri Light" w:eastAsia="Times New Roman" w:hAnsi="Calibri Light" w:cs="Calibri Light"/>
                <w:b/>
                <w:bCs/>
                <w:sz w:val="20"/>
                <w:szCs w:val="20"/>
                <w:lang w:val="ro-RO"/>
              </w:rPr>
            </w:pPr>
          </w:p>
          <w:p w14:paraId="1E469719" w14:textId="77777777" w:rsidR="007A20C9" w:rsidRPr="00255E9C" w:rsidRDefault="007A20C9" w:rsidP="00461A81">
            <w:pPr>
              <w:spacing w:line="276" w:lineRule="auto"/>
              <w:jc w:val="center"/>
              <w:rPr>
                <w:rFonts w:ascii="Calibri Light" w:eastAsia="Times New Roman" w:hAnsi="Calibri Light" w:cs="Calibri Light"/>
                <w:b/>
                <w:sz w:val="20"/>
                <w:szCs w:val="20"/>
                <w:lang w:val="ro-RO"/>
              </w:rPr>
            </w:pPr>
            <w:r w:rsidRPr="00255E9C">
              <w:rPr>
                <w:rFonts w:ascii="Calibri Light" w:eastAsia="Times New Roman" w:hAnsi="Calibri Light" w:cs="Calibri Light"/>
                <w:b/>
                <w:bCs/>
                <w:sz w:val="20"/>
                <w:szCs w:val="20"/>
                <w:lang w:val="ro-RO"/>
              </w:rPr>
              <w:t>Persoana responsabilă de implementare</w:t>
            </w:r>
          </w:p>
        </w:tc>
        <w:tc>
          <w:tcPr>
            <w:tcW w:w="780" w:type="pct"/>
            <w:hideMark/>
          </w:tcPr>
          <w:p w14:paraId="151F4C5D" w14:textId="77777777" w:rsidR="007A20C9" w:rsidRPr="00255E9C" w:rsidRDefault="007A20C9" w:rsidP="00461A81">
            <w:pPr>
              <w:spacing w:line="276" w:lineRule="auto"/>
              <w:jc w:val="center"/>
              <w:rPr>
                <w:rFonts w:ascii="Calibri Light" w:eastAsia="Times New Roman" w:hAnsi="Calibri Light" w:cs="Calibri Light"/>
                <w:b/>
                <w:bCs/>
                <w:sz w:val="20"/>
                <w:szCs w:val="20"/>
                <w:lang w:val="ro-RO"/>
              </w:rPr>
            </w:pPr>
            <w:r w:rsidRPr="00255E9C">
              <w:rPr>
                <w:rFonts w:ascii="Calibri Light" w:eastAsia="Times New Roman" w:hAnsi="Calibri Light" w:cs="Calibri Light"/>
                <w:b/>
                <w:bCs/>
                <w:sz w:val="20"/>
                <w:szCs w:val="20"/>
                <w:lang w:val="ro-RO"/>
              </w:rPr>
              <w:t>Termenul</w:t>
            </w:r>
          </w:p>
          <w:p w14:paraId="6CC13AB0" w14:textId="77777777" w:rsidR="007A20C9" w:rsidRPr="00255E9C" w:rsidRDefault="007A20C9" w:rsidP="00461A81">
            <w:pPr>
              <w:spacing w:line="276" w:lineRule="auto"/>
              <w:jc w:val="center"/>
              <w:rPr>
                <w:rFonts w:ascii="Calibri Light" w:eastAsia="Times New Roman" w:hAnsi="Calibri Light" w:cs="Calibri Light"/>
                <w:b/>
                <w:sz w:val="20"/>
                <w:szCs w:val="20"/>
                <w:lang w:val="ro-MD"/>
              </w:rPr>
            </w:pPr>
            <w:r w:rsidRPr="00255E9C">
              <w:rPr>
                <w:rFonts w:ascii="Calibri Light" w:eastAsia="Times New Roman" w:hAnsi="Calibri Light" w:cs="Calibri Light"/>
                <w:b/>
                <w:bCs/>
                <w:sz w:val="20"/>
                <w:szCs w:val="20"/>
                <w:lang w:val="ro-RO"/>
              </w:rPr>
              <w:t xml:space="preserve">de implementare (în caz de remediere, anexați </w:t>
            </w:r>
            <w:r w:rsidRPr="00255E9C">
              <w:rPr>
                <w:rFonts w:ascii="Calibri Light" w:eastAsia="Times New Roman" w:hAnsi="Calibri Light" w:cs="Calibri Light"/>
                <w:b/>
                <w:bCs/>
                <w:sz w:val="20"/>
                <w:szCs w:val="20"/>
                <w:lang w:val="ro-MD"/>
              </w:rPr>
              <w:t>documentele justificative)</w:t>
            </w:r>
          </w:p>
        </w:tc>
      </w:tr>
      <w:tr w:rsidR="007A20C9" w:rsidRPr="000E3199" w14:paraId="12CCE287" w14:textId="77777777" w:rsidTr="00461A81">
        <w:trPr>
          <w:trHeight w:val="492"/>
        </w:trPr>
        <w:tc>
          <w:tcPr>
            <w:tcW w:w="1693" w:type="pct"/>
          </w:tcPr>
          <w:p w14:paraId="2079743A" w14:textId="77777777" w:rsidR="007A20C9" w:rsidRPr="00DC51BB" w:rsidRDefault="007A20C9" w:rsidP="00461A81">
            <w:pPr>
              <w:pStyle w:val="ListParagraph"/>
              <w:tabs>
                <w:tab w:val="left" w:pos="270"/>
                <w:tab w:val="left" w:pos="153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Conform prevederilor legale</w:t>
            </w:r>
            <w:r w:rsidRPr="00DC51BB">
              <w:rPr>
                <w:rFonts w:ascii="Calibri Light" w:eastAsia="Times New Roman" w:hAnsi="Calibri Light" w:cs="Calibri Light"/>
                <w:bCs/>
                <w:i/>
                <w:iCs/>
                <w:szCs w:val="20"/>
                <w:vertAlign w:val="superscript"/>
                <w:lang w:val="ro-RO"/>
              </w:rPr>
              <w:footnoteReference w:id="88"/>
            </w:r>
            <w:r w:rsidRPr="00DC51BB">
              <w:rPr>
                <w:rFonts w:ascii="Calibri Light" w:eastAsia="Times New Roman" w:hAnsi="Calibri Light" w:cs="Calibri Light"/>
                <w:bCs/>
                <w:i/>
                <w:iCs/>
                <w:sz w:val="20"/>
                <w:szCs w:val="20"/>
                <w:lang w:val="ro-RO"/>
              </w:rPr>
              <w:t>,   deținerea de către entitate a activelor cu orice titlu, înregistrarea surselor de proveniență a acestora şi a faptelor economice fără documentarea şi reflectarea acestora în contabilitate sunt interzise.</w:t>
            </w:r>
          </w:p>
          <w:p w14:paraId="6E6C9368" w14:textId="1869862A"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MD"/>
              </w:rPr>
            </w:pPr>
            <w:r w:rsidRPr="00DC51BB">
              <w:rPr>
                <w:rFonts w:ascii="Calibri Light" w:eastAsia="Times New Roman" w:hAnsi="Calibri Light" w:cs="Calibri Light"/>
                <w:bCs/>
                <w:i/>
                <w:iCs/>
                <w:sz w:val="20"/>
                <w:szCs w:val="20"/>
                <w:lang w:val="ro-MD"/>
              </w:rPr>
              <w:t>Probele de audit acumulate denotă că platforma e-learning www.academia.standard.md a fost elaborată în cadrul proiectului „Quality Infrastructure in Moldova: European standards an instrument for transferring knowledge and technology and supporting SMEs competitivenes in the EU market”, finanțat de Letonia. Mijloacele financiare pentru dezvoltarea platformei au fost alocate de către finanțator</w:t>
            </w:r>
            <w:r w:rsidR="00E859B7">
              <w:rPr>
                <w:rFonts w:ascii="Calibri Light" w:eastAsia="Times New Roman" w:hAnsi="Calibri Light" w:cs="Calibri Light"/>
                <w:bCs/>
                <w:i/>
                <w:iCs/>
                <w:sz w:val="20"/>
                <w:szCs w:val="20"/>
                <w:lang w:val="ro-MD"/>
              </w:rPr>
              <w:t>,</w:t>
            </w:r>
            <w:r w:rsidRPr="00DC51BB">
              <w:rPr>
                <w:rFonts w:ascii="Calibri Light" w:eastAsia="Times New Roman" w:hAnsi="Calibri Light" w:cs="Calibri Light"/>
                <w:bCs/>
                <w:i/>
                <w:iCs/>
                <w:sz w:val="20"/>
                <w:szCs w:val="20"/>
                <w:lang w:val="ro-MD"/>
              </w:rPr>
              <w:t xml:space="preserve"> cu  destinația de   instruire a specialiștilor în domeniul IT din cadrul ISM. Ca urmare, platforma e-learning  </w:t>
            </w:r>
            <w:hyperlink r:id="rId33" w:history="1">
              <w:r w:rsidRPr="00DC51BB">
                <w:rPr>
                  <w:rFonts w:ascii="Calibri Light" w:eastAsia="Times New Roman" w:hAnsi="Calibri Light" w:cs="Calibri Light"/>
                  <w:bCs/>
                  <w:i/>
                  <w:iCs/>
                  <w:sz w:val="20"/>
                  <w:szCs w:val="20"/>
                  <w:lang w:val="ro-MD"/>
                </w:rPr>
                <w:t>www.academia.standard.md</w:t>
              </w:r>
            </w:hyperlink>
            <w:r w:rsidRPr="00DC51BB">
              <w:rPr>
                <w:rFonts w:ascii="Calibri Light" w:eastAsia="Times New Roman" w:hAnsi="Calibri Light" w:cs="Calibri Light"/>
                <w:bCs/>
                <w:i/>
                <w:iCs/>
                <w:sz w:val="20"/>
                <w:szCs w:val="20"/>
                <w:lang w:val="ro-MD"/>
              </w:rPr>
              <w:t xml:space="preserve"> a fost  dezvoltată de către personalul  în cauză  și  testată în regim de pilotare, începând cu  luna octombrie 2017</w:t>
            </w:r>
            <w:r w:rsidRPr="00DC51BB">
              <w:rPr>
                <w:rFonts w:ascii="Calibri Light" w:eastAsia="Times New Roman" w:hAnsi="Calibri Light" w:cs="Calibri Light"/>
                <w:bCs/>
                <w:i/>
                <w:iCs/>
                <w:sz w:val="20"/>
                <w:szCs w:val="20"/>
                <w:vertAlign w:val="superscript"/>
                <w:lang w:val="ro-MD"/>
              </w:rPr>
              <w:footnoteReference w:id="89"/>
            </w:r>
            <w:r w:rsidRPr="00DC51BB">
              <w:rPr>
                <w:rFonts w:ascii="Calibri Light" w:eastAsia="Times New Roman" w:hAnsi="Calibri Light" w:cs="Calibri Light"/>
                <w:bCs/>
                <w:i/>
                <w:iCs/>
                <w:sz w:val="20"/>
                <w:szCs w:val="20"/>
                <w:lang w:val="ro-MD"/>
              </w:rPr>
              <w:t xml:space="preserve">. </w:t>
            </w:r>
          </w:p>
          <w:p w14:paraId="566001C7" w14:textId="234CA9AA" w:rsidR="007A20C9" w:rsidRPr="00DC51BB" w:rsidRDefault="007A20C9" w:rsidP="00461A81">
            <w:pPr>
              <w:pStyle w:val="ListParagraph"/>
              <w:tabs>
                <w:tab w:val="left" w:pos="270"/>
                <w:tab w:val="left" w:pos="153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MD"/>
              </w:rPr>
              <w:t>Deși activul nematerial nominalizat este identificabil și controlabil de entitate și corespunde prevederilor normative în vigoare</w:t>
            </w:r>
            <w:r w:rsidRPr="00DC51BB">
              <w:rPr>
                <w:rFonts w:ascii="Calibri Light" w:eastAsia="Times New Roman" w:hAnsi="Calibri Light" w:cs="Calibri Light"/>
                <w:bCs/>
                <w:i/>
                <w:iCs/>
                <w:szCs w:val="20"/>
                <w:vertAlign w:val="superscript"/>
                <w:lang w:val="ro-MD"/>
              </w:rPr>
              <w:footnoteReference w:id="90"/>
            </w:r>
            <w:r w:rsidRPr="00DC51BB">
              <w:rPr>
                <w:rFonts w:ascii="Calibri Light" w:eastAsia="Times New Roman" w:hAnsi="Calibri Light" w:cs="Calibri Light"/>
                <w:bCs/>
                <w:i/>
                <w:iCs/>
                <w:sz w:val="20"/>
                <w:szCs w:val="20"/>
                <w:lang w:val="ro-MD"/>
              </w:rPr>
              <w:t>, valoarea acestuia nu a fost determinată de sine stătător  și înregistrată</w:t>
            </w:r>
            <w:r w:rsidRPr="00DC51BB">
              <w:rPr>
                <w:rFonts w:ascii="Calibri Light" w:eastAsia="Times New Roman" w:hAnsi="Calibri Light" w:cs="Calibri Light"/>
                <w:bCs/>
                <w:i/>
                <w:iCs/>
                <w:sz w:val="20"/>
                <w:szCs w:val="20"/>
                <w:lang w:val="ro-RO"/>
              </w:rPr>
              <w:t xml:space="preserve"> în evidența contabilă a ISM atât cantitativ, cât și valoric.</w:t>
            </w:r>
            <w:bookmarkStart w:id="156" w:name="_Toc121243744"/>
          </w:p>
          <w:p w14:paraId="3C311904" w14:textId="77777777" w:rsidR="007A20C9" w:rsidRPr="00DC51BB" w:rsidRDefault="007A20C9" w:rsidP="00461A81">
            <w:pPr>
              <w:pStyle w:val="ListParagraph"/>
              <w:tabs>
                <w:tab w:val="left" w:pos="270"/>
                <w:tab w:val="left" w:pos="1530"/>
              </w:tabs>
              <w:spacing w:line="276" w:lineRule="auto"/>
              <w:ind w:left="0" w:firstLine="720"/>
              <w:jc w:val="both"/>
              <w:rPr>
                <w:rFonts w:ascii="Calibri Light" w:eastAsia="Times New Roman" w:hAnsi="Calibri Light" w:cs="Calibri Light"/>
                <w:bCs/>
                <w:i/>
                <w:iCs/>
                <w:sz w:val="20"/>
                <w:szCs w:val="20"/>
                <w:lang w:val="ro-MD"/>
              </w:rPr>
            </w:pPr>
            <w:r w:rsidRPr="00DC51BB">
              <w:rPr>
                <w:rFonts w:ascii="Calibri Light" w:eastAsia="Times New Roman" w:hAnsi="Calibri Light" w:cs="Calibri Light"/>
                <w:bCs/>
                <w:i/>
                <w:iCs/>
                <w:sz w:val="20"/>
                <w:szCs w:val="20"/>
                <w:lang w:val="ro-RO"/>
              </w:rPr>
              <w:t>Neînregistrarea corespunzătoare a unor tranzacții operaționale de către ISM condiționează prezentarea unor informații neveridice utilizatorilor de resort.</w:t>
            </w:r>
            <w:bookmarkEnd w:id="156"/>
          </w:p>
        </w:tc>
        <w:tc>
          <w:tcPr>
            <w:tcW w:w="955" w:type="pct"/>
          </w:tcPr>
          <w:p w14:paraId="4299939B" w14:textId="0B8C02F8" w:rsidR="007A20C9" w:rsidRPr="00DC51BB" w:rsidRDefault="007A20C9" w:rsidP="00461A81">
            <w:pPr>
              <w:spacing w:line="276" w:lineRule="auto"/>
              <w:ind w:firstLine="179"/>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S</w:t>
            </w:r>
            <w:r w:rsidRPr="00DC51BB">
              <w:rPr>
                <w:rFonts w:ascii="Calibri Light" w:eastAsia="Times New Roman" w:hAnsi="Calibri Light" w:cs="Calibri Light"/>
                <w:bCs/>
                <w:i/>
                <w:iCs/>
                <w:sz w:val="20"/>
                <w:szCs w:val="20"/>
                <w:lang w:val="ro-RO"/>
              </w:rPr>
              <w:t>ă asigure înregistrarea în evidența contabilă a sistemului informațional  platforma e-learning</w:t>
            </w:r>
            <w:r w:rsidR="003336C9">
              <w:rPr>
                <w:rFonts w:ascii="Calibri Light" w:eastAsia="Times New Roman" w:hAnsi="Calibri Light" w:cs="Calibri Light"/>
                <w:bCs/>
                <w:i/>
                <w:iCs/>
                <w:sz w:val="20"/>
                <w:szCs w:val="20"/>
                <w:lang w:val="ro-RO"/>
              </w:rPr>
              <w:t xml:space="preserve"> </w:t>
            </w:r>
            <w:r w:rsidRPr="00DC51BB">
              <w:rPr>
                <w:rFonts w:ascii="Calibri Light" w:eastAsia="Times New Roman" w:hAnsi="Calibri Light" w:cs="Calibri Light"/>
                <w:bCs/>
                <w:i/>
                <w:iCs/>
                <w:sz w:val="20"/>
                <w:szCs w:val="20"/>
                <w:lang w:val="ro-RO"/>
              </w:rPr>
              <w:t>www.academia.standard.md</w:t>
            </w:r>
            <w:r w:rsidR="00E859B7">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aflat în gestiune, în conformitate cu actele normative în vigoare </w:t>
            </w:r>
            <w:r w:rsidRPr="00DC51BB">
              <w:rPr>
                <w:rFonts w:asciiTheme="majorHAnsi" w:hAnsiTheme="majorHAnsi"/>
                <w:i/>
                <w:color w:val="000000" w:themeColor="text1"/>
                <w:lang w:val="ro-MD" w:eastAsia="ro-MD"/>
              </w:rPr>
              <w:t>(pct.4.1.2.1</w:t>
            </w:r>
            <w:r w:rsidRPr="00DC51BB">
              <w:rPr>
                <w:rFonts w:ascii="Calibri Light" w:eastAsia="Times New Roman" w:hAnsi="Calibri Light" w:cs="Calibri Light"/>
                <w:bCs/>
                <w:i/>
                <w:iCs/>
                <w:sz w:val="20"/>
                <w:szCs w:val="20"/>
                <w:lang w:val="ro-RO"/>
              </w:rPr>
              <w:t>.)</w:t>
            </w:r>
            <w:r w:rsidR="00E859B7">
              <w:rPr>
                <w:rFonts w:ascii="Calibri Light" w:eastAsia="Times New Roman" w:hAnsi="Calibri Light" w:cs="Calibri Light"/>
                <w:bCs/>
                <w:i/>
                <w:iCs/>
                <w:sz w:val="20"/>
                <w:szCs w:val="20"/>
                <w:lang w:val="ro-RO"/>
              </w:rPr>
              <w:t>.</w:t>
            </w:r>
          </w:p>
          <w:p w14:paraId="18C08364" w14:textId="77777777" w:rsidR="007A20C9" w:rsidRPr="00DC51BB" w:rsidRDefault="007A20C9" w:rsidP="00461A81">
            <w:pPr>
              <w:spacing w:line="276" w:lineRule="auto"/>
              <w:ind w:firstLine="179"/>
              <w:jc w:val="both"/>
              <w:rPr>
                <w:rFonts w:ascii="Calibri Light" w:eastAsia="Times New Roman" w:hAnsi="Calibri Light" w:cs="Calibri Light"/>
                <w:bCs/>
                <w:i/>
                <w:iCs/>
                <w:sz w:val="20"/>
                <w:szCs w:val="20"/>
                <w:lang w:val="ro-RO"/>
              </w:rPr>
            </w:pPr>
          </w:p>
        </w:tc>
        <w:tc>
          <w:tcPr>
            <w:tcW w:w="927" w:type="pct"/>
          </w:tcPr>
          <w:p w14:paraId="2C7D6441" w14:textId="512A7A0D" w:rsidR="007A20C9"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 xml:space="preserve">A fost creat un grup de lucru cu scopul de a analiza și </w:t>
            </w:r>
            <w:r w:rsidR="00E859B7">
              <w:rPr>
                <w:rFonts w:ascii="Calibri Light" w:eastAsia="Times New Roman" w:hAnsi="Calibri Light" w:cs="Calibri Light"/>
                <w:i/>
                <w:sz w:val="20"/>
                <w:szCs w:val="20"/>
                <w:lang w:val="ro-RO"/>
              </w:rPr>
              <w:t xml:space="preserve">a </w:t>
            </w:r>
            <w:r>
              <w:rPr>
                <w:rFonts w:ascii="Calibri Light" w:eastAsia="Times New Roman" w:hAnsi="Calibri Light" w:cs="Calibri Light"/>
                <w:i/>
                <w:sz w:val="20"/>
                <w:szCs w:val="20"/>
                <w:lang w:val="ro-RO"/>
              </w:rPr>
              <w:t>depista valoarea platformei e-learning „Academia Standardizării”</w:t>
            </w:r>
            <w:r w:rsidR="00E859B7">
              <w:rPr>
                <w:rFonts w:ascii="Calibri Light" w:eastAsia="Times New Roman" w:hAnsi="Calibri Light" w:cs="Calibri Light"/>
                <w:i/>
                <w:sz w:val="20"/>
                <w:szCs w:val="20"/>
                <w:lang w:val="ro-RO"/>
              </w:rPr>
              <w:t xml:space="preserve">, </w:t>
            </w:r>
            <w:r>
              <w:rPr>
                <w:rFonts w:ascii="Calibri Light" w:eastAsia="Times New Roman" w:hAnsi="Calibri Light" w:cs="Calibri Light"/>
                <w:i/>
                <w:sz w:val="20"/>
                <w:szCs w:val="20"/>
                <w:lang w:val="ro-RO"/>
              </w:rPr>
              <w:t xml:space="preserve"> pentru a fi introdusă în evidența contabilă. În urma acestor acțiuni</w:t>
            </w:r>
            <w:r w:rsidR="00E859B7">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a fost depistată valoarea platformei și eliberat un certificat în acest sens</w:t>
            </w:r>
            <w:r w:rsidR="00E859B7">
              <w:rPr>
                <w:rFonts w:ascii="Calibri Light" w:eastAsia="Times New Roman" w:hAnsi="Calibri Light" w:cs="Calibri Light"/>
                <w:i/>
                <w:sz w:val="20"/>
                <w:szCs w:val="20"/>
                <w:lang w:val="ro-RO"/>
              </w:rPr>
              <w:t>, precum și</w:t>
            </w:r>
            <w:r>
              <w:rPr>
                <w:rFonts w:ascii="Calibri Light" w:eastAsia="Times New Roman" w:hAnsi="Calibri Light" w:cs="Calibri Light"/>
                <w:i/>
                <w:sz w:val="20"/>
                <w:szCs w:val="20"/>
                <w:lang w:val="ro-RO"/>
              </w:rPr>
              <w:t xml:space="preserve"> luată la evidența contabilă a ISM la 06.12.2022</w:t>
            </w:r>
            <w:r w:rsidR="00E859B7">
              <w:rPr>
                <w:rFonts w:ascii="Calibri Light" w:eastAsia="Times New Roman" w:hAnsi="Calibri Light" w:cs="Calibri Light"/>
                <w:i/>
                <w:sz w:val="20"/>
                <w:szCs w:val="20"/>
                <w:lang w:val="ro-RO"/>
              </w:rPr>
              <w:t>.</w:t>
            </w:r>
          </w:p>
          <w:p w14:paraId="617BCBAE" w14:textId="07FE8CFC" w:rsidR="007A20C9" w:rsidRPr="000E3199"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RO"/>
              </w:rPr>
              <w:t>Totodată, cu suportul Organismului de Standardizare din Letonia (LVS)</w:t>
            </w:r>
            <w:r w:rsidR="00E859B7">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prin proiectul </w:t>
            </w:r>
            <w:r>
              <w:rPr>
                <w:rFonts w:ascii="Calibri Light" w:eastAsia="Times New Roman" w:hAnsi="Calibri Light" w:cs="Calibri Light"/>
                <w:i/>
                <w:sz w:val="20"/>
                <w:szCs w:val="20"/>
                <w:lang w:val="ro-MD"/>
              </w:rPr>
              <w:t xml:space="preserve">„Building the capacity of National Standardization Institutions of Georgia and Moldova to establish support tools for SMEs on conformity assessment in the EU single market”, a fost inițiat procesul de restabilire a platformei </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Academia Standardizării</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Urmează să încărcăm pe platformă, din nou, materialele necesare (prezentări, cursuri, video-uri, materiale informaționale, etc</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pentru funcționarea și difuzarea către părțile interesate. Odată cu finalizarea acestor activități</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xml:space="preserve"> se va depista</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crea din nou un grup de lucru pentru a face o reevaluare a platformei</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xml:space="preserve"> cu scopul de a afla valoarea platformei „Academi</w:t>
            </w:r>
            <w:r w:rsidR="00E859B7">
              <w:rPr>
                <w:rFonts w:ascii="Calibri Light" w:eastAsia="Times New Roman" w:hAnsi="Calibri Light" w:cs="Calibri Light"/>
                <w:i/>
                <w:sz w:val="20"/>
                <w:szCs w:val="20"/>
                <w:lang w:val="ro-MD"/>
              </w:rPr>
              <w:t xml:space="preserve">a </w:t>
            </w:r>
            <w:r>
              <w:rPr>
                <w:rFonts w:ascii="Calibri Light" w:eastAsia="Times New Roman" w:hAnsi="Calibri Light" w:cs="Calibri Light"/>
                <w:i/>
                <w:sz w:val="20"/>
                <w:szCs w:val="20"/>
                <w:lang w:val="ro-MD"/>
              </w:rPr>
              <w:t xml:space="preserve"> </w:t>
            </w:r>
            <w:r w:rsidR="003336C9">
              <w:rPr>
                <w:rFonts w:ascii="Calibri Light" w:eastAsia="Times New Roman" w:hAnsi="Calibri Light" w:cs="Calibri Light"/>
                <w:i/>
                <w:sz w:val="20"/>
                <w:szCs w:val="20"/>
                <w:lang w:val="ro-MD"/>
              </w:rPr>
              <w:t>S</w:t>
            </w:r>
            <w:r>
              <w:rPr>
                <w:rFonts w:ascii="Calibri Light" w:eastAsia="Times New Roman" w:hAnsi="Calibri Light" w:cs="Calibri Light"/>
                <w:i/>
                <w:sz w:val="20"/>
                <w:szCs w:val="20"/>
                <w:lang w:val="ro-MD"/>
              </w:rPr>
              <w:t>tandardizării”</w:t>
            </w:r>
            <w:r w:rsidR="00E859B7">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xml:space="preserve"> pentru a fi introdusă </w:t>
            </w:r>
            <w:r w:rsidR="00E859B7">
              <w:rPr>
                <w:rFonts w:ascii="Calibri Light" w:eastAsia="Times New Roman" w:hAnsi="Calibri Light" w:cs="Calibri Light"/>
                <w:i/>
                <w:sz w:val="20"/>
                <w:szCs w:val="20"/>
                <w:lang w:val="ro-MD"/>
              </w:rPr>
              <w:t>în</w:t>
            </w:r>
            <w:r>
              <w:rPr>
                <w:rFonts w:ascii="Calibri Light" w:eastAsia="Times New Roman" w:hAnsi="Calibri Light" w:cs="Calibri Light"/>
                <w:i/>
                <w:sz w:val="20"/>
                <w:szCs w:val="20"/>
                <w:lang w:val="ro-MD"/>
              </w:rPr>
              <w:t xml:space="preserve"> evidența contabilă a ISM.</w:t>
            </w:r>
          </w:p>
        </w:tc>
        <w:tc>
          <w:tcPr>
            <w:tcW w:w="645" w:type="pct"/>
          </w:tcPr>
          <w:p w14:paraId="6541C9A5"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Botezatu Parascovia</w:t>
            </w:r>
          </w:p>
        </w:tc>
        <w:tc>
          <w:tcPr>
            <w:tcW w:w="780" w:type="pct"/>
          </w:tcPr>
          <w:p w14:paraId="27E1AD50" w14:textId="77777777" w:rsidR="007A20C9" w:rsidRDefault="007A20C9" w:rsidP="00461A81">
            <w:pPr>
              <w:spacing w:line="276" w:lineRule="auto"/>
              <w:jc w:val="both"/>
              <w:rPr>
                <w:rFonts w:ascii="Calibri Light" w:eastAsia="Times New Roman" w:hAnsi="Calibri Light" w:cs="Calibri Light"/>
                <w:i/>
                <w:sz w:val="20"/>
                <w:szCs w:val="20"/>
                <w:lang w:val="ro-MD"/>
              </w:rPr>
            </w:pPr>
            <w:r w:rsidRPr="00E842E9">
              <w:rPr>
                <w:rFonts w:ascii="Calibri Light" w:eastAsia="Times New Roman" w:hAnsi="Calibri Light" w:cs="Calibri Light"/>
                <w:i/>
                <w:sz w:val="20"/>
                <w:szCs w:val="20"/>
                <w:lang w:val="ro-MD"/>
              </w:rPr>
              <w:t>Înlăturat</w:t>
            </w:r>
            <w:r>
              <w:rPr>
                <w:rFonts w:ascii="Calibri Light" w:eastAsia="Times New Roman" w:hAnsi="Calibri Light" w:cs="Calibri Light"/>
                <w:i/>
                <w:sz w:val="20"/>
                <w:szCs w:val="20"/>
                <w:lang w:val="ro-MD"/>
              </w:rPr>
              <w:t xml:space="preserve"> neconformitatea. Documentele de argumentare:</w:t>
            </w:r>
          </w:p>
          <w:p w14:paraId="17C29EE5" w14:textId="62A06F3A" w:rsidR="007A20C9"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 xml:space="preserve"> Ordinul nr. 66 din 06</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12</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w:t>
            </w:r>
            <w:r w:rsidR="003336C9">
              <w:rPr>
                <w:rFonts w:ascii="Calibri Light" w:eastAsia="Times New Roman" w:hAnsi="Calibri Light" w:cs="Calibri Light"/>
                <w:i/>
                <w:sz w:val="20"/>
                <w:szCs w:val="20"/>
                <w:lang w:val="ro-MD"/>
              </w:rPr>
              <w:t>;</w:t>
            </w:r>
          </w:p>
          <w:p w14:paraId="20567FF3" w14:textId="36A1CB67" w:rsidR="007A20C9"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 xml:space="preserve"> Proces</w:t>
            </w:r>
            <w:r w:rsidR="003336C9">
              <w:rPr>
                <w:rFonts w:ascii="Calibri Light" w:eastAsia="Times New Roman" w:hAnsi="Calibri Light" w:cs="Calibri Light"/>
                <w:i/>
                <w:sz w:val="20"/>
                <w:szCs w:val="20"/>
                <w:lang w:val="ro-MD"/>
              </w:rPr>
              <w:t>ul-</w:t>
            </w:r>
            <w:r>
              <w:rPr>
                <w:rFonts w:ascii="Calibri Light" w:eastAsia="Times New Roman" w:hAnsi="Calibri Light" w:cs="Calibri Light"/>
                <w:i/>
                <w:sz w:val="20"/>
                <w:szCs w:val="20"/>
                <w:lang w:val="ro-MD"/>
              </w:rPr>
              <w:t>verbal de primire-predare nr.5 din 06</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12</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w:t>
            </w:r>
            <w:r w:rsidR="003336C9">
              <w:rPr>
                <w:rFonts w:ascii="Calibri Light" w:eastAsia="Times New Roman" w:hAnsi="Calibri Light" w:cs="Calibri Light"/>
                <w:i/>
                <w:sz w:val="20"/>
                <w:szCs w:val="20"/>
                <w:lang w:val="ro-MD"/>
              </w:rPr>
              <w:t>;</w:t>
            </w:r>
          </w:p>
          <w:p w14:paraId="31774F11" w14:textId="078D91E8" w:rsidR="007A20C9"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Nota informativă nr.06-07/58 din 29</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11</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w:t>
            </w:r>
            <w:r w:rsidR="003336C9">
              <w:rPr>
                <w:rFonts w:ascii="Calibri Light" w:eastAsia="Times New Roman" w:hAnsi="Calibri Light" w:cs="Calibri Light"/>
                <w:i/>
                <w:sz w:val="20"/>
                <w:szCs w:val="20"/>
                <w:lang w:val="ro-MD"/>
              </w:rPr>
              <w:t>;</w:t>
            </w:r>
          </w:p>
          <w:p w14:paraId="49210515" w14:textId="25B695A3" w:rsidR="007A20C9" w:rsidRPr="001F01E6"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Certificat</w:t>
            </w:r>
            <w:r w:rsidR="003336C9">
              <w:rPr>
                <w:rFonts w:ascii="Calibri Light" w:eastAsia="Times New Roman" w:hAnsi="Calibri Light" w:cs="Calibri Light"/>
                <w:i/>
                <w:sz w:val="20"/>
                <w:szCs w:val="20"/>
                <w:lang w:val="ro-MD"/>
              </w:rPr>
              <w:t>ul</w:t>
            </w:r>
            <w:r>
              <w:rPr>
                <w:rFonts w:ascii="Calibri Light" w:eastAsia="Times New Roman" w:hAnsi="Calibri Light" w:cs="Calibri Light"/>
                <w:i/>
                <w:sz w:val="20"/>
                <w:szCs w:val="20"/>
                <w:lang w:val="ro-MD"/>
              </w:rPr>
              <w:t xml:space="preserve"> de evaluare nr.508 din 06</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12</w:t>
            </w:r>
            <w:r w:rsidR="003336C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 (se anex</w:t>
            </w:r>
            <w:r w:rsidR="003336C9">
              <w:rPr>
                <w:rFonts w:ascii="Calibri Light" w:eastAsia="Times New Roman" w:hAnsi="Calibri Light" w:cs="Calibri Light"/>
                <w:i/>
                <w:sz w:val="20"/>
                <w:szCs w:val="20"/>
                <w:lang w:val="ro-MD"/>
              </w:rPr>
              <w:t>e</w:t>
            </w:r>
            <w:r>
              <w:rPr>
                <w:rFonts w:ascii="Calibri Light" w:eastAsia="Times New Roman" w:hAnsi="Calibri Light" w:cs="Calibri Light"/>
                <w:i/>
                <w:sz w:val="20"/>
                <w:szCs w:val="20"/>
                <w:lang w:val="ro-MD"/>
              </w:rPr>
              <w:t>ază)</w:t>
            </w:r>
            <w:r w:rsidR="003336C9">
              <w:rPr>
                <w:rFonts w:ascii="Calibri Light" w:eastAsia="Times New Roman" w:hAnsi="Calibri Light" w:cs="Calibri Light"/>
                <w:i/>
                <w:sz w:val="20"/>
                <w:szCs w:val="20"/>
                <w:lang w:val="ro-MD"/>
              </w:rPr>
              <w:t>.</w:t>
            </w:r>
          </w:p>
        </w:tc>
      </w:tr>
      <w:tr w:rsidR="007A20C9" w:rsidRPr="00DC51BB" w14:paraId="466E0CCB" w14:textId="77777777" w:rsidTr="00461A81">
        <w:trPr>
          <w:trHeight w:val="3354"/>
        </w:trPr>
        <w:tc>
          <w:tcPr>
            <w:tcW w:w="1693" w:type="pct"/>
          </w:tcPr>
          <w:p w14:paraId="591B1E19" w14:textId="10831529"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Activitățile de audit public extern desfășurate relevă că  în componența imobilizărilor corporale în curs de execuție a</w:t>
            </w:r>
            <w:r w:rsidR="003336C9">
              <w:rPr>
                <w:rFonts w:ascii="Calibri Light" w:eastAsia="Times New Roman" w:hAnsi="Calibri Light" w:cs="Calibri Light"/>
                <w:bCs/>
                <w:i/>
                <w:iCs/>
                <w:sz w:val="20"/>
                <w:szCs w:val="20"/>
                <w:lang w:val="ro-RO"/>
              </w:rPr>
              <w:t>le</w:t>
            </w:r>
            <w:r w:rsidRPr="00DC51BB">
              <w:rPr>
                <w:rFonts w:ascii="Calibri Light" w:eastAsia="Times New Roman" w:hAnsi="Calibri Light" w:cs="Calibri Light"/>
                <w:bCs/>
                <w:i/>
                <w:iCs/>
                <w:sz w:val="20"/>
                <w:szCs w:val="20"/>
                <w:lang w:val="ro-RO"/>
              </w:rPr>
              <w:t xml:space="preserve"> ISM se află 17 unități de echipament tehnic pentru sălile de conferință cu valoarea de 303</w:t>
            </w:r>
            <w:r w:rsidR="003336C9">
              <w:rPr>
                <w:rFonts w:ascii="Calibri Light" w:eastAsia="Times New Roman" w:hAnsi="Calibri Light" w:cs="Calibri Light"/>
                <w:bCs/>
                <w:i/>
                <w:iCs/>
                <w:sz w:val="20"/>
                <w:szCs w:val="20"/>
                <w:lang w:val="ro-RO"/>
              </w:rPr>
              <w:t>,0</w:t>
            </w:r>
            <w:r w:rsidRPr="00DC51BB">
              <w:rPr>
                <w:rFonts w:ascii="Calibri Light" w:eastAsia="Times New Roman" w:hAnsi="Calibri Light" w:cs="Calibri Light"/>
                <w:bCs/>
                <w:i/>
                <w:iCs/>
                <w:sz w:val="20"/>
                <w:szCs w:val="20"/>
                <w:lang w:val="ro-RO"/>
              </w:rPr>
              <w:t xml:space="preserve"> mii lei,  preluate în evidența contabilă a ISM</w:t>
            </w:r>
            <w:r w:rsidR="003336C9">
              <w:rPr>
                <w:rFonts w:ascii="Calibri Light" w:eastAsia="Times New Roman" w:hAnsi="Calibri Light" w:cs="Calibri Light"/>
                <w:bCs/>
                <w:i/>
                <w:iCs/>
                <w:sz w:val="20"/>
                <w:szCs w:val="20"/>
                <w:lang w:val="ro-RO"/>
              </w:rPr>
              <w:t>, ca</w:t>
            </w:r>
            <w:r w:rsidRPr="00DC51BB">
              <w:rPr>
                <w:rFonts w:ascii="Calibri Light" w:eastAsia="Times New Roman" w:hAnsi="Calibri Light" w:cs="Calibri Light"/>
                <w:bCs/>
                <w:i/>
                <w:iCs/>
                <w:sz w:val="20"/>
                <w:szCs w:val="20"/>
                <w:lang w:val="ro-RO"/>
              </w:rPr>
              <w:t xml:space="preserve"> urmare </w:t>
            </w:r>
            <w:r w:rsidR="003336C9">
              <w:rPr>
                <w:rFonts w:ascii="Calibri Light" w:eastAsia="Times New Roman" w:hAnsi="Calibri Light" w:cs="Calibri Light"/>
                <w:bCs/>
                <w:i/>
                <w:iCs/>
                <w:sz w:val="20"/>
                <w:szCs w:val="20"/>
                <w:lang w:val="ro-RO"/>
              </w:rPr>
              <w:t xml:space="preserve">a </w:t>
            </w:r>
            <w:r w:rsidRPr="00DC51BB">
              <w:rPr>
                <w:rFonts w:ascii="Calibri Light" w:eastAsia="Times New Roman" w:hAnsi="Calibri Light" w:cs="Calibri Light"/>
                <w:bCs/>
                <w:i/>
                <w:iCs/>
                <w:sz w:val="20"/>
                <w:szCs w:val="20"/>
                <w:lang w:val="ro-RO"/>
              </w:rPr>
              <w:t>reorganizării din anul 2013.  Până la moment, activele în cauză nu au fost date în exploatare, nu au fost întreprinse careva acțiuni în raport cu acestea și nu au fost luate decizii aferente, contrar prevederilor normative în vigoare</w:t>
            </w:r>
            <w:r w:rsidRPr="00DC51BB">
              <w:rPr>
                <w:rStyle w:val="FootnoteReference"/>
                <w:rFonts w:ascii="Calibri Light" w:eastAsia="Times New Roman" w:hAnsi="Calibri Light" w:cs="Calibri Light"/>
                <w:bCs/>
                <w:i/>
                <w:iCs/>
                <w:szCs w:val="20"/>
                <w:lang w:val="ro-RO"/>
              </w:rPr>
              <w:footnoteReference w:id="91"/>
            </w:r>
            <w:r w:rsidRPr="00DC51BB">
              <w:rPr>
                <w:rFonts w:ascii="Calibri Light" w:eastAsia="Times New Roman" w:hAnsi="Calibri Light" w:cs="Calibri Light"/>
                <w:bCs/>
                <w:i/>
                <w:iCs/>
                <w:sz w:val="20"/>
                <w:szCs w:val="20"/>
                <w:lang w:val="ro-RO"/>
              </w:rPr>
              <w:t>.</w:t>
            </w:r>
          </w:p>
          <w:p w14:paraId="005E82BF" w14:textId="0FCF8EF4"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Neluarea deciziilor oportune în raport cu activele corporale aflate  în curs de execuție o perioad</w:t>
            </w:r>
            <w:r w:rsidR="003336C9">
              <w:rPr>
                <w:rFonts w:ascii="Calibri Light" w:eastAsia="Times New Roman" w:hAnsi="Calibri Light" w:cs="Calibri Light"/>
                <w:bCs/>
                <w:i/>
                <w:iCs/>
                <w:sz w:val="20"/>
                <w:szCs w:val="20"/>
                <w:lang w:val="ro-RO"/>
              </w:rPr>
              <w:t>ă</w:t>
            </w:r>
            <w:r w:rsidRPr="00DC51BB">
              <w:rPr>
                <w:rFonts w:ascii="Calibri Light" w:eastAsia="Times New Roman" w:hAnsi="Calibri Light" w:cs="Calibri Light"/>
                <w:bCs/>
                <w:i/>
                <w:iCs/>
                <w:sz w:val="20"/>
                <w:szCs w:val="20"/>
                <w:lang w:val="ro-RO"/>
              </w:rPr>
              <w:t xml:space="preserve"> îndelungată de timp nu contribuie la gestionarea conformă a acestora</w:t>
            </w:r>
            <w:r w:rsidR="003336C9">
              <w:rPr>
                <w:rFonts w:ascii="Calibri Light" w:eastAsia="Times New Roman" w:hAnsi="Calibri Light" w:cs="Calibri Light"/>
                <w:bCs/>
                <w:i/>
                <w:iCs/>
                <w:sz w:val="20"/>
                <w:szCs w:val="20"/>
                <w:lang w:val="ro-RO"/>
              </w:rPr>
              <w:t>.</w:t>
            </w:r>
          </w:p>
        </w:tc>
        <w:tc>
          <w:tcPr>
            <w:tcW w:w="955" w:type="pct"/>
          </w:tcPr>
          <w:p w14:paraId="44CA8ED0" w14:textId="0DA54B58" w:rsidR="007A20C9" w:rsidRPr="00DC51BB" w:rsidRDefault="007A20C9" w:rsidP="00461A81">
            <w:pPr>
              <w:pStyle w:val="msonormalmailrucssattributepostfix"/>
              <w:spacing w:before="0" w:beforeAutospacing="0" w:after="0" w:afterAutospacing="0"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 xml:space="preserve">           S</w:t>
            </w:r>
            <w:r w:rsidRPr="00DC51BB">
              <w:rPr>
                <w:rFonts w:ascii="Calibri Light" w:eastAsia="Times New Roman" w:hAnsi="Calibri Light" w:cs="Calibri Light"/>
                <w:bCs/>
                <w:i/>
                <w:iCs/>
                <w:sz w:val="20"/>
                <w:szCs w:val="20"/>
                <w:lang w:val="ro-RO"/>
              </w:rPr>
              <w:t>ă asigure darea în exploatare a imobilizărilor corporale în curs de execuție în conformitate cu actele normative în vigoare (pct.  4.1.2.2.)</w:t>
            </w:r>
            <w:r w:rsidR="00AA2C09">
              <w:rPr>
                <w:rFonts w:ascii="Calibri Light" w:eastAsia="Times New Roman" w:hAnsi="Calibri Light" w:cs="Calibri Light"/>
                <w:bCs/>
                <w:i/>
                <w:iCs/>
                <w:sz w:val="20"/>
                <w:szCs w:val="20"/>
                <w:lang w:val="ro-RO"/>
              </w:rPr>
              <w:t>.</w:t>
            </w:r>
          </w:p>
          <w:p w14:paraId="29D58899" w14:textId="77777777" w:rsidR="007A20C9" w:rsidRPr="00DC51BB" w:rsidRDefault="007A20C9" w:rsidP="00461A81">
            <w:pPr>
              <w:spacing w:line="276" w:lineRule="auto"/>
              <w:ind w:firstLine="179"/>
              <w:jc w:val="both"/>
              <w:rPr>
                <w:rFonts w:ascii="Calibri Light" w:eastAsia="Times New Roman" w:hAnsi="Calibri Light" w:cs="Calibri Light"/>
                <w:bCs/>
                <w:i/>
                <w:iCs/>
                <w:sz w:val="20"/>
                <w:szCs w:val="20"/>
                <w:lang w:val="ro-RO"/>
              </w:rPr>
            </w:pPr>
          </w:p>
        </w:tc>
        <w:tc>
          <w:tcPr>
            <w:tcW w:w="927" w:type="pct"/>
          </w:tcPr>
          <w:p w14:paraId="7FE61EEF" w14:textId="28ABDDF1"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 xml:space="preserve">La data </w:t>
            </w:r>
            <w:r w:rsidR="00AA2C09">
              <w:rPr>
                <w:rFonts w:ascii="Calibri Light" w:eastAsia="Times New Roman" w:hAnsi="Calibri Light" w:cs="Calibri Light"/>
                <w:i/>
                <w:sz w:val="20"/>
                <w:szCs w:val="20"/>
                <w:lang w:val="ro-RO"/>
              </w:rPr>
              <w:t xml:space="preserve">de </w:t>
            </w:r>
            <w:r>
              <w:rPr>
                <w:rFonts w:ascii="Calibri Light" w:eastAsia="Times New Roman" w:hAnsi="Calibri Light" w:cs="Calibri Light"/>
                <w:i/>
                <w:sz w:val="20"/>
                <w:szCs w:val="20"/>
                <w:lang w:val="ro-RO"/>
              </w:rPr>
              <w:t xml:space="preserve">02.12.2022 </w:t>
            </w:r>
            <w:r w:rsidR="00AA2C09">
              <w:rPr>
                <w:rFonts w:ascii="Calibri Light" w:eastAsia="Times New Roman" w:hAnsi="Calibri Light" w:cs="Calibri Light"/>
                <w:i/>
                <w:sz w:val="20"/>
                <w:szCs w:val="20"/>
                <w:lang w:val="ro-RO"/>
              </w:rPr>
              <w:t>a</w:t>
            </w:r>
            <w:r>
              <w:rPr>
                <w:rFonts w:ascii="Calibri Light" w:eastAsia="Times New Roman" w:hAnsi="Calibri Light" w:cs="Calibri Light"/>
                <w:i/>
                <w:sz w:val="20"/>
                <w:szCs w:val="20"/>
                <w:lang w:val="ro-RO"/>
              </w:rPr>
              <w:t xml:space="preserve"> fost luat</w:t>
            </w:r>
            <w:r>
              <w:rPr>
                <w:rFonts w:ascii="Calibri Light" w:eastAsia="Times New Roman" w:hAnsi="Calibri Light" w:cs="Calibri Light"/>
                <w:i/>
                <w:sz w:val="20"/>
                <w:szCs w:val="20"/>
                <w:lang w:val="ro-MD"/>
              </w:rPr>
              <w:t xml:space="preserve">ă decizia de a </w:t>
            </w:r>
            <w:r>
              <w:rPr>
                <w:rFonts w:ascii="Calibri Light" w:eastAsia="Times New Roman" w:hAnsi="Calibri Light" w:cs="Calibri Light"/>
                <w:i/>
                <w:sz w:val="20"/>
                <w:szCs w:val="20"/>
                <w:lang w:val="ro-RO"/>
              </w:rPr>
              <w:t xml:space="preserve">  transmite în exploatare</w:t>
            </w:r>
            <w:r w:rsidR="00AA2C09">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pentru a fi utilizate în </w:t>
            </w:r>
            <w:r w:rsidRPr="00D9510A">
              <w:rPr>
                <w:rFonts w:ascii="Calibri Light" w:eastAsia="Times New Roman" w:hAnsi="Calibri Light" w:cs="Calibri Light"/>
                <w:i/>
                <w:sz w:val="20"/>
                <w:szCs w:val="20"/>
                <w:lang w:val="ro-RO"/>
              </w:rPr>
              <w:t xml:space="preserve">sălile de </w:t>
            </w:r>
            <w:r>
              <w:rPr>
                <w:rFonts w:ascii="Calibri Light" w:eastAsia="Times New Roman" w:hAnsi="Calibri Light" w:cs="Calibri Light"/>
                <w:i/>
                <w:sz w:val="20"/>
                <w:szCs w:val="20"/>
                <w:lang w:val="ro-RO"/>
              </w:rPr>
              <w:t xml:space="preserve">ședințe, </w:t>
            </w:r>
            <w:r w:rsidRPr="00D9510A">
              <w:rPr>
                <w:rFonts w:ascii="Calibri Light" w:eastAsia="Times New Roman" w:hAnsi="Calibri Light" w:cs="Calibri Light"/>
                <w:i/>
                <w:sz w:val="20"/>
                <w:szCs w:val="20"/>
                <w:lang w:val="ro-RO"/>
              </w:rPr>
              <w:t>imobilizăril</w:t>
            </w:r>
            <w:r>
              <w:rPr>
                <w:rFonts w:ascii="Calibri Light" w:eastAsia="Times New Roman" w:hAnsi="Calibri Light" w:cs="Calibri Light"/>
                <w:i/>
                <w:sz w:val="20"/>
                <w:szCs w:val="20"/>
                <w:lang w:val="ro-RO"/>
              </w:rPr>
              <w:t>e</w:t>
            </w:r>
            <w:r w:rsidRPr="00D9510A">
              <w:rPr>
                <w:rFonts w:ascii="Calibri Light" w:eastAsia="Times New Roman" w:hAnsi="Calibri Light" w:cs="Calibri Light"/>
                <w:i/>
                <w:sz w:val="20"/>
                <w:szCs w:val="20"/>
                <w:lang w:val="ro-RO"/>
              </w:rPr>
              <w:t xml:space="preserve"> corporale în curs de execuție </w:t>
            </w:r>
            <w:r>
              <w:rPr>
                <w:rFonts w:ascii="Calibri Light" w:eastAsia="Times New Roman" w:hAnsi="Calibri Light" w:cs="Calibri Light"/>
                <w:i/>
                <w:sz w:val="20"/>
                <w:szCs w:val="20"/>
                <w:lang w:val="ro-RO"/>
              </w:rPr>
              <w:t xml:space="preserve">în cantitate de </w:t>
            </w:r>
            <w:r w:rsidRPr="00D9510A">
              <w:rPr>
                <w:rFonts w:ascii="Calibri Light" w:eastAsia="Times New Roman" w:hAnsi="Calibri Light" w:cs="Calibri Light"/>
                <w:i/>
                <w:sz w:val="20"/>
                <w:szCs w:val="20"/>
                <w:lang w:val="ro-RO"/>
              </w:rPr>
              <w:t xml:space="preserve">17 unități de echipament tehnic pentru sălile de conferință cu valoarea de 303 </w:t>
            </w:r>
            <w:r>
              <w:rPr>
                <w:rFonts w:ascii="Calibri Light" w:eastAsia="Times New Roman" w:hAnsi="Calibri Light" w:cs="Calibri Light"/>
                <w:i/>
                <w:sz w:val="20"/>
                <w:szCs w:val="20"/>
                <w:lang w:val="ro-RO"/>
              </w:rPr>
              <w:t>055</w:t>
            </w:r>
            <w:r w:rsidRPr="00D9510A">
              <w:rPr>
                <w:rFonts w:ascii="Calibri Light" w:eastAsia="Times New Roman" w:hAnsi="Calibri Light" w:cs="Calibri Light"/>
                <w:i/>
                <w:sz w:val="20"/>
                <w:szCs w:val="20"/>
                <w:lang w:val="ro-RO"/>
              </w:rPr>
              <w:t xml:space="preserve"> lei</w:t>
            </w:r>
            <w:r>
              <w:rPr>
                <w:rFonts w:ascii="Calibri Light" w:eastAsia="Times New Roman" w:hAnsi="Calibri Light" w:cs="Calibri Light"/>
                <w:i/>
                <w:sz w:val="20"/>
                <w:szCs w:val="20"/>
                <w:lang w:val="ro-RO"/>
              </w:rPr>
              <w:t>. A fost creată comisia și întocmite actele de predare în exploatare.</w:t>
            </w:r>
          </w:p>
        </w:tc>
        <w:tc>
          <w:tcPr>
            <w:tcW w:w="645" w:type="pct"/>
          </w:tcPr>
          <w:p w14:paraId="3A3DB05C"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A62EEB">
              <w:rPr>
                <w:rFonts w:ascii="Calibri Light" w:eastAsia="Times New Roman" w:hAnsi="Calibri Light" w:cs="Calibri Light"/>
                <w:i/>
                <w:sz w:val="20"/>
                <w:szCs w:val="20"/>
                <w:lang w:val="ro-RO"/>
              </w:rPr>
              <w:t>Botezatu Parascovia</w:t>
            </w:r>
          </w:p>
        </w:tc>
        <w:tc>
          <w:tcPr>
            <w:tcW w:w="780" w:type="pct"/>
          </w:tcPr>
          <w:p w14:paraId="6BA384DF" w14:textId="77777777" w:rsidR="007A20C9" w:rsidRDefault="007A20C9" w:rsidP="00461A81">
            <w:pPr>
              <w:spacing w:line="276" w:lineRule="auto"/>
              <w:jc w:val="both"/>
              <w:rPr>
                <w:rFonts w:ascii="Calibri Light" w:eastAsia="Times New Roman" w:hAnsi="Calibri Light" w:cs="Calibri Light"/>
                <w:i/>
                <w:sz w:val="20"/>
                <w:szCs w:val="20"/>
              </w:rPr>
            </w:pPr>
            <w:r w:rsidRPr="00E842E9">
              <w:rPr>
                <w:rFonts w:ascii="Calibri Light" w:eastAsia="Times New Roman" w:hAnsi="Calibri Light" w:cs="Calibri Light"/>
                <w:i/>
                <w:sz w:val="20"/>
                <w:szCs w:val="20"/>
                <w:lang w:val="ro-RO"/>
              </w:rPr>
              <w:t>Înlăturat neconformitatea.</w:t>
            </w:r>
            <w:r>
              <w:rPr>
                <w:rFonts w:ascii="Calibri Light" w:eastAsia="Times New Roman" w:hAnsi="Calibri Light" w:cs="Calibri Light"/>
                <w:i/>
                <w:sz w:val="20"/>
                <w:szCs w:val="20"/>
                <w:lang w:val="ro-RO"/>
              </w:rPr>
              <w:t xml:space="preserve"> Documente de argumentare</w:t>
            </w:r>
            <w:r>
              <w:rPr>
                <w:rFonts w:ascii="Calibri Light" w:eastAsia="Times New Roman" w:hAnsi="Calibri Light" w:cs="Calibri Light"/>
                <w:i/>
                <w:sz w:val="20"/>
                <w:szCs w:val="20"/>
              </w:rPr>
              <w:t>:</w:t>
            </w:r>
          </w:p>
          <w:p w14:paraId="7B2D5BD7" w14:textId="6E2E5B15" w:rsidR="007A20C9"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rPr>
              <w:t>Proces</w:t>
            </w:r>
            <w:r w:rsidR="00AA2C09">
              <w:rPr>
                <w:rFonts w:ascii="Calibri Light" w:eastAsia="Times New Roman" w:hAnsi="Calibri Light" w:cs="Calibri Light"/>
                <w:i/>
                <w:sz w:val="20"/>
                <w:szCs w:val="20"/>
              </w:rPr>
              <w:t>-</w:t>
            </w:r>
            <w:r>
              <w:rPr>
                <w:rFonts w:ascii="Calibri Light" w:eastAsia="Times New Roman" w:hAnsi="Calibri Light" w:cs="Calibri Light"/>
                <w:i/>
                <w:sz w:val="20"/>
                <w:szCs w:val="20"/>
              </w:rPr>
              <w:t xml:space="preserve">verbal de primire-predare </w:t>
            </w:r>
            <w:r>
              <w:rPr>
                <w:rFonts w:ascii="Calibri Light" w:eastAsia="Times New Roman" w:hAnsi="Calibri Light" w:cs="Calibri Light"/>
                <w:i/>
                <w:sz w:val="20"/>
                <w:szCs w:val="20"/>
                <w:lang w:val="ro-MD"/>
              </w:rPr>
              <w:t>nr.25-41 (17 buc</w:t>
            </w:r>
            <w:r w:rsidR="00AA2C0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 din 02</w:t>
            </w:r>
            <w:r w:rsidR="00AA2C0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12</w:t>
            </w:r>
            <w:r w:rsidR="00AA2C0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w:t>
            </w:r>
            <w:r w:rsidR="00AA2C09">
              <w:rPr>
                <w:rFonts w:ascii="Calibri Light" w:eastAsia="Times New Roman" w:hAnsi="Calibri Light" w:cs="Calibri Light"/>
                <w:i/>
                <w:sz w:val="20"/>
                <w:szCs w:val="20"/>
                <w:lang w:val="ro-MD"/>
              </w:rPr>
              <w:t>.</w:t>
            </w:r>
          </w:p>
          <w:p w14:paraId="162938A0" w14:textId="0CC9D6E5" w:rsidR="007A20C9" w:rsidRPr="002419C0" w:rsidRDefault="007A20C9" w:rsidP="00461A81">
            <w:pPr>
              <w:spacing w:line="276" w:lineRule="auto"/>
              <w:jc w:val="both"/>
              <w:rPr>
                <w:rFonts w:ascii="Calibri Light" w:eastAsia="Times New Roman" w:hAnsi="Calibri Light" w:cs="Calibri Light"/>
                <w:i/>
                <w:sz w:val="20"/>
                <w:szCs w:val="20"/>
                <w:lang w:val="ro-MD"/>
              </w:rPr>
            </w:pPr>
            <w:r>
              <w:rPr>
                <w:rFonts w:ascii="Calibri Light" w:eastAsia="Times New Roman" w:hAnsi="Calibri Light" w:cs="Calibri Light"/>
                <w:i/>
                <w:sz w:val="20"/>
                <w:szCs w:val="20"/>
                <w:lang w:val="ro-MD"/>
              </w:rPr>
              <w:t>Not</w:t>
            </w:r>
            <w:r w:rsidR="00AA2C09">
              <w:rPr>
                <w:rFonts w:ascii="Calibri Light" w:eastAsia="Times New Roman" w:hAnsi="Calibri Light" w:cs="Calibri Light"/>
                <w:i/>
                <w:sz w:val="20"/>
                <w:szCs w:val="20"/>
                <w:lang w:val="ro-MD"/>
              </w:rPr>
              <w:t>a</w:t>
            </w:r>
            <w:r>
              <w:rPr>
                <w:rFonts w:ascii="Calibri Light" w:eastAsia="Times New Roman" w:hAnsi="Calibri Light" w:cs="Calibri Light"/>
                <w:i/>
                <w:sz w:val="20"/>
                <w:szCs w:val="20"/>
                <w:lang w:val="ro-MD"/>
              </w:rPr>
              <w:t xml:space="preserve"> informativă nr.03-24/6 din 01</w:t>
            </w:r>
            <w:r w:rsidR="00AA2C0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12</w:t>
            </w:r>
            <w:r w:rsidR="00AA2C09">
              <w:rPr>
                <w:rFonts w:ascii="Calibri Light" w:eastAsia="Times New Roman" w:hAnsi="Calibri Light" w:cs="Calibri Light"/>
                <w:i/>
                <w:sz w:val="20"/>
                <w:szCs w:val="20"/>
                <w:lang w:val="ro-MD"/>
              </w:rPr>
              <w:t>.</w:t>
            </w:r>
            <w:r>
              <w:rPr>
                <w:rFonts w:ascii="Calibri Light" w:eastAsia="Times New Roman" w:hAnsi="Calibri Light" w:cs="Calibri Light"/>
                <w:i/>
                <w:sz w:val="20"/>
                <w:szCs w:val="20"/>
                <w:lang w:val="ro-MD"/>
              </w:rPr>
              <w:t>2022</w:t>
            </w:r>
            <w:r w:rsidR="00AA2C09">
              <w:rPr>
                <w:rFonts w:ascii="Calibri Light" w:eastAsia="Times New Roman" w:hAnsi="Calibri Light" w:cs="Calibri Light"/>
                <w:i/>
                <w:sz w:val="20"/>
                <w:szCs w:val="20"/>
                <w:lang w:val="ro-MD"/>
              </w:rPr>
              <w:t>.</w:t>
            </w:r>
          </w:p>
        </w:tc>
      </w:tr>
      <w:tr w:rsidR="007A20C9" w:rsidRPr="00DC51BB" w14:paraId="66F285E2" w14:textId="77777777" w:rsidTr="00461A81">
        <w:trPr>
          <w:trHeight w:val="4892"/>
        </w:trPr>
        <w:tc>
          <w:tcPr>
            <w:tcW w:w="1693" w:type="pct"/>
          </w:tcPr>
          <w:p w14:paraId="06EDAA35" w14:textId="3645B448"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 xml:space="preserve">Evaluarea în contabilitate a imobilizărilor corporale se realizează </w:t>
            </w:r>
            <w:r w:rsidR="00AA2C09">
              <w:rPr>
                <w:rFonts w:ascii="Calibri Light" w:eastAsia="Times New Roman" w:hAnsi="Calibri Light" w:cs="Calibri Light"/>
                <w:bCs/>
                <w:i/>
                <w:iCs/>
                <w:sz w:val="20"/>
                <w:szCs w:val="20"/>
                <w:lang w:val="ro-RO"/>
              </w:rPr>
              <w:t>î</w:t>
            </w:r>
            <w:r w:rsidRPr="00DC51BB">
              <w:rPr>
                <w:rFonts w:ascii="Calibri Light" w:eastAsia="Times New Roman" w:hAnsi="Calibri Light" w:cs="Calibri Light"/>
                <w:bCs/>
                <w:i/>
                <w:iCs/>
                <w:sz w:val="20"/>
                <w:szCs w:val="20"/>
                <w:lang w:val="ro-RO"/>
              </w:rPr>
              <w:t>n toate momentele de sintetizare, raportare si analiză a situației patrimoniului și a rezultatelor obținute</w:t>
            </w:r>
            <w:r w:rsidRPr="00DC51BB">
              <w:rPr>
                <w:rFonts w:ascii="Calibri Light" w:eastAsia="Times New Roman" w:hAnsi="Calibri Light" w:cs="Calibri Light"/>
                <w:bCs/>
                <w:i/>
                <w:iCs/>
                <w:sz w:val="20"/>
                <w:szCs w:val="20"/>
                <w:vertAlign w:val="superscript"/>
                <w:lang w:val="ro-RO"/>
              </w:rPr>
              <w:footnoteReference w:id="92"/>
            </w:r>
            <w:r w:rsidRPr="00DC51BB">
              <w:rPr>
                <w:rFonts w:ascii="Calibri Light" w:eastAsia="Times New Roman" w:hAnsi="Calibri Light" w:cs="Calibri Light"/>
                <w:bCs/>
                <w:i/>
                <w:iCs/>
                <w:sz w:val="20"/>
                <w:szCs w:val="20"/>
                <w:lang w:val="ro-RO"/>
              </w:rPr>
              <w:t>.</w:t>
            </w:r>
          </w:p>
          <w:p w14:paraId="66A75A4A" w14:textId="071157A9"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Activitățile desfășurate de audit atestă că ISM deține 33 unități imobilizări necorporale cu valoarea inițială de 2.901,47 mii lei, precum și  32 unități de imobilizări corporale cu valoarea inițială de 894,26  mii lei</w:t>
            </w:r>
            <w:r w:rsidR="00AA2C09">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amortizate integral, dar utilizate în activitatea operațională a instituțiilor, acestea nefiind reevaluate conform prevederilor aferente</w:t>
            </w:r>
            <w:r w:rsidRPr="00DC51BB">
              <w:rPr>
                <w:rFonts w:ascii="Calibri Light" w:eastAsia="Times New Roman" w:hAnsi="Calibri Light" w:cs="Calibri Light"/>
                <w:bCs/>
                <w:i/>
                <w:iCs/>
                <w:sz w:val="20"/>
                <w:szCs w:val="20"/>
                <w:vertAlign w:val="superscript"/>
              </w:rPr>
              <w:footnoteReference w:id="93"/>
            </w:r>
            <w:r w:rsidRPr="00DC51BB">
              <w:rPr>
                <w:rFonts w:ascii="Calibri Light" w:eastAsia="Times New Roman" w:hAnsi="Calibri Light" w:cs="Calibri Light"/>
                <w:bCs/>
                <w:i/>
                <w:iCs/>
                <w:sz w:val="20"/>
                <w:szCs w:val="20"/>
                <w:lang w:val="ro-RO"/>
              </w:rPr>
              <w:t>.</w:t>
            </w:r>
          </w:p>
          <w:p w14:paraId="3D3FBB13" w14:textId="2B2204A0"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Theme="majorHAnsi" w:hAnsiTheme="majorHAnsi" w:cstheme="majorHAnsi"/>
                <w:i/>
                <w:sz w:val="20"/>
                <w:szCs w:val="20"/>
                <w:lang w:val="ro-MD"/>
              </w:rPr>
              <w:t xml:space="preserve">Neajustarea valorii contabile a mijloacelor fixe amortizate integral și utilizate în procesul operațional creează condiții de aplicare a cuantumului tarifelor la serviciile prestate, care nu va putea asigura capacitatea investițională a </w:t>
            </w:r>
            <w:r w:rsidR="00C60FC5">
              <w:rPr>
                <w:rFonts w:asciiTheme="majorHAnsi" w:hAnsiTheme="majorHAnsi" w:cstheme="majorHAnsi"/>
                <w:i/>
                <w:sz w:val="20"/>
                <w:szCs w:val="20"/>
                <w:lang w:val="ro-MD"/>
              </w:rPr>
              <w:t>instituțiilor publice</w:t>
            </w:r>
            <w:r w:rsidRPr="00DC51BB">
              <w:rPr>
                <w:rFonts w:asciiTheme="majorHAnsi" w:hAnsiTheme="majorHAnsi" w:cstheme="majorHAnsi"/>
                <w:i/>
                <w:sz w:val="20"/>
                <w:szCs w:val="20"/>
                <w:lang w:val="ro-MD"/>
              </w:rPr>
              <w:t xml:space="preserve"> din domeniul infrastructurii în perioadele de gestiune viitoare.</w:t>
            </w:r>
          </w:p>
          <w:p w14:paraId="50F89AD9" w14:textId="77777777"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p>
        </w:tc>
        <w:tc>
          <w:tcPr>
            <w:tcW w:w="955" w:type="pct"/>
          </w:tcPr>
          <w:p w14:paraId="6C595397" w14:textId="2CFB28E9" w:rsidR="007A20C9" w:rsidRPr="00DC51BB" w:rsidRDefault="007A20C9" w:rsidP="00461A81">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 xml:space="preserve">               S</w:t>
            </w:r>
            <w:r w:rsidRPr="00DC51BB">
              <w:rPr>
                <w:rFonts w:ascii="Calibri Light" w:eastAsia="Times New Roman" w:hAnsi="Calibri Light" w:cs="Calibri Light"/>
                <w:bCs/>
                <w:i/>
                <w:iCs/>
                <w:sz w:val="20"/>
                <w:szCs w:val="20"/>
                <w:lang w:val="ro-RO"/>
              </w:rPr>
              <w:t>ă asigure reevaluarea imobilizărilor necorporale și corporale în conformitate cu actele normative în vigoare (pct. 4.1.2.3.)</w:t>
            </w:r>
            <w:r w:rsidR="00C60FC5">
              <w:rPr>
                <w:rFonts w:ascii="Calibri Light" w:eastAsia="Times New Roman" w:hAnsi="Calibri Light" w:cs="Calibri Light"/>
                <w:bCs/>
                <w:i/>
                <w:iCs/>
                <w:sz w:val="20"/>
                <w:szCs w:val="20"/>
                <w:lang w:val="ro-RO"/>
              </w:rPr>
              <w:t>.</w:t>
            </w:r>
          </w:p>
          <w:p w14:paraId="39E8C31D" w14:textId="77777777" w:rsidR="007A20C9" w:rsidRPr="00DC51BB" w:rsidRDefault="007A20C9" w:rsidP="00461A81">
            <w:pPr>
              <w:spacing w:line="276" w:lineRule="auto"/>
              <w:ind w:firstLine="888"/>
              <w:jc w:val="both"/>
              <w:rPr>
                <w:rFonts w:ascii="Calibri Light" w:eastAsia="Times New Roman" w:hAnsi="Calibri Light" w:cs="Calibri Light"/>
                <w:bCs/>
                <w:i/>
                <w:iCs/>
                <w:sz w:val="20"/>
                <w:szCs w:val="20"/>
                <w:lang w:val="ro-RO"/>
              </w:rPr>
            </w:pPr>
          </w:p>
        </w:tc>
        <w:tc>
          <w:tcPr>
            <w:tcW w:w="927" w:type="pct"/>
          </w:tcPr>
          <w:p w14:paraId="319201BC" w14:textId="136CDF19" w:rsidR="007A20C9" w:rsidRDefault="007A20C9" w:rsidP="00461A81">
            <w:pPr>
              <w:spacing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 xml:space="preserve">A fost elaborată lista </w:t>
            </w:r>
            <w:r w:rsidRPr="00DA2EDD">
              <w:rPr>
                <w:rFonts w:ascii="Calibri Light" w:eastAsia="Times New Roman" w:hAnsi="Calibri Light" w:cs="Calibri Light"/>
                <w:bCs/>
                <w:i/>
                <w:iCs/>
                <w:sz w:val="20"/>
                <w:szCs w:val="20"/>
                <w:lang w:val="ro-RO"/>
              </w:rPr>
              <w:t>imobilizări</w:t>
            </w:r>
            <w:r w:rsidR="00C60FC5">
              <w:rPr>
                <w:rFonts w:ascii="Calibri Light" w:eastAsia="Times New Roman" w:hAnsi="Calibri Light" w:cs="Calibri Light"/>
                <w:bCs/>
                <w:i/>
                <w:iCs/>
                <w:sz w:val="20"/>
                <w:szCs w:val="20"/>
                <w:lang w:val="ro-RO"/>
              </w:rPr>
              <w:t>lor</w:t>
            </w:r>
            <w:r w:rsidRPr="00DA2EDD">
              <w:rPr>
                <w:rFonts w:ascii="Calibri Light" w:eastAsia="Times New Roman" w:hAnsi="Calibri Light" w:cs="Calibri Light"/>
                <w:bCs/>
                <w:i/>
                <w:iCs/>
                <w:sz w:val="20"/>
                <w:szCs w:val="20"/>
                <w:lang w:val="ro-RO"/>
              </w:rPr>
              <w:t xml:space="preserve"> necorporale</w:t>
            </w:r>
            <w:r>
              <w:rPr>
                <w:rFonts w:ascii="Calibri Light" w:eastAsia="Times New Roman" w:hAnsi="Calibri Light" w:cs="Calibri Light"/>
                <w:bCs/>
                <w:i/>
                <w:iCs/>
                <w:sz w:val="20"/>
                <w:szCs w:val="20"/>
                <w:lang w:val="ro-RO"/>
              </w:rPr>
              <w:t xml:space="preserve"> și </w:t>
            </w:r>
            <w:r w:rsidRPr="00DA2EDD">
              <w:rPr>
                <w:rFonts w:ascii="Calibri Light" w:eastAsia="Times New Roman" w:hAnsi="Calibri Light" w:cs="Calibri Light"/>
                <w:bCs/>
                <w:i/>
                <w:iCs/>
                <w:sz w:val="20"/>
                <w:szCs w:val="20"/>
                <w:lang w:val="ro-RO"/>
              </w:rPr>
              <w:t>imobilizări</w:t>
            </w:r>
            <w:r w:rsidR="00880644">
              <w:rPr>
                <w:rFonts w:ascii="Calibri Light" w:eastAsia="Times New Roman" w:hAnsi="Calibri Light" w:cs="Calibri Light"/>
                <w:bCs/>
                <w:i/>
                <w:iCs/>
                <w:sz w:val="20"/>
                <w:szCs w:val="20"/>
                <w:lang w:val="ro-RO"/>
              </w:rPr>
              <w:t>lor</w:t>
            </w:r>
            <w:r w:rsidRPr="00DA2EDD">
              <w:rPr>
                <w:rFonts w:ascii="Calibri Light" w:eastAsia="Times New Roman" w:hAnsi="Calibri Light" w:cs="Calibri Light"/>
                <w:bCs/>
                <w:i/>
                <w:iCs/>
                <w:sz w:val="20"/>
                <w:szCs w:val="20"/>
                <w:lang w:val="ro-RO"/>
              </w:rPr>
              <w:t xml:space="preserve"> corporale  amortizate integral, dar utilizate în activitatea operațională a</w:t>
            </w:r>
            <w:r>
              <w:rPr>
                <w:rFonts w:ascii="Calibri Light" w:eastAsia="Times New Roman" w:hAnsi="Calibri Light" w:cs="Calibri Light"/>
                <w:bCs/>
                <w:i/>
                <w:iCs/>
                <w:sz w:val="20"/>
                <w:szCs w:val="20"/>
                <w:lang w:val="ro-RO"/>
              </w:rPr>
              <w:t xml:space="preserve"> ISM</w:t>
            </w:r>
            <w:r w:rsidR="00C60FC5">
              <w:rPr>
                <w:rFonts w:ascii="Calibri Light" w:eastAsia="Times New Roman" w:hAnsi="Calibri Light" w:cs="Calibri Light"/>
                <w:bCs/>
                <w:i/>
                <w:iCs/>
                <w:sz w:val="20"/>
                <w:szCs w:val="20"/>
                <w:lang w:val="ro-RO"/>
              </w:rPr>
              <w:t>.</w:t>
            </w:r>
            <w:r>
              <w:rPr>
                <w:rFonts w:ascii="Calibri Light" w:eastAsia="Times New Roman" w:hAnsi="Calibri Light" w:cs="Calibri Light"/>
                <w:bCs/>
                <w:i/>
                <w:iCs/>
                <w:sz w:val="20"/>
                <w:szCs w:val="20"/>
                <w:lang w:val="ro-RO"/>
              </w:rPr>
              <w:t xml:space="preserve"> </w:t>
            </w:r>
          </w:p>
          <w:p w14:paraId="495946BD" w14:textId="77777777" w:rsidR="007A20C9" w:rsidRPr="00C13D9F" w:rsidRDefault="007A20C9" w:rsidP="00461A81">
            <w:pPr>
              <w:spacing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În conformitate cu S</w:t>
            </w:r>
            <w:r w:rsidRPr="00C13D9F">
              <w:rPr>
                <w:rFonts w:ascii="Calibri Light" w:eastAsia="Times New Roman" w:hAnsi="Calibri Light" w:cs="Calibri Light"/>
                <w:bCs/>
                <w:i/>
                <w:iCs/>
                <w:sz w:val="20"/>
                <w:szCs w:val="20"/>
                <w:lang w:val="ro-RO"/>
              </w:rPr>
              <w:t xml:space="preserve">tandardul </w:t>
            </w:r>
            <w:r>
              <w:rPr>
                <w:rFonts w:ascii="Calibri Light" w:eastAsia="Times New Roman" w:hAnsi="Calibri Light" w:cs="Calibri Light"/>
                <w:bCs/>
                <w:i/>
                <w:iCs/>
                <w:sz w:val="20"/>
                <w:szCs w:val="20"/>
                <w:lang w:val="ro-RO"/>
              </w:rPr>
              <w:t>Na</w:t>
            </w:r>
            <w:r w:rsidRPr="00C13D9F">
              <w:rPr>
                <w:rFonts w:ascii="Calibri Light" w:eastAsia="Times New Roman" w:hAnsi="Calibri Light" w:cs="Calibri Light"/>
                <w:bCs/>
                <w:i/>
                <w:iCs/>
                <w:sz w:val="20"/>
                <w:szCs w:val="20"/>
                <w:lang w:val="ro-RO"/>
              </w:rPr>
              <w:t xml:space="preserve">țional de </w:t>
            </w:r>
            <w:r>
              <w:rPr>
                <w:rFonts w:ascii="Calibri Light" w:eastAsia="Times New Roman" w:hAnsi="Calibri Light" w:cs="Calibri Light"/>
                <w:bCs/>
                <w:i/>
                <w:iCs/>
                <w:sz w:val="20"/>
                <w:szCs w:val="20"/>
                <w:lang w:val="ro-RO"/>
              </w:rPr>
              <w:t>C</w:t>
            </w:r>
            <w:r w:rsidRPr="00C13D9F">
              <w:rPr>
                <w:rFonts w:ascii="Calibri Light" w:eastAsia="Times New Roman" w:hAnsi="Calibri Light" w:cs="Calibri Light"/>
                <w:bCs/>
                <w:i/>
                <w:iCs/>
                <w:sz w:val="20"/>
                <w:szCs w:val="20"/>
                <w:lang w:val="ro-RO"/>
              </w:rPr>
              <w:t>ontabilitate</w:t>
            </w:r>
          </w:p>
          <w:p w14:paraId="00FB9868" w14:textId="3AD98275" w:rsidR="007A20C9" w:rsidRPr="00DC51BB" w:rsidRDefault="007A20C9" w:rsidP="00461A81">
            <w:pPr>
              <w:spacing w:line="276" w:lineRule="auto"/>
              <w:jc w:val="both"/>
              <w:rPr>
                <w:rFonts w:ascii="Calibri Light" w:eastAsia="Times New Roman" w:hAnsi="Calibri Light" w:cs="Calibri Light"/>
                <w:bCs/>
                <w:i/>
                <w:iCs/>
                <w:sz w:val="20"/>
                <w:szCs w:val="20"/>
                <w:lang w:val="ro-RO"/>
              </w:rPr>
            </w:pPr>
            <w:r w:rsidRPr="00C13D9F">
              <w:rPr>
                <w:rFonts w:ascii="Calibri Light" w:eastAsia="Times New Roman" w:hAnsi="Calibri Light" w:cs="Calibri Light"/>
                <w:bCs/>
                <w:i/>
                <w:iCs/>
                <w:sz w:val="20"/>
                <w:szCs w:val="20"/>
                <w:lang w:val="ro-RO"/>
              </w:rPr>
              <w:t>„</w:t>
            </w:r>
            <w:r>
              <w:rPr>
                <w:rFonts w:ascii="Calibri Light" w:eastAsia="Times New Roman" w:hAnsi="Calibri Light" w:cs="Calibri Light"/>
                <w:bCs/>
                <w:i/>
                <w:iCs/>
                <w:sz w:val="20"/>
                <w:szCs w:val="20"/>
                <w:lang w:val="ro-RO"/>
              </w:rPr>
              <w:t>I</w:t>
            </w:r>
            <w:r w:rsidRPr="00C13D9F">
              <w:rPr>
                <w:rFonts w:ascii="Calibri Light" w:eastAsia="Times New Roman" w:hAnsi="Calibri Light" w:cs="Calibri Light"/>
                <w:bCs/>
                <w:i/>
                <w:iCs/>
                <w:sz w:val="20"/>
                <w:szCs w:val="20"/>
                <w:lang w:val="ro-RO"/>
              </w:rPr>
              <w:t>mobilizări necorporale şi corporale”</w:t>
            </w:r>
            <w:r w:rsidR="00C60FC5">
              <w:rPr>
                <w:rFonts w:ascii="Calibri Light" w:eastAsia="Times New Roman" w:hAnsi="Calibri Light" w:cs="Calibri Light"/>
                <w:bCs/>
                <w:i/>
                <w:iCs/>
                <w:sz w:val="20"/>
                <w:szCs w:val="20"/>
                <w:lang w:val="ro-RO"/>
              </w:rPr>
              <w:t>,</w:t>
            </w:r>
            <w:r>
              <w:rPr>
                <w:rFonts w:ascii="Calibri Light" w:eastAsia="Times New Roman" w:hAnsi="Calibri Light" w:cs="Calibri Light"/>
                <w:bCs/>
                <w:i/>
                <w:iCs/>
                <w:sz w:val="20"/>
                <w:szCs w:val="20"/>
                <w:lang w:val="ro-RO"/>
              </w:rPr>
              <w:t xml:space="preserve"> urmează să fie creată o comisie</w:t>
            </w:r>
            <w:r w:rsidR="00C60FC5">
              <w:rPr>
                <w:rFonts w:ascii="Calibri Light" w:eastAsia="Times New Roman" w:hAnsi="Calibri Light" w:cs="Calibri Light"/>
                <w:bCs/>
                <w:i/>
                <w:iCs/>
                <w:sz w:val="20"/>
                <w:szCs w:val="20"/>
                <w:lang w:val="ro-RO"/>
              </w:rPr>
              <w:t>,</w:t>
            </w:r>
            <w:r>
              <w:rPr>
                <w:rFonts w:ascii="Calibri Light" w:eastAsia="Times New Roman" w:hAnsi="Calibri Light" w:cs="Calibri Light"/>
                <w:bCs/>
                <w:i/>
                <w:iCs/>
                <w:sz w:val="20"/>
                <w:szCs w:val="20"/>
                <w:lang w:val="ro-RO"/>
              </w:rPr>
              <w:t xml:space="preserve"> </w:t>
            </w:r>
            <w:r w:rsidR="00C60FC5">
              <w:rPr>
                <w:rFonts w:ascii="Calibri Light" w:eastAsia="Times New Roman" w:hAnsi="Calibri Light" w:cs="Calibri Light"/>
                <w:bCs/>
                <w:i/>
                <w:iCs/>
                <w:sz w:val="20"/>
                <w:szCs w:val="20"/>
                <w:lang w:val="ro-RO"/>
              </w:rPr>
              <w:t>în</w:t>
            </w:r>
            <w:r>
              <w:rPr>
                <w:rFonts w:ascii="Calibri Light" w:eastAsia="Times New Roman" w:hAnsi="Calibri Light" w:cs="Calibri Light"/>
                <w:bCs/>
                <w:i/>
                <w:iCs/>
                <w:sz w:val="20"/>
                <w:szCs w:val="20"/>
                <w:lang w:val="ro-RO"/>
              </w:rPr>
              <w:t xml:space="preserve"> scop de analiză și evaluare a acestor imobilizări</w:t>
            </w:r>
            <w:r w:rsidR="00C60FC5">
              <w:rPr>
                <w:rFonts w:ascii="Calibri Light" w:eastAsia="Times New Roman" w:hAnsi="Calibri Light" w:cs="Calibri Light"/>
                <w:bCs/>
                <w:i/>
                <w:iCs/>
                <w:sz w:val="20"/>
                <w:szCs w:val="20"/>
                <w:lang w:val="ro-RO"/>
              </w:rPr>
              <w:t>, precum</w:t>
            </w:r>
            <w:r>
              <w:rPr>
                <w:rFonts w:ascii="Calibri Light" w:eastAsia="Times New Roman" w:hAnsi="Calibri Light" w:cs="Calibri Light"/>
                <w:bCs/>
                <w:i/>
                <w:iCs/>
                <w:sz w:val="20"/>
                <w:szCs w:val="20"/>
                <w:lang w:val="ro-RO"/>
              </w:rPr>
              <w:t xml:space="preserve"> și </w:t>
            </w:r>
            <w:r w:rsidR="00C60FC5">
              <w:rPr>
                <w:rFonts w:ascii="Calibri Light" w:eastAsia="Times New Roman" w:hAnsi="Calibri Light" w:cs="Calibri Light"/>
                <w:bCs/>
                <w:i/>
                <w:iCs/>
                <w:sz w:val="20"/>
                <w:szCs w:val="20"/>
                <w:lang w:val="ro-RO"/>
              </w:rPr>
              <w:t xml:space="preserve">de </w:t>
            </w:r>
            <w:r>
              <w:rPr>
                <w:rFonts w:ascii="Calibri Light" w:eastAsia="Times New Roman" w:hAnsi="Calibri Light" w:cs="Calibri Light"/>
                <w:bCs/>
                <w:i/>
                <w:iCs/>
                <w:sz w:val="20"/>
                <w:szCs w:val="20"/>
                <w:lang w:val="ro-RO"/>
              </w:rPr>
              <w:t>înregistrare</w:t>
            </w:r>
            <w:r w:rsidR="00C60FC5">
              <w:rPr>
                <w:rFonts w:ascii="Calibri Light" w:eastAsia="Times New Roman" w:hAnsi="Calibri Light" w:cs="Calibri Light"/>
                <w:bCs/>
                <w:i/>
                <w:iCs/>
                <w:sz w:val="20"/>
                <w:szCs w:val="20"/>
                <w:lang w:val="ro-RO"/>
              </w:rPr>
              <w:t xml:space="preserve"> </w:t>
            </w:r>
            <w:r>
              <w:rPr>
                <w:rFonts w:ascii="Calibri Light" w:eastAsia="Times New Roman" w:hAnsi="Calibri Light" w:cs="Calibri Light"/>
                <w:bCs/>
                <w:i/>
                <w:iCs/>
                <w:sz w:val="20"/>
                <w:szCs w:val="20"/>
                <w:lang w:val="ro-RO"/>
              </w:rPr>
              <w:t>a acest</w:t>
            </w:r>
            <w:r w:rsidR="00C60FC5">
              <w:rPr>
                <w:rFonts w:ascii="Calibri Light" w:eastAsia="Times New Roman" w:hAnsi="Calibri Light" w:cs="Calibri Light"/>
                <w:bCs/>
                <w:i/>
                <w:iCs/>
                <w:sz w:val="20"/>
                <w:szCs w:val="20"/>
                <w:lang w:val="ro-RO"/>
              </w:rPr>
              <w:t>or</w:t>
            </w:r>
            <w:r>
              <w:rPr>
                <w:rFonts w:ascii="Calibri Light" w:eastAsia="Times New Roman" w:hAnsi="Calibri Light" w:cs="Calibri Light"/>
                <w:bCs/>
                <w:i/>
                <w:iCs/>
                <w:sz w:val="20"/>
                <w:szCs w:val="20"/>
                <w:lang w:val="ro-RO"/>
              </w:rPr>
              <w:t xml:space="preserve"> valori în evidența contabilă</w:t>
            </w:r>
            <w:r w:rsidR="00C60FC5">
              <w:rPr>
                <w:rFonts w:ascii="Calibri Light" w:eastAsia="Times New Roman" w:hAnsi="Calibri Light" w:cs="Calibri Light"/>
                <w:bCs/>
                <w:i/>
                <w:iCs/>
                <w:sz w:val="20"/>
                <w:szCs w:val="20"/>
                <w:lang w:val="ro-RO"/>
              </w:rPr>
              <w:t>.</w:t>
            </w:r>
          </w:p>
        </w:tc>
        <w:tc>
          <w:tcPr>
            <w:tcW w:w="645" w:type="pct"/>
          </w:tcPr>
          <w:p w14:paraId="4F1275CB"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6E326C">
              <w:rPr>
                <w:rFonts w:ascii="Calibri Light" w:eastAsia="Times New Roman" w:hAnsi="Calibri Light" w:cs="Calibri Light"/>
                <w:i/>
                <w:sz w:val="20"/>
                <w:szCs w:val="20"/>
                <w:lang w:val="ro-RO"/>
              </w:rPr>
              <w:t>Botezatu Parascovia</w:t>
            </w:r>
          </w:p>
        </w:tc>
        <w:tc>
          <w:tcPr>
            <w:tcW w:w="780" w:type="pct"/>
          </w:tcPr>
          <w:p w14:paraId="123DC671"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Ianuarie 2023</w:t>
            </w:r>
          </w:p>
        </w:tc>
      </w:tr>
      <w:tr w:rsidR="007A20C9" w:rsidRPr="00DC51BB" w14:paraId="2187F468" w14:textId="77777777" w:rsidTr="00461A81">
        <w:trPr>
          <w:trHeight w:val="1059"/>
        </w:trPr>
        <w:tc>
          <w:tcPr>
            <w:tcW w:w="1693" w:type="pct"/>
          </w:tcPr>
          <w:p w14:paraId="01072F15" w14:textId="456E9347"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Imobilizările corporale care nu sunt utilizate din diferite motive şi/sau care nu se supun restabilirii se includ într-o listă de inventariere separată</w:t>
            </w:r>
            <w:r w:rsidR="00C60FC5">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cu indicarea motivelor care au cauzat neutilizarea lor (deteriorarea, uzura completă etc.)</w:t>
            </w:r>
            <w:r w:rsidR="00C60FC5">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şi se transmit comisiei centrale, după caz, sau conducătorului entității, cu înaintarea propunerilor privind vânzarea, casarea sau reutilarea acestora</w:t>
            </w:r>
            <w:r w:rsidRPr="00DC51BB">
              <w:rPr>
                <w:rFonts w:ascii="Calibri Light" w:eastAsia="Times New Roman" w:hAnsi="Calibri Light" w:cs="Calibri Light"/>
                <w:bCs/>
                <w:i/>
                <w:iCs/>
                <w:szCs w:val="20"/>
                <w:vertAlign w:val="superscript"/>
                <w:lang w:val="ro-RO"/>
              </w:rPr>
              <w:footnoteReference w:id="94"/>
            </w:r>
            <w:r w:rsidRPr="00DC51BB">
              <w:rPr>
                <w:rFonts w:ascii="Calibri Light" w:eastAsia="Times New Roman" w:hAnsi="Calibri Light" w:cs="Calibri Light"/>
                <w:bCs/>
                <w:i/>
                <w:iCs/>
                <w:sz w:val="20"/>
                <w:szCs w:val="20"/>
                <w:lang w:val="ro-RO"/>
              </w:rPr>
              <w:t>.</w:t>
            </w:r>
          </w:p>
          <w:p w14:paraId="0BA5F566" w14:textId="69CCBE4D"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 xml:space="preserve">Probele de audit acumulate denotă că, la situația  </w:t>
            </w:r>
            <w:r w:rsidR="00C60FC5">
              <w:rPr>
                <w:rFonts w:ascii="Calibri Light" w:eastAsia="Times New Roman" w:hAnsi="Calibri Light" w:cs="Calibri Light"/>
                <w:bCs/>
                <w:i/>
                <w:iCs/>
                <w:sz w:val="20"/>
                <w:szCs w:val="20"/>
                <w:lang w:val="ro-RO"/>
              </w:rPr>
              <w:t xml:space="preserve">din </w:t>
            </w:r>
            <w:r w:rsidRPr="00DC51BB">
              <w:rPr>
                <w:rFonts w:ascii="Calibri Light" w:eastAsia="Times New Roman" w:hAnsi="Calibri Light" w:cs="Calibri Light"/>
                <w:bCs/>
                <w:i/>
                <w:iCs/>
                <w:sz w:val="20"/>
                <w:szCs w:val="20"/>
                <w:lang w:val="ro-RO"/>
              </w:rPr>
              <w:t>31 decembrie 2021,  ISM deține   imobilizări corporale amortizate 100% (cu  valoarea inițială  de 213,53 mii lei</w:t>
            </w:r>
            <w:r w:rsidRPr="00DC51BB">
              <w:rPr>
                <w:rFonts w:ascii="Calibri Light" w:eastAsia="Times New Roman" w:hAnsi="Calibri Light" w:cs="Calibri Light"/>
                <w:bCs/>
                <w:i/>
                <w:iCs/>
                <w:szCs w:val="20"/>
                <w:vertAlign w:val="superscript"/>
                <w:lang w:val="ro-RO"/>
              </w:rPr>
              <w:footnoteReference w:id="95"/>
            </w:r>
            <w:r w:rsidRPr="00DC51BB">
              <w:rPr>
                <w:rFonts w:ascii="Calibri Light" w:eastAsia="Times New Roman" w:hAnsi="Calibri Light" w:cs="Calibri Light"/>
                <w:bCs/>
                <w:i/>
                <w:iCs/>
                <w:sz w:val="20"/>
                <w:szCs w:val="20"/>
                <w:lang w:val="ro-RO"/>
              </w:rPr>
              <w:t xml:space="preserve"> ), care nu sunt utilizate în activitatea operațională.</w:t>
            </w:r>
          </w:p>
          <w:p w14:paraId="78C40971" w14:textId="3E14DD4A" w:rsidR="007A20C9" w:rsidRPr="00DC51BB" w:rsidRDefault="007A20C9" w:rsidP="00461A81">
            <w:pPr>
              <w:pStyle w:val="ListParagraph"/>
              <w:tabs>
                <w:tab w:val="left" w:pos="270"/>
              </w:tabs>
              <w:spacing w:line="276" w:lineRule="auto"/>
              <w:ind w:left="0" w:firstLine="72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Neconformarea responsabililor la prevederile cadrului normativ aferent condiționează consumul neconcludent al resurselor financiare, umane și de timp ale instituției în procesul de inventariere a bunurilor propriu-zise în perioadele de gestiune viitoare, precum și ocuparea nerațională a spațiilor/încăperilor pentru păstrarea acestora.</w:t>
            </w:r>
          </w:p>
        </w:tc>
        <w:tc>
          <w:tcPr>
            <w:tcW w:w="955" w:type="pct"/>
          </w:tcPr>
          <w:p w14:paraId="13AB3305" w14:textId="77777777" w:rsidR="007A20C9" w:rsidRPr="00DC51BB" w:rsidRDefault="007A20C9" w:rsidP="00461A81">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 xml:space="preserve">              S</w:t>
            </w:r>
            <w:r w:rsidRPr="00DC51BB">
              <w:rPr>
                <w:rFonts w:ascii="Calibri Light" w:eastAsia="Times New Roman" w:hAnsi="Calibri Light" w:cs="Calibri Light"/>
                <w:bCs/>
                <w:i/>
                <w:iCs/>
                <w:sz w:val="20"/>
                <w:szCs w:val="20"/>
                <w:lang w:val="ro-RO"/>
              </w:rPr>
              <w:t>ă asigure casarea mijloacelor fixe uzate și neutilizate în procesul operațional în  conformitate cu actele normative în vigoare  (pct.4.1.2.4.).</w:t>
            </w:r>
          </w:p>
          <w:p w14:paraId="29D10588" w14:textId="77777777" w:rsidR="007A20C9" w:rsidRPr="00DC51BB" w:rsidRDefault="007A20C9" w:rsidP="00461A81">
            <w:pPr>
              <w:spacing w:line="276" w:lineRule="auto"/>
              <w:ind w:firstLine="179"/>
              <w:jc w:val="both"/>
              <w:rPr>
                <w:rFonts w:ascii="Calibri Light" w:eastAsia="Times New Roman" w:hAnsi="Calibri Light" w:cs="Calibri Light"/>
                <w:bCs/>
                <w:i/>
                <w:iCs/>
                <w:sz w:val="20"/>
                <w:szCs w:val="20"/>
                <w:lang w:val="ro-MD"/>
              </w:rPr>
            </w:pPr>
          </w:p>
        </w:tc>
        <w:tc>
          <w:tcPr>
            <w:tcW w:w="927" w:type="pct"/>
          </w:tcPr>
          <w:p w14:paraId="52CE0D85" w14:textId="6D1096F4" w:rsidR="007A20C9" w:rsidRDefault="007A20C9" w:rsidP="00461A81">
            <w:pPr>
              <w:spacing w:line="276" w:lineRule="auto"/>
              <w:jc w:val="both"/>
              <w:rPr>
                <w:rFonts w:ascii="Calibri Light" w:eastAsia="Times New Roman" w:hAnsi="Calibri Light" w:cs="Calibri Light"/>
                <w:i/>
                <w:sz w:val="20"/>
                <w:szCs w:val="20"/>
                <w:lang w:val="ro-RO"/>
              </w:rPr>
            </w:pPr>
            <w:r w:rsidRPr="004A23B9">
              <w:rPr>
                <w:rFonts w:ascii="Calibri Light" w:eastAsia="Times New Roman" w:hAnsi="Calibri Light" w:cs="Calibri Light"/>
                <w:i/>
                <w:sz w:val="20"/>
                <w:szCs w:val="20"/>
                <w:lang w:val="ro-RO"/>
              </w:rPr>
              <w:t>A fost elaborată lista imobilizări</w:t>
            </w:r>
            <w:r>
              <w:rPr>
                <w:rFonts w:ascii="Calibri Light" w:eastAsia="Times New Roman" w:hAnsi="Calibri Light" w:cs="Calibri Light"/>
                <w:i/>
                <w:sz w:val="20"/>
                <w:szCs w:val="20"/>
                <w:lang w:val="ro-RO"/>
              </w:rPr>
              <w:t>lor</w:t>
            </w:r>
            <w:r w:rsidRPr="004A23B9">
              <w:rPr>
                <w:rFonts w:ascii="Calibri Light" w:eastAsia="Times New Roman" w:hAnsi="Calibri Light" w:cs="Calibri Light"/>
                <w:i/>
                <w:sz w:val="20"/>
                <w:szCs w:val="20"/>
                <w:lang w:val="ro-RO"/>
              </w:rPr>
              <w:t xml:space="preserve"> necorporale și imobilizări</w:t>
            </w:r>
            <w:r>
              <w:rPr>
                <w:rFonts w:ascii="Calibri Light" w:eastAsia="Times New Roman" w:hAnsi="Calibri Light" w:cs="Calibri Light"/>
                <w:i/>
                <w:sz w:val="20"/>
                <w:szCs w:val="20"/>
                <w:lang w:val="ro-RO"/>
              </w:rPr>
              <w:t>lor</w:t>
            </w:r>
            <w:r w:rsidRPr="004A23B9">
              <w:rPr>
                <w:rFonts w:ascii="Calibri Light" w:eastAsia="Times New Roman" w:hAnsi="Calibri Light" w:cs="Calibri Light"/>
                <w:i/>
                <w:sz w:val="20"/>
                <w:szCs w:val="20"/>
                <w:lang w:val="ro-RO"/>
              </w:rPr>
              <w:t xml:space="preserve"> corporale  amortizate integral, dar</w:t>
            </w:r>
            <w:r>
              <w:rPr>
                <w:rFonts w:ascii="Calibri Light" w:eastAsia="Times New Roman" w:hAnsi="Calibri Light" w:cs="Calibri Light"/>
                <w:i/>
                <w:sz w:val="20"/>
                <w:szCs w:val="20"/>
                <w:lang w:val="ro-RO"/>
              </w:rPr>
              <w:t xml:space="preserve"> care nu funcționează</w:t>
            </w:r>
            <w:r w:rsidR="00880644">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din motivul defectării lor și care nu pot fi </w:t>
            </w:r>
            <w:r w:rsidRPr="004A23B9">
              <w:rPr>
                <w:rFonts w:ascii="Calibri Light" w:eastAsia="Times New Roman" w:hAnsi="Calibri Light" w:cs="Calibri Light"/>
                <w:i/>
                <w:sz w:val="20"/>
                <w:szCs w:val="20"/>
                <w:lang w:val="ro-RO"/>
              </w:rPr>
              <w:t xml:space="preserve"> utilizate în activitatea operațională a ISM</w:t>
            </w:r>
            <w:r>
              <w:rPr>
                <w:rFonts w:ascii="Calibri Light" w:eastAsia="Times New Roman" w:hAnsi="Calibri Light" w:cs="Calibri Light"/>
                <w:i/>
                <w:sz w:val="20"/>
                <w:szCs w:val="20"/>
                <w:lang w:val="ro-RO"/>
              </w:rPr>
              <w:t>.</w:t>
            </w:r>
          </w:p>
          <w:p w14:paraId="45E97C5C" w14:textId="08F120CA"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D177A7">
              <w:rPr>
                <w:rFonts w:ascii="Calibri Light" w:eastAsia="Times New Roman" w:hAnsi="Calibri Light" w:cs="Calibri Light"/>
                <w:i/>
                <w:sz w:val="20"/>
                <w:szCs w:val="20"/>
                <w:lang w:val="ro-RO"/>
              </w:rPr>
              <w:t>În conformitate cu  Regulamentul</w:t>
            </w:r>
            <w:r>
              <w:rPr>
                <w:rFonts w:ascii="Calibri Light" w:eastAsia="Times New Roman" w:hAnsi="Calibri Light" w:cs="Calibri Light"/>
                <w:i/>
                <w:sz w:val="20"/>
                <w:szCs w:val="20"/>
                <w:lang w:val="ro-RO"/>
              </w:rPr>
              <w:t xml:space="preserve"> </w:t>
            </w:r>
            <w:r w:rsidRPr="00D177A7">
              <w:rPr>
                <w:rFonts w:ascii="Calibri Light" w:eastAsia="Times New Roman" w:hAnsi="Calibri Light" w:cs="Calibri Light"/>
                <w:i/>
                <w:sz w:val="20"/>
                <w:szCs w:val="20"/>
                <w:lang w:val="ro-RO"/>
              </w:rPr>
              <w:t>privind casarea bunurilor uzate, raportate la mijloace  fixe, aprobate prin Hotărârea Guvernului Republicii Moldova nr. 500 din 12.05.1998</w:t>
            </w:r>
            <w:r w:rsidR="00880644">
              <w:rPr>
                <w:rFonts w:ascii="Calibri Light" w:eastAsia="Times New Roman" w:hAnsi="Calibri Light" w:cs="Calibri Light"/>
                <w:i/>
                <w:sz w:val="20"/>
                <w:szCs w:val="20"/>
                <w:lang w:val="ro-RO"/>
              </w:rPr>
              <w:t>,</w:t>
            </w:r>
            <w:r w:rsidRPr="004A23B9">
              <w:rPr>
                <w:rFonts w:ascii="Calibri Light" w:eastAsia="Times New Roman" w:hAnsi="Calibri Light" w:cs="Calibri Light"/>
                <w:i/>
                <w:sz w:val="20"/>
                <w:szCs w:val="20"/>
                <w:lang w:val="ro-RO"/>
              </w:rPr>
              <w:t xml:space="preserve"> </w:t>
            </w:r>
            <w:r>
              <w:rPr>
                <w:rFonts w:ascii="Calibri Light" w:eastAsia="Times New Roman" w:hAnsi="Calibri Light" w:cs="Calibri Light"/>
                <w:i/>
                <w:sz w:val="20"/>
                <w:szCs w:val="20"/>
                <w:lang w:val="ro-RO"/>
              </w:rPr>
              <w:t xml:space="preserve">a fost  inițiată  procedura de casare a mijloacelor  fixe. A fost elaborat ordinul și </w:t>
            </w:r>
            <w:r w:rsidRPr="00F31598">
              <w:rPr>
                <w:rFonts w:ascii="Calibri Light" w:eastAsia="Times New Roman" w:hAnsi="Calibri Light" w:cs="Calibri Light"/>
                <w:i/>
                <w:sz w:val="20"/>
                <w:szCs w:val="20"/>
                <w:lang w:val="ro-RO"/>
              </w:rPr>
              <w:t>Registrul  mijloacelor fixe c</w:t>
            </w:r>
            <w:r w:rsidR="00880644">
              <w:rPr>
                <w:rFonts w:ascii="Calibri Light" w:eastAsia="Times New Roman" w:hAnsi="Calibri Light" w:cs="Calibri Light"/>
                <w:i/>
                <w:sz w:val="20"/>
                <w:szCs w:val="20"/>
                <w:lang w:val="ro-RO"/>
              </w:rPr>
              <w:t>ar</w:t>
            </w:r>
            <w:r w:rsidRPr="00F31598">
              <w:rPr>
                <w:rFonts w:ascii="Calibri Light" w:eastAsia="Times New Roman" w:hAnsi="Calibri Light" w:cs="Calibri Light"/>
                <w:i/>
                <w:sz w:val="20"/>
                <w:szCs w:val="20"/>
                <w:lang w:val="ro-RO"/>
              </w:rPr>
              <w:t>e urmează a fi casate</w:t>
            </w:r>
            <w:r>
              <w:rPr>
                <w:rFonts w:ascii="Calibri Light" w:eastAsia="Times New Roman" w:hAnsi="Calibri Light" w:cs="Calibri Light"/>
                <w:i/>
                <w:sz w:val="20"/>
                <w:szCs w:val="20"/>
                <w:lang w:val="ro-RO"/>
              </w:rPr>
              <w:t xml:space="preserve"> și urmează să contractăm o companie  pentru evaluarea și eliberarea certificatelor privind imposibilitatea reparației acestor  bunuri</w:t>
            </w:r>
            <w:r w:rsidR="00880644">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cu posibilitatea de extragere a unor piese </w:t>
            </w:r>
            <w:r w:rsidRPr="009A55E0">
              <w:rPr>
                <w:rFonts w:ascii="Calibri Light" w:eastAsia="Times New Roman" w:hAnsi="Calibri Light" w:cs="Calibri Light"/>
                <w:i/>
                <w:sz w:val="20"/>
                <w:szCs w:val="20"/>
                <w:lang w:val="ro-RO"/>
              </w:rPr>
              <w:t xml:space="preserve">care vor fi utilizate </w:t>
            </w:r>
            <w:r w:rsidR="0005109A" w:rsidRPr="009A55E0">
              <w:rPr>
                <w:rFonts w:ascii="Calibri Light" w:eastAsia="Times New Roman" w:hAnsi="Calibri Light" w:cs="Calibri Light"/>
                <w:i/>
                <w:sz w:val="20"/>
                <w:szCs w:val="20"/>
                <w:lang w:val="ro-RO"/>
              </w:rPr>
              <w:t xml:space="preserve"> pentru </w:t>
            </w:r>
            <w:r w:rsidRPr="009A55E0">
              <w:rPr>
                <w:rFonts w:ascii="Calibri Light" w:eastAsia="Times New Roman" w:hAnsi="Calibri Light" w:cs="Calibri Light"/>
                <w:i/>
                <w:sz w:val="20"/>
                <w:szCs w:val="20"/>
                <w:lang w:val="ro-RO"/>
              </w:rPr>
              <w:t>alte bunuri. După c</w:t>
            </w:r>
            <w:r w:rsidR="00880644" w:rsidRPr="009A55E0">
              <w:rPr>
                <w:rFonts w:ascii="Calibri Light" w:eastAsia="Times New Roman" w:hAnsi="Calibri Light" w:cs="Calibri Light"/>
                <w:i/>
                <w:sz w:val="20"/>
                <w:szCs w:val="20"/>
                <w:lang w:val="ro-RO"/>
              </w:rPr>
              <w:t>e,</w:t>
            </w:r>
            <w:r w:rsidRPr="009A55E0">
              <w:rPr>
                <w:rFonts w:ascii="Calibri Light" w:eastAsia="Times New Roman" w:hAnsi="Calibri Light" w:cs="Calibri Light"/>
                <w:i/>
                <w:sz w:val="20"/>
                <w:szCs w:val="20"/>
                <w:lang w:val="ro-RO"/>
              </w:rPr>
              <w:t xml:space="preserve"> va fi transmis un demers</w:t>
            </w:r>
            <w:r>
              <w:rPr>
                <w:rFonts w:ascii="Calibri Light" w:eastAsia="Times New Roman" w:hAnsi="Calibri Light" w:cs="Calibri Light"/>
                <w:i/>
                <w:sz w:val="20"/>
                <w:szCs w:val="20"/>
                <w:lang w:val="ro-RO"/>
              </w:rPr>
              <w:t xml:space="preserve"> la Ministerul Economiei</w:t>
            </w:r>
            <w:r w:rsidR="00880644">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cu toate documentele anexate pentru aprobare.</w:t>
            </w:r>
          </w:p>
        </w:tc>
        <w:tc>
          <w:tcPr>
            <w:tcW w:w="645" w:type="pct"/>
          </w:tcPr>
          <w:p w14:paraId="2954B57B"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4A621A">
              <w:rPr>
                <w:rFonts w:ascii="Calibri Light" w:eastAsia="Times New Roman" w:hAnsi="Calibri Light" w:cs="Calibri Light"/>
                <w:i/>
                <w:sz w:val="20"/>
                <w:szCs w:val="20"/>
                <w:lang w:val="ro-RO"/>
              </w:rPr>
              <w:t>Botezatu Parascovia</w:t>
            </w:r>
          </w:p>
        </w:tc>
        <w:tc>
          <w:tcPr>
            <w:tcW w:w="780" w:type="pct"/>
          </w:tcPr>
          <w:p w14:paraId="31C30447"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Ianuarie 2023</w:t>
            </w:r>
          </w:p>
        </w:tc>
      </w:tr>
      <w:tr w:rsidR="007A20C9" w:rsidRPr="00DC51BB" w14:paraId="13BA7E86" w14:textId="77777777" w:rsidTr="00461A81">
        <w:trPr>
          <w:trHeight w:val="4892"/>
        </w:trPr>
        <w:tc>
          <w:tcPr>
            <w:tcW w:w="1693" w:type="pct"/>
          </w:tcPr>
          <w:p w14:paraId="77B800BC" w14:textId="25838EE5"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 xml:space="preserve">În perioada supusă auditului public extern, deși inventarierea în cadrul </w:t>
            </w:r>
            <w:r w:rsidR="00880644">
              <w:rPr>
                <w:rFonts w:ascii="Calibri Light" w:eastAsia="Times New Roman" w:hAnsi="Calibri Light" w:cs="Calibri Light"/>
                <w:bCs/>
                <w:i/>
                <w:iCs/>
                <w:sz w:val="20"/>
                <w:szCs w:val="20"/>
                <w:lang w:val="ro-RO"/>
              </w:rPr>
              <w:t>instituțiilor publice</w:t>
            </w:r>
            <w:r w:rsidRPr="00DC51BB">
              <w:rPr>
                <w:rFonts w:ascii="Calibri Light" w:eastAsia="Times New Roman" w:hAnsi="Calibri Light" w:cs="Calibri Light"/>
                <w:bCs/>
                <w:i/>
                <w:iCs/>
                <w:sz w:val="20"/>
                <w:szCs w:val="20"/>
                <w:lang w:val="ro-RO"/>
              </w:rPr>
              <w:t xml:space="preserve"> din domeniul infrastructurii calității, din punct de vedere procedural, a fost desfășurată în mod regulamentar,  se atestă că rezultatele inventarierii indică doar stabilirea existenței faptice și scriptice a bunurilor aflate în gestiunea entității, nefiind identificate bunurile neutilizate și/sau amortizate integral, neevaluate corespunzător, necasate, netransmise altor entități și, prin urmare, nefiind luate deciziile manageriale de rigoare relevante acestora.</w:t>
            </w:r>
          </w:p>
        </w:tc>
        <w:tc>
          <w:tcPr>
            <w:tcW w:w="955" w:type="pct"/>
          </w:tcPr>
          <w:p w14:paraId="69012D06" w14:textId="7AA184C6" w:rsidR="007A20C9" w:rsidRPr="00DC51BB" w:rsidRDefault="007A20C9" w:rsidP="00461A81">
            <w:pPr>
              <w:pStyle w:val="msonormalmailrucssattributepostfix"/>
              <w:spacing w:before="0" w:beforeAutospacing="0" w:after="0" w:afterAutospacing="0" w:line="276" w:lineRule="auto"/>
              <w:ind w:firstLine="746"/>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RO"/>
              </w:rPr>
              <w:t>S</w:t>
            </w:r>
            <w:r w:rsidRPr="00DC51BB">
              <w:rPr>
                <w:rFonts w:ascii="Calibri Light" w:eastAsia="Times New Roman" w:hAnsi="Calibri Light" w:cs="Calibri Light"/>
                <w:bCs/>
                <w:i/>
                <w:iCs/>
                <w:sz w:val="20"/>
                <w:szCs w:val="20"/>
                <w:lang w:val="ro-RO"/>
              </w:rPr>
              <w:t xml:space="preserve">ă asigure  efectuarea regulamentară a inventarierii anuale și documentarea corespunzătoare a rezultatelor acesteia (întocmirea Declarației pentru fiecare gestionar de bunuri, întocmirea listelor de inventariere a  creanțelor și datoriilor, </w:t>
            </w:r>
            <w:r w:rsidR="00733507" w:rsidRPr="00733507">
              <w:rPr>
                <w:rFonts w:ascii="Calibri Light" w:eastAsia="Times New Roman" w:hAnsi="Calibri Light" w:cs="Calibri Light"/>
                <w:bCs/>
                <w:i/>
                <w:iCs/>
                <w:sz w:val="20"/>
                <w:szCs w:val="20"/>
                <w:lang w:val="ro-RO"/>
              </w:rPr>
              <w:t>completarea</w:t>
            </w:r>
            <w:r w:rsidRPr="00DC51BB">
              <w:rPr>
                <w:rFonts w:ascii="Calibri Light" w:eastAsia="Times New Roman" w:hAnsi="Calibri Light" w:cs="Calibri Light"/>
                <w:bCs/>
                <w:i/>
                <w:iCs/>
                <w:sz w:val="20"/>
                <w:szCs w:val="20"/>
                <w:lang w:val="ro-RO"/>
              </w:rPr>
              <w:t xml:space="preserve"> listelor de inventariere cu mențiunile aferente stării bunurilor, aplicarea semnăturilor pe documentele de inventariere de către persoanele implicate în acest proces) (pct. 4.1.2.; 4.1.2.1.; 4.1.2.2.; 4.1.2.3.; 4.1.2.4.)</w:t>
            </w:r>
            <w:r w:rsidR="00684BED">
              <w:rPr>
                <w:rFonts w:ascii="Calibri Light" w:eastAsia="Times New Roman" w:hAnsi="Calibri Light" w:cs="Calibri Light"/>
                <w:bCs/>
                <w:i/>
                <w:iCs/>
                <w:sz w:val="20"/>
                <w:szCs w:val="20"/>
                <w:lang w:val="ro-RO"/>
              </w:rPr>
              <w:t>.</w:t>
            </w:r>
          </w:p>
          <w:p w14:paraId="6D291B6A" w14:textId="77777777" w:rsidR="007A20C9" w:rsidRPr="00DC51BB" w:rsidRDefault="007A20C9" w:rsidP="00461A81">
            <w:pPr>
              <w:pStyle w:val="msonormalmailrucssattributepostfix"/>
              <w:spacing w:before="0" w:beforeAutospacing="0" w:after="0" w:afterAutospacing="0" w:line="276" w:lineRule="auto"/>
              <w:ind w:left="38"/>
              <w:jc w:val="both"/>
              <w:rPr>
                <w:rFonts w:ascii="Calibri Light" w:eastAsia="Times New Roman" w:hAnsi="Calibri Light" w:cs="Calibri Light"/>
                <w:bCs/>
                <w:i/>
                <w:iCs/>
                <w:sz w:val="20"/>
                <w:szCs w:val="20"/>
                <w:lang w:val="ro-RO"/>
              </w:rPr>
            </w:pPr>
          </w:p>
        </w:tc>
        <w:tc>
          <w:tcPr>
            <w:tcW w:w="927" w:type="pct"/>
          </w:tcPr>
          <w:p w14:paraId="5D0DA259" w14:textId="7F90FA25"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Ținând cont de recomandările propuse</w:t>
            </w:r>
            <w:r w:rsidR="00684BED">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vom asigura </w:t>
            </w:r>
            <w:r w:rsidRPr="00E86B7B">
              <w:rPr>
                <w:rFonts w:ascii="Calibri Light" w:eastAsia="Times New Roman" w:hAnsi="Calibri Light" w:cs="Calibri Light"/>
                <w:i/>
                <w:sz w:val="20"/>
                <w:szCs w:val="20"/>
                <w:lang w:val="ro-RO"/>
              </w:rPr>
              <w:t>efectuarea regulamentară</w:t>
            </w:r>
            <w:r>
              <w:rPr>
                <w:rFonts w:ascii="Calibri Light" w:eastAsia="Times New Roman" w:hAnsi="Calibri Light" w:cs="Calibri Light"/>
                <w:i/>
                <w:sz w:val="20"/>
                <w:szCs w:val="20"/>
                <w:lang w:val="ro-RO"/>
              </w:rPr>
              <w:t xml:space="preserve"> </w:t>
            </w:r>
            <w:r w:rsidRPr="00E86B7B">
              <w:rPr>
                <w:rFonts w:ascii="Calibri Light" w:eastAsia="Times New Roman" w:hAnsi="Calibri Light" w:cs="Calibri Light"/>
                <w:i/>
                <w:sz w:val="20"/>
                <w:szCs w:val="20"/>
                <w:lang w:val="ro-RO"/>
              </w:rPr>
              <w:t>a inventarierii anuale și documentarea corespunzătoare a rezultatelor acesteia</w:t>
            </w:r>
            <w:r w:rsidR="00684BED">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prin </w:t>
            </w:r>
            <w:r w:rsidRPr="00931887">
              <w:rPr>
                <w:rFonts w:ascii="Calibri Light" w:eastAsia="Times New Roman" w:hAnsi="Calibri Light" w:cs="Calibri Light"/>
                <w:i/>
                <w:sz w:val="20"/>
                <w:szCs w:val="20"/>
                <w:lang w:val="ro-RO"/>
              </w:rPr>
              <w:t>identifica</w:t>
            </w:r>
            <w:r>
              <w:rPr>
                <w:rFonts w:ascii="Calibri Light" w:eastAsia="Times New Roman" w:hAnsi="Calibri Light" w:cs="Calibri Light"/>
                <w:i/>
                <w:sz w:val="20"/>
                <w:szCs w:val="20"/>
                <w:lang w:val="ro-RO"/>
              </w:rPr>
              <w:t>r</w:t>
            </w:r>
            <w:r w:rsidRPr="00931887">
              <w:rPr>
                <w:rFonts w:ascii="Calibri Light" w:eastAsia="Times New Roman" w:hAnsi="Calibri Light" w:cs="Calibri Light"/>
                <w:i/>
                <w:sz w:val="20"/>
                <w:szCs w:val="20"/>
                <w:lang w:val="ro-RO"/>
              </w:rPr>
              <w:t>e</w:t>
            </w:r>
            <w:r>
              <w:rPr>
                <w:rFonts w:ascii="Calibri Light" w:eastAsia="Times New Roman" w:hAnsi="Calibri Light" w:cs="Calibri Light"/>
                <w:i/>
                <w:sz w:val="20"/>
                <w:szCs w:val="20"/>
                <w:lang w:val="ro-RO"/>
              </w:rPr>
              <w:t>a</w:t>
            </w:r>
            <w:r w:rsidRPr="00931887">
              <w:rPr>
                <w:rFonts w:ascii="Calibri Light" w:eastAsia="Times New Roman" w:hAnsi="Calibri Light" w:cs="Calibri Light"/>
                <w:i/>
                <w:sz w:val="20"/>
                <w:szCs w:val="20"/>
                <w:lang w:val="ro-RO"/>
              </w:rPr>
              <w:t xml:space="preserve"> bunuril</w:t>
            </w:r>
            <w:r>
              <w:rPr>
                <w:rFonts w:ascii="Calibri Light" w:eastAsia="Times New Roman" w:hAnsi="Calibri Light" w:cs="Calibri Light"/>
                <w:i/>
                <w:sz w:val="20"/>
                <w:szCs w:val="20"/>
                <w:lang w:val="ro-RO"/>
              </w:rPr>
              <w:t>or</w:t>
            </w:r>
            <w:r w:rsidRPr="00931887">
              <w:rPr>
                <w:rFonts w:ascii="Calibri Light" w:eastAsia="Times New Roman" w:hAnsi="Calibri Light" w:cs="Calibri Light"/>
                <w:i/>
                <w:sz w:val="20"/>
                <w:szCs w:val="20"/>
                <w:lang w:val="ro-RO"/>
              </w:rPr>
              <w:t xml:space="preserve"> neutilizate și/sau amortizate integral,</w:t>
            </w:r>
            <w:r>
              <w:rPr>
                <w:rFonts w:ascii="Calibri Light" w:eastAsia="Times New Roman" w:hAnsi="Calibri Light" w:cs="Calibri Light"/>
                <w:i/>
                <w:sz w:val="20"/>
                <w:szCs w:val="20"/>
                <w:lang w:val="ro-RO"/>
              </w:rPr>
              <w:t xml:space="preserve"> neevaluate, necasate</w:t>
            </w:r>
            <w:r w:rsidR="00684BED">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cu indicarea acestora </w:t>
            </w:r>
            <w:r w:rsidR="00684BED">
              <w:rPr>
                <w:rFonts w:ascii="Calibri Light" w:eastAsia="Times New Roman" w:hAnsi="Calibri Light" w:cs="Calibri Light"/>
                <w:i/>
                <w:sz w:val="20"/>
                <w:szCs w:val="20"/>
                <w:lang w:val="ro-RO"/>
              </w:rPr>
              <w:t>î</w:t>
            </w:r>
            <w:r>
              <w:rPr>
                <w:rFonts w:ascii="Calibri Light" w:eastAsia="Times New Roman" w:hAnsi="Calibri Light" w:cs="Calibri Light"/>
                <w:i/>
                <w:sz w:val="20"/>
                <w:szCs w:val="20"/>
                <w:lang w:val="ro-RO"/>
              </w:rPr>
              <w:t>n listele de inventariere</w:t>
            </w:r>
            <w:r w:rsidR="00684BED">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 xml:space="preserve"> în rubrica </w:t>
            </w:r>
            <w:r w:rsidR="00684BED">
              <w:rPr>
                <w:rFonts w:ascii="Calibri Light" w:eastAsia="Times New Roman" w:hAnsi="Calibri Light" w:cs="Calibri Light"/>
                <w:i/>
                <w:sz w:val="20"/>
                <w:szCs w:val="20"/>
                <w:lang w:val="ro-RO"/>
              </w:rPr>
              <w:t>„M</w:t>
            </w:r>
            <w:r>
              <w:rPr>
                <w:rFonts w:ascii="Calibri Light" w:eastAsia="Times New Roman" w:hAnsi="Calibri Light" w:cs="Calibri Light"/>
                <w:i/>
                <w:sz w:val="20"/>
                <w:szCs w:val="20"/>
                <w:lang w:val="ro-RO"/>
              </w:rPr>
              <w:t>ențiuni</w:t>
            </w:r>
            <w:r w:rsidR="00684BED">
              <w:rPr>
                <w:rFonts w:ascii="Calibri Light" w:eastAsia="Times New Roman" w:hAnsi="Calibri Light" w:cs="Calibri Light"/>
                <w:i/>
                <w:sz w:val="20"/>
                <w:szCs w:val="20"/>
                <w:lang w:val="ro-RO"/>
              </w:rPr>
              <w:t>”</w:t>
            </w:r>
            <w:r>
              <w:rPr>
                <w:rFonts w:ascii="Calibri Light" w:eastAsia="Times New Roman" w:hAnsi="Calibri Light" w:cs="Calibri Light"/>
                <w:i/>
                <w:sz w:val="20"/>
                <w:szCs w:val="20"/>
                <w:lang w:val="ro-RO"/>
              </w:rPr>
              <w:t>.</w:t>
            </w:r>
          </w:p>
        </w:tc>
        <w:tc>
          <w:tcPr>
            <w:tcW w:w="645" w:type="pct"/>
          </w:tcPr>
          <w:p w14:paraId="6F1A1F73"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4D1C76">
              <w:rPr>
                <w:rFonts w:ascii="Calibri Light" w:eastAsia="Times New Roman" w:hAnsi="Calibri Light" w:cs="Calibri Light"/>
                <w:i/>
                <w:sz w:val="20"/>
                <w:szCs w:val="20"/>
                <w:lang w:val="ro-RO"/>
              </w:rPr>
              <w:t>Botezatu Parascovia</w:t>
            </w:r>
          </w:p>
        </w:tc>
        <w:tc>
          <w:tcPr>
            <w:tcW w:w="780" w:type="pct"/>
          </w:tcPr>
          <w:p w14:paraId="583566ED"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Aprilie 2023</w:t>
            </w:r>
          </w:p>
        </w:tc>
      </w:tr>
      <w:tr w:rsidR="007A20C9" w:rsidRPr="00DC51BB" w14:paraId="12CBF628" w14:textId="77777777" w:rsidTr="00461A81">
        <w:trPr>
          <w:trHeight w:val="4892"/>
        </w:trPr>
        <w:tc>
          <w:tcPr>
            <w:tcW w:w="1693" w:type="pct"/>
          </w:tcPr>
          <w:p w14:paraId="749487C9" w14:textId="77777777"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Potrivit cadrului de reglementare aplicabil</w:t>
            </w:r>
            <w:r w:rsidRPr="00DC51BB">
              <w:rPr>
                <w:rFonts w:ascii="Calibri Light" w:eastAsia="Times New Roman" w:hAnsi="Calibri Light" w:cs="Calibri Light"/>
                <w:bCs/>
                <w:i/>
                <w:iCs/>
                <w:sz w:val="20"/>
                <w:szCs w:val="20"/>
                <w:vertAlign w:val="superscript"/>
                <w:lang w:val="ro-RO"/>
              </w:rPr>
              <w:footnoteReference w:id="96"/>
            </w:r>
            <w:r w:rsidRPr="00DC51BB">
              <w:rPr>
                <w:rFonts w:ascii="Calibri Light" w:eastAsia="Times New Roman" w:hAnsi="Calibri Light" w:cs="Calibri Light"/>
                <w:bCs/>
                <w:i/>
                <w:iCs/>
                <w:sz w:val="20"/>
                <w:szCs w:val="20"/>
                <w:lang w:val="ro-RO"/>
              </w:rPr>
              <w:t xml:space="preserve">, orice entitate urmează să constituie provizioane pentru acoperirea anumitor pierderi sau cheltuieli a căror cauză este precisă și asupra cărora există o incertitudine în ceea ce privește mărimea sau data producerii lor, iar modalitatea de creare, calculare și contabilizare a acestora trebuie să fie în corelație cu riscurile şi cheltuielile estimate. </w:t>
            </w:r>
          </w:p>
          <w:p w14:paraId="012A1133" w14:textId="6B34BA4E"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 xml:space="preserve">Urmare  </w:t>
            </w:r>
            <w:r w:rsidR="00684BED">
              <w:rPr>
                <w:rFonts w:ascii="Calibri Light" w:eastAsia="Times New Roman" w:hAnsi="Calibri Light" w:cs="Calibri Light"/>
                <w:bCs/>
                <w:i/>
                <w:iCs/>
                <w:sz w:val="20"/>
                <w:szCs w:val="20"/>
                <w:lang w:val="ro-RO"/>
              </w:rPr>
              <w:t xml:space="preserve">efectuării </w:t>
            </w:r>
            <w:r w:rsidR="00684BED" w:rsidRPr="00DC51BB">
              <w:rPr>
                <w:rFonts w:ascii="Calibri Light" w:eastAsia="Times New Roman" w:hAnsi="Calibri Light" w:cs="Calibri Light"/>
                <w:bCs/>
                <w:i/>
                <w:iCs/>
                <w:sz w:val="20"/>
                <w:szCs w:val="20"/>
                <w:lang w:val="ro-RO"/>
              </w:rPr>
              <w:t xml:space="preserve"> </w:t>
            </w:r>
            <w:r w:rsidRPr="00DC51BB">
              <w:rPr>
                <w:rFonts w:ascii="Calibri Light" w:eastAsia="Times New Roman" w:hAnsi="Calibri Light" w:cs="Calibri Light"/>
                <w:bCs/>
                <w:i/>
                <w:iCs/>
                <w:sz w:val="20"/>
                <w:szCs w:val="20"/>
                <w:lang w:val="ro-RO"/>
              </w:rPr>
              <w:t xml:space="preserve">testelor de audit, s-a constatat că </w:t>
            </w:r>
            <w:r w:rsidR="00684BED">
              <w:rPr>
                <w:rFonts w:ascii="Calibri Light" w:eastAsia="Times New Roman" w:hAnsi="Calibri Light" w:cs="Calibri Light"/>
                <w:bCs/>
                <w:i/>
                <w:iCs/>
                <w:sz w:val="20"/>
                <w:szCs w:val="20"/>
                <w:lang w:val="ro-RO"/>
              </w:rPr>
              <w:t xml:space="preserve">la </w:t>
            </w:r>
            <w:r w:rsidRPr="00DC51BB">
              <w:rPr>
                <w:rFonts w:ascii="Calibri Light" w:eastAsia="Times New Roman" w:hAnsi="Calibri Light" w:cs="Calibri Light"/>
                <w:bCs/>
                <w:i/>
                <w:iCs/>
                <w:sz w:val="20"/>
                <w:szCs w:val="20"/>
                <w:lang w:val="ro-RO"/>
              </w:rPr>
              <w:t>ISM, la 31.12.2021</w:t>
            </w:r>
            <w:r w:rsidR="00684BED">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w:t>
            </w:r>
            <w:r w:rsidR="00684BED">
              <w:rPr>
                <w:rFonts w:ascii="Calibri Light" w:eastAsia="Times New Roman" w:hAnsi="Calibri Light" w:cs="Calibri Light"/>
                <w:bCs/>
                <w:i/>
                <w:iCs/>
                <w:sz w:val="20"/>
                <w:szCs w:val="20"/>
                <w:lang w:val="ro-RO"/>
              </w:rPr>
              <w:t>s-</w:t>
            </w:r>
            <w:r w:rsidRPr="00DC51BB">
              <w:rPr>
                <w:rFonts w:ascii="Calibri Light" w:eastAsia="Times New Roman" w:hAnsi="Calibri Light" w:cs="Calibri Light"/>
                <w:bCs/>
                <w:i/>
                <w:iCs/>
                <w:sz w:val="20"/>
                <w:szCs w:val="20"/>
                <w:lang w:val="ro-RO"/>
              </w:rPr>
              <w:t xml:space="preserve">au acumulat 575 de zile  de concediu </w:t>
            </w:r>
            <w:r w:rsidR="00684BED">
              <w:rPr>
                <w:rFonts w:ascii="Calibri Light" w:eastAsia="Times New Roman" w:hAnsi="Calibri Light" w:cs="Calibri Light"/>
                <w:bCs/>
                <w:i/>
                <w:iCs/>
                <w:sz w:val="20"/>
                <w:szCs w:val="20"/>
                <w:lang w:val="ro-RO"/>
              </w:rPr>
              <w:t xml:space="preserve">anual </w:t>
            </w:r>
            <w:r w:rsidRPr="00DC51BB">
              <w:rPr>
                <w:rFonts w:ascii="Calibri Light" w:eastAsia="Times New Roman" w:hAnsi="Calibri Light" w:cs="Calibri Light"/>
                <w:bCs/>
                <w:i/>
                <w:iCs/>
                <w:sz w:val="20"/>
                <w:szCs w:val="20"/>
                <w:lang w:val="ro-RO"/>
              </w:rPr>
              <w:t>nefolosit</w:t>
            </w:r>
            <w:r w:rsidR="00684BED">
              <w:rPr>
                <w:rFonts w:ascii="Calibri Light" w:eastAsia="Times New Roman" w:hAnsi="Calibri Light" w:cs="Calibri Light"/>
                <w:bCs/>
                <w:i/>
                <w:iCs/>
                <w:sz w:val="20"/>
                <w:szCs w:val="20"/>
                <w:lang w:val="ro-RO"/>
              </w:rPr>
              <w:t>e</w:t>
            </w:r>
            <w:r w:rsidRPr="00DC51BB">
              <w:rPr>
                <w:rFonts w:ascii="Calibri Light" w:eastAsia="Times New Roman" w:hAnsi="Calibri Light" w:cs="Calibri Light"/>
                <w:bCs/>
                <w:i/>
                <w:iCs/>
                <w:sz w:val="20"/>
                <w:szCs w:val="20"/>
                <w:lang w:val="ro-RO"/>
              </w:rPr>
              <w:t xml:space="preserve"> aferente a 23 de salariați</w:t>
            </w:r>
            <w:r w:rsidR="00684BED">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care, inevitabil, atrag după sine obligații legale față de personalul încadrat în sumă totală de c</w:t>
            </w:r>
            <w:r w:rsidR="00684BED">
              <w:rPr>
                <w:rFonts w:ascii="Calibri Light" w:eastAsia="Times New Roman" w:hAnsi="Calibri Light" w:cs="Calibri Light"/>
                <w:bCs/>
                <w:i/>
                <w:iCs/>
                <w:sz w:val="20"/>
                <w:szCs w:val="20"/>
                <w:lang w:val="ro-RO"/>
              </w:rPr>
              <w:t>ir</w:t>
            </w:r>
            <w:r w:rsidRPr="00DC51BB">
              <w:rPr>
                <w:rFonts w:ascii="Calibri Light" w:eastAsia="Times New Roman" w:hAnsi="Calibri Light" w:cs="Calibri Light"/>
                <w:bCs/>
                <w:i/>
                <w:iCs/>
                <w:sz w:val="20"/>
                <w:szCs w:val="20"/>
                <w:lang w:val="ro-RO"/>
              </w:rPr>
              <w:t>ca 271</w:t>
            </w:r>
            <w:r w:rsidR="00684BED">
              <w:rPr>
                <w:rFonts w:ascii="Calibri Light" w:eastAsia="Times New Roman" w:hAnsi="Calibri Light" w:cs="Calibri Light"/>
                <w:bCs/>
                <w:i/>
                <w:iCs/>
                <w:sz w:val="20"/>
                <w:szCs w:val="20"/>
                <w:lang w:val="ro-RO"/>
              </w:rPr>
              <w:t>,0</w:t>
            </w:r>
            <w:r w:rsidRPr="00DC51BB">
              <w:rPr>
                <w:rFonts w:ascii="Calibri Light" w:eastAsia="Times New Roman" w:hAnsi="Calibri Light" w:cs="Calibri Light"/>
                <w:bCs/>
                <w:i/>
                <w:iCs/>
                <w:sz w:val="20"/>
                <w:szCs w:val="20"/>
                <w:lang w:val="ro-RO"/>
              </w:rPr>
              <w:t xml:space="preserve"> mii lei.</w:t>
            </w:r>
          </w:p>
          <w:p w14:paraId="45E289A6" w14:textId="78AD2B05"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D</w:t>
            </w:r>
            <w:r>
              <w:rPr>
                <w:rFonts w:ascii="Calibri Light" w:eastAsia="Times New Roman" w:hAnsi="Calibri Light" w:cs="Calibri Light"/>
                <w:bCs/>
                <w:i/>
                <w:iCs/>
                <w:sz w:val="20"/>
                <w:szCs w:val="20"/>
                <w:lang w:val="ro-RO"/>
              </w:rPr>
              <w:t>eși I</w:t>
            </w:r>
            <w:r w:rsidRPr="00DC51BB">
              <w:rPr>
                <w:rFonts w:ascii="Calibri Light" w:eastAsia="Times New Roman" w:hAnsi="Calibri Light" w:cs="Calibri Light"/>
                <w:bCs/>
                <w:i/>
                <w:iCs/>
                <w:sz w:val="20"/>
                <w:szCs w:val="20"/>
                <w:lang w:val="ro-RO"/>
              </w:rPr>
              <w:t>S</w:t>
            </w:r>
            <w:r>
              <w:rPr>
                <w:rFonts w:ascii="Calibri Light" w:eastAsia="Times New Roman" w:hAnsi="Calibri Light" w:cs="Calibri Light"/>
                <w:bCs/>
                <w:i/>
                <w:iCs/>
                <w:sz w:val="20"/>
                <w:szCs w:val="20"/>
                <w:lang w:val="ro-RO"/>
              </w:rPr>
              <w:t>M</w:t>
            </w:r>
            <w:r w:rsidRPr="00DC51BB">
              <w:rPr>
                <w:rFonts w:ascii="Calibri Light" w:eastAsia="Times New Roman" w:hAnsi="Calibri Light" w:cs="Calibri Light"/>
                <w:bCs/>
                <w:i/>
                <w:iCs/>
                <w:sz w:val="20"/>
                <w:szCs w:val="20"/>
                <w:lang w:val="ro-RO"/>
              </w:rPr>
              <w:t xml:space="preserve"> organizează și țin</w:t>
            </w:r>
            <w:r w:rsidR="00684BED">
              <w:rPr>
                <w:rFonts w:ascii="Calibri Light" w:eastAsia="Times New Roman" w:hAnsi="Calibri Light" w:cs="Calibri Light"/>
                <w:bCs/>
                <w:i/>
                <w:iCs/>
                <w:sz w:val="20"/>
                <w:szCs w:val="20"/>
                <w:lang w:val="ro-RO"/>
              </w:rPr>
              <w:t>e</w:t>
            </w:r>
            <w:r w:rsidRPr="00DC51BB">
              <w:rPr>
                <w:rFonts w:ascii="Calibri Light" w:eastAsia="Times New Roman" w:hAnsi="Calibri Light" w:cs="Calibri Light"/>
                <w:bCs/>
                <w:i/>
                <w:iCs/>
                <w:sz w:val="20"/>
                <w:szCs w:val="20"/>
                <w:lang w:val="ro-RO"/>
              </w:rPr>
              <w:t xml:space="preserve"> evidența contabilă  în conformitate cu SNC, acesta, prin politicile sale contabile adoptate, nu a reglementat modul de constituire a provizioanelor</w:t>
            </w:r>
            <w:r w:rsidR="00684BED">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ceea ce nu asigură o gestionare prudentă a riscurilor corelate cu eventualele cheltuieli. </w:t>
            </w:r>
          </w:p>
        </w:tc>
        <w:tc>
          <w:tcPr>
            <w:tcW w:w="955" w:type="pct"/>
          </w:tcPr>
          <w:p w14:paraId="1EC78105" w14:textId="675EEAAB"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lang w:val="ro-RO"/>
              </w:rPr>
              <w:t>Prin politicile contabile adoptate, să asigure tratamentul contabil corespunzător aferent constituirii provizionului pentru datoriile  față de personalul încadrat privind concediile de odihnă nefolosite (pct. 4.3.2.)</w:t>
            </w:r>
            <w:r w:rsidR="00684BED">
              <w:rPr>
                <w:rFonts w:ascii="Calibri Light" w:eastAsia="Times New Roman" w:hAnsi="Calibri Light" w:cs="Calibri Light"/>
                <w:bCs/>
                <w:i/>
                <w:iCs/>
                <w:sz w:val="20"/>
                <w:szCs w:val="20"/>
                <w:lang w:val="ro-RO"/>
              </w:rPr>
              <w:t>.</w:t>
            </w:r>
          </w:p>
        </w:tc>
        <w:tc>
          <w:tcPr>
            <w:tcW w:w="927" w:type="pct"/>
          </w:tcPr>
          <w:p w14:paraId="66AD6858" w14:textId="2733B549" w:rsidR="007A20C9" w:rsidRPr="001C1A69" w:rsidRDefault="007A20C9" w:rsidP="00461A81">
            <w:pPr>
              <w:spacing w:line="276" w:lineRule="auto"/>
              <w:jc w:val="both"/>
              <w:rPr>
                <w:rFonts w:ascii="Calibri Light" w:eastAsia="Times New Roman" w:hAnsi="Calibri Light" w:cs="Calibri Light"/>
                <w:i/>
                <w:sz w:val="20"/>
                <w:szCs w:val="20"/>
                <w:lang w:val="ro-RO"/>
              </w:rPr>
            </w:pPr>
            <w:r w:rsidRPr="008C4DF0">
              <w:rPr>
                <w:rFonts w:ascii="Calibri Light" w:eastAsia="Times New Roman" w:hAnsi="Calibri Light" w:cs="Calibri Light"/>
                <w:i/>
                <w:sz w:val="20"/>
                <w:szCs w:val="20"/>
                <w:lang w:val="ro-RO"/>
              </w:rPr>
              <w:t>Ca urmare a recomandărilor propuse prin Politica de Contabilitate pentru anul 2023</w:t>
            </w:r>
            <w:r w:rsidR="00684BED" w:rsidRPr="008C4DF0">
              <w:rPr>
                <w:rFonts w:ascii="Calibri Light" w:eastAsia="Times New Roman" w:hAnsi="Calibri Light" w:cs="Calibri Light"/>
                <w:i/>
                <w:sz w:val="20"/>
                <w:szCs w:val="20"/>
                <w:lang w:val="ro-RO"/>
              </w:rPr>
              <w:t xml:space="preserve">, </w:t>
            </w:r>
            <w:r w:rsidRPr="008C4DF0">
              <w:rPr>
                <w:rFonts w:ascii="Calibri Light" w:eastAsia="Times New Roman" w:hAnsi="Calibri Light" w:cs="Calibri Light"/>
                <w:i/>
                <w:sz w:val="20"/>
                <w:szCs w:val="20"/>
                <w:lang w:val="ro-RO"/>
              </w:rPr>
              <w:t xml:space="preserve"> vom constitui </w:t>
            </w:r>
            <w:r w:rsidRPr="001C1A69">
              <w:rPr>
                <w:rFonts w:ascii="Calibri Light" w:eastAsia="Times New Roman" w:hAnsi="Calibri Light" w:cs="Calibri Light"/>
                <w:i/>
                <w:sz w:val="20"/>
                <w:szCs w:val="20"/>
                <w:lang w:val="ro-RO"/>
              </w:rPr>
              <w:t>provizioane pentru acoperirea datoriilor  față de personalul încadrat privind concediile de odihnă nefolosite la 31</w:t>
            </w:r>
            <w:r w:rsidR="006E4FEA">
              <w:rPr>
                <w:rFonts w:ascii="Calibri Light" w:eastAsia="Times New Roman" w:hAnsi="Calibri Light" w:cs="Calibri Light"/>
                <w:i/>
                <w:sz w:val="20"/>
                <w:szCs w:val="20"/>
                <w:lang w:val="ro-RO"/>
              </w:rPr>
              <w:t>.</w:t>
            </w:r>
            <w:r w:rsidRPr="001C1A69">
              <w:rPr>
                <w:rFonts w:ascii="Calibri Light" w:eastAsia="Times New Roman" w:hAnsi="Calibri Light" w:cs="Calibri Light"/>
                <w:i/>
                <w:sz w:val="20"/>
                <w:szCs w:val="20"/>
                <w:lang w:val="ro-RO"/>
              </w:rPr>
              <w:t>12</w:t>
            </w:r>
            <w:r w:rsidR="006E4FEA">
              <w:rPr>
                <w:rFonts w:ascii="Calibri Light" w:eastAsia="Times New Roman" w:hAnsi="Calibri Light" w:cs="Calibri Light"/>
                <w:i/>
                <w:sz w:val="20"/>
                <w:szCs w:val="20"/>
                <w:lang w:val="ro-RO"/>
              </w:rPr>
              <w:t>.</w:t>
            </w:r>
            <w:r w:rsidRPr="001C1A69">
              <w:rPr>
                <w:rFonts w:ascii="Calibri Light" w:eastAsia="Times New Roman" w:hAnsi="Calibri Light" w:cs="Calibri Light"/>
                <w:i/>
                <w:sz w:val="20"/>
                <w:szCs w:val="20"/>
                <w:lang w:val="ro-RO"/>
              </w:rPr>
              <w:t>2022 și înregistrarea sumei calculate în evidența contabilă la 31.12.2022</w:t>
            </w:r>
            <w:r w:rsidR="00684BED" w:rsidRPr="001C1A69">
              <w:rPr>
                <w:rFonts w:ascii="Calibri Light" w:eastAsia="Times New Roman" w:hAnsi="Calibri Light" w:cs="Calibri Light"/>
                <w:i/>
                <w:sz w:val="20"/>
                <w:szCs w:val="20"/>
                <w:lang w:val="ro-RO"/>
              </w:rPr>
              <w:t>.</w:t>
            </w:r>
          </w:p>
        </w:tc>
        <w:tc>
          <w:tcPr>
            <w:tcW w:w="645" w:type="pct"/>
          </w:tcPr>
          <w:p w14:paraId="2588D568" w14:textId="77777777" w:rsidR="007A20C9" w:rsidRPr="001C1A69" w:rsidRDefault="007A20C9" w:rsidP="00461A81">
            <w:pPr>
              <w:spacing w:line="276" w:lineRule="auto"/>
              <w:jc w:val="both"/>
              <w:rPr>
                <w:rFonts w:ascii="Calibri Light" w:eastAsia="Times New Roman" w:hAnsi="Calibri Light" w:cs="Calibri Light"/>
                <w:i/>
                <w:sz w:val="20"/>
                <w:szCs w:val="20"/>
                <w:lang w:val="ro-RO"/>
              </w:rPr>
            </w:pPr>
            <w:r w:rsidRPr="001C1A69">
              <w:rPr>
                <w:rFonts w:ascii="Calibri Light" w:eastAsia="Times New Roman" w:hAnsi="Calibri Light" w:cs="Calibri Light"/>
                <w:i/>
                <w:sz w:val="20"/>
                <w:szCs w:val="20"/>
                <w:lang w:val="ro-RO"/>
              </w:rPr>
              <w:t>Botezatu Parascovia</w:t>
            </w:r>
          </w:p>
        </w:tc>
        <w:tc>
          <w:tcPr>
            <w:tcW w:w="780" w:type="pct"/>
          </w:tcPr>
          <w:p w14:paraId="0D6FBDAB" w14:textId="77777777" w:rsidR="007A20C9" w:rsidRPr="001C1A69" w:rsidRDefault="007A20C9" w:rsidP="00461A81">
            <w:pPr>
              <w:spacing w:line="276" w:lineRule="auto"/>
              <w:jc w:val="both"/>
              <w:rPr>
                <w:rFonts w:ascii="Calibri Light" w:eastAsia="Times New Roman" w:hAnsi="Calibri Light" w:cs="Calibri Light"/>
                <w:i/>
                <w:sz w:val="20"/>
                <w:szCs w:val="20"/>
                <w:lang w:val="ro-RO"/>
              </w:rPr>
            </w:pPr>
            <w:r w:rsidRPr="001C1A69">
              <w:rPr>
                <w:rFonts w:ascii="Calibri Light" w:eastAsia="Times New Roman" w:hAnsi="Calibri Light" w:cs="Calibri Light"/>
                <w:i/>
                <w:sz w:val="20"/>
                <w:szCs w:val="20"/>
                <w:lang w:val="ro-RO"/>
              </w:rPr>
              <w:t>Ianuarie 2023</w:t>
            </w:r>
          </w:p>
        </w:tc>
      </w:tr>
      <w:tr w:rsidR="007A20C9" w:rsidRPr="00DC51BB" w14:paraId="6DDB0591" w14:textId="77777777" w:rsidTr="00461A81">
        <w:trPr>
          <w:trHeight w:val="2220"/>
        </w:trPr>
        <w:tc>
          <w:tcPr>
            <w:tcW w:w="1693" w:type="pct"/>
          </w:tcPr>
          <w:p w14:paraId="35AF1660" w14:textId="1919A1A4" w:rsidR="007A20C9" w:rsidRPr="00DC51BB" w:rsidRDefault="007A20C9" w:rsidP="00461A81">
            <w:pPr>
              <w:pStyle w:val="ListParagraph"/>
              <w:tabs>
                <w:tab w:val="left" w:pos="993"/>
                <w:tab w:val="left" w:pos="1276"/>
              </w:tabs>
              <w:spacing w:line="276" w:lineRule="auto"/>
              <w:ind w:left="0"/>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rPr>
              <w:t>P</w:t>
            </w:r>
            <w:r w:rsidRPr="00DC51BB">
              <w:rPr>
                <w:rFonts w:ascii="Calibri Light" w:eastAsia="Times New Roman" w:hAnsi="Calibri Light" w:cs="Calibri Light"/>
                <w:bCs/>
                <w:i/>
                <w:iCs/>
                <w:sz w:val="20"/>
                <w:szCs w:val="20"/>
                <w:lang w:val="ro-RO"/>
              </w:rPr>
              <w:t>ersoanelor cu funcții de conducere nu Ii se permite cumularea a două funcții de conducere</w:t>
            </w:r>
            <w:r w:rsidRPr="00DC51BB">
              <w:rPr>
                <w:rFonts w:ascii="Calibri Light" w:eastAsia="Times New Roman" w:hAnsi="Calibri Light" w:cs="Calibri Light"/>
                <w:bCs/>
                <w:i/>
                <w:iCs/>
                <w:sz w:val="20"/>
                <w:szCs w:val="20"/>
                <w:vertAlign w:val="superscript"/>
                <w:lang w:val="ro-RO"/>
              </w:rPr>
              <w:footnoteReference w:id="97"/>
            </w:r>
            <w:r w:rsidRPr="00DC51BB">
              <w:rPr>
                <w:rFonts w:ascii="Calibri Light" w:eastAsia="Times New Roman" w:hAnsi="Calibri Light" w:cs="Calibri Light"/>
                <w:bCs/>
                <w:i/>
                <w:iCs/>
                <w:sz w:val="20"/>
                <w:szCs w:val="20"/>
                <w:lang w:val="ro-RO"/>
              </w:rPr>
              <w:t>. Probele colectate de audit relevă că</w:t>
            </w:r>
            <w:r w:rsidR="00684BED">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în unele cazuri, persoanele responsabile nu au perfectat conform documentele privind relațiile juridice de muncă și a fost achitat spor pentru cumularea de profesii</w:t>
            </w:r>
            <w:r w:rsidRPr="00DC51BB">
              <w:rPr>
                <w:rFonts w:ascii="Calibri Light" w:eastAsia="Times New Roman" w:hAnsi="Calibri Light" w:cs="Calibri Light"/>
                <w:bCs/>
                <w:i/>
                <w:iCs/>
                <w:sz w:val="20"/>
                <w:szCs w:val="20"/>
                <w:vertAlign w:val="superscript"/>
                <w:lang w:val="ro-RO"/>
              </w:rPr>
              <w:footnoteReference w:id="98"/>
            </w:r>
            <w:r w:rsidRPr="00DC51BB">
              <w:rPr>
                <w:rFonts w:ascii="Calibri Light" w:eastAsia="Times New Roman" w:hAnsi="Calibri Light" w:cs="Calibri Light"/>
                <w:bCs/>
                <w:i/>
                <w:iCs/>
                <w:sz w:val="20"/>
                <w:szCs w:val="20"/>
                <w:lang w:val="ro-RO"/>
              </w:rPr>
              <w:t>, ceea ce a cauzat, în perioada auditată, suportarea cheltuielilor neconforme de către INS, în anul 2020, în cuantum de 21,1 mii lei.</w:t>
            </w:r>
          </w:p>
          <w:p w14:paraId="18FA4369" w14:textId="77777777"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p>
        </w:tc>
        <w:tc>
          <w:tcPr>
            <w:tcW w:w="955" w:type="pct"/>
          </w:tcPr>
          <w:p w14:paraId="53F8C126" w14:textId="77777777" w:rsidR="007A20C9" w:rsidRPr="00DC51BB" w:rsidRDefault="007A20C9" w:rsidP="00461A81">
            <w:pPr>
              <w:spacing w:line="276" w:lineRule="auto"/>
              <w:ind w:firstLine="709"/>
              <w:jc w:val="both"/>
              <w:rPr>
                <w:rFonts w:ascii="Calibri Light" w:eastAsia="Times New Roman" w:hAnsi="Calibri Light" w:cs="Calibri Light"/>
                <w:bCs/>
                <w:i/>
                <w:iCs/>
                <w:sz w:val="20"/>
                <w:szCs w:val="20"/>
                <w:lang w:val="ro-RO"/>
              </w:rPr>
            </w:pPr>
          </w:p>
        </w:tc>
        <w:tc>
          <w:tcPr>
            <w:tcW w:w="927" w:type="pct"/>
          </w:tcPr>
          <w:p w14:paraId="0916BCE1" w14:textId="79514176" w:rsidR="007A20C9" w:rsidRPr="00255E9C" w:rsidRDefault="007A20C9" w:rsidP="00461A81">
            <w:pPr>
              <w:spacing w:line="276" w:lineRule="auto"/>
              <w:jc w:val="both"/>
              <w:rPr>
                <w:rFonts w:ascii="Calibri Light" w:eastAsia="Times New Roman" w:hAnsi="Calibri Light" w:cs="Calibri Light"/>
                <w:i/>
                <w:iCs/>
                <w:sz w:val="20"/>
                <w:szCs w:val="20"/>
                <w:lang w:val="ro-MD"/>
              </w:rPr>
            </w:pPr>
            <w:r w:rsidRPr="00255E9C">
              <w:rPr>
                <w:rFonts w:ascii="Calibri Light" w:eastAsia="Times New Roman" w:hAnsi="Calibri Light" w:cs="Calibri Light"/>
                <w:i/>
                <w:iCs/>
                <w:sz w:val="20"/>
                <w:szCs w:val="20"/>
                <w:lang w:val="ro-RO"/>
              </w:rPr>
              <w:t xml:space="preserve">Ținând cont de abaterea în cauză, prevederile Codului </w:t>
            </w:r>
            <w:r w:rsidR="00684BED" w:rsidRPr="00255E9C">
              <w:rPr>
                <w:rFonts w:ascii="Calibri Light" w:eastAsia="Times New Roman" w:hAnsi="Calibri Light" w:cs="Calibri Light"/>
                <w:i/>
                <w:iCs/>
                <w:sz w:val="20"/>
                <w:szCs w:val="20"/>
                <w:lang w:val="ro-RO"/>
              </w:rPr>
              <w:t>m</w:t>
            </w:r>
            <w:r w:rsidRPr="00255E9C">
              <w:rPr>
                <w:rFonts w:ascii="Calibri Light" w:eastAsia="Times New Roman" w:hAnsi="Calibri Light" w:cs="Calibri Light"/>
                <w:i/>
                <w:iCs/>
                <w:sz w:val="20"/>
                <w:szCs w:val="20"/>
                <w:lang w:val="ro-RO"/>
              </w:rPr>
              <w:t>uncii al RM și a</w:t>
            </w:r>
            <w:r w:rsidR="00684BED" w:rsidRPr="00255E9C">
              <w:rPr>
                <w:rFonts w:ascii="Calibri Light" w:eastAsia="Times New Roman" w:hAnsi="Calibri Light" w:cs="Calibri Light"/>
                <w:i/>
                <w:iCs/>
                <w:sz w:val="20"/>
                <w:szCs w:val="20"/>
                <w:lang w:val="ro-RO"/>
              </w:rPr>
              <w:t>le</w:t>
            </w:r>
            <w:r w:rsidRPr="00255E9C">
              <w:rPr>
                <w:rFonts w:ascii="Calibri Light" w:eastAsia="Times New Roman" w:hAnsi="Calibri Light" w:cs="Calibri Light"/>
                <w:i/>
                <w:iCs/>
                <w:sz w:val="20"/>
                <w:szCs w:val="20"/>
                <w:lang w:val="ro-RO"/>
              </w:rPr>
              <w:t xml:space="preserve"> Hotărârii Guvernului nr.743/2002, ISM nu va admite pe viitor cumularea funcțiilor pentru persoanele care dețin funcții de conducere.</w:t>
            </w:r>
          </w:p>
        </w:tc>
        <w:tc>
          <w:tcPr>
            <w:tcW w:w="645" w:type="pct"/>
          </w:tcPr>
          <w:p w14:paraId="4858B0B2" w14:textId="77777777" w:rsidR="007A20C9" w:rsidRPr="00255E9C" w:rsidRDefault="007A20C9" w:rsidP="00461A81">
            <w:pPr>
              <w:spacing w:line="276" w:lineRule="auto"/>
              <w:jc w:val="both"/>
              <w:rPr>
                <w:rFonts w:ascii="Calibri Light" w:eastAsia="Times New Roman" w:hAnsi="Calibri Light" w:cs="Calibri Light"/>
                <w:i/>
                <w:iCs/>
                <w:sz w:val="20"/>
                <w:szCs w:val="20"/>
                <w:lang w:val="ro-RO"/>
              </w:rPr>
            </w:pPr>
            <w:r w:rsidRPr="00255E9C">
              <w:rPr>
                <w:rFonts w:ascii="Calibri Light" w:eastAsia="Times New Roman" w:hAnsi="Calibri Light" w:cs="Calibri Light"/>
                <w:i/>
                <w:iCs/>
                <w:sz w:val="20"/>
                <w:szCs w:val="20"/>
                <w:lang w:val="ro-RO"/>
              </w:rPr>
              <w:t>Bunduc Andrian</w:t>
            </w:r>
          </w:p>
        </w:tc>
        <w:tc>
          <w:tcPr>
            <w:tcW w:w="780" w:type="pct"/>
          </w:tcPr>
          <w:p w14:paraId="0D7F75E8" w14:textId="77777777" w:rsidR="007A20C9" w:rsidRPr="00255E9C" w:rsidRDefault="007A20C9" w:rsidP="00461A81">
            <w:pPr>
              <w:spacing w:line="276" w:lineRule="auto"/>
              <w:jc w:val="both"/>
              <w:rPr>
                <w:rFonts w:ascii="Calibri Light" w:eastAsia="Times New Roman" w:hAnsi="Calibri Light" w:cs="Calibri Light"/>
                <w:i/>
                <w:iCs/>
                <w:sz w:val="20"/>
                <w:szCs w:val="20"/>
                <w:lang w:val="ro-RO"/>
              </w:rPr>
            </w:pPr>
            <w:r w:rsidRPr="00255E9C">
              <w:rPr>
                <w:rFonts w:ascii="Calibri Light" w:eastAsia="Times New Roman" w:hAnsi="Calibri Light" w:cs="Calibri Light"/>
                <w:i/>
                <w:iCs/>
                <w:sz w:val="20"/>
                <w:szCs w:val="20"/>
                <w:lang w:val="ro-RO"/>
              </w:rPr>
              <w:t>Aprilie 2023</w:t>
            </w:r>
          </w:p>
        </w:tc>
      </w:tr>
      <w:tr w:rsidR="007A20C9" w:rsidRPr="00DC51BB" w14:paraId="5DC5F9CC" w14:textId="77777777" w:rsidTr="00461A81">
        <w:trPr>
          <w:trHeight w:val="2220"/>
        </w:trPr>
        <w:tc>
          <w:tcPr>
            <w:tcW w:w="1693" w:type="pct"/>
          </w:tcPr>
          <w:p w14:paraId="0671860A" w14:textId="7AC2DECE" w:rsidR="007A20C9" w:rsidRPr="00DC51BB" w:rsidRDefault="007A20C9" w:rsidP="00461A81">
            <w:pPr>
              <w:pStyle w:val="ListParagraph"/>
              <w:tabs>
                <w:tab w:val="left" w:pos="993"/>
                <w:tab w:val="left" w:pos="1276"/>
              </w:tabs>
              <w:spacing w:line="276" w:lineRule="auto"/>
              <w:ind w:left="0" w:firstLine="709"/>
              <w:jc w:val="both"/>
              <w:rPr>
                <w:rFonts w:ascii="Calibri Light" w:eastAsia="Times New Roman" w:hAnsi="Calibri Light" w:cs="Calibri Light"/>
                <w:bCs/>
                <w:i/>
                <w:iCs/>
                <w:sz w:val="20"/>
                <w:szCs w:val="20"/>
                <w:lang w:val="ro-RO"/>
              </w:rPr>
            </w:pPr>
            <w:r w:rsidRPr="00DC51BB">
              <w:rPr>
                <w:rFonts w:ascii="Calibri Light" w:eastAsia="Times New Roman" w:hAnsi="Calibri Light" w:cs="Calibri Light"/>
                <w:bCs/>
                <w:i/>
                <w:iCs/>
                <w:sz w:val="20"/>
                <w:szCs w:val="20"/>
              </w:rPr>
              <w:t>ISM, contrar</w:t>
            </w:r>
            <w:r w:rsidRPr="00DC51BB">
              <w:rPr>
                <w:rFonts w:ascii="Calibri Light" w:eastAsia="Times New Roman" w:hAnsi="Calibri Light" w:cs="Calibri Light"/>
                <w:bCs/>
                <w:i/>
                <w:iCs/>
                <w:sz w:val="20"/>
                <w:szCs w:val="20"/>
                <w:lang w:val="ro-RO"/>
              </w:rPr>
              <w:t xml:space="preserve"> prevederilor normative în vigoare</w:t>
            </w:r>
            <w:r w:rsidRPr="00DC51BB">
              <w:rPr>
                <w:rFonts w:ascii="Calibri Light" w:eastAsia="Times New Roman" w:hAnsi="Calibri Light" w:cs="Calibri Light"/>
                <w:bCs/>
                <w:i/>
                <w:iCs/>
                <w:szCs w:val="20"/>
                <w:vertAlign w:val="superscript"/>
              </w:rPr>
              <w:footnoteReference w:id="99"/>
            </w:r>
            <w:r w:rsidRPr="00DC51BB">
              <w:rPr>
                <w:rFonts w:ascii="Calibri Light" w:eastAsia="Times New Roman" w:hAnsi="Calibri Light" w:cs="Calibri Light"/>
                <w:bCs/>
                <w:i/>
                <w:iCs/>
                <w:sz w:val="20"/>
                <w:szCs w:val="20"/>
                <w:lang w:val="ro-RO"/>
              </w:rPr>
              <w:t>, a contractat servicii de curățenie în baza unui contract de mică valoare</w:t>
            </w:r>
            <w:r w:rsidR="008C4DF0">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încheiat încă în anul 2018 si prelungit anual</w:t>
            </w:r>
            <w:r w:rsidR="008C4DF0">
              <w:rPr>
                <w:rFonts w:ascii="Calibri Light" w:eastAsia="Times New Roman" w:hAnsi="Calibri Light" w:cs="Calibri Light"/>
                <w:bCs/>
                <w:i/>
                <w:iCs/>
                <w:sz w:val="20"/>
                <w:szCs w:val="20"/>
                <w:lang w:val="ro-RO"/>
              </w:rPr>
              <w:t>,</w:t>
            </w:r>
            <w:r w:rsidRPr="00DC51BB">
              <w:rPr>
                <w:rFonts w:ascii="Calibri Light" w:eastAsia="Times New Roman" w:hAnsi="Calibri Light" w:cs="Calibri Light"/>
                <w:bCs/>
                <w:i/>
                <w:iCs/>
                <w:sz w:val="20"/>
                <w:szCs w:val="20"/>
                <w:lang w:val="ro-RO"/>
              </w:rPr>
              <w:t xml:space="preserve"> prin acorduri adiționale. Mai mult decât atât, persoana contractată a beneficiat de concedii anuale de odihnă, premii unice și salariu de funcție, garanții prevăzute salariaților angajați prin contract individual de muncă, reglementate prin legislația muncii, deși aceasta nu se încadrează în  schema de încadrare și statele de personal ale </w:t>
            </w:r>
            <w:r w:rsidR="008C4DF0">
              <w:rPr>
                <w:rFonts w:ascii="Calibri Light" w:eastAsia="Times New Roman" w:hAnsi="Calibri Light" w:cs="Calibri Light"/>
                <w:bCs/>
                <w:i/>
                <w:iCs/>
                <w:sz w:val="20"/>
                <w:szCs w:val="20"/>
                <w:lang w:val="ro-RO"/>
              </w:rPr>
              <w:t>i</w:t>
            </w:r>
            <w:r w:rsidRPr="00DC51BB">
              <w:rPr>
                <w:rFonts w:ascii="Calibri Light" w:eastAsia="Times New Roman" w:hAnsi="Calibri Light" w:cs="Calibri Light"/>
                <w:bCs/>
                <w:i/>
                <w:iCs/>
                <w:sz w:val="20"/>
                <w:szCs w:val="20"/>
                <w:lang w:val="ro-RO"/>
              </w:rPr>
              <w:t>nstituției. Prin urmare, plățile salariale calculate neconform din fondul de salari</w:t>
            </w:r>
            <w:r w:rsidR="008C4DF0">
              <w:rPr>
                <w:rFonts w:ascii="Calibri Light" w:eastAsia="Times New Roman" w:hAnsi="Calibri Light" w:cs="Calibri Light"/>
                <w:bCs/>
                <w:i/>
                <w:iCs/>
                <w:sz w:val="20"/>
                <w:szCs w:val="20"/>
                <w:lang w:val="ro-RO"/>
              </w:rPr>
              <w:t>i</w:t>
            </w:r>
            <w:r w:rsidRPr="00DC51BB">
              <w:rPr>
                <w:rFonts w:ascii="Calibri Light" w:eastAsia="Times New Roman" w:hAnsi="Calibri Light" w:cs="Calibri Light"/>
                <w:bCs/>
                <w:i/>
                <w:iCs/>
                <w:sz w:val="20"/>
                <w:szCs w:val="20"/>
                <w:lang w:val="ro-RO"/>
              </w:rPr>
              <w:t xml:space="preserve"> au însumat 31,62 mii lei</w:t>
            </w:r>
            <w:r w:rsidRPr="00DC51BB">
              <w:rPr>
                <w:rFonts w:ascii="Calibri Light" w:eastAsia="Times New Roman" w:hAnsi="Calibri Light" w:cs="Calibri Light"/>
                <w:bCs/>
                <w:i/>
                <w:iCs/>
                <w:szCs w:val="20"/>
                <w:vertAlign w:val="superscript"/>
                <w:lang w:val="ro-RO"/>
              </w:rPr>
              <w:footnoteReference w:id="100"/>
            </w:r>
            <w:r w:rsidRPr="00DC51BB">
              <w:rPr>
                <w:rFonts w:ascii="Calibri Light" w:eastAsia="Times New Roman" w:hAnsi="Calibri Light" w:cs="Calibri Light"/>
                <w:bCs/>
                <w:i/>
                <w:iCs/>
                <w:sz w:val="20"/>
                <w:szCs w:val="20"/>
                <w:lang w:val="ro-RO"/>
              </w:rPr>
              <w:t xml:space="preserve">, fapt ce a </w:t>
            </w:r>
            <w:r w:rsidR="008C4DF0">
              <w:rPr>
                <w:rFonts w:ascii="Calibri Light" w:eastAsia="Times New Roman" w:hAnsi="Calibri Light" w:cs="Calibri Light"/>
                <w:bCs/>
                <w:i/>
                <w:iCs/>
                <w:sz w:val="20"/>
                <w:szCs w:val="20"/>
                <w:lang w:val="ro-RO"/>
              </w:rPr>
              <w:t xml:space="preserve">determinat </w:t>
            </w:r>
            <w:r w:rsidRPr="00DC51BB">
              <w:rPr>
                <w:rFonts w:ascii="Calibri Light" w:eastAsia="Times New Roman" w:hAnsi="Calibri Light" w:cs="Calibri Light"/>
                <w:bCs/>
                <w:i/>
                <w:iCs/>
                <w:sz w:val="20"/>
                <w:szCs w:val="20"/>
                <w:lang w:val="ro-RO"/>
              </w:rPr>
              <w:t>majora</w:t>
            </w:r>
            <w:r w:rsidR="008C4DF0">
              <w:rPr>
                <w:rFonts w:ascii="Calibri Light" w:eastAsia="Times New Roman" w:hAnsi="Calibri Light" w:cs="Calibri Light"/>
                <w:bCs/>
                <w:i/>
                <w:iCs/>
                <w:sz w:val="20"/>
                <w:szCs w:val="20"/>
                <w:lang w:val="ro-RO"/>
              </w:rPr>
              <w:t xml:space="preserve">rea </w:t>
            </w:r>
            <w:r w:rsidRPr="00DC51BB">
              <w:rPr>
                <w:rFonts w:ascii="Calibri Light" w:eastAsia="Times New Roman" w:hAnsi="Calibri Light" w:cs="Calibri Light"/>
                <w:bCs/>
                <w:i/>
                <w:iCs/>
                <w:sz w:val="20"/>
                <w:szCs w:val="20"/>
                <w:lang w:val="ro-RO"/>
              </w:rPr>
              <w:t>cheltuielil</w:t>
            </w:r>
            <w:r w:rsidR="008C4DF0">
              <w:rPr>
                <w:rFonts w:ascii="Calibri Light" w:eastAsia="Times New Roman" w:hAnsi="Calibri Light" w:cs="Calibri Light"/>
                <w:bCs/>
                <w:i/>
                <w:iCs/>
                <w:sz w:val="20"/>
                <w:szCs w:val="20"/>
                <w:lang w:val="ro-RO"/>
              </w:rPr>
              <w:t>or</w:t>
            </w:r>
            <w:r w:rsidRPr="00DC51BB">
              <w:rPr>
                <w:rFonts w:ascii="Calibri Light" w:eastAsia="Times New Roman" w:hAnsi="Calibri Light" w:cs="Calibri Light"/>
                <w:bCs/>
                <w:i/>
                <w:iCs/>
                <w:sz w:val="20"/>
                <w:szCs w:val="20"/>
                <w:lang w:val="ro-RO"/>
              </w:rPr>
              <w:t xml:space="preserve"> respective pentru perioadele corespunzătoare de gestiune.</w:t>
            </w:r>
          </w:p>
          <w:p w14:paraId="4C2FD292" w14:textId="77777777" w:rsidR="007A20C9" w:rsidRPr="00DC51BB" w:rsidRDefault="007A20C9" w:rsidP="00461A81">
            <w:pPr>
              <w:pStyle w:val="Heading1"/>
              <w:spacing w:line="276" w:lineRule="auto"/>
              <w:ind w:firstLine="567"/>
              <w:jc w:val="both"/>
              <w:outlineLvl w:val="0"/>
              <w:rPr>
                <w:rFonts w:ascii="Calibri Light" w:eastAsia="Times New Roman" w:hAnsi="Calibri Light" w:cs="Calibri Light"/>
                <w:bCs/>
                <w:iCs/>
                <w:color w:val="auto"/>
                <w:sz w:val="20"/>
                <w:szCs w:val="20"/>
              </w:rPr>
            </w:pPr>
          </w:p>
        </w:tc>
        <w:tc>
          <w:tcPr>
            <w:tcW w:w="955" w:type="pct"/>
          </w:tcPr>
          <w:p w14:paraId="61AE19EE" w14:textId="20EA7980" w:rsidR="007A20C9" w:rsidRPr="00DC51BB" w:rsidRDefault="007A20C9" w:rsidP="00461A81">
            <w:pPr>
              <w:pStyle w:val="msonormalmailrucssattributepostfix"/>
              <w:spacing w:before="0" w:beforeAutospacing="0" w:after="0" w:afterAutospacing="0" w:line="276" w:lineRule="auto"/>
              <w:jc w:val="both"/>
              <w:rPr>
                <w:rFonts w:ascii="Calibri Light" w:eastAsia="Times New Roman" w:hAnsi="Calibri Light" w:cs="Calibri Light"/>
                <w:bCs/>
                <w:i/>
                <w:iCs/>
                <w:sz w:val="20"/>
                <w:szCs w:val="20"/>
                <w:lang w:val="ro-RO"/>
              </w:rPr>
            </w:pPr>
            <w:r>
              <w:rPr>
                <w:rFonts w:ascii="Calibri Light" w:eastAsia="Times New Roman" w:hAnsi="Calibri Light" w:cs="Calibri Light"/>
                <w:bCs/>
                <w:i/>
                <w:iCs/>
                <w:sz w:val="20"/>
                <w:szCs w:val="20"/>
                <w:lang w:val="ro-MD"/>
              </w:rPr>
              <w:t xml:space="preserve">                S</w:t>
            </w:r>
            <w:r w:rsidRPr="00DC51BB">
              <w:rPr>
                <w:rFonts w:ascii="Calibri Light" w:eastAsia="Times New Roman" w:hAnsi="Calibri Light" w:cs="Calibri Light"/>
                <w:bCs/>
                <w:i/>
                <w:iCs/>
                <w:sz w:val="20"/>
                <w:szCs w:val="20"/>
                <w:lang w:val="ro-RO"/>
              </w:rPr>
              <w:t>ă asigure înregistrarea și raportarea corespunzătoare a cheltuielilor aferente serviciilor prestate de către personalul neîncadrat în state (pct.4.3.2.)</w:t>
            </w:r>
            <w:r w:rsidR="008C4DF0">
              <w:rPr>
                <w:rFonts w:ascii="Calibri Light" w:eastAsia="Times New Roman" w:hAnsi="Calibri Light" w:cs="Calibri Light"/>
                <w:bCs/>
                <w:i/>
                <w:iCs/>
                <w:sz w:val="20"/>
                <w:szCs w:val="20"/>
                <w:lang w:val="ro-RO"/>
              </w:rPr>
              <w:t>.</w:t>
            </w:r>
          </w:p>
          <w:p w14:paraId="6F25B911" w14:textId="77777777" w:rsidR="007A20C9" w:rsidRPr="00DC51BB" w:rsidRDefault="007A20C9" w:rsidP="00461A81">
            <w:pPr>
              <w:tabs>
                <w:tab w:val="left" w:pos="1170"/>
              </w:tabs>
              <w:spacing w:line="276" w:lineRule="auto"/>
              <w:jc w:val="both"/>
              <w:rPr>
                <w:rFonts w:ascii="Calibri Light" w:eastAsia="Times New Roman" w:hAnsi="Calibri Light" w:cs="Calibri Light"/>
                <w:bCs/>
                <w:i/>
                <w:iCs/>
                <w:sz w:val="20"/>
                <w:szCs w:val="20"/>
                <w:lang w:val="ro-RO"/>
              </w:rPr>
            </w:pPr>
          </w:p>
        </w:tc>
        <w:tc>
          <w:tcPr>
            <w:tcW w:w="927" w:type="pct"/>
          </w:tcPr>
          <w:p w14:paraId="1539B9D0" w14:textId="444DCF76"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Pentru anul 2023 se va asigura calcularea fondului de salari</w:t>
            </w:r>
            <w:r w:rsidR="008C4DF0">
              <w:rPr>
                <w:rFonts w:ascii="Calibri Light" w:eastAsia="Times New Roman" w:hAnsi="Calibri Light" w:cs="Calibri Light"/>
                <w:i/>
                <w:sz w:val="20"/>
                <w:szCs w:val="20"/>
                <w:lang w:val="ro-RO"/>
              </w:rPr>
              <w:t>i</w:t>
            </w:r>
            <w:r>
              <w:rPr>
                <w:rFonts w:ascii="Calibri Light" w:eastAsia="Times New Roman" w:hAnsi="Calibri Light" w:cs="Calibri Light"/>
                <w:i/>
                <w:sz w:val="20"/>
                <w:szCs w:val="20"/>
                <w:lang w:val="ro-RO"/>
              </w:rPr>
              <w:t xml:space="preserve"> pentru contractul de prestări servicii de curățenie, </w:t>
            </w:r>
            <w:r w:rsidR="008C4DF0">
              <w:rPr>
                <w:rFonts w:ascii="Calibri Light" w:eastAsia="Times New Roman" w:hAnsi="Calibri Light" w:cs="Calibri Light"/>
                <w:i/>
                <w:sz w:val="20"/>
                <w:szCs w:val="20"/>
                <w:lang w:val="ro-RO"/>
              </w:rPr>
              <w:t xml:space="preserve">ceea </w:t>
            </w:r>
            <w:r>
              <w:rPr>
                <w:rFonts w:ascii="Calibri Light" w:eastAsia="Times New Roman" w:hAnsi="Calibri Light" w:cs="Calibri Light"/>
                <w:i/>
                <w:sz w:val="20"/>
                <w:szCs w:val="20"/>
                <w:lang w:val="ro-RO"/>
              </w:rPr>
              <w:t>ce va diminua cu suma respectivă fondul de salar</w:t>
            </w:r>
            <w:r w:rsidR="008C4DF0">
              <w:rPr>
                <w:rFonts w:ascii="Calibri Light" w:eastAsia="Times New Roman" w:hAnsi="Calibri Light" w:cs="Calibri Light"/>
                <w:i/>
                <w:sz w:val="20"/>
                <w:szCs w:val="20"/>
                <w:lang w:val="ro-RO"/>
              </w:rPr>
              <w:t>ii</w:t>
            </w:r>
            <w:r>
              <w:rPr>
                <w:rFonts w:ascii="Calibri Light" w:eastAsia="Times New Roman" w:hAnsi="Calibri Light" w:cs="Calibri Light"/>
                <w:i/>
                <w:sz w:val="20"/>
                <w:szCs w:val="20"/>
                <w:lang w:val="ro-RO"/>
              </w:rPr>
              <w:t xml:space="preserve"> și se va atribui la servicii de curățenie, precum și raportarea și înregistrarea corespunzătoare în evidența contabilă</w:t>
            </w:r>
          </w:p>
        </w:tc>
        <w:tc>
          <w:tcPr>
            <w:tcW w:w="645" w:type="pct"/>
          </w:tcPr>
          <w:p w14:paraId="629A251F"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sidRPr="004B0BEF">
              <w:rPr>
                <w:rFonts w:ascii="Calibri Light" w:eastAsia="Times New Roman" w:hAnsi="Calibri Light" w:cs="Calibri Light"/>
                <w:i/>
                <w:sz w:val="20"/>
                <w:szCs w:val="20"/>
                <w:lang w:val="ro-RO"/>
              </w:rPr>
              <w:t>Botezatu Parascovia</w:t>
            </w:r>
          </w:p>
        </w:tc>
        <w:tc>
          <w:tcPr>
            <w:tcW w:w="780" w:type="pct"/>
          </w:tcPr>
          <w:p w14:paraId="4E8EF7D1" w14:textId="77777777" w:rsidR="007A20C9" w:rsidRPr="00DC51BB" w:rsidRDefault="007A20C9" w:rsidP="00461A81">
            <w:pPr>
              <w:spacing w:line="276" w:lineRule="auto"/>
              <w:jc w:val="both"/>
              <w:rPr>
                <w:rFonts w:ascii="Calibri Light" w:eastAsia="Times New Roman" w:hAnsi="Calibri Light" w:cs="Calibri Light"/>
                <w:i/>
                <w:sz w:val="20"/>
                <w:szCs w:val="20"/>
                <w:lang w:val="ro-RO"/>
              </w:rPr>
            </w:pPr>
            <w:r>
              <w:rPr>
                <w:rFonts w:ascii="Calibri Light" w:eastAsia="Times New Roman" w:hAnsi="Calibri Light" w:cs="Calibri Light"/>
                <w:i/>
                <w:sz w:val="20"/>
                <w:szCs w:val="20"/>
                <w:lang w:val="ro-RO"/>
              </w:rPr>
              <w:t>Ianuarie 2023</w:t>
            </w:r>
          </w:p>
        </w:tc>
      </w:tr>
    </w:tbl>
    <w:p w14:paraId="0F0CDE08" w14:textId="77777777" w:rsidR="007A20C9" w:rsidRDefault="007A20C9" w:rsidP="007A20C9"/>
    <w:p w14:paraId="7BAE80FD" w14:textId="77777777" w:rsidR="007A20C9" w:rsidRDefault="007A20C9" w:rsidP="007A20C9"/>
    <w:p w14:paraId="709770EE" w14:textId="57FA17C9" w:rsidR="007A20C9" w:rsidRDefault="007A20C9" w:rsidP="007A20C9">
      <w:pPr>
        <w:rPr>
          <w:rFonts w:asciiTheme="majorHAnsi" w:hAnsiTheme="majorHAnsi" w:cstheme="majorHAnsi"/>
          <w:i/>
          <w:sz w:val="24"/>
          <w:szCs w:val="24"/>
          <w:lang w:val="ro-RO"/>
        </w:rPr>
      </w:pPr>
      <w:r w:rsidRPr="00526D44">
        <w:rPr>
          <w:rFonts w:asciiTheme="majorHAnsi" w:hAnsiTheme="majorHAnsi" w:cstheme="majorHAnsi"/>
          <w:i/>
          <w:sz w:val="24"/>
          <w:szCs w:val="24"/>
        </w:rPr>
        <w:t>Conduc</w:t>
      </w:r>
      <w:r w:rsidRPr="00526D44">
        <w:rPr>
          <w:rFonts w:asciiTheme="majorHAnsi" w:hAnsiTheme="majorHAnsi" w:cstheme="majorHAnsi"/>
          <w:i/>
          <w:sz w:val="24"/>
          <w:szCs w:val="24"/>
          <w:lang w:val="ro-RO"/>
        </w:rPr>
        <w:t xml:space="preserve">ătorul </w:t>
      </w:r>
      <w:r>
        <w:rPr>
          <w:rFonts w:asciiTheme="majorHAnsi" w:hAnsiTheme="majorHAnsi" w:cstheme="majorHAnsi"/>
          <w:i/>
          <w:sz w:val="24"/>
          <w:szCs w:val="24"/>
          <w:lang w:val="ro-RO"/>
        </w:rPr>
        <w:t xml:space="preserve">      Irina Struțescu</w:t>
      </w:r>
    </w:p>
    <w:p w14:paraId="306F501D" w14:textId="49F0B5F8" w:rsidR="00864410" w:rsidRDefault="00864410" w:rsidP="007A20C9">
      <w:pPr>
        <w:rPr>
          <w:rFonts w:asciiTheme="majorHAnsi" w:hAnsiTheme="majorHAnsi" w:cstheme="majorHAnsi"/>
          <w:i/>
          <w:sz w:val="24"/>
          <w:szCs w:val="24"/>
          <w:lang w:val="ro-RO"/>
        </w:rPr>
      </w:pPr>
    </w:p>
    <w:p w14:paraId="3281BF2A" w14:textId="3FA5ECD0" w:rsidR="00864410" w:rsidRDefault="00864410" w:rsidP="007A20C9">
      <w:pPr>
        <w:rPr>
          <w:rFonts w:asciiTheme="majorHAnsi" w:hAnsiTheme="majorHAnsi" w:cstheme="majorHAnsi"/>
          <w:i/>
          <w:sz w:val="24"/>
          <w:szCs w:val="24"/>
          <w:lang w:val="ro-RO"/>
        </w:rPr>
      </w:pPr>
    </w:p>
    <w:p w14:paraId="53A19D3A" w14:textId="45394581" w:rsidR="00864410" w:rsidRDefault="00864410" w:rsidP="007A20C9">
      <w:pPr>
        <w:rPr>
          <w:rFonts w:asciiTheme="majorHAnsi" w:hAnsiTheme="majorHAnsi" w:cstheme="majorHAnsi"/>
          <w:i/>
          <w:sz w:val="24"/>
          <w:szCs w:val="24"/>
          <w:lang w:val="ro-RO"/>
        </w:rPr>
      </w:pPr>
    </w:p>
    <w:p w14:paraId="412C3344" w14:textId="77777777" w:rsidR="0024161E" w:rsidRPr="00526D44" w:rsidRDefault="0024161E" w:rsidP="007A20C9">
      <w:pPr>
        <w:rPr>
          <w:rFonts w:asciiTheme="majorHAnsi" w:hAnsiTheme="majorHAnsi" w:cstheme="majorHAnsi"/>
          <w:i/>
          <w:sz w:val="24"/>
          <w:szCs w:val="24"/>
          <w:lang w:val="ro-RO"/>
        </w:rPr>
      </w:pPr>
    </w:p>
    <w:p w14:paraId="42E0643A" w14:textId="77777777" w:rsidR="00864410" w:rsidRPr="00731846" w:rsidRDefault="00864410" w:rsidP="00864410">
      <w:pPr>
        <w:spacing w:after="0" w:line="276" w:lineRule="auto"/>
        <w:jc w:val="center"/>
        <w:rPr>
          <w:rFonts w:asciiTheme="majorHAnsi" w:eastAsia="Calibri" w:hAnsiTheme="majorHAnsi" w:cstheme="majorHAnsi"/>
          <w:b/>
          <w:bCs/>
          <w:sz w:val="24"/>
          <w:szCs w:val="24"/>
          <w:lang w:val="ro-MD"/>
        </w:rPr>
      </w:pPr>
      <w:r w:rsidRPr="00731846">
        <w:rPr>
          <w:rFonts w:asciiTheme="majorHAnsi" w:eastAsia="Calibri" w:hAnsiTheme="majorHAnsi" w:cstheme="majorHAnsi"/>
          <w:b/>
          <w:bCs/>
          <w:sz w:val="24"/>
          <w:szCs w:val="24"/>
          <w:lang w:val="ro-MD"/>
        </w:rPr>
        <w:t xml:space="preserve">PLANUL DE ACȚIUNI </w:t>
      </w:r>
    </w:p>
    <w:p w14:paraId="3571EC19" w14:textId="77777777" w:rsidR="00864410" w:rsidRPr="00731846" w:rsidRDefault="00864410" w:rsidP="00864410">
      <w:pPr>
        <w:spacing w:after="0" w:line="276" w:lineRule="auto"/>
        <w:jc w:val="center"/>
        <w:rPr>
          <w:rFonts w:asciiTheme="majorHAnsi" w:eastAsia="Calibri" w:hAnsiTheme="majorHAnsi" w:cstheme="majorHAnsi"/>
          <w:bCs/>
          <w:sz w:val="24"/>
          <w:szCs w:val="24"/>
          <w:lang w:val="ro-MD"/>
        </w:rPr>
      </w:pPr>
      <w:r w:rsidRPr="00731846">
        <w:rPr>
          <w:rFonts w:asciiTheme="majorHAnsi" w:eastAsia="Calibri" w:hAnsiTheme="majorHAnsi" w:cstheme="majorHAnsi"/>
          <w:b/>
          <w:bCs/>
          <w:sz w:val="24"/>
          <w:szCs w:val="24"/>
          <w:lang w:val="ro-MD"/>
        </w:rPr>
        <w:t>privind implementarea recomandărilor CCRM de către Ministerul Economiei</w:t>
      </w:r>
    </w:p>
    <w:tbl>
      <w:tblPr>
        <w:tblStyle w:val="TableGrid"/>
        <w:tblW w:w="5143" w:type="pct"/>
        <w:tblLook w:val="04A0" w:firstRow="1" w:lastRow="0" w:firstColumn="1" w:lastColumn="0" w:noHBand="0" w:noVBand="1"/>
      </w:tblPr>
      <w:tblGrid>
        <w:gridCol w:w="4973"/>
        <w:gridCol w:w="2803"/>
        <w:gridCol w:w="3207"/>
        <w:gridCol w:w="1410"/>
        <w:gridCol w:w="2291"/>
      </w:tblGrid>
      <w:tr w:rsidR="00864410" w:rsidRPr="00CB74CA" w14:paraId="2D59A5C4" w14:textId="77777777" w:rsidTr="00461A81">
        <w:trPr>
          <w:trHeight w:val="1074"/>
        </w:trPr>
        <w:tc>
          <w:tcPr>
            <w:tcW w:w="1693" w:type="pct"/>
          </w:tcPr>
          <w:p w14:paraId="6E7B4B8D" w14:textId="77777777" w:rsidR="00864410" w:rsidRPr="00255E9C" w:rsidRDefault="00864410" w:rsidP="00461A81">
            <w:pPr>
              <w:spacing w:line="276" w:lineRule="auto"/>
              <w:jc w:val="center"/>
              <w:rPr>
                <w:rFonts w:asciiTheme="majorHAnsi" w:eastAsia="Calibri" w:hAnsiTheme="majorHAnsi" w:cstheme="majorHAnsi"/>
                <w:b/>
                <w:bCs/>
                <w:sz w:val="20"/>
                <w:szCs w:val="20"/>
                <w:lang w:val="ro-MD"/>
              </w:rPr>
            </w:pPr>
          </w:p>
          <w:p w14:paraId="0B0E6393" w14:textId="77777777" w:rsidR="00864410" w:rsidRPr="00255E9C" w:rsidRDefault="00864410" w:rsidP="00461A81">
            <w:pPr>
              <w:spacing w:line="276" w:lineRule="auto"/>
              <w:jc w:val="center"/>
              <w:rPr>
                <w:rFonts w:asciiTheme="majorHAnsi" w:eastAsia="Calibri" w:hAnsiTheme="majorHAnsi" w:cstheme="majorHAnsi"/>
                <w:b/>
                <w:bCs/>
                <w:sz w:val="20"/>
                <w:szCs w:val="20"/>
                <w:lang w:val="ro-MD"/>
              </w:rPr>
            </w:pPr>
          </w:p>
          <w:p w14:paraId="420EC1EA" w14:textId="781CB350" w:rsidR="00864410" w:rsidRPr="00255E9C" w:rsidRDefault="00864410" w:rsidP="00461A81">
            <w:pPr>
              <w:spacing w:line="276" w:lineRule="auto"/>
              <w:jc w:val="center"/>
              <w:rPr>
                <w:rFonts w:asciiTheme="majorHAnsi" w:eastAsia="Calibri" w:hAnsiTheme="majorHAnsi" w:cstheme="majorHAnsi"/>
                <w:b/>
                <w:bCs/>
                <w:sz w:val="20"/>
                <w:szCs w:val="20"/>
                <w:lang w:val="ro-MD"/>
              </w:rPr>
            </w:pPr>
            <w:r w:rsidRPr="00255E9C">
              <w:rPr>
                <w:rFonts w:asciiTheme="majorHAnsi" w:eastAsia="Calibri" w:hAnsiTheme="majorHAnsi" w:cstheme="majorHAnsi"/>
                <w:b/>
                <w:bCs/>
                <w:sz w:val="20"/>
                <w:szCs w:val="20"/>
                <w:lang w:val="ro-MD"/>
              </w:rPr>
              <w:t>Constat</w:t>
            </w:r>
            <w:r w:rsidR="00D81839">
              <w:rPr>
                <w:rFonts w:asciiTheme="majorHAnsi" w:eastAsia="Calibri" w:hAnsiTheme="majorHAnsi" w:cstheme="majorHAnsi"/>
                <w:b/>
                <w:bCs/>
                <w:sz w:val="20"/>
                <w:szCs w:val="20"/>
                <w:lang w:val="ro-MD"/>
              </w:rPr>
              <w:t>ările</w:t>
            </w:r>
            <w:r w:rsidRPr="00255E9C">
              <w:rPr>
                <w:rFonts w:asciiTheme="majorHAnsi" w:eastAsia="Calibri" w:hAnsiTheme="majorHAnsi" w:cstheme="majorHAnsi"/>
                <w:b/>
                <w:bCs/>
                <w:sz w:val="20"/>
                <w:szCs w:val="20"/>
                <w:lang w:val="ro-MD"/>
              </w:rPr>
              <w:t xml:space="preserve"> de audit</w:t>
            </w:r>
          </w:p>
        </w:tc>
        <w:tc>
          <w:tcPr>
            <w:tcW w:w="954" w:type="pct"/>
            <w:hideMark/>
          </w:tcPr>
          <w:p w14:paraId="4B31FABC" w14:textId="77777777" w:rsidR="00864410" w:rsidRPr="00255E9C" w:rsidRDefault="00864410" w:rsidP="00461A81">
            <w:pPr>
              <w:spacing w:line="276" w:lineRule="auto"/>
              <w:jc w:val="center"/>
              <w:rPr>
                <w:rFonts w:asciiTheme="majorHAnsi" w:eastAsia="Calibri" w:hAnsiTheme="majorHAnsi" w:cstheme="majorHAnsi"/>
                <w:b/>
                <w:bCs/>
                <w:sz w:val="20"/>
                <w:szCs w:val="20"/>
                <w:lang w:val="ro-MD"/>
              </w:rPr>
            </w:pPr>
          </w:p>
          <w:p w14:paraId="576CD823" w14:textId="77777777" w:rsidR="00864410" w:rsidRPr="00255E9C" w:rsidRDefault="00864410" w:rsidP="00461A81">
            <w:pPr>
              <w:spacing w:line="276" w:lineRule="auto"/>
              <w:jc w:val="center"/>
              <w:rPr>
                <w:rFonts w:asciiTheme="majorHAnsi" w:eastAsia="Calibri" w:hAnsiTheme="majorHAnsi" w:cstheme="majorHAnsi"/>
                <w:b/>
                <w:bCs/>
                <w:sz w:val="20"/>
                <w:szCs w:val="20"/>
                <w:lang w:val="ro-MD"/>
              </w:rPr>
            </w:pPr>
          </w:p>
          <w:p w14:paraId="05AC8864" w14:textId="77777777" w:rsidR="00864410" w:rsidRPr="00255E9C" w:rsidRDefault="00864410" w:rsidP="00461A81">
            <w:pPr>
              <w:spacing w:line="276" w:lineRule="auto"/>
              <w:jc w:val="center"/>
              <w:rPr>
                <w:rFonts w:asciiTheme="majorHAnsi" w:eastAsia="Times New Roman" w:hAnsiTheme="majorHAnsi" w:cstheme="majorHAnsi"/>
                <w:b/>
                <w:sz w:val="20"/>
                <w:szCs w:val="20"/>
                <w:lang w:val="ro-MD"/>
              </w:rPr>
            </w:pPr>
            <w:r w:rsidRPr="00255E9C">
              <w:rPr>
                <w:rFonts w:asciiTheme="majorHAnsi" w:eastAsia="Calibri" w:hAnsiTheme="majorHAnsi" w:cstheme="majorHAnsi"/>
                <w:b/>
                <w:bCs/>
                <w:sz w:val="20"/>
                <w:szCs w:val="20"/>
                <w:lang w:val="ro-MD"/>
              </w:rPr>
              <w:t>Recomandările auditului</w:t>
            </w:r>
          </w:p>
        </w:tc>
        <w:tc>
          <w:tcPr>
            <w:tcW w:w="1092" w:type="pct"/>
            <w:hideMark/>
          </w:tcPr>
          <w:p w14:paraId="46F9175B" w14:textId="77777777" w:rsidR="00864410" w:rsidRPr="00255E9C" w:rsidRDefault="00864410" w:rsidP="00461A81">
            <w:pPr>
              <w:spacing w:line="276" w:lineRule="auto"/>
              <w:jc w:val="center"/>
              <w:rPr>
                <w:rFonts w:asciiTheme="majorHAnsi" w:eastAsia="Times New Roman" w:hAnsiTheme="majorHAnsi" w:cstheme="majorHAnsi"/>
                <w:b/>
                <w:bCs/>
                <w:sz w:val="20"/>
                <w:szCs w:val="20"/>
                <w:lang w:val="ro-MD"/>
              </w:rPr>
            </w:pPr>
          </w:p>
          <w:p w14:paraId="5D01CC48" w14:textId="77777777" w:rsidR="00864410" w:rsidRPr="00255E9C" w:rsidRDefault="00864410" w:rsidP="00461A81">
            <w:pPr>
              <w:spacing w:line="276" w:lineRule="auto"/>
              <w:jc w:val="center"/>
              <w:rPr>
                <w:rFonts w:asciiTheme="majorHAnsi" w:eastAsia="Times New Roman" w:hAnsiTheme="majorHAnsi" w:cstheme="majorHAnsi"/>
                <w:b/>
                <w:bCs/>
                <w:sz w:val="20"/>
                <w:szCs w:val="20"/>
                <w:lang w:val="ro-MD"/>
              </w:rPr>
            </w:pPr>
          </w:p>
          <w:p w14:paraId="2906D846" w14:textId="77777777" w:rsidR="00864410" w:rsidRPr="00255E9C" w:rsidRDefault="00864410" w:rsidP="00461A81">
            <w:pPr>
              <w:spacing w:line="276" w:lineRule="auto"/>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Măsurile/acțiunile concrete care urmează a fi întreprinse</w:t>
            </w:r>
          </w:p>
        </w:tc>
        <w:tc>
          <w:tcPr>
            <w:tcW w:w="480" w:type="pct"/>
            <w:hideMark/>
          </w:tcPr>
          <w:p w14:paraId="06A3C169" w14:textId="77777777" w:rsidR="00864410" w:rsidRPr="00255E9C" w:rsidRDefault="00864410" w:rsidP="00461A81">
            <w:pPr>
              <w:spacing w:line="276" w:lineRule="auto"/>
              <w:jc w:val="center"/>
              <w:rPr>
                <w:rFonts w:asciiTheme="majorHAnsi" w:eastAsia="Times New Roman" w:hAnsiTheme="majorHAnsi" w:cstheme="majorHAnsi"/>
                <w:b/>
                <w:bCs/>
                <w:sz w:val="20"/>
                <w:szCs w:val="20"/>
                <w:lang w:val="ro-MD"/>
              </w:rPr>
            </w:pPr>
          </w:p>
          <w:p w14:paraId="533F93AA" w14:textId="77777777" w:rsidR="00864410" w:rsidRPr="00255E9C" w:rsidRDefault="00864410" w:rsidP="00461A81">
            <w:pPr>
              <w:spacing w:line="276" w:lineRule="auto"/>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Persoana responsabilă de implementare</w:t>
            </w:r>
          </w:p>
        </w:tc>
        <w:tc>
          <w:tcPr>
            <w:tcW w:w="780" w:type="pct"/>
            <w:hideMark/>
          </w:tcPr>
          <w:p w14:paraId="4910B547" w14:textId="77777777" w:rsidR="00864410" w:rsidRPr="00255E9C" w:rsidRDefault="00864410" w:rsidP="00461A81">
            <w:pPr>
              <w:spacing w:line="276" w:lineRule="auto"/>
              <w:jc w:val="center"/>
              <w:rPr>
                <w:rFonts w:asciiTheme="majorHAnsi" w:eastAsia="Times New Roman" w:hAnsiTheme="majorHAnsi" w:cstheme="majorHAnsi"/>
                <w:b/>
                <w:bCs/>
                <w:sz w:val="20"/>
                <w:szCs w:val="20"/>
                <w:lang w:val="ro-MD"/>
              </w:rPr>
            </w:pPr>
            <w:r w:rsidRPr="00255E9C">
              <w:rPr>
                <w:rFonts w:asciiTheme="majorHAnsi" w:eastAsia="Times New Roman" w:hAnsiTheme="majorHAnsi" w:cstheme="majorHAnsi"/>
                <w:b/>
                <w:bCs/>
                <w:sz w:val="20"/>
                <w:szCs w:val="20"/>
                <w:lang w:val="ro-MD"/>
              </w:rPr>
              <w:t>Termenul</w:t>
            </w:r>
          </w:p>
          <w:p w14:paraId="21073A70" w14:textId="77777777" w:rsidR="00864410" w:rsidRPr="00255E9C" w:rsidRDefault="00864410" w:rsidP="00461A81">
            <w:pPr>
              <w:spacing w:line="276" w:lineRule="auto"/>
              <w:jc w:val="center"/>
              <w:rPr>
                <w:rFonts w:asciiTheme="majorHAnsi" w:eastAsia="Times New Roman" w:hAnsiTheme="majorHAnsi" w:cstheme="majorHAnsi"/>
                <w:b/>
                <w:sz w:val="20"/>
                <w:szCs w:val="20"/>
                <w:lang w:val="ro-MD"/>
              </w:rPr>
            </w:pPr>
            <w:r w:rsidRPr="00255E9C">
              <w:rPr>
                <w:rFonts w:asciiTheme="majorHAnsi" w:eastAsia="Times New Roman" w:hAnsiTheme="majorHAnsi" w:cstheme="majorHAnsi"/>
                <w:b/>
                <w:bCs/>
                <w:sz w:val="20"/>
                <w:szCs w:val="20"/>
                <w:lang w:val="ro-MD"/>
              </w:rPr>
              <w:t>de implementare (în caz de remediere, anexați documentele justificative)</w:t>
            </w:r>
          </w:p>
        </w:tc>
      </w:tr>
      <w:tr w:rsidR="00864410" w:rsidRPr="00CB74CA" w14:paraId="11A1F079" w14:textId="77777777" w:rsidTr="00461A81">
        <w:trPr>
          <w:trHeight w:val="492"/>
        </w:trPr>
        <w:tc>
          <w:tcPr>
            <w:tcW w:w="1693" w:type="pct"/>
          </w:tcPr>
          <w:p w14:paraId="63392A31" w14:textId="1A6A529D" w:rsidR="00864410" w:rsidRPr="00CB74CA" w:rsidRDefault="00864410" w:rsidP="00461A81">
            <w:pPr>
              <w:pStyle w:val="ListParagraph"/>
              <w:tabs>
                <w:tab w:val="left" w:pos="270"/>
              </w:tabs>
              <w:spacing w:line="276" w:lineRule="auto"/>
              <w:ind w:left="0" w:firstLine="720"/>
              <w:jc w:val="both"/>
              <w:rPr>
                <w:rFonts w:asciiTheme="majorHAnsi" w:eastAsia="Times New Roman" w:hAnsiTheme="majorHAnsi" w:cstheme="majorHAnsi"/>
                <w:i/>
                <w:iCs/>
                <w:sz w:val="20"/>
                <w:szCs w:val="20"/>
                <w:lang w:val="ro-MD" w:eastAsia="ro-MD"/>
              </w:rPr>
            </w:pPr>
            <w:r w:rsidRPr="00CB74CA">
              <w:rPr>
                <w:rFonts w:asciiTheme="majorHAnsi" w:eastAsia="Times New Roman" w:hAnsiTheme="majorHAnsi" w:cstheme="majorHAnsi"/>
                <w:i/>
                <w:iCs/>
                <w:sz w:val="20"/>
                <w:szCs w:val="20"/>
                <w:lang w:val="ro-MD" w:eastAsia="ro-MD"/>
              </w:rPr>
              <w:t>Tarifele la servicii</w:t>
            </w:r>
            <w:r w:rsidR="00D81839">
              <w:rPr>
                <w:rFonts w:asciiTheme="majorHAnsi" w:eastAsia="Times New Roman" w:hAnsiTheme="majorHAnsi" w:cstheme="majorHAnsi"/>
                <w:i/>
                <w:iCs/>
                <w:sz w:val="20"/>
                <w:szCs w:val="20"/>
                <w:lang w:val="ro-MD" w:eastAsia="ro-MD"/>
              </w:rPr>
              <w:t>le</w:t>
            </w:r>
            <w:r w:rsidRPr="00CB74CA">
              <w:rPr>
                <w:rFonts w:asciiTheme="majorHAnsi" w:eastAsia="Times New Roman" w:hAnsiTheme="majorHAnsi" w:cstheme="majorHAnsi"/>
                <w:i/>
                <w:iCs/>
                <w:sz w:val="20"/>
                <w:szCs w:val="20"/>
                <w:lang w:val="ro-MD" w:eastAsia="ro-MD"/>
              </w:rPr>
              <w:t xml:space="preserve"> în domeniul standardizării se calculează în conformitate cu Metodologia aprobată, se coordonează cu Ministerul Economiei şi se aprobă de către ISM, cu excepția tarifelor la comercializarea standardelor, care se aprobă de către Guvern. Tarifele la serviciile din domeniul standardizării se actualizează, în caz de necesitate, în cazul scumpirii cu mai mult de 10% a componentelor din cadrul consumurilor şi cheltuielilor incluse în tarif, în conformitate cu indicele prețurilor de consum (mediu) din Republica Moldova, stabilit de Biroul National de Statistică, se coordonează şi se aprobă în modul stabilit de Metodologi</w:t>
            </w:r>
            <w:r w:rsidR="00D81839">
              <w:rPr>
                <w:rFonts w:asciiTheme="majorHAnsi" w:eastAsia="Times New Roman" w:hAnsiTheme="majorHAnsi" w:cstheme="majorHAnsi"/>
                <w:i/>
                <w:iCs/>
                <w:sz w:val="20"/>
                <w:szCs w:val="20"/>
                <w:lang w:val="ro-MD" w:eastAsia="ro-MD"/>
              </w:rPr>
              <w:t>a</w:t>
            </w:r>
            <w:r w:rsidRPr="00CB74CA">
              <w:rPr>
                <w:rFonts w:asciiTheme="majorHAnsi" w:eastAsia="Times New Roman" w:hAnsiTheme="majorHAnsi" w:cstheme="majorHAnsi"/>
                <w:i/>
                <w:iCs/>
                <w:sz w:val="20"/>
                <w:szCs w:val="20"/>
                <w:lang w:val="ro-MD" w:eastAsia="ro-MD"/>
              </w:rPr>
              <w:t xml:space="preserve"> de determinare a tarifelor</w:t>
            </w:r>
            <w:r w:rsidRPr="00CB74CA">
              <w:rPr>
                <w:rStyle w:val="FootnoteReference"/>
                <w:rFonts w:asciiTheme="majorHAnsi" w:eastAsia="Times New Roman" w:hAnsiTheme="majorHAnsi" w:cstheme="majorHAnsi"/>
                <w:i/>
                <w:iCs/>
                <w:szCs w:val="20"/>
                <w:lang w:val="ro-MD" w:eastAsia="ro-MD"/>
              </w:rPr>
              <w:footnoteReference w:id="101"/>
            </w:r>
            <w:r w:rsidRPr="00CB74CA">
              <w:rPr>
                <w:rFonts w:asciiTheme="majorHAnsi" w:eastAsia="Times New Roman" w:hAnsiTheme="majorHAnsi" w:cstheme="majorHAnsi"/>
                <w:i/>
                <w:iCs/>
                <w:sz w:val="20"/>
                <w:szCs w:val="20"/>
                <w:lang w:val="ro-MD" w:eastAsia="ro-MD"/>
              </w:rPr>
              <w:t>. Deși</w:t>
            </w:r>
            <w:r w:rsidR="00D81839">
              <w:rPr>
                <w:rFonts w:asciiTheme="majorHAnsi" w:eastAsia="Times New Roman" w:hAnsiTheme="majorHAnsi" w:cstheme="majorHAnsi"/>
                <w:i/>
                <w:iCs/>
                <w:sz w:val="20"/>
                <w:szCs w:val="20"/>
                <w:lang w:val="ro-MD" w:eastAsia="ro-MD"/>
              </w:rPr>
              <w:t xml:space="preserve"> </w:t>
            </w:r>
            <w:r w:rsidRPr="00CB74CA">
              <w:rPr>
                <w:rFonts w:asciiTheme="majorHAnsi" w:eastAsia="Times New Roman" w:hAnsiTheme="majorHAnsi" w:cstheme="majorHAnsi"/>
                <w:i/>
                <w:iCs/>
                <w:sz w:val="20"/>
                <w:szCs w:val="20"/>
                <w:lang w:val="ro-MD" w:eastAsia="ro-MD"/>
              </w:rPr>
              <w:t>ISM</w:t>
            </w:r>
            <w:r w:rsidRPr="00CB74CA">
              <w:rPr>
                <w:rFonts w:asciiTheme="majorHAnsi" w:hAnsiTheme="majorHAnsi" w:cstheme="majorHAnsi"/>
                <w:i/>
                <w:sz w:val="20"/>
                <w:szCs w:val="20"/>
                <w:lang w:val="ro-MD"/>
              </w:rPr>
              <w:t>, pe parcursul anilor 2016-2021, a prezentat ministerului de resort mai multe solicitări</w:t>
            </w:r>
            <w:r w:rsidRPr="00CB74CA">
              <w:rPr>
                <w:rStyle w:val="FootnoteReference"/>
                <w:rFonts w:asciiTheme="majorHAnsi" w:hAnsiTheme="majorHAnsi" w:cstheme="majorHAnsi"/>
                <w:i/>
                <w:szCs w:val="20"/>
                <w:lang w:val="ro-MD"/>
              </w:rPr>
              <w:footnoteReference w:id="102"/>
            </w:r>
            <w:r w:rsidRPr="00CB74CA">
              <w:rPr>
                <w:rFonts w:asciiTheme="majorHAnsi" w:hAnsiTheme="majorHAnsi" w:cstheme="majorHAnsi"/>
                <w:i/>
                <w:sz w:val="20"/>
                <w:szCs w:val="20"/>
                <w:lang w:val="ro-MD"/>
              </w:rPr>
              <w:t xml:space="preserve"> privind ajustarea tarifelor  aferente serviciilor din sfera standardizării, acestea nu au fost acceptate de fondator</w:t>
            </w:r>
            <w:r w:rsidRPr="00CB74CA">
              <w:rPr>
                <w:rStyle w:val="FootnoteReference"/>
                <w:rFonts w:asciiTheme="majorHAnsi" w:hAnsiTheme="majorHAnsi" w:cstheme="majorHAnsi"/>
                <w:i/>
                <w:szCs w:val="20"/>
                <w:lang w:val="ro-MD"/>
              </w:rPr>
              <w:footnoteReference w:id="103"/>
            </w:r>
            <w:r w:rsidRPr="00CB74CA">
              <w:rPr>
                <w:rFonts w:asciiTheme="majorHAnsi" w:hAnsiTheme="majorHAnsi" w:cstheme="majorHAnsi"/>
                <w:i/>
                <w:sz w:val="20"/>
                <w:szCs w:val="20"/>
                <w:lang w:val="ro-MD"/>
              </w:rPr>
              <w:t>, d</w:t>
            </w:r>
            <w:r w:rsidR="00D81839">
              <w:rPr>
                <w:rFonts w:asciiTheme="majorHAnsi" w:hAnsiTheme="majorHAnsi" w:cstheme="majorHAnsi"/>
                <w:i/>
                <w:sz w:val="20"/>
                <w:szCs w:val="20"/>
                <w:lang w:val="ro-MD"/>
              </w:rPr>
              <w:t>eoarece</w:t>
            </w:r>
            <w:r w:rsidRPr="00CB74CA">
              <w:rPr>
                <w:rFonts w:asciiTheme="majorHAnsi" w:hAnsiTheme="majorHAnsi" w:cstheme="majorHAnsi"/>
                <w:i/>
                <w:sz w:val="20"/>
                <w:szCs w:val="20"/>
                <w:lang w:val="ro-MD"/>
              </w:rPr>
              <w:t xml:space="preserve"> nu conțineau informațiile de argumentare pe segmentul economico-financiar conform cerințelor legale. </w:t>
            </w:r>
            <w:r w:rsidR="00D81839">
              <w:rPr>
                <w:rFonts w:asciiTheme="majorHAnsi" w:hAnsiTheme="majorHAnsi" w:cstheme="majorHAnsi"/>
                <w:i/>
                <w:sz w:val="20"/>
                <w:szCs w:val="20"/>
                <w:lang w:val="ro-MD"/>
              </w:rPr>
              <w:t>O s</w:t>
            </w:r>
            <w:r w:rsidRPr="00CB74CA">
              <w:rPr>
                <w:rFonts w:asciiTheme="majorHAnsi" w:hAnsiTheme="majorHAnsi" w:cstheme="majorHAnsi"/>
                <w:i/>
                <w:sz w:val="20"/>
                <w:szCs w:val="20"/>
                <w:lang w:val="ro-MD"/>
              </w:rPr>
              <w:t>ituație similară se atestă și în activitatea INM.</w:t>
            </w:r>
          </w:p>
          <w:p w14:paraId="23147969" w14:textId="6E628A1B" w:rsidR="00864410" w:rsidRPr="00CB74CA" w:rsidRDefault="00864410" w:rsidP="00461A81">
            <w:pPr>
              <w:pStyle w:val="ListParagraph"/>
              <w:tabs>
                <w:tab w:val="left" w:pos="270"/>
              </w:tabs>
              <w:spacing w:line="276" w:lineRule="auto"/>
              <w:ind w:left="0" w:firstLine="720"/>
              <w:jc w:val="both"/>
              <w:rPr>
                <w:rFonts w:asciiTheme="majorHAnsi" w:eastAsia="Times New Roman" w:hAnsiTheme="majorHAnsi" w:cstheme="majorHAnsi"/>
                <w:i/>
                <w:iCs/>
                <w:sz w:val="20"/>
                <w:szCs w:val="20"/>
                <w:lang w:val="ro-MD" w:eastAsia="ro-MD"/>
              </w:rPr>
            </w:pPr>
            <w:r w:rsidRPr="00CB74CA">
              <w:rPr>
                <w:rFonts w:asciiTheme="majorHAnsi" w:hAnsiTheme="majorHAnsi" w:cstheme="majorHAnsi"/>
                <w:i/>
                <w:sz w:val="20"/>
                <w:szCs w:val="20"/>
                <w:shd w:val="clear" w:color="auto" w:fill="FFFFFF"/>
                <w:lang w:val="ro-MD"/>
              </w:rPr>
              <w:t>Reieșind</w:t>
            </w:r>
            <w:r w:rsidRPr="00CB74CA">
              <w:rPr>
                <w:rFonts w:asciiTheme="majorHAnsi" w:eastAsia="Times New Roman" w:hAnsiTheme="majorHAnsi" w:cstheme="majorHAnsi"/>
                <w:i/>
                <w:iCs/>
                <w:sz w:val="20"/>
                <w:szCs w:val="20"/>
                <w:lang w:val="ro-MD" w:eastAsia="ro-MD"/>
              </w:rPr>
              <w:t xml:space="preserve"> din cele enunțate,  în corelare cu principiile de bază stabilite aferente asigurării stabilității financiare a</w:t>
            </w:r>
            <w:r w:rsidR="00D81839">
              <w:rPr>
                <w:rFonts w:asciiTheme="majorHAnsi" w:eastAsia="Times New Roman" w:hAnsiTheme="majorHAnsi" w:cstheme="majorHAnsi"/>
                <w:i/>
                <w:iCs/>
                <w:sz w:val="20"/>
                <w:szCs w:val="20"/>
                <w:lang w:val="ro-MD" w:eastAsia="ro-MD"/>
              </w:rPr>
              <w:t xml:space="preserve"> </w:t>
            </w:r>
            <w:r w:rsidRPr="00CB74CA">
              <w:rPr>
                <w:rFonts w:asciiTheme="majorHAnsi" w:eastAsia="Times New Roman" w:hAnsiTheme="majorHAnsi" w:cstheme="majorHAnsi"/>
                <w:i/>
                <w:iCs/>
                <w:sz w:val="20"/>
                <w:szCs w:val="20"/>
                <w:lang w:val="ro-MD" w:eastAsia="ro-MD"/>
              </w:rPr>
              <w:t xml:space="preserve"> instituțiilor publice, eficienței și dezvoltării continue, recuper</w:t>
            </w:r>
            <w:r w:rsidR="00D81839">
              <w:rPr>
                <w:rFonts w:asciiTheme="majorHAnsi" w:eastAsia="Times New Roman" w:hAnsiTheme="majorHAnsi" w:cstheme="majorHAnsi"/>
                <w:i/>
                <w:iCs/>
                <w:sz w:val="20"/>
                <w:szCs w:val="20"/>
                <w:lang w:val="ro-MD" w:eastAsia="ro-MD"/>
              </w:rPr>
              <w:t>ării</w:t>
            </w:r>
            <w:r w:rsidRPr="00CB74CA">
              <w:rPr>
                <w:rFonts w:asciiTheme="majorHAnsi" w:eastAsia="Times New Roman" w:hAnsiTheme="majorHAnsi" w:cstheme="majorHAnsi"/>
                <w:i/>
                <w:iCs/>
                <w:sz w:val="20"/>
                <w:szCs w:val="20"/>
                <w:lang w:val="ro-MD" w:eastAsia="ro-MD"/>
              </w:rPr>
              <w:t xml:space="preserve"> costurilor suportate pentru prestarea serviciilor</w:t>
            </w:r>
            <w:r w:rsidRPr="00CB74CA">
              <w:rPr>
                <w:rStyle w:val="FootnoteReference"/>
                <w:rFonts w:asciiTheme="majorHAnsi" w:eastAsia="Times New Roman" w:hAnsiTheme="majorHAnsi" w:cstheme="majorHAnsi"/>
                <w:i/>
                <w:iCs/>
                <w:szCs w:val="20"/>
                <w:lang w:val="ro-MD" w:eastAsia="ro-MD"/>
              </w:rPr>
              <w:footnoteReference w:id="104"/>
            </w:r>
            <w:r w:rsidRPr="00CB74CA">
              <w:rPr>
                <w:rFonts w:asciiTheme="majorHAnsi" w:eastAsia="Times New Roman" w:hAnsiTheme="majorHAnsi" w:cstheme="majorHAnsi"/>
                <w:i/>
                <w:iCs/>
                <w:sz w:val="20"/>
                <w:szCs w:val="20"/>
                <w:lang w:val="ro-MD" w:eastAsia="ro-MD"/>
              </w:rPr>
              <w:t>, se denotă necesitatea actualizării și orient</w:t>
            </w:r>
            <w:r w:rsidR="00D81839">
              <w:rPr>
                <w:rFonts w:asciiTheme="majorHAnsi" w:eastAsia="Times New Roman" w:hAnsiTheme="majorHAnsi" w:cstheme="majorHAnsi"/>
                <w:i/>
                <w:iCs/>
                <w:sz w:val="20"/>
                <w:szCs w:val="20"/>
                <w:lang w:val="ro-MD" w:eastAsia="ro-MD"/>
              </w:rPr>
              <w:t xml:space="preserve">ării </w:t>
            </w:r>
            <w:r w:rsidRPr="00CB74CA">
              <w:rPr>
                <w:rFonts w:asciiTheme="majorHAnsi" w:eastAsia="Times New Roman" w:hAnsiTheme="majorHAnsi" w:cstheme="majorHAnsi"/>
                <w:i/>
                <w:iCs/>
                <w:sz w:val="20"/>
                <w:szCs w:val="20"/>
                <w:lang w:val="ro-MD" w:eastAsia="ro-MD"/>
              </w:rPr>
              <w:t xml:space="preserve"> pe costuri reale a  tarifelor aferente serviciilor prestate în sfera standardizării și metrologiei.</w:t>
            </w:r>
          </w:p>
          <w:p w14:paraId="6382824A" w14:textId="77777777" w:rsidR="00864410" w:rsidRPr="00CB74CA" w:rsidRDefault="00864410" w:rsidP="00461A81">
            <w:pPr>
              <w:tabs>
                <w:tab w:val="left" w:pos="270"/>
                <w:tab w:val="left" w:pos="1530"/>
              </w:tabs>
              <w:spacing w:line="276" w:lineRule="auto"/>
              <w:ind w:firstLine="720"/>
              <w:contextualSpacing/>
              <w:jc w:val="both"/>
              <w:rPr>
                <w:rFonts w:asciiTheme="majorHAnsi" w:eastAsia="Times New Roman" w:hAnsiTheme="majorHAnsi" w:cstheme="majorHAnsi"/>
                <w:bCs/>
                <w:i/>
                <w:iCs/>
                <w:sz w:val="20"/>
                <w:szCs w:val="20"/>
                <w:lang w:val="ro-MD"/>
              </w:rPr>
            </w:pPr>
          </w:p>
        </w:tc>
        <w:tc>
          <w:tcPr>
            <w:tcW w:w="954" w:type="pct"/>
          </w:tcPr>
          <w:p w14:paraId="20CD4639" w14:textId="56AEF8A3" w:rsidR="00864410" w:rsidRPr="00CB74CA" w:rsidRDefault="00864410" w:rsidP="00461A81">
            <w:pPr>
              <w:pStyle w:val="msonormalmailrucssattributepostfix"/>
              <w:spacing w:before="0" w:beforeAutospacing="0" w:after="0" w:afterAutospacing="0" w:line="276" w:lineRule="auto"/>
              <w:jc w:val="both"/>
              <w:rPr>
                <w:rFonts w:asciiTheme="majorHAnsi" w:hAnsiTheme="majorHAnsi" w:cstheme="majorHAnsi"/>
                <w:i/>
                <w:color w:val="000000" w:themeColor="text1"/>
                <w:sz w:val="20"/>
                <w:szCs w:val="20"/>
                <w:shd w:val="clear" w:color="auto" w:fill="FFFFFF"/>
                <w:lang w:val="ro-MD"/>
              </w:rPr>
            </w:pPr>
            <w:r w:rsidRPr="00CB74CA">
              <w:rPr>
                <w:rFonts w:asciiTheme="majorHAnsi" w:hAnsiTheme="majorHAnsi" w:cstheme="majorHAnsi"/>
                <w:i/>
                <w:color w:val="000000" w:themeColor="text1"/>
                <w:sz w:val="20"/>
                <w:szCs w:val="20"/>
                <w:shd w:val="clear" w:color="auto" w:fill="FFFFFF"/>
                <w:lang w:val="ro-MD"/>
              </w:rPr>
              <w:t xml:space="preserve">    Să asigure,  de comun acord cu </w:t>
            </w:r>
            <w:r w:rsidR="00D81839">
              <w:rPr>
                <w:rFonts w:asciiTheme="majorHAnsi" w:hAnsiTheme="majorHAnsi" w:cstheme="majorHAnsi"/>
                <w:i/>
                <w:color w:val="000000" w:themeColor="text1"/>
                <w:sz w:val="20"/>
                <w:szCs w:val="20"/>
                <w:shd w:val="clear" w:color="auto" w:fill="FFFFFF"/>
                <w:lang w:val="ro-MD"/>
              </w:rPr>
              <w:t>i</w:t>
            </w:r>
            <w:r w:rsidRPr="00CB74CA">
              <w:rPr>
                <w:rFonts w:asciiTheme="majorHAnsi" w:hAnsiTheme="majorHAnsi" w:cstheme="majorHAnsi"/>
                <w:i/>
                <w:color w:val="000000" w:themeColor="text1"/>
                <w:sz w:val="20"/>
                <w:szCs w:val="20"/>
                <w:shd w:val="clear" w:color="auto" w:fill="FFFFFF"/>
                <w:lang w:val="ro-MD"/>
              </w:rPr>
              <w:t xml:space="preserve">nstituțiile </w:t>
            </w:r>
            <w:r w:rsidR="00D81839">
              <w:rPr>
                <w:rFonts w:asciiTheme="majorHAnsi" w:hAnsiTheme="majorHAnsi" w:cstheme="majorHAnsi"/>
                <w:i/>
                <w:color w:val="000000" w:themeColor="text1"/>
                <w:sz w:val="20"/>
                <w:szCs w:val="20"/>
                <w:shd w:val="clear" w:color="auto" w:fill="FFFFFF"/>
                <w:lang w:val="ro-MD"/>
              </w:rPr>
              <w:t>p</w:t>
            </w:r>
            <w:r w:rsidRPr="00CB74CA">
              <w:rPr>
                <w:rFonts w:asciiTheme="majorHAnsi" w:hAnsiTheme="majorHAnsi" w:cstheme="majorHAnsi"/>
                <w:i/>
                <w:color w:val="000000" w:themeColor="text1"/>
                <w:sz w:val="20"/>
                <w:szCs w:val="20"/>
                <w:shd w:val="clear" w:color="auto" w:fill="FFFFFF"/>
                <w:lang w:val="ro-MD"/>
              </w:rPr>
              <w:t>ublice din domeniul infrastructurii calității, revizuirea și aprobarea nomenclatoarelor serviciilor prestate de către acestea și a tarifelor aferente (pct. 4.2.)</w:t>
            </w:r>
            <w:r w:rsidR="00D81839">
              <w:rPr>
                <w:rFonts w:asciiTheme="majorHAnsi" w:hAnsiTheme="majorHAnsi" w:cstheme="majorHAnsi"/>
                <w:i/>
                <w:color w:val="000000" w:themeColor="text1"/>
                <w:sz w:val="20"/>
                <w:szCs w:val="20"/>
                <w:shd w:val="clear" w:color="auto" w:fill="FFFFFF"/>
                <w:lang w:val="ro-MD"/>
              </w:rPr>
              <w:t>.</w:t>
            </w:r>
          </w:p>
          <w:p w14:paraId="7E0BBD6A" w14:textId="77777777" w:rsidR="00864410" w:rsidRPr="00CB74CA" w:rsidRDefault="00864410" w:rsidP="00461A81">
            <w:pPr>
              <w:spacing w:line="276" w:lineRule="auto"/>
              <w:ind w:firstLine="179"/>
              <w:jc w:val="both"/>
              <w:rPr>
                <w:rFonts w:asciiTheme="majorHAnsi" w:eastAsia="Times New Roman" w:hAnsiTheme="majorHAnsi" w:cstheme="majorHAnsi"/>
                <w:bCs/>
                <w:i/>
                <w:iCs/>
                <w:sz w:val="20"/>
                <w:szCs w:val="20"/>
                <w:lang w:val="ro-MD"/>
              </w:rPr>
            </w:pPr>
          </w:p>
        </w:tc>
        <w:tc>
          <w:tcPr>
            <w:tcW w:w="1092" w:type="pct"/>
          </w:tcPr>
          <w:p w14:paraId="236E7B01" w14:textId="77777777" w:rsidR="00864410" w:rsidRPr="00255E9C" w:rsidRDefault="00864410" w:rsidP="00461A81">
            <w:pPr>
              <w:spacing w:line="276" w:lineRule="auto"/>
              <w:jc w:val="both"/>
              <w:rPr>
                <w:rFonts w:asciiTheme="majorHAnsi" w:eastAsia="Times New Roman" w:hAnsiTheme="majorHAnsi" w:cstheme="majorHAnsi"/>
                <w:i/>
                <w:sz w:val="20"/>
                <w:szCs w:val="20"/>
                <w:lang w:val="ro-MD"/>
              </w:rPr>
            </w:pPr>
            <w:r w:rsidRPr="00255E9C">
              <w:rPr>
                <w:rFonts w:asciiTheme="majorHAnsi" w:eastAsia="Times New Roman" w:hAnsiTheme="majorHAnsi" w:cstheme="majorHAnsi"/>
                <w:b/>
                <w:i/>
                <w:sz w:val="20"/>
                <w:szCs w:val="20"/>
                <w:lang w:val="ro-MD"/>
              </w:rPr>
              <w:t>1</w:t>
            </w:r>
            <w:r w:rsidRPr="00255E9C">
              <w:rPr>
                <w:rFonts w:asciiTheme="majorHAnsi" w:eastAsia="Times New Roman" w:hAnsiTheme="majorHAnsi" w:cstheme="majorHAnsi"/>
                <w:i/>
                <w:sz w:val="20"/>
                <w:szCs w:val="20"/>
                <w:lang w:val="ro-MD"/>
              </w:rPr>
              <w:t>.În</w:t>
            </w:r>
            <w:r w:rsidRPr="00CB74CA">
              <w:rPr>
                <w:rFonts w:asciiTheme="majorHAnsi" w:eastAsia="Times New Roman" w:hAnsiTheme="majorHAnsi" w:cstheme="majorHAnsi"/>
                <w:sz w:val="20"/>
                <w:szCs w:val="20"/>
                <w:lang w:val="ro-MD"/>
              </w:rPr>
              <w:t xml:space="preserve"> </w:t>
            </w:r>
            <w:r w:rsidRPr="00255E9C">
              <w:rPr>
                <w:rFonts w:asciiTheme="majorHAnsi" w:eastAsia="Times New Roman" w:hAnsiTheme="majorHAnsi" w:cstheme="majorHAnsi"/>
                <w:i/>
                <w:sz w:val="20"/>
                <w:szCs w:val="20"/>
                <w:lang w:val="ro-MD"/>
              </w:rPr>
              <w:t>conformitate cu pct.7 din proiectul HG cu privire la reorganizarea Institutului Național de Metrologie:</w:t>
            </w:r>
          </w:p>
          <w:p w14:paraId="607193A1" w14:textId="77777777" w:rsidR="00864410" w:rsidRPr="00255E9C" w:rsidRDefault="00864410" w:rsidP="00461A81">
            <w:pPr>
              <w:pBdr>
                <w:top w:val="nil"/>
                <w:left w:val="nil"/>
                <w:bottom w:val="nil"/>
                <w:right w:val="nil"/>
                <w:between w:val="nil"/>
              </w:pBdr>
              <w:jc w:val="both"/>
              <w:rPr>
                <w:rFonts w:asciiTheme="majorHAnsi" w:eastAsia="Times New Roman" w:hAnsiTheme="majorHAnsi" w:cstheme="majorHAnsi"/>
                <w:i/>
                <w:color w:val="000000"/>
                <w:sz w:val="20"/>
                <w:szCs w:val="20"/>
                <w:lang w:val="ro-MD"/>
              </w:rPr>
            </w:pPr>
            <w:r w:rsidRPr="00255E9C">
              <w:rPr>
                <w:rFonts w:asciiTheme="majorHAnsi" w:eastAsia="Times New Roman" w:hAnsiTheme="majorHAnsi" w:cstheme="majorHAnsi"/>
                <w:i/>
                <w:color w:val="000000"/>
                <w:sz w:val="20"/>
                <w:szCs w:val="20"/>
                <w:lang w:val="ro-MD"/>
              </w:rPr>
              <w:t>7. Ministerul Economiei:</w:t>
            </w:r>
          </w:p>
          <w:p w14:paraId="00395F29" w14:textId="17E6BD11" w:rsidR="00864410" w:rsidRPr="00255E9C" w:rsidRDefault="00864410" w:rsidP="00461A81">
            <w:pPr>
              <w:jc w:val="both"/>
              <w:rPr>
                <w:rFonts w:asciiTheme="majorHAnsi" w:hAnsiTheme="majorHAnsi" w:cstheme="majorHAnsi"/>
                <w:i/>
                <w:sz w:val="20"/>
                <w:szCs w:val="20"/>
                <w:lang w:val="ro-MD"/>
              </w:rPr>
            </w:pPr>
            <w:r w:rsidRPr="00255E9C">
              <w:rPr>
                <w:rFonts w:asciiTheme="majorHAnsi" w:hAnsiTheme="majorHAnsi" w:cstheme="majorHAnsi"/>
                <w:i/>
                <w:sz w:val="20"/>
                <w:szCs w:val="20"/>
                <w:lang w:val="ro-MD"/>
              </w:rPr>
              <w:t>3) va elabora și va prezenta Guvernului, în termen de 6 luni, spre aprobare</w:t>
            </w:r>
            <w:r w:rsidR="005B78AE">
              <w:rPr>
                <w:rFonts w:asciiTheme="majorHAnsi" w:hAnsiTheme="majorHAnsi" w:cstheme="majorHAnsi"/>
                <w:i/>
                <w:sz w:val="20"/>
                <w:szCs w:val="20"/>
                <w:lang w:val="ro-MD"/>
              </w:rPr>
              <w:t>,</w:t>
            </w:r>
            <w:r w:rsidRPr="00255E9C">
              <w:rPr>
                <w:rFonts w:asciiTheme="majorHAnsi" w:hAnsiTheme="majorHAnsi" w:cstheme="majorHAnsi"/>
                <w:i/>
                <w:sz w:val="20"/>
                <w:szCs w:val="20"/>
                <w:lang w:val="ro-MD"/>
              </w:rPr>
              <w:t xml:space="preserve"> propuneri de modificare a actelor </w:t>
            </w:r>
            <w:sdt>
              <w:sdtPr>
                <w:rPr>
                  <w:rFonts w:asciiTheme="majorHAnsi" w:hAnsiTheme="majorHAnsi" w:cstheme="majorHAnsi"/>
                  <w:i/>
                  <w:sz w:val="20"/>
                  <w:szCs w:val="20"/>
                  <w:lang w:val="ro-MD"/>
                </w:rPr>
                <w:tag w:val="goog_rdk_2"/>
                <w:id w:val="-1509741419"/>
              </w:sdtPr>
              <w:sdtEndPr/>
              <w:sdtContent/>
            </w:sdt>
            <w:r w:rsidRPr="00255E9C">
              <w:rPr>
                <w:rFonts w:asciiTheme="majorHAnsi" w:hAnsiTheme="majorHAnsi" w:cstheme="majorHAnsi"/>
                <w:i/>
                <w:sz w:val="20"/>
                <w:szCs w:val="20"/>
                <w:lang w:val="ro-MD"/>
              </w:rPr>
              <w:t>normative;</w:t>
            </w:r>
          </w:p>
          <w:p w14:paraId="340448F0" w14:textId="77777777" w:rsidR="00864410" w:rsidRPr="00255E9C" w:rsidRDefault="00864410" w:rsidP="00461A81">
            <w:pPr>
              <w:pBdr>
                <w:top w:val="nil"/>
                <w:left w:val="nil"/>
                <w:bottom w:val="nil"/>
                <w:right w:val="nil"/>
                <w:between w:val="nil"/>
              </w:pBdr>
              <w:jc w:val="both"/>
              <w:rPr>
                <w:rFonts w:asciiTheme="majorHAnsi" w:eastAsia="Times New Roman" w:hAnsiTheme="majorHAnsi" w:cstheme="majorHAnsi"/>
                <w:i/>
                <w:color w:val="000000"/>
                <w:sz w:val="20"/>
                <w:szCs w:val="20"/>
                <w:lang w:val="ro-MD"/>
              </w:rPr>
            </w:pPr>
            <w:r w:rsidRPr="00255E9C">
              <w:rPr>
                <w:rFonts w:asciiTheme="majorHAnsi" w:eastAsia="Times New Roman" w:hAnsiTheme="majorHAnsi" w:cstheme="majorHAnsi"/>
                <w:i/>
                <w:color w:val="000000"/>
                <w:sz w:val="20"/>
                <w:szCs w:val="20"/>
                <w:lang w:val="ro-MD"/>
              </w:rPr>
              <w:t xml:space="preserve">Totodată, în conformitate cu pct.8 din proiectul citat: </w:t>
            </w:r>
          </w:p>
          <w:p w14:paraId="236EFD00" w14:textId="77777777" w:rsidR="00864410" w:rsidRPr="00255E9C" w:rsidRDefault="00864410" w:rsidP="00461A81">
            <w:pPr>
              <w:pBdr>
                <w:top w:val="nil"/>
                <w:left w:val="nil"/>
                <w:bottom w:val="nil"/>
                <w:right w:val="nil"/>
                <w:between w:val="nil"/>
              </w:pBdr>
              <w:jc w:val="both"/>
              <w:rPr>
                <w:rFonts w:asciiTheme="majorHAnsi" w:eastAsia="Times New Roman" w:hAnsiTheme="majorHAnsi" w:cstheme="majorHAnsi"/>
                <w:i/>
                <w:color w:val="000000"/>
                <w:sz w:val="20"/>
                <w:szCs w:val="20"/>
                <w:lang w:val="ro-MD"/>
              </w:rPr>
            </w:pPr>
            <w:r w:rsidRPr="00255E9C">
              <w:rPr>
                <w:rFonts w:asciiTheme="majorHAnsi" w:eastAsia="Times New Roman" w:hAnsiTheme="majorHAnsi" w:cstheme="majorHAnsi"/>
                <w:i/>
                <w:color w:val="000000"/>
                <w:sz w:val="20"/>
                <w:szCs w:val="20"/>
                <w:lang w:val="ro-MD"/>
              </w:rPr>
              <w:t xml:space="preserve">„8. Până la </w:t>
            </w:r>
            <w:sdt>
              <w:sdtPr>
                <w:rPr>
                  <w:rFonts w:asciiTheme="majorHAnsi" w:hAnsiTheme="majorHAnsi" w:cstheme="majorHAnsi"/>
                  <w:i/>
                  <w:sz w:val="20"/>
                  <w:szCs w:val="20"/>
                  <w:lang w:val="ro-MD"/>
                </w:rPr>
                <w:tag w:val="goog_rdk_3"/>
                <w:id w:val="-1771304109"/>
              </w:sdtPr>
              <w:sdtEndPr/>
              <w:sdtContent/>
            </w:sdt>
            <w:r w:rsidRPr="00255E9C">
              <w:rPr>
                <w:rFonts w:asciiTheme="majorHAnsi" w:eastAsia="Times New Roman" w:hAnsiTheme="majorHAnsi" w:cstheme="majorHAnsi"/>
                <w:i/>
                <w:color w:val="000000"/>
                <w:sz w:val="20"/>
                <w:szCs w:val="20"/>
                <w:lang w:val="ro-MD"/>
              </w:rPr>
              <w:t>modificarea Nomenclatorului serviciilor prestate în domeniul metrologiei de către Institutul Național de Metrologie, se vor aplica tarifele în vigoare la serviciile prestate de către persoanele juridice reorganizate.”</w:t>
            </w:r>
          </w:p>
          <w:p w14:paraId="73ECBABE" w14:textId="2A685576" w:rsidR="00864410" w:rsidRPr="00255E9C" w:rsidRDefault="00864410" w:rsidP="00461A81">
            <w:pPr>
              <w:pBdr>
                <w:top w:val="nil"/>
                <w:left w:val="nil"/>
                <w:bottom w:val="nil"/>
                <w:right w:val="nil"/>
                <w:between w:val="nil"/>
              </w:pBdr>
              <w:jc w:val="both"/>
              <w:rPr>
                <w:rFonts w:asciiTheme="majorHAnsi" w:eastAsia="Times New Roman" w:hAnsiTheme="majorHAnsi" w:cstheme="majorHAnsi"/>
                <w:i/>
                <w:color w:val="000000"/>
                <w:sz w:val="20"/>
                <w:szCs w:val="20"/>
                <w:lang w:val="ro-MD"/>
              </w:rPr>
            </w:pPr>
            <w:r w:rsidRPr="00255E9C">
              <w:rPr>
                <w:rFonts w:asciiTheme="majorHAnsi" w:eastAsia="Times New Roman" w:hAnsiTheme="majorHAnsi" w:cstheme="majorHAnsi"/>
                <w:b/>
                <w:i/>
                <w:color w:val="000000"/>
                <w:sz w:val="20"/>
                <w:szCs w:val="20"/>
                <w:lang w:val="ro-MD"/>
              </w:rPr>
              <w:t>2</w:t>
            </w:r>
            <w:r w:rsidRPr="00255E9C">
              <w:rPr>
                <w:rFonts w:asciiTheme="majorHAnsi" w:eastAsia="Times New Roman" w:hAnsiTheme="majorHAnsi" w:cstheme="majorHAnsi"/>
                <w:i/>
                <w:color w:val="000000"/>
                <w:sz w:val="20"/>
                <w:szCs w:val="20"/>
                <w:lang w:val="ro-MD"/>
              </w:rPr>
              <w:t xml:space="preserve">.Hotărârea Guvernului </w:t>
            </w:r>
            <w:r w:rsidR="005B78AE">
              <w:rPr>
                <w:rFonts w:asciiTheme="majorHAnsi" w:eastAsia="Times New Roman" w:hAnsiTheme="majorHAnsi" w:cstheme="majorHAnsi"/>
                <w:i/>
                <w:color w:val="000000"/>
                <w:sz w:val="20"/>
                <w:szCs w:val="20"/>
                <w:lang w:val="ro-MD"/>
              </w:rPr>
              <w:t>nr.</w:t>
            </w:r>
            <w:r w:rsidRPr="00255E9C">
              <w:rPr>
                <w:rFonts w:asciiTheme="majorHAnsi" w:eastAsia="Times New Roman" w:hAnsiTheme="majorHAnsi" w:cstheme="majorHAnsi"/>
                <w:i/>
                <w:color w:val="000000"/>
                <w:sz w:val="20"/>
                <w:szCs w:val="20"/>
                <w:lang w:val="ro-MD"/>
              </w:rPr>
              <w:t>1213/2016 va fi inclusă în Planul de acțiuni a</w:t>
            </w:r>
            <w:r w:rsidR="005B78AE">
              <w:rPr>
                <w:rFonts w:asciiTheme="majorHAnsi" w:eastAsia="Times New Roman" w:hAnsiTheme="majorHAnsi" w:cstheme="majorHAnsi"/>
                <w:i/>
                <w:color w:val="000000"/>
                <w:sz w:val="20"/>
                <w:szCs w:val="20"/>
                <w:lang w:val="ro-MD"/>
              </w:rPr>
              <w:t>l</w:t>
            </w:r>
            <w:r w:rsidRPr="00255E9C">
              <w:rPr>
                <w:rFonts w:asciiTheme="majorHAnsi" w:eastAsia="Times New Roman" w:hAnsiTheme="majorHAnsi" w:cstheme="majorHAnsi"/>
                <w:i/>
                <w:color w:val="000000"/>
                <w:sz w:val="20"/>
                <w:szCs w:val="20"/>
                <w:lang w:val="ro-MD"/>
              </w:rPr>
              <w:t xml:space="preserve"> Ministerului Economiei pentru anul 2023.</w:t>
            </w:r>
          </w:p>
          <w:p w14:paraId="5BC511BE" w14:textId="77777777" w:rsidR="00864410" w:rsidRPr="00B52EC6" w:rsidRDefault="00864410" w:rsidP="00461A81">
            <w:pPr>
              <w:spacing w:line="276" w:lineRule="auto"/>
              <w:jc w:val="both"/>
              <w:rPr>
                <w:rFonts w:asciiTheme="majorHAnsi" w:eastAsia="Times New Roman" w:hAnsiTheme="majorHAnsi" w:cstheme="majorHAnsi"/>
                <w:i/>
                <w:sz w:val="20"/>
                <w:szCs w:val="20"/>
                <w:lang w:val="ro-MD"/>
              </w:rPr>
            </w:pPr>
          </w:p>
          <w:p w14:paraId="324696A4" w14:textId="77777777" w:rsidR="00864410" w:rsidRPr="00CB74CA" w:rsidRDefault="00864410" w:rsidP="00461A81">
            <w:pPr>
              <w:spacing w:line="276" w:lineRule="auto"/>
              <w:jc w:val="both"/>
              <w:rPr>
                <w:rFonts w:asciiTheme="majorHAnsi" w:eastAsia="Times New Roman" w:hAnsiTheme="majorHAnsi" w:cstheme="majorHAnsi"/>
                <w:i/>
                <w:sz w:val="20"/>
                <w:szCs w:val="20"/>
                <w:lang w:val="ro-MD"/>
              </w:rPr>
            </w:pPr>
          </w:p>
          <w:p w14:paraId="590DEBA4" w14:textId="77777777" w:rsidR="00864410" w:rsidRPr="00CB74CA" w:rsidRDefault="00864410" w:rsidP="00461A81">
            <w:pPr>
              <w:spacing w:line="276" w:lineRule="auto"/>
              <w:jc w:val="both"/>
              <w:rPr>
                <w:rFonts w:asciiTheme="majorHAnsi" w:eastAsia="Times New Roman" w:hAnsiTheme="majorHAnsi" w:cstheme="majorHAnsi"/>
                <w:i/>
                <w:sz w:val="20"/>
                <w:szCs w:val="20"/>
                <w:lang w:val="ro-MD"/>
              </w:rPr>
            </w:pPr>
          </w:p>
        </w:tc>
        <w:tc>
          <w:tcPr>
            <w:tcW w:w="480" w:type="pct"/>
          </w:tcPr>
          <w:p w14:paraId="0615D929" w14:textId="2E02B40C" w:rsidR="00864410" w:rsidRPr="00CB74CA" w:rsidRDefault="00864410" w:rsidP="00461A81">
            <w:pPr>
              <w:spacing w:line="276" w:lineRule="auto"/>
              <w:jc w:val="center"/>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INM,ISM</w:t>
            </w:r>
            <w:r w:rsidR="005B78AE">
              <w:rPr>
                <w:rFonts w:asciiTheme="majorHAnsi" w:eastAsia="Times New Roman" w:hAnsiTheme="majorHAnsi" w:cstheme="majorHAnsi"/>
                <w:i/>
                <w:sz w:val="20"/>
                <w:szCs w:val="20"/>
                <w:lang w:val="ro-MD"/>
              </w:rPr>
              <w:t>,</w:t>
            </w:r>
          </w:p>
          <w:p w14:paraId="0F38A090" w14:textId="77777777" w:rsidR="00864410" w:rsidRPr="00CB74CA" w:rsidRDefault="00864410" w:rsidP="00461A81">
            <w:pPr>
              <w:spacing w:line="276" w:lineRule="auto"/>
              <w:jc w:val="center"/>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ME</w:t>
            </w:r>
          </w:p>
        </w:tc>
        <w:tc>
          <w:tcPr>
            <w:tcW w:w="780" w:type="pct"/>
          </w:tcPr>
          <w:p w14:paraId="0A745D4D" w14:textId="5B33F961" w:rsidR="00864410" w:rsidRPr="00CB74CA" w:rsidRDefault="00864410" w:rsidP="00461A81">
            <w:pPr>
              <w:spacing w:line="276" w:lineRule="auto"/>
              <w:jc w:val="both"/>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Tr</w:t>
            </w:r>
            <w:r w:rsidR="00D81839">
              <w:rPr>
                <w:rFonts w:asciiTheme="majorHAnsi" w:eastAsia="Times New Roman" w:hAnsiTheme="majorHAnsi" w:cstheme="majorHAnsi"/>
                <w:i/>
                <w:sz w:val="20"/>
                <w:szCs w:val="20"/>
                <w:lang w:val="ro-MD"/>
              </w:rPr>
              <w:t>im.</w:t>
            </w:r>
            <w:r w:rsidRPr="00CB74CA">
              <w:rPr>
                <w:rFonts w:asciiTheme="majorHAnsi" w:eastAsia="Times New Roman" w:hAnsiTheme="majorHAnsi" w:cstheme="majorHAnsi"/>
                <w:i/>
                <w:sz w:val="20"/>
                <w:szCs w:val="20"/>
                <w:lang w:val="ro-MD"/>
              </w:rPr>
              <w:t>IV 2023 (în condițiile că proiectul de modificare va fi susținut de toate părțile interesate și nu vor crea obstacole).</w:t>
            </w:r>
          </w:p>
          <w:p w14:paraId="2D2C1429" w14:textId="77777777" w:rsidR="00864410" w:rsidRPr="00CB74CA" w:rsidRDefault="00864410" w:rsidP="00461A81">
            <w:pPr>
              <w:rPr>
                <w:rFonts w:asciiTheme="majorHAnsi" w:eastAsia="Times New Roman" w:hAnsiTheme="majorHAnsi" w:cstheme="majorHAnsi"/>
                <w:sz w:val="20"/>
                <w:szCs w:val="20"/>
                <w:lang w:val="ro-MD"/>
              </w:rPr>
            </w:pPr>
          </w:p>
          <w:p w14:paraId="0F0E43C9" w14:textId="77777777" w:rsidR="00864410" w:rsidRPr="00CB74CA" w:rsidRDefault="00864410" w:rsidP="00461A81">
            <w:pPr>
              <w:rPr>
                <w:rFonts w:asciiTheme="majorHAnsi" w:eastAsia="Times New Roman" w:hAnsiTheme="majorHAnsi" w:cstheme="majorHAnsi"/>
                <w:sz w:val="20"/>
                <w:szCs w:val="20"/>
                <w:lang w:val="ro-MD"/>
              </w:rPr>
            </w:pPr>
          </w:p>
          <w:p w14:paraId="314B3629" w14:textId="77777777" w:rsidR="00864410" w:rsidRPr="00CB74CA" w:rsidRDefault="00864410" w:rsidP="00461A81">
            <w:pPr>
              <w:rPr>
                <w:rFonts w:asciiTheme="majorHAnsi" w:eastAsia="Times New Roman" w:hAnsiTheme="majorHAnsi" w:cstheme="majorHAnsi"/>
                <w:sz w:val="20"/>
                <w:szCs w:val="20"/>
                <w:lang w:val="ro-MD"/>
              </w:rPr>
            </w:pPr>
          </w:p>
          <w:p w14:paraId="2D6988F4" w14:textId="77777777" w:rsidR="00864410" w:rsidRPr="00CB74CA" w:rsidRDefault="00864410" w:rsidP="00461A81">
            <w:pPr>
              <w:rPr>
                <w:rFonts w:asciiTheme="majorHAnsi" w:eastAsia="Times New Roman" w:hAnsiTheme="majorHAnsi" w:cstheme="majorHAnsi"/>
                <w:sz w:val="20"/>
                <w:szCs w:val="20"/>
                <w:lang w:val="ro-MD"/>
              </w:rPr>
            </w:pPr>
          </w:p>
          <w:p w14:paraId="44B7CC1C" w14:textId="77777777" w:rsidR="00864410" w:rsidRPr="00CB74CA" w:rsidRDefault="00864410" w:rsidP="00461A81">
            <w:pPr>
              <w:rPr>
                <w:rFonts w:asciiTheme="majorHAnsi" w:eastAsia="Times New Roman" w:hAnsiTheme="majorHAnsi" w:cstheme="majorHAnsi"/>
                <w:sz w:val="20"/>
                <w:szCs w:val="20"/>
                <w:lang w:val="ro-MD"/>
              </w:rPr>
            </w:pPr>
          </w:p>
          <w:p w14:paraId="5A1E3559" w14:textId="77777777" w:rsidR="00864410" w:rsidRPr="00CB74CA" w:rsidRDefault="00864410" w:rsidP="00461A81">
            <w:pPr>
              <w:rPr>
                <w:rFonts w:asciiTheme="majorHAnsi" w:eastAsia="Times New Roman" w:hAnsiTheme="majorHAnsi" w:cstheme="majorHAnsi"/>
                <w:sz w:val="20"/>
                <w:szCs w:val="20"/>
                <w:lang w:val="ro-MD"/>
              </w:rPr>
            </w:pPr>
          </w:p>
          <w:p w14:paraId="53F175BE" w14:textId="77777777" w:rsidR="00864410" w:rsidRPr="00CB74CA" w:rsidRDefault="00864410" w:rsidP="00461A81">
            <w:pPr>
              <w:rPr>
                <w:rFonts w:asciiTheme="majorHAnsi" w:eastAsia="Times New Roman" w:hAnsiTheme="majorHAnsi" w:cstheme="majorHAnsi"/>
                <w:sz w:val="20"/>
                <w:szCs w:val="20"/>
                <w:lang w:val="ro-MD"/>
              </w:rPr>
            </w:pPr>
          </w:p>
          <w:p w14:paraId="713ECEC4" w14:textId="77777777" w:rsidR="00864410" w:rsidRPr="00CB74CA" w:rsidRDefault="00864410" w:rsidP="00461A81">
            <w:pPr>
              <w:rPr>
                <w:rFonts w:asciiTheme="majorHAnsi" w:eastAsia="Times New Roman" w:hAnsiTheme="majorHAnsi" w:cstheme="majorHAnsi"/>
                <w:sz w:val="20"/>
                <w:szCs w:val="20"/>
                <w:lang w:val="ro-MD"/>
              </w:rPr>
            </w:pPr>
          </w:p>
          <w:p w14:paraId="118F1FC1" w14:textId="77777777" w:rsidR="00864410" w:rsidRPr="00CB74CA" w:rsidRDefault="00864410" w:rsidP="00461A81">
            <w:pPr>
              <w:rPr>
                <w:rFonts w:asciiTheme="majorHAnsi" w:eastAsia="Times New Roman" w:hAnsiTheme="majorHAnsi" w:cstheme="majorHAnsi"/>
                <w:sz w:val="20"/>
                <w:szCs w:val="20"/>
                <w:lang w:val="ro-MD"/>
              </w:rPr>
            </w:pPr>
          </w:p>
          <w:p w14:paraId="3AC1EDFB" w14:textId="77777777" w:rsidR="00864410" w:rsidRPr="00CB74CA" w:rsidRDefault="00864410" w:rsidP="00461A81">
            <w:pPr>
              <w:rPr>
                <w:rFonts w:asciiTheme="majorHAnsi" w:eastAsia="Times New Roman" w:hAnsiTheme="majorHAnsi" w:cstheme="majorHAnsi"/>
                <w:sz w:val="20"/>
                <w:szCs w:val="20"/>
                <w:lang w:val="ro-MD"/>
              </w:rPr>
            </w:pPr>
          </w:p>
          <w:p w14:paraId="3CD378DF" w14:textId="77777777" w:rsidR="00864410" w:rsidRPr="00CB74CA" w:rsidRDefault="00864410" w:rsidP="00461A81">
            <w:pPr>
              <w:rPr>
                <w:rFonts w:asciiTheme="majorHAnsi" w:eastAsia="Times New Roman" w:hAnsiTheme="majorHAnsi" w:cstheme="majorHAnsi"/>
                <w:sz w:val="20"/>
                <w:szCs w:val="20"/>
                <w:lang w:val="ro-MD"/>
              </w:rPr>
            </w:pPr>
          </w:p>
          <w:p w14:paraId="17D0CFD1" w14:textId="77777777" w:rsidR="00864410" w:rsidRPr="00CB74CA" w:rsidRDefault="00864410" w:rsidP="00461A81">
            <w:pPr>
              <w:rPr>
                <w:rFonts w:asciiTheme="majorHAnsi" w:eastAsia="Times New Roman" w:hAnsiTheme="majorHAnsi" w:cstheme="majorHAnsi"/>
                <w:sz w:val="20"/>
                <w:szCs w:val="20"/>
                <w:lang w:val="ro-MD"/>
              </w:rPr>
            </w:pPr>
          </w:p>
          <w:p w14:paraId="40C13F5F" w14:textId="77777777" w:rsidR="00864410" w:rsidRPr="00CB74CA" w:rsidRDefault="00864410" w:rsidP="00461A81">
            <w:pPr>
              <w:rPr>
                <w:rFonts w:asciiTheme="majorHAnsi" w:eastAsia="Times New Roman" w:hAnsiTheme="majorHAnsi" w:cstheme="majorHAnsi"/>
                <w:sz w:val="20"/>
                <w:szCs w:val="20"/>
                <w:lang w:val="ro-MD"/>
              </w:rPr>
            </w:pPr>
          </w:p>
          <w:p w14:paraId="50A8ED10" w14:textId="77777777" w:rsidR="00864410" w:rsidRPr="00CB74CA" w:rsidRDefault="00864410" w:rsidP="00461A81">
            <w:pPr>
              <w:rPr>
                <w:rFonts w:asciiTheme="majorHAnsi" w:eastAsia="Times New Roman" w:hAnsiTheme="majorHAnsi" w:cstheme="majorHAnsi"/>
                <w:sz w:val="20"/>
                <w:szCs w:val="20"/>
                <w:lang w:val="ro-MD"/>
              </w:rPr>
            </w:pPr>
          </w:p>
          <w:p w14:paraId="7B9B5893" w14:textId="77777777" w:rsidR="00864410" w:rsidRPr="00CB74CA" w:rsidRDefault="00864410" w:rsidP="00461A81">
            <w:pPr>
              <w:rPr>
                <w:rFonts w:asciiTheme="majorHAnsi" w:eastAsia="Times New Roman" w:hAnsiTheme="majorHAnsi" w:cstheme="majorHAnsi"/>
                <w:sz w:val="20"/>
                <w:szCs w:val="20"/>
                <w:lang w:val="ro-MD"/>
              </w:rPr>
            </w:pPr>
            <w:r w:rsidRPr="00CB74CA">
              <w:rPr>
                <w:rFonts w:asciiTheme="majorHAnsi" w:eastAsia="Times New Roman" w:hAnsiTheme="majorHAnsi" w:cstheme="majorHAnsi"/>
                <w:sz w:val="20"/>
                <w:szCs w:val="20"/>
                <w:lang w:val="ro-MD"/>
              </w:rPr>
              <w:t>-//-//-//-//-//-</w:t>
            </w:r>
          </w:p>
        </w:tc>
      </w:tr>
      <w:tr w:rsidR="00864410" w:rsidRPr="00CB74CA" w14:paraId="36C00A27" w14:textId="77777777" w:rsidTr="00461A81">
        <w:trPr>
          <w:trHeight w:val="492"/>
        </w:trPr>
        <w:tc>
          <w:tcPr>
            <w:tcW w:w="1693" w:type="pct"/>
          </w:tcPr>
          <w:p w14:paraId="0C93092F" w14:textId="20AB9CBB" w:rsidR="00864410" w:rsidRPr="00CB74CA" w:rsidRDefault="00864410" w:rsidP="00461A81">
            <w:pPr>
              <w:pStyle w:val="ListParagraph"/>
              <w:tabs>
                <w:tab w:val="left" w:pos="270"/>
              </w:tabs>
              <w:spacing w:line="276" w:lineRule="auto"/>
              <w:ind w:left="34" w:firstLine="851"/>
              <w:jc w:val="both"/>
              <w:rPr>
                <w:rFonts w:asciiTheme="majorHAnsi" w:eastAsia="Times New Roman" w:hAnsiTheme="majorHAnsi" w:cstheme="majorHAnsi"/>
                <w:i/>
                <w:iCs/>
                <w:sz w:val="20"/>
                <w:szCs w:val="20"/>
                <w:lang w:val="ro-MD" w:eastAsia="ro-MD"/>
              </w:rPr>
            </w:pPr>
            <w:r w:rsidRPr="00CB74CA">
              <w:rPr>
                <w:rFonts w:asciiTheme="majorHAnsi" w:eastAsia="Times New Roman" w:hAnsiTheme="majorHAnsi" w:cstheme="majorHAnsi"/>
                <w:i/>
                <w:iCs/>
                <w:sz w:val="20"/>
                <w:szCs w:val="20"/>
                <w:lang w:val="ro-MD" w:eastAsia="ro-MD"/>
              </w:rPr>
              <w:t xml:space="preserve">Concepția infrastructurii calității în Republica Moldova, precum și Planul de acțiuni concrete pentru implementarea acesteia au fost stabilite și realizate pentru perioada </w:t>
            </w:r>
            <w:r w:rsidR="005B78AE">
              <w:rPr>
                <w:rFonts w:asciiTheme="majorHAnsi" w:eastAsia="Times New Roman" w:hAnsiTheme="majorHAnsi" w:cstheme="majorHAnsi"/>
                <w:i/>
                <w:iCs/>
                <w:sz w:val="20"/>
                <w:szCs w:val="20"/>
                <w:lang w:val="ro-MD" w:eastAsia="ro-MD"/>
              </w:rPr>
              <w:t xml:space="preserve">anilor </w:t>
            </w:r>
            <w:r w:rsidRPr="00CB74CA">
              <w:rPr>
                <w:rFonts w:asciiTheme="majorHAnsi" w:eastAsia="Times New Roman" w:hAnsiTheme="majorHAnsi" w:cstheme="majorHAnsi"/>
                <w:i/>
                <w:iCs/>
                <w:sz w:val="20"/>
                <w:szCs w:val="20"/>
                <w:lang w:val="ro-MD" w:eastAsia="ro-MD"/>
              </w:rPr>
              <w:t>2006-2020, iar o altă Strategie de dezvoltare sectorială</w:t>
            </w:r>
            <w:r w:rsidR="005B78AE">
              <w:rPr>
                <w:rFonts w:asciiTheme="majorHAnsi" w:eastAsia="Times New Roman" w:hAnsiTheme="majorHAnsi" w:cstheme="majorHAnsi"/>
                <w:i/>
                <w:iCs/>
                <w:sz w:val="20"/>
                <w:szCs w:val="20"/>
                <w:lang w:val="ro-MD" w:eastAsia="ro-MD"/>
              </w:rPr>
              <w:t>,</w:t>
            </w:r>
            <w:r w:rsidRPr="00CB74CA">
              <w:rPr>
                <w:rFonts w:asciiTheme="majorHAnsi" w:eastAsia="Times New Roman" w:hAnsiTheme="majorHAnsi" w:cstheme="majorHAnsi"/>
                <w:i/>
                <w:iCs/>
                <w:sz w:val="20"/>
                <w:szCs w:val="20"/>
                <w:lang w:val="ro-MD" w:eastAsia="ro-MD"/>
              </w:rPr>
              <w:t xml:space="preserve"> până în prezent</w:t>
            </w:r>
            <w:r w:rsidR="005B78AE">
              <w:rPr>
                <w:rFonts w:asciiTheme="majorHAnsi" w:eastAsia="Times New Roman" w:hAnsiTheme="majorHAnsi" w:cstheme="majorHAnsi"/>
                <w:i/>
                <w:iCs/>
                <w:sz w:val="20"/>
                <w:szCs w:val="20"/>
                <w:lang w:val="ro-MD" w:eastAsia="ro-MD"/>
              </w:rPr>
              <w:t>,</w:t>
            </w:r>
            <w:r w:rsidRPr="00CB74CA">
              <w:rPr>
                <w:rFonts w:asciiTheme="majorHAnsi" w:eastAsia="Times New Roman" w:hAnsiTheme="majorHAnsi" w:cstheme="majorHAnsi"/>
                <w:i/>
                <w:iCs/>
                <w:sz w:val="20"/>
                <w:szCs w:val="20"/>
                <w:lang w:val="ro-MD" w:eastAsia="ro-MD"/>
              </w:rPr>
              <w:t xml:space="preserve"> nu a fost elaborată. </w:t>
            </w:r>
          </w:p>
          <w:p w14:paraId="7FD3FE87" w14:textId="31FB2854" w:rsidR="00864410" w:rsidRPr="00CB74CA" w:rsidRDefault="00864410" w:rsidP="00B52EC6">
            <w:pPr>
              <w:pStyle w:val="ListParagraph"/>
              <w:tabs>
                <w:tab w:val="left" w:pos="270"/>
              </w:tabs>
              <w:spacing w:line="276" w:lineRule="auto"/>
              <w:ind w:left="34" w:firstLine="851"/>
              <w:jc w:val="both"/>
              <w:rPr>
                <w:rFonts w:asciiTheme="majorHAnsi" w:eastAsia="Times New Roman" w:hAnsiTheme="majorHAnsi" w:cstheme="majorHAnsi"/>
                <w:i/>
                <w:iCs/>
                <w:sz w:val="20"/>
                <w:szCs w:val="20"/>
                <w:lang w:val="ro-MD" w:eastAsia="ro-MD"/>
              </w:rPr>
            </w:pPr>
            <w:r w:rsidRPr="00CB74CA">
              <w:rPr>
                <w:rFonts w:asciiTheme="majorHAnsi" w:eastAsia="Times New Roman" w:hAnsiTheme="majorHAnsi" w:cstheme="majorHAnsi"/>
                <w:i/>
                <w:iCs/>
                <w:sz w:val="20"/>
                <w:szCs w:val="20"/>
                <w:lang w:val="ro-MD" w:eastAsia="ro-MD"/>
              </w:rPr>
              <w:t>În contextul alinierii la obiectivele Uniunii Europene în materie de reglementări tehnice</w:t>
            </w:r>
            <w:r w:rsidRPr="00B52EC6">
              <w:rPr>
                <w:rFonts w:asciiTheme="majorHAnsi" w:eastAsia="Times New Roman" w:hAnsiTheme="majorHAnsi" w:cstheme="majorHAnsi"/>
                <w:i/>
                <w:iCs/>
                <w:sz w:val="20"/>
                <w:szCs w:val="20"/>
                <w:lang w:val="ro-MD" w:eastAsia="ro-MD"/>
              </w:rPr>
              <w:t>, standarde,</w:t>
            </w:r>
            <w:r w:rsidRPr="00CB74CA">
              <w:rPr>
                <w:rFonts w:asciiTheme="majorHAnsi" w:eastAsia="Times New Roman" w:hAnsiTheme="majorHAnsi" w:cstheme="majorHAnsi"/>
                <w:i/>
                <w:iCs/>
                <w:sz w:val="20"/>
                <w:szCs w:val="20"/>
                <w:lang w:val="ro-MD" w:eastAsia="ro-MD"/>
              </w:rPr>
              <w:t xml:space="preserve"> metrologie, acreditare, evaluarea conformității, sisteme corespunzătoare de supraveghere a pieței, precum și dat</w:t>
            </w:r>
            <w:r w:rsidR="005B78AE">
              <w:rPr>
                <w:rFonts w:asciiTheme="majorHAnsi" w:eastAsia="Times New Roman" w:hAnsiTheme="majorHAnsi" w:cstheme="majorHAnsi"/>
                <w:i/>
                <w:iCs/>
                <w:sz w:val="20"/>
                <w:szCs w:val="20"/>
                <w:lang w:val="ro-MD" w:eastAsia="ro-MD"/>
              </w:rPr>
              <w:t xml:space="preserve">ă  </w:t>
            </w:r>
            <w:r w:rsidRPr="00CB74CA">
              <w:rPr>
                <w:rFonts w:asciiTheme="majorHAnsi" w:eastAsia="Times New Roman" w:hAnsiTheme="majorHAnsi" w:cstheme="majorHAnsi"/>
                <w:i/>
                <w:iCs/>
                <w:sz w:val="20"/>
                <w:szCs w:val="20"/>
                <w:lang w:val="ro-MD" w:eastAsia="ro-MD"/>
              </w:rPr>
              <w:t xml:space="preserve"> fiind susținerea dezvoltării domeniului infrastructurii calității cu mijloace financiare din </w:t>
            </w:r>
            <w:r w:rsidR="005B78AE">
              <w:rPr>
                <w:rFonts w:asciiTheme="majorHAnsi" w:eastAsia="Times New Roman" w:hAnsiTheme="majorHAnsi" w:cstheme="majorHAnsi"/>
                <w:i/>
                <w:iCs/>
                <w:sz w:val="20"/>
                <w:szCs w:val="20"/>
                <w:lang w:val="ro-MD" w:eastAsia="ro-MD"/>
              </w:rPr>
              <w:t>b</w:t>
            </w:r>
            <w:r w:rsidRPr="00CB74CA">
              <w:rPr>
                <w:rFonts w:asciiTheme="majorHAnsi" w:eastAsia="Times New Roman" w:hAnsiTheme="majorHAnsi" w:cstheme="majorHAnsi"/>
                <w:i/>
                <w:iCs/>
                <w:sz w:val="20"/>
                <w:szCs w:val="20"/>
                <w:lang w:val="ro-MD" w:eastAsia="ro-MD"/>
              </w:rPr>
              <w:t xml:space="preserve">ugetul de stat, </w:t>
            </w:r>
            <w:r w:rsidR="005B78AE" w:rsidRPr="00CB74CA">
              <w:rPr>
                <w:rFonts w:asciiTheme="majorHAnsi" w:eastAsia="Times New Roman" w:hAnsiTheme="majorHAnsi" w:cstheme="majorHAnsi"/>
                <w:i/>
                <w:iCs/>
                <w:sz w:val="20"/>
                <w:szCs w:val="20"/>
                <w:lang w:val="ro-MD" w:eastAsia="ro-MD"/>
              </w:rPr>
              <w:t xml:space="preserve">devine imperial necesară </w:t>
            </w:r>
            <w:r w:rsidRPr="00CB74CA">
              <w:rPr>
                <w:rFonts w:asciiTheme="majorHAnsi" w:eastAsia="Times New Roman" w:hAnsiTheme="majorHAnsi" w:cstheme="majorHAnsi"/>
                <w:i/>
                <w:iCs/>
                <w:sz w:val="20"/>
                <w:szCs w:val="20"/>
                <w:lang w:val="ro-MD" w:eastAsia="ro-MD"/>
              </w:rPr>
              <w:t xml:space="preserve">elaborarea unei Strategii de dezvoltare sectorială pe termen lung, care să promoveze interesul public în economia națională prin intermediul instituțiilor publice de domeniu și să fie fundamentată pe descrierea problemelor în domeniu, cauzelor acestora, obiectivelor și activităților planificate, precum și </w:t>
            </w:r>
            <w:r w:rsidR="005B78AE">
              <w:rPr>
                <w:rFonts w:asciiTheme="majorHAnsi" w:eastAsia="Times New Roman" w:hAnsiTheme="majorHAnsi" w:cstheme="majorHAnsi"/>
                <w:i/>
                <w:iCs/>
                <w:sz w:val="20"/>
                <w:szCs w:val="20"/>
                <w:lang w:val="ro-MD" w:eastAsia="ro-MD"/>
              </w:rPr>
              <w:t xml:space="preserve">a </w:t>
            </w:r>
            <w:r w:rsidRPr="00CB74CA">
              <w:rPr>
                <w:rFonts w:asciiTheme="majorHAnsi" w:eastAsia="Times New Roman" w:hAnsiTheme="majorHAnsi" w:cstheme="majorHAnsi"/>
                <w:i/>
                <w:iCs/>
                <w:sz w:val="20"/>
                <w:szCs w:val="20"/>
                <w:lang w:val="ro-MD" w:eastAsia="ro-MD"/>
              </w:rPr>
              <w:t>impactul</w:t>
            </w:r>
            <w:r w:rsidR="005B78AE">
              <w:rPr>
                <w:rFonts w:asciiTheme="majorHAnsi" w:eastAsia="Times New Roman" w:hAnsiTheme="majorHAnsi" w:cstheme="majorHAnsi"/>
                <w:i/>
                <w:iCs/>
                <w:sz w:val="20"/>
                <w:szCs w:val="20"/>
                <w:lang w:val="ro-MD" w:eastAsia="ro-MD"/>
              </w:rPr>
              <w:t>ui</w:t>
            </w:r>
            <w:r w:rsidRPr="00CB74CA">
              <w:rPr>
                <w:rFonts w:asciiTheme="majorHAnsi" w:eastAsia="Times New Roman" w:hAnsiTheme="majorHAnsi" w:cstheme="majorHAnsi"/>
                <w:i/>
                <w:iCs/>
                <w:sz w:val="20"/>
                <w:szCs w:val="20"/>
                <w:lang w:val="ro-MD" w:eastAsia="ro-MD"/>
              </w:rPr>
              <w:t xml:space="preserve"> așteptat</w:t>
            </w:r>
          </w:p>
        </w:tc>
        <w:tc>
          <w:tcPr>
            <w:tcW w:w="954" w:type="pct"/>
          </w:tcPr>
          <w:p w14:paraId="02D87290" w14:textId="0B46FE6D" w:rsidR="00864410" w:rsidRPr="00CB74CA" w:rsidRDefault="00864410" w:rsidP="00461A81">
            <w:pPr>
              <w:pStyle w:val="msonormalmailrucssattributepostfix"/>
              <w:spacing w:before="0" w:beforeAutospacing="0" w:after="0" w:afterAutospacing="0" w:line="276" w:lineRule="auto"/>
              <w:jc w:val="both"/>
              <w:rPr>
                <w:rFonts w:asciiTheme="majorHAnsi" w:hAnsiTheme="majorHAnsi" w:cstheme="majorHAnsi"/>
                <w:i/>
                <w:color w:val="000000" w:themeColor="text1"/>
                <w:sz w:val="20"/>
                <w:szCs w:val="20"/>
                <w:shd w:val="clear" w:color="auto" w:fill="FFFFFF"/>
                <w:lang w:val="ro-MD"/>
              </w:rPr>
            </w:pPr>
            <w:r w:rsidRPr="00CB74CA">
              <w:rPr>
                <w:rFonts w:asciiTheme="majorHAnsi" w:hAnsiTheme="majorHAnsi" w:cstheme="majorHAnsi"/>
                <w:i/>
                <w:color w:val="000000" w:themeColor="text1"/>
                <w:sz w:val="20"/>
                <w:szCs w:val="20"/>
                <w:shd w:val="clear" w:color="auto" w:fill="FFFFFF"/>
                <w:lang w:val="ro-MD"/>
              </w:rPr>
              <w:tab/>
            </w:r>
            <w:r w:rsidR="005B78AE">
              <w:rPr>
                <w:rFonts w:asciiTheme="majorHAnsi" w:hAnsiTheme="majorHAnsi" w:cstheme="majorHAnsi"/>
                <w:i/>
                <w:color w:val="000000" w:themeColor="text1"/>
                <w:sz w:val="20"/>
                <w:szCs w:val="20"/>
                <w:shd w:val="clear" w:color="auto" w:fill="FFFFFF"/>
                <w:lang w:val="ro-MD"/>
              </w:rPr>
              <w:t>S</w:t>
            </w:r>
            <w:r w:rsidRPr="00CB74CA">
              <w:rPr>
                <w:rFonts w:asciiTheme="majorHAnsi" w:hAnsiTheme="majorHAnsi" w:cstheme="majorHAnsi"/>
                <w:i/>
                <w:color w:val="000000" w:themeColor="text1"/>
                <w:sz w:val="20"/>
                <w:szCs w:val="20"/>
                <w:shd w:val="clear" w:color="auto" w:fill="FFFFFF"/>
                <w:lang w:val="ro-MD"/>
              </w:rPr>
              <w:t>ă  asigure elaborarea unei Strategii sectoriale în vederea dezvoltării politicii statului în domeniul infrastructurii calității</w:t>
            </w:r>
            <w:r w:rsidR="005B78AE">
              <w:rPr>
                <w:rFonts w:asciiTheme="majorHAnsi" w:hAnsiTheme="majorHAnsi" w:cstheme="majorHAnsi"/>
                <w:i/>
                <w:color w:val="000000" w:themeColor="text1"/>
                <w:sz w:val="20"/>
                <w:szCs w:val="20"/>
                <w:shd w:val="clear" w:color="auto" w:fill="FFFFFF"/>
                <w:lang w:val="ro-MD"/>
              </w:rPr>
              <w:t>,</w:t>
            </w:r>
            <w:r w:rsidR="00286F1F">
              <w:rPr>
                <w:rFonts w:asciiTheme="majorHAnsi" w:hAnsiTheme="majorHAnsi" w:cstheme="majorHAnsi"/>
                <w:i/>
                <w:color w:val="000000" w:themeColor="text1"/>
                <w:sz w:val="20"/>
                <w:szCs w:val="20"/>
                <w:shd w:val="clear" w:color="auto" w:fill="FFFFFF"/>
                <w:lang w:val="ro-MD"/>
              </w:rPr>
              <w:t xml:space="preserve"> </w:t>
            </w:r>
            <w:r w:rsidR="00286F1F" w:rsidRPr="009F492C">
              <w:rPr>
                <w:rFonts w:asciiTheme="majorHAnsi" w:hAnsiTheme="majorHAnsi" w:cstheme="majorHAnsi"/>
                <w:i/>
                <w:color w:val="000000" w:themeColor="text1"/>
                <w:sz w:val="20"/>
                <w:szCs w:val="20"/>
                <w:shd w:val="clear" w:color="auto" w:fill="FFFFFF"/>
                <w:lang w:val="ro-MD"/>
              </w:rPr>
              <w:t>cu   indicarea surselor și modalităților de finanțare</w:t>
            </w:r>
            <w:r w:rsidRPr="009F492C">
              <w:rPr>
                <w:rFonts w:asciiTheme="majorHAnsi" w:hAnsiTheme="majorHAnsi" w:cstheme="majorHAnsi"/>
                <w:i/>
                <w:color w:val="000000" w:themeColor="text1"/>
                <w:sz w:val="20"/>
                <w:szCs w:val="20"/>
                <w:shd w:val="clear" w:color="auto" w:fill="FFFFFF"/>
                <w:lang w:val="ro-MD"/>
              </w:rPr>
              <w:t xml:space="preserve"> </w:t>
            </w:r>
            <w:r w:rsidR="00286F1F" w:rsidRPr="009F492C">
              <w:rPr>
                <w:rFonts w:asciiTheme="majorHAnsi" w:hAnsiTheme="majorHAnsi" w:cstheme="majorHAnsi"/>
                <w:i/>
                <w:color w:val="000000" w:themeColor="text1"/>
                <w:sz w:val="20"/>
                <w:szCs w:val="20"/>
                <w:shd w:val="clear" w:color="auto" w:fill="FFFFFF"/>
                <w:lang w:val="ro-MD"/>
              </w:rPr>
              <w:t xml:space="preserve">a domeniului respectiv </w:t>
            </w:r>
            <w:r w:rsidRPr="009F492C">
              <w:rPr>
                <w:rFonts w:asciiTheme="majorHAnsi" w:hAnsiTheme="majorHAnsi" w:cstheme="majorHAnsi"/>
                <w:i/>
                <w:color w:val="000000" w:themeColor="text1"/>
                <w:sz w:val="20"/>
                <w:szCs w:val="20"/>
                <w:shd w:val="clear" w:color="auto" w:fill="FFFFFF"/>
                <w:lang w:val="ro-MD"/>
              </w:rPr>
              <w:t>(pct.4</w:t>
            </w:r>
            <w:r w:rsidRPr="00CB74CA">
              <w:rPr>
                <w:rFonts w:asciiTheme="majorHAnsi" w:hAnsiTheme="majorHAnsi" w:cstheme="majorHAnsi"/>
                <w:i/>
                <w:color w:val="000000" w:themeColor="text1"/>
                <w:sz w:val="20"/>
                <w:szCs w:val="20"/>
                <w:shd w:val="clear" w:color="auto" w:fill="FFFFFF"/>
                <w:lang w:val="ro-MD"/>
              </w:rPr>
              <w:t>.3.1.)</w:t>
            </w:r>
            <w:r w:rsidR="005B78AE">
              <w:rPr>
                <w:rFonts w:asciiTheme="majorHAnsi" w:hAnsiTheme="majorHAnsi" w:cstheme="majorHAnsi"/>
                <w:i/>
                <w:color w:val="000000" w:themeColor="text1"/>
                <w:sz w:val="20"/>
                <w:szCs w:val="20"/>
                <w:shd w:val="clear" w:color="auto" w:fill="FFFFFF"/>
                <w:lang w:val="ro-MD"/>
              </w:rPr>
              <w:t>.</w:t>
            </w:r>
          </w:p>
        </w:tc>
        <w:tc>
          <w:tcPr>
            <w:tcW w:w="1092" w:type="pct"/>
          </w:tcPr>
          <w:p w14:paraId="44AFB8FB" w14:textId="32844A6D" w:rsidR="00864410" w:rsidRPr="00255E9C" w:rsidRDefault="00864410" w:rsidP="00461A81">
            <w:pPr>
              <w:spacing w:line="276" w:lineRule="auto"/>
              <w:jc w:val="both"/>
              <w:rPr>
                <w:rFonts w:asciiTheme="majorHAnsi" w:eastAsia="Times New Roman" w:hAnsiTheme="majorHAnsi" w:cstheme="majorHAnsi"/>
                <w:i/>
                <w:sz w:val="20"/>
                <w:szCs w:val="20"/>
                <w:lang w:val="ro-MD"/>
              </w:rPr>
            </w:pPr>
            <w:r w:rsidRPr="00255E9C">
              <w:rPr>
                <w:rFonts w:asciiTheme="majorHAnsi" w:eastAsia="Times New Roman" w:hAnsiTheme="majorHAnsi" w:cstheme="majorHAnsi"/>
                <w:i/>
                <w:sz w:val="20"/>
                <w:szCs w:val="20"/>
                <w:lang w:val="ro-MD"/>
              </w:rPr>
              <w:t xml:space="preserve">Cât privește elaborarea unei Strategii sectoriale în vederea dezvoltării politicii statului în domeniul infrastructurii calității (standardizare, metrologie, acreditare, evaluarea conformității), Ministerul Economiei urmează să elaboreze Strategia pe domeniul economic, ulterior se va elabora un  Program de dezvoltare </w:t>
            </w:r>
            <w:r w:rsidR="005B78AE">
              <w:rPr>
                <w:rFonts w:asciiTheme="majorHAnsi" w:eastAsia="Times New Roman" w:hAnsiTheme="majorHAnsi" w:cstheme="majorHAnsi"/>
                <w:i/>
                <w:sz w:val="20"/>
                <w:szCs w:val="20"/>
                <w:lang w:val="ro-MD"/>
              </w:rPr>
              <w:t xml:space="preserve">a </w:t>
            </w:r>
            <w:r w:rsidRPr="00255E9C">
              <w:rPr>
                <w:rFonts w:asciiTheme="majorHAnsi" w:eastAsia="Times New Roman" w:hAnsiTheme="majorHAnsi" w:cstheme="majorHAnsi"/>
                <w:i/>
                <w:sz w:val="20"/>
                <w:szCs w:val="20"/>
                <w:lang w:val="ro-MD"/>
              </w:rPr>
              <w:t>infrastructurii calității</w:t>
            </w:r>
            <w:r w:rsidR="005B78AE">
              <w:rPr>
                <w:rFonts w:asciiTheme="majorHAnsi" w:eastAsia="Times New Roman" w:hAnsiTheme="majorHAnsi" w:cstheme="majorHAnsi"/>
                <w:i/>
                <w:sz w:val="20"/>
                <w:szCs w:val="20"/>
                <w:lang w:val="ro-MD"/>
              </w:rPr>
              <w:t>,</w:t>
            </w:r>
            <w:r w:rsidRPr="00255E9C">
              <w:rPr>
                <w:rFonts w:asciiTheme="majorHAnsi" w:eastAsia="Times New Roman" w:hAnsiTheme="majorHAnsi" w:cstheme="majorHAnsi"/>
                <w:i/>
                <w:sz w:val="20"/>
                <w:szCs w:val="20"/>
                <w:lang w:val="ro-MD"/>
              </w:rPr>
              <w:t xml:space="preserve">                        </w:t>
            </w:r>
          </w:p>
          <w:p w14:paraId="245857A5" w14:textId="77777777" w:rsidR="00864410" w:rsidRPr="00CB74CA" w:rsidRDefault="00864410" w:rsidP="00461A81">
            <w:pPr>
              <w:spacing w:line="276" w:lineRule="auto"/>
              <w:jc w:val="both"/>
              <w:rPr>
                <w:rFonts w:asciiTheme="majorHAnsi" w:eastAsia="Times New Roman" w:hAnsiTheme="majorHAnsi" w:cstheme="majorHAnsi"/>
                <w:b/>
                <w:sz w:val="20"/>
                <w:szCs w:val="20"/>
                <w:lang w:val="ro-MD"/>
              </w:rPr>
            </w:pPr>
            <w:r w:rsidRPr="00255E9C">
              <w:rPr>
                <w:rFonts w:asciiTheme="majorHAnsi" w:eastAsia="Times New Roman" w:hAnsiTheme="majorHAnsi" w:cstheme="majorHAnsi"/>
                <w:i/>
                <w:sz w:val="20"/>
                <w:szCs w:val="20"/>
                <w:lang w:val="ro-MD"/>
              </w:rPr>
              <w:t>care va reflecta recomandările din Raportul Curții de Conturi.</w:t>
            </w:r>
          </w:p>
        </w:tc>
        <w:tc>
          <w:tcPr>
            <w:tcW w:w="480" w:type="pct"/>
          </w:tcPr>
          <w:p w14:paraId="6C2712FB" w14:textId="2B734E2C" w:rsidR="00864410" w:rsidRPr="00CB74CA" w:rsidRDefault="00864410" w:rsidP="00461A81">
            <w:pPr>
              <w:spacing w:line="276" w:lineRule="auto"/>
              <w:jc w:val="center"/>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M</w:t>
            </w:r>
            <w:r w:rsidR="005B78AE">
              <w:rPr>
                <w:rFonts w:asciiTheme="majorHAnsi" w:eastAsia="Times New Roman" w:hAnsiTheme="majorHAnsi" w:cstheme="majorHAnsi"/>
                <w:i/>
                <w:sz w:val="20"/>
                <w:szCs w:val="20"/>
                <w:lang w:val="ro-MD"/>
              </w:rPr>
              <w:t xml:space="preserve">inisterul </w:t>
            </w:r>
            <w:r w:rsidRPr="00CB74CA">
              <w:rPr>
                <w:rFonts w:asciiTheme="majorHAnsi" w:eastAsia="Times New Roman" w:hAnsiTheme="majorHAnsi" w:cstheme="majorHAnsi"/>
                <w:i/>
                <w:sz w:val="20"/>
                <w:szCs w:val="20"/>
                <w:lang w:val="ro-MD"/>
              </w:rPr>
              <w:t>E</w:t>
            </w:r>
            <w:r w:rsidR="005B78AE">
              <w:rPr>
                <w:rFonts w:asciiTheme="majorHAnsi" w:eastAsia="Times New Roman" w:hAnsiTheme="majorHAnsi" w:cstheme="majorHAnsi"/>
                <w:i/>
                <w:sz w:val="20"/>
                <w:szCs w:val="20"/>
                <w:lang w:val="ro-MD"/>
              </w:rPr>
              <w:t>conomiei</w:t>
            </w:r>
          </w:p>
        </w:tc>
        <w:tc>
          <w:tcPr>
            <w:tcW w:w="780" w:type="pct"/>
          </w:tcPr>
          <w:p w14:paraId="3210104F" w14:textId="48F51E82" w:rsidR="00864410" w:rsidRPr="00CB74CA" w:rsidRDefault="00864410" w:rsidP="00461A81">
            <w:pPr>
              <w:spacing w:line="276" w:lineRule="auto"/>
              <w:jc w:val="both"/>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Tr</w:t>
            </w:r>
            <w:r w:rsidR="005B78AE">
              <w:rPr>
                <w:rFonts w:asciiTheme="majorHAnsi" w:eastAsia="Times New Roman" w:hAnsiTheme="majorHAnsi" w:cstheme="majorHAnsi"/>
                <w:i/>
                <w:sz w:val="20"/>
                <w:szCs w:val="20"/>
                <w:lang w:val="ro-MD"/>
              </w:rPr>
              <w:t>im</w:t>
            </w:r>
            <w:r w:rsidRPr="00CB74CA">
              <w:rPr>
                <w:rFonts w:asciiTheme="majorHAnsi" w:eastAsia="Times New Roman" w:hAnsiTheme="majorHAnsi" w:cstheme="majorHAnsi"/>
                <w:i/>
                <w:sz w:val="20"/>
                <w:szCs w:val="20"/>
                <w:lang w:val="ro-MD"/>
              </w:rPr>
              <w:t xml:space="preserve">.IV 2023 </w:t>
            </w:r>
          </w:p>
          <w:p w14:paraId="2D4E7A8C" w14:textId="77777777" w:rsidR="00864410" w:rsidRPr="00CB74CA" w:rsidRDefault="00864410" w:rsidP="00461A81">
            <w:pPr>
              <w:spacing w:line="276" w:lineRule="auto"/>
              <w:jc w:val="both"/>
              <w:rPr>
                <w:rFonts w:asciiTheme="majorHAnsi" w:eastAsia="Times New Roman" w:hAnsiTheme="majorHAnsi" w:cstheme="majorHAnsi"/>
                <w:i/>
                <w:sz w:val="20"/>
                <w:szCs w:val="20"/>
                <w:lang w:val="ro-MD"/>
              </w:rPr>
            </w:pPr>
            <w:r w:rsidRPr="00CB74CA">
              <w:rPr>
                <w:rFonts w:asciiTheme="majorHAnsi" w:eastAsia="Times New Roman" w:hAnsiTheme="majorHAnsi" w:cstheme="majorHAnsi"/>
                <w:i/>
                <w:sz w:val="20"/>
                <w:szCs w:val="20"/>
                <w:lang w:val="ro-MD"/>
              </w:rPr>
              <w:t>(conform prevederilor proiectului PAG 2023)</w:t>
            </w:r>
          </w:p>
        </w:tc>
      </w:tr>
    </w:tbl>
    <w:p w14:paraId="005243FA" w14:textId="77777777" w:rsidR="00864410" w:rsidRPr="00CB74CA" w:rsidRDefault="00864410" w:rsidP="00864410">
      <w:pPr>
        <w:rPr>
          <w:rFonts w:asciiTheme="majorHAnsi" w:hAnsiTheme="majorHAnsi" w:cstheme="majorHAnsi"/>
          <w:color w:val="000000"/>
          <w:sz w:val="20"/>
          <w:szCs w:val="20"/>
          <w:lang w:val="ro-MD"/>
        </w:rPr>
      </w:pPr>
    </w:p>
    <w:p w14:paraId="0FAC5A52" w14:textId="77777777" w:rsidR="00255E9C" w:rsidRDefault="00864410" w:rsidP="00864410">
      <w:pPr>
        <w:rPr>
          <w:rFonts w:asciiTheme="majorHAnsi" w:hAnsiTheme="majorHAnsi" w:cstheme="majorHAnsi"/>
          <w:i/>
          <w:color w:val="000000"/>
          <w:sz w:val="20"/>
          <w:szCs w:val="20"/>
          <w:lang w:val="ro-MD"/>
        </w:rPr>
      </w:pPr>
      <w:r w:rsidRPr="00CB74CA">
        <w:rPr>
          <w:rFonts w:asciiTheme="majorHAnsi" w:hAnsiTheme="majorHAnsi" w:cstheme="majorHAnsi"/>
          <w:i/>
          <w:color w:val="000000"/>
          <w:sz w:val="20"/>
          <w:szCs w:val="20"/>
          <w:lang w:val="ro-MD"/>
        </w:rPr>
        <w:t>Responsabil de întocmirea Planului de acțiuni</w:t>
      </w:r>
      <w:r w:rsidR="00A33AB7">
        <w:rPr>
          <w:rFonts w:asciiTheme="majorHAnsi" w:hAnsiTheme="majorHAnsi" w:cstheme="majorHAnsi"/>
          <w:i/>
          <w:color w:val="000000"/>
          <w:sz w:val="20"/>
          <w:szCs w:val="20"/>
          <w:lang w:val="ro-MD"/>
        </w:rPr>
        <w:t>,</w:t>
      </w:r>
      <w:r w:rsidRPr="00CB74CA">
        <w:rPr>
          <w:rFonts w:asciiTheme="majorHAnsi" w:hAnsiTheme="majorHAnsi" w:cstheme="majorHAnsi"/>
          <w:i/>
          <w:color w:val="000000"/>
          <w:sz w:val="20"/>
          <w:szCs w:val="20"/>
          <w:lang w:val="ro-MD"/>
        </w:rPr>
        <w:t xml:space="preserve"> </w:t>
      </w:r>
    </w:p>
    <w:p w14:paraId="3D4572B5" w14:textId="6656168F" w:rsidR="00864410" w:rsidRPr="00CB74CA" w:rsidRDefault="00864410" w:rsidP="00864410">
      <w:pPr>
        <w:rPr>
          <w:rFonts w:asciiTheme="majorHAnsi" w:hAnsiTheme="majorHAnsi" w:cstheme="majorHAnsi"/>
          <w:i/>
          <w:sz w:val="20"/>
          <w:szCs w:val="20"/>
          <w:lang w:val="ro-MD"/>
        </w:rPr>
      </w:pPr>
      <w:r w:rsidRPr="00CB74CA">
        <w:rPr>
          <w:rFonts w:asciiTheme="majorHAnsi" w:hAnsiTheme="majorHAnsi" w:cstheme="majorHAnsi"/>
          <w:i/>
          <w:color w:val="000000"/>
          <w:sz w:val="20"/>
          <w:szCs w:val="20"/>
          <w:lang w:val="ro-MD"/>
        </w:rPr>
        <w:t xml:space="preserve">Șef </w:t>
      </w:r>
      <w:r w:rsidR="00A33AB7">
        <w:rPr>
          <w:rFonts w:asciiTheme="majorHAnsi" w:hAnsiTheme="majorHAnsi" w:cstheme="majorHAnsi"/>
          <w:i/>
          <w:color w:val="000000"/>
          <w:sz w:val="20"/>
          <w:szCs w:val="20"/>
          <w:lang w:val="ro-MD"/>
        </w:rPr>
        <w:t>D</w:t>
      </w:r>
      <w:r w:rsidRPr="00CB74CA">
        <w:rPr>
          <w:rFonts w:asciiTheme="majorHAnsi" w:hAnsiTheme="majorHAnsi" w:cstheme="majorHAnsi"/>
          <w:i/>
          <w:color w:val="000000"/>
          <w:sz w:val="20"/>
          <w:szCs w:val="20"/>
          <w:lang w:val="ro-MD"/>
        </w:rPr>
        <w:t>irecți</w:t>
      </w:r>
      <w:r w:rsidR="008201E8">
        <w:rPr>
          <w:rFonts w:asciiTheme="majorHAnsi" w:hAnsiTheme="majorHAnsi" w:cstheme="majorHAnsi"/>
          <w:i/>
          <w:color w:val="000000"/>
          <w:sz w:val="20"/>
          <w:szCs w:val="20"/>
          <w:lang w:val="ro-MD"/>
        </w:rPr>
        <w:t>a</w:t>
      </w:r>
      <w:r w:rsidRPr="00CB74CA">
        <w:rPr>
          <w:rFonts w:asciiTheme="majorHAnsi" w:hAnsiTheme="majorHAnsi" w:cstheme="majorHAnsi"/>
          <w:i/>
          <w:color w:val="000000"/>
          <w:sz w:val="20"/>
          <w:szCs w:val="20"/>
          <w:lang w:val="ro-MD"/>
        </w:rPr>
        <w:t xml:space="preserve"> infrastructura calității și supravegherea pieței</w:t>
      </w:r>
      <w:r w:rsidR="00A33AB7">
        <w:rPr>
          <w:rFonts w:asciiTheme="majorHAnsi" w:hAnsiTheme="majorHAnsi" w:cstheme="majorHAnsi"/>
          <w:i/>
          <w:color w:val="000000"/>
          <w:sz w:val="20"/>
          <w:szCs w:val="20"/>
          <w:lang w:val="ro-MD"/>
        </w:rPr>
        <w:t>,</w:t>
      </w:r>
      <w:r w:rsidRPr="00CB74CA">
        <w:rPr>
          <w:rFonts w:asciiTheme="majorHAnsi" w:hAnsiTheme="majorHAnsi" w:cstheme="majorHAnsi"/>
          <w:i/>
          <w:color w:val="000000"/>
          <w:sz w:val="20"/>
          <w:szCs w:val="20"/>
          <w:lang w:val="ro-MD"/>
        </w:rPr>
        <w:t xml:space="preserve"> Grigore Cațer.  </w:t>
      </w:r>
    </w:p>
    <w:p w14:paraId="1C174309" w14:textId="77777777" w:rsidR="007A20C9" w:rsidRPr="00CB74CA" w:rsidRDefault="007A20C9" w:rsidP="005A1FA4">
      <w:pPr>
        <w:rPr>
          <w:rFonts w:asciiTheme="majorHAnsi" w:hAnsiTheme="majorHAnsi" w:cstheme="majorHAnsi"/>
          <w:sz w:val="20"/>
          <w:szCs w:val="20"/>
          <w:lang w:val="ro-MD" w:eastAsia="ro-MD"/>
        </w:rPr>
      </w:pPr>
    </w:p>
    <w:sectPr w:rsidR="007A20C9" w:rsidRPr="00CB74CA" w:rsidSect="00CF7918">
      <w:pgSz w:w="16838" w:h="11906" w:orient="landscape" w:code="9"/>
      <w:pgMar w:top="1701" w:right="1140" w:bottom="567" w:left="141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72C6" w14:textId="77777777" w:rsidR="00D25ACA" w:rsidRDefault="00D25ACA" w:rsidP="00310251">
      <w:pPr>
        <w:spacing w:after="0" w:line="240" w:lineRule="auto"/>
      </w:pPr>
      <w:r>
        <w:separator/>
      </w:r>
    </w:p>
  </w:endnote>
  <w:endnote w:type="continuationSeparator" w:id="0">
    <w:p w14:paraId="7785BE94" w14:textId="77777777" w:rsidR="00D25ACA" w:rsidRDefault="00D25ACA"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60518"/>
      <w:docPartObj>
        <w:docPartGallery w:val="Page Numbers (Bottom of Page)"/>
        <w:docPartUnique/>
      </w:docPartObj>
    </w:sdtPr>
    <w:sdtEndPr>
      <w:rPr>
        <w:noProof/>
      </w:rPr>
    </w:sdtEndPr>
    <w:sdtContent>
      <w:p w14:paraId="1B5C3260" w14:textId="1441A2A6" w:rsidR="00F124D2" w:rsidRPr="0089386B" w:rsidRDefault="00F124D2">
        <w:pPr>
          <w:pStyle w:val="Footer"/>
          <w:jc w:val="right"/>
        </w:pPr>
        <w:r w:rsidRPr="0089386B">
          <w:rPr>
            <w:sz w:val="28"/>
            <w:szCs w:val="28"/>
          </w:rPr>
          <w:fldChar w:fldCharType="begin"/>
        </w:r>
        <w:r w:rsidRPr="0089386B">
          <w:rPr>
            <w:sz w:val="28"/>
            <w:szCs w:val="28"/>
          </w:rPr>
          <w:instrText xml:space="preserve"> PAGE   \* MERGEFORMAT </w:instrText>
        </w:r>
        <w:r w:rsidRPr="0089386B">
          <w:rPr>
            <w:sz w:val="28"/>
            <w:szCs w:val="28"/>
          </w:rPr>
          <w:fldChar w:fldCharType="separate"/>
        </w:r>
        <w:r w:rsidR="006E76C3">
          <w:rPr>
            <w:noProof/>
            <w:sz w:val="28"/>
            <w:szCs w:val="28"/>
          </w:rPr>
          <w:t>9</w:t>
        </w:r>
        <w:r w:rsidRPr="0089386B">
          <w:rPr>
            <w:noProof/>
            <w:sz w:val="28"/>
            <w:szCs w:val="28"/>
          </w:rPr>
          <w:fldChar w:fldCharType="end"/>
        </w:r>
      </w:p>
    </w:sdtContent>
  </w:sdt>
  <w:p w14:paraId="3B055DCC" w14:textId="77777777" w:rsidR="00F124D2" w:rsidRPr="007917DD" w:rsidRDefault="00F124D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1E7BE" w14:textId="77777777" w:rsidR="00D25ACA" w:rsidRDefault="00D25ACA" w:rsidP="00310251">
      <w:pPr>
        <w:spacing w:after="0" w:line="240" w:lineRule="auto"/>
      </w:pPr>
      <w:r>
        <w:separator/>
      </w:r>
    </w:p>
  </w:footnote>
  <w:footnote w:type="continuationSeparator" w:id="0">
    <w:p w14:paraId="39069B7D" w14:textId="77777777" w:rsidR="00D25ACA" w:rsidRDefault="00D25ACA" w:rsidP="00310251">
      <w:pPr>
        <w:spacing w:after="0" w:line="240" w:lineRule="auto"/>
      </w:pPr>
      <w:r>
        <w:continuationSeparator/>
      </w:r>
    </w:p>
  </w:footnote>
  <w:footnote w:id="1">
    <w:p w14:paraId="0EB87EEC" w14:textId="319876FC" w:rsidR="00F124D2" w:rsidRPr="00E66872" w:rsidRDefault="00F124D2" w:rsidP="0080396E">
      <w:pPr>
        <w:pStyle w:val="FootnoteText"/>
        <w:jc w:val="both"/>
        <w:rPr>
          <w:rFonts w:asciiTheme="majorHAnsi" w:hAnsiTheme="majorHAnsi" w:cstheme="majorHAnsi"/>
          <w:color w:val="FF0000"/>
          <w:sz w:val="16"/>
          <w:szCs w:val="16"/>
          <w:lang w:val="ro-MD"/>
        </w:rPr>
      </w:pPr>
      <w:r w:rsidRPr="00E66872">
        <w:rPr>
          <w:rStyle w:val="FootnoteReference"/>
          <w:rFonts w:asciiTheme="majorHAnsi" w:hAnsiTheme="majorHAnsi" w:cstheme="majorHAnsi"/>
          <w:sz w:val="16"/>
          <w:szCs w:val="16"/>
        </w:rPr>
        <w:footnoteRef/>
      </w:r>
      <w:r w:rsidRPr="0080396E">
        <w:rPr>
          <w:rFonts w:asciiTheme="majorHAnsi" w:hAnsiTheme="majorHAnsi" w:cstheme="majorHAnsi"/>
          <w:sz w:val="16"/>
          <w:szCs w:val="16"/>
          <w:vertAlign w:val="baseline"/>
          <w:lang w:val="ro-MD"/>
        </w:rPr>
        <w:t>Hotăr</w:t>
      </w:r>
      <w:r>
        <w:rPr>
          <w:rFonts w:asciiTheme="majorHAnsi" w:hAnsiTheme="majorHAnsi" w:cstheme="majorHAnsi"/>
          <w:sz w:val="16"/>
          <w:szCs w:val="16"/>
          <w:vertAlign w:val="baseline"/>
          <w:lang w:val="ro-MD"/>
        </w:rPr>
        <w:t>â</w:t>
      </w:r>
      <w:r w:rsidRPr="0080396E">
        <w:rPr>
          <w:rFonts w:asciiTheme="majorHAnsi" w:hAnsiTheme="majorHAnsi" w:cstheme="majorHAnsi"/>
          <w:sz w:val="16"/>
          <w:szCs w:val="16"/>
          <w:vertAlign w:val="baseline"/>
          <w:lang w:val="ro-MD"/>
        </w:rPr>
        <w:t>rea Guvernului nr.859 din 31.07.2006 cu privire la aprobarea Concepției infrastructurii calității în Republica Moldova</w:t>
      </w:r>
      <w:r>
        <w:rPr>
          <w:rFonts w:asciiTheme="majorHAnsi" w:hAnsiTheme="majorHAnsi" w:cstheme="majorHAnsi"/>
          <w:sz w:val="16"/>
          <w:szCs w:val="16"/>
          <w:vertAlign w:val="baseline"/>
          <w:lang w:val="ro-MD"/>
        </w:rPr>
        <w:t>.</w:t>
      </w:r>
    </w:p>
  </w:footnote>
  <w:footnote w:id="2">
    <w:p w14:paraId="435AFC9D" w14:textId="12148778" w:rsidR="00F124D2" w:rsidRPr="00354287" w:rsidRDefault="00F124D2">
      <w:pPr>
        <w:pStyle w:val="FootnoteText"/>
        <w:rPr>
          <w:rFonts w:asciiTheme="majorHAnsi" w:hAnsiTheme="majorHAnsi" w:cstheme="majorHAnsi"/>
          <w:sz w:val="16"/>
          <w:szCs w:val="16"/>
        </w:rPr>
      </w:pPr>
      <w:r w:rsidRPr="00255E9C">
        <w:rPr>
          <w:rStyle w:val="FootnoteReference"/>
          <w:rFonts w:asciiTheme="majorHAnsi" w:hAnsiTheme="majorHAnsi" w:cstheme="majorHAnsi"/>
          <w:sz w:val="16"/>
          <w:szCs w:val="16"/>
        </w:rPr>
        <w:footnoteRef/>
      </w:r>
      <w:r w:rsidRPr="00255E9C">
        <w:rPr>
          <w:rFonts w:asciiTheme="majorHAnsi" w:hAnsiTheme="majorHAnsi" w:cstheme="majorHAnsi"/>
          <w:sz w:val="16"/>
          <w:szCs w:val="16"/>
        </w:rPr>
        <w:t xml:space="preserve"> </w:t>
      </w:r>
      <w:r w:rsidRPr="002C25A0">
        <w:rPr>
          <w:rFonts w:asciiTheme="majorHAnsi" w:hAnsiTheme="majorHAnsi" w:cstheme="majorHAnsi"/>
          <w:sz w:val="16"/>
          <w:szCs w:val="16"/>
          <w:vertAlign w:val="baseline"/>
        </w:rPr>
        <w:t>Legea bugetului</w:t>
      </w:r>
      <w:r w:rsidRPr="00354287">
        <w:rPr>
          <w:rFonts w:asciiTheme="majorHAnsi" w:hAnsiTheme="majorHAnsi" w:cstheme="majorHAnsi"/>
          <w:sz w:val="16"/>
          <w:szCs w:val="16"/>
          <w:vertAlign w:val="baseline"/>
        </w:rPr>
        <w:t xml:space="preserve"> de stat pentru anul 2020 nr.172 din 19.12.2019; Legea bugetului de stat pentru anul 2021 nr.258 din 16.12.2020</w:t>
      </w:r>
    </w:p>
  </w:footnote>
  <w:footnote w:id="3">
    <w:p w14:paraId="4FF44EFC" w14:textId="6F9FF418" w:rsidR="00F124D2" w:rsidRPr="00FA4AFD" w:rsidRDefault="00F124D2">
      <w:pPr>
        <w:pStyle w:val="FootnoteText"/>
        <w:rPr>
          <w:rFonts w:asciiTheme="majorHAnsi" w:hAnsiTheme="majorHAnsi" w:cstheme="majorHAnsi"/>
          <w:sz w:val="16"/>
        </w:rPr>
      </w:pPr>
      <w:r w:rsidRPr="00FA4AFD">
        <w:rPr>
          <w:rStyle w:val="FootnoteReference"/>
          <w:rFonts w:asciiTheme="majorHAnsi" w:hAnsiTheme="majorHAnsi" w:cstheme="majorHAnsi"/>
          <w:sz w:val="16"/>
        </w:rPr>
        <w:footnoteRef/>
      </w:r>
      <w:r w:rsidRPr="00FA4AFD">
        <w:rPr>
          <w:rFonts w:asciiTheme="majorHAnsi" w:hAnsiTheme="majorHAnsi" w:cstheme="majorHAnsi"/>
          <w:sz w:val="16"/>
        </w:rPr>
        <w:t xml:space="preserve"> </w:t>
      </w:r>
      <w:r w:rsidRPr="00FA4AFD">
        <w:rPr>
          <w:rFonts w:asciiTheme="majorHAnsi" w:eastAsia="Times New Roman" w:hAnsiTheme="majorHAnsi" w:cstheme="majorHAnsi"/>
          <w:sz w:val="16"/>
          <w:vertAlign w:val="baseline"/>
          <w:lang w:val="ro-MD" w:eastAsia="ro-MD"/>
        </w:rPr>
        <w:t xml:space="preserve">ISSPNPC (unități de personal aprobate/real încadrate) – 67/39; ISM – 29/23; INM – 59/53; MOLDAC </w:t>
      </w:r>
      <w:r w:rsidRPr="00FA4AFD">
        <w:rPr>
          <w:rFonts w:asciiTheme="majorHAnsi" w:hAnsiTheme="majorHAnsi" w:cstheme="majorHAnsi"/>
          <w:sz w:val="16"/>
          <w:vertAlign w:val="baseline"/>
        </w:rPr>
        <w:t>– 31/21.</w:t>
      </w:r>
    </w:p>
  </w:footnote>
  <w:footnote w:id="4">
    <w:p w14:paraId="3AAE7F68" w14:textId="37A6679B" w:rsidR="00F124D2" w:rsidRPr="00CE15BF" w:rsidRDefault="00F124D2">
      <w:pPr>
        <w:pStyle w:val="FootnoteText"/>
        <w:rPr>
          <w:rFonts w:asciiTheme="majorHAnsi" w:hAnsiTheme="majorHAnsi" w:cstheme="majorHAnsi"/>
          <w:color w:val="FF0000"/>
          <w:sz w:val="16"/>
          <w:szCs w:val="16"/>
        </w:rPr>
      </w:pPr>
      <w:r w:rsidRPr="00CE15BF">
        <w:rPr>
          <w:rStyle w:val="FootnoteReference"/>
          <w:rFonts w:asciiTheme="majorHAnsi" w:hAnsiTheme="majorHAnsi" w:cstheme="majorHAnsi"/>
          <w:sz w:val="16"/>
          <w:szCs w:val="16"/>
        </w:rPr>
        <w:footnoteRef/>
      </w:r>
      <w:r w:rsidRPr="00CE15BF">
        <w:rPr>
          <w:rFonts w:asciiTheme="majorHAnsi" w:hAnsiTheme="majorHAnsi" w:cstheme="majorHAnsi"/>
          <w:sz w:val="16"/>
          <w:szCs w:val="16"/>
        </w:rPr>
        <w:t xml:space="preserve"> </w:t>
      </w:r>
      <w:r>
        <w:rPr>
          <w:rFonts w:asciiTheme="majorHAnsi" w:hAnsiTheme="majorHAnsi" w:cstheme="majorHAnsi"/>
          <w:sz w:val="16"/>
          <w:szCs w:val="16"/>
          <w:vertAlign w:val="baseline"/>
        </w:rPr>
        <w:t xml:space="preserve">Pct. </w:t>
      </w:r>
      <w:r w:rsidRPr="00CE15BF">
        <w:rPr>
          <w:rFonts w:asciiTheme="majorHAnsi" w:hAnsiTheme="majorHAnsi" w:cstheme="majorHAnsi"/>
          <w:sz w:val="16"/>
          <w:szCs w:val="16"/>
          <w:vertAlign w:val="baseline"/>
        </w:rPr>
        <w:t xml:space="preserve">5 și </w:t>
      </w:r>
      <w:r>
        <w:rPr>
          <w:rFonts w:asciiTheme="majorHAnsi" w:hAnsiTheme="majorHAnsi" w:cstheme="majorHAnsi"/>
          <w:sz w:val="16"/>
          <w:szCs w:val="16"/>
          <w:vertAlign w:val="baseline"/>
        </w:rPr>
        <w:t>pct.</w:t>
      </w:r>
      <w:r w:rsidRPr="00CE15BF">
        <w:rPr>
          <w:rFonts w:asciiTheme="majorHAnsi" w:hAnsiTheme="majorHAnsi" w:cstheme="majorHAnsi"/>
          <w:sz w:val="16"/>
          <w:szCs w:val="16"/>
          <w:vertAlign w:val="baseline"/>
        </w:rPr>
        <w:t xml:space="preserve">7 din </w:t>
      </w:r>
      <w:r>
        <w:rPr>
          <w:rFonts w:asciiTheme="majorHAnsi" w:hAnsiTheme="majorHAnsi" w:cstheme="majorHAnsi"/>
          <w:sz w:val="16"/>
          <w:szCs w:val="16"/>
          <w:vertAlign w:val="baseline"/>
        </w:rPr>
        <w:t xml:space="preserve"> Regulamentul cu privire la organizarea și funcționare Ministerului Economiei, aprobat prin  </w:t>
      </w:r>
      <w:r w:rsidRPr="00CE15BF">
        <w:rPr>
          <w:rFonts w:asciiTheme="majorHAnsi" w:hAnsiTheme="majorHAnsi" w:cstheme="majorHAnsi"/>
          <w:sz w:val="16"/>
          <w:szCs w:val="16"/>
          <w:vertAlign w:val="baseline"/>
          <w:lang w:val="ro-MD"/>
        </w:rPr>
        <w:t>Hotărârea Guvernului</w:t>
      </w:r>
      <w:r>
        <w:rPr>
          <w:rFonts w:asciiTheme="majorHAnsi" w:hAnsiTheme="majorHAnsi" w:cstheme="majorHAnsi"/>
          <w:sz w:val="16"/>
          <w:szCs w:val="16"/>
          <w:vertAlign w:val="baseline"/>
        </w:rPr>
        <w:t xml:space="preserve"> nr. 143 din 25.08.2021. </w:t>
      </w:r>
    </w:p>
  </w:footnote>
  <w:footnote w:id="5">
    <w:p w14:paraId="48FA9161" w14:textId="05E18080" w:rsidR="00F124D2" w:rsidRPr="00CE15BF" w:rsidRDefault="00F124D2" w:rsidP="005C50F0">
      <w:pPr>
        <w:spacing w:after="0" w:line="276" w:lineRule="auto"/>
        <w:jc w:val="both"/>
        <w:rPr>
          <w:sz w:val="16"/>
          <w:szCs w:val="16"/>
        </w:rPr>
      </w:pPr>
      <w:r w:rsidRPr="00CE15BF">
        <w:rPr>
          <w:rStyle w:val="FootnoteReference"/>
          <w:rFonts w:asciiTheme="majorHAnsi" w:hAnsiTheme="majorHAnsi" w:cstheme="majorHAnsi"/>
          <w:sz w:val="16"/>
          <w:szCs w:val="16"/>
        </w:rPr>
        <w:footnoteRef/>
      </w:r>
      <w:r w:rsidRPr="00CE15BF">
        <w:rPr>
          <w:rFonts w:asciiTheme="majorHAnsi" w:hAnsiTheme="majorHAnsi" w:cstheme="majorHAnsi"/>
          <w:sz w:val="16"/>
          <w:szCs w:val="16"/>
        </w:rPr>
        <w:t xml:space="preserve"> I</w:t>
      </w:r>
      <w:r w:rsidRPr="00CE15BF">
        <w:rPr>
          <w:rFonts w:asciiTheme="majorHAnsi" w:eastAsia="Times New Roman" w:hAnsiTheme="majorHAnsi" w:cstheme="majorHAnsi"/>
          <w:sz w:val="16"/>
          <w:szCs w:val="16"/>
          <w:lang w:val="ro-MD"/>
        </w:rPr>
        <w:t xml:space="preserve">nformațiile detaliate privind atribuțiile instituțiilor publice </w:t>
      </w:r>
      <w:r>
        <w:rPr>
          <w:rFonts w:asciiTheme="majorHAnsi" w:eastAsia="Times New Roman" w:hAnsiTheme="majorHAnsi" w:cstheme="majorHAnsi"/>
          <w:sz w:val="16"/>
          <w:szCs w:val="16"/>
          <w:lang w:val="ro-MD"/>
        </w:rPr>
        <w:t>di</w:t>
      </w:r>
      <w:r w:rsidRPr="00CE15BF">
        <w:rPr>
          <w:rFonts w:asciiTheme="majorHAnsi" w:eastAsia="Times New Roman" w:hAnsiTheme="majorHAnsi" w:cstheme="majorHAnsi"/>
          <w:sz w:val="16"/>
          <w:szCs w:val="16"/>
          <w:lang w:val="ro-MD"/>
        </w:rPr>
        <w:t>n domeniul infrastructurii calității se prezintă în Anexa nr.1 la prezentul Raport de audit.</w:t>
      </w:r>
    </w:p>
  </w:footnote>
  <w:footnote w:id="6">
    <w:p w14:paraId="45186AD6" w14:textId="305FE013" w:rsidR="00F124D2" w:rsidRPr="002B50B4" w:rsidRDefault="00F124D2" w:rsidP="000C3C44">
      <w:pPr>
        <w:pStyle w:val="FootnoteText"/>
        <w:rPr>
          <w:rFonts w:asciiTheme="majorHAnsi" w:hAnsiTheme="majorHAnsi"/>
          <w:sz w:val="16"/>
          <w:szCs w:val="16"/>
          <w:vertAlign w:val="baseline"/>
        </w:rPr>
      </w:pPr>
      <w:r w:rsidRPr="009344D1">
        <w:rPr>
          <w:rStyle w:val="FootnoteReference"/>
          <w:rFonts w:asciiTheme="majorHAnsi" w:hAnsiTheme="majorHAnsi"/>
        </w:rPr>
        <w:footnoteRef/>
      </w:r>
      <w:r w:rsidRPr="009344D1">
        <w:rPr>
          <w:rFonts w:asciiTheme="majorHAnsi" w:hAnsiTheme="majorHAnsi"/>
          <w:sz w:val="20"/>
        </w:rPr>
        <w:t xml:space="preserve"> </w:t>
      </w:r>
      <w:r w:rsidRPr="002B50B4">
        <w:rPr>
          <w:rFonts w:asciiTheme="majorHAnsi" w:hAnsiTheme="majorHAnsi"/>
          <w:color w:val="000000"/>
          <w:spacing w:val="-3"/>
          <w:sz w:val="16"/>
          <w:szCs w:val="16"/>
          <w:vertAlign w:val="baseline"/>
          <w:lang w:val="ro-MD"/>
        </w:rPr>
        <w:t>Legea privind organizarea și funcționarea Curții de Conturi a Republicii Moldova nr.260 din 07.12.2017</w:t>
      </w:r>
      <w:r>
        <w:rPr>
          <w:rFonts w:asciiTheme="majorHAnsi" w:hAnsiTheme="majorHAnsi"/>
          <w:color w:val="000000"/>
          <w:spacing w:val="-3"/>
          <w:sz w:val="16"/>
          <w:szCs w:val="16"/>
          <w:vertAlign w:val="baseline"/>
          <w:lang w:val="ro-MD"/>
        </w:rPr>
        <w:t xml:space="preserve"> (în continuare – Legea nr.260 din 07.12.2017)</w:t>
      </w:r>
      <w:r w:rsidRPr="002B50B4">
        <w:rPr>
          <w:rFonts w:asciiTheme="majorHAnsi" w:hAnsiTheme="majorHAnsi"/>
          <w:color w:val="000000"/>
          <w:spacing w:val="-1"/>
          <w:sz w:val="16"/>
          <w:szCs w:val="16"/>
          <w:vertAlign w:val="baseline"/>
          <w:lang w:val="ro-MD"/>
        </w:rPr>
        <w:t>.</w:t>
      </w:r>
    </w:p>
  </w:footnote>
  <w:footnote w:id="7">
    <w:p w14:paraId="595B1F28" w14:textId="0DFFA1D4" w:rsidR="00F124D2" w:rsidRPr="002B50B4" w:rsidRDefault="00F124D2" w:rsidP="008F4487">
      <w:pPr>
        <w:spacing w:after="0"/>
        <w:jc w:val="both"/>
        <w:rPr>
          <w:rFonts w:asciiTheme="majorHAnsi" w:hAnsiTheme="majorHAnsi" w:cs="Times New Roman"/>
          <w:sz w:val="16"/>
          <w:szCs w:val="16"/>
        </w:rPr>
      </w:pPr>
      <w:r w:rsidRPr="002B50B4">
        <w:rPr>
          <w:rStyle w:val="FootnoteReference"/>
          <w:rFonts w:asciiTheme="majorHAnsi" w:hAnsiTheme="majorHAnsi" w:cs="Times New Roman"/>
          <w:sz w:val="16"/>
          <w:szCs w:val="16"/>
        </w:rPr>
        <w:footnoteRef/>
      </w:r>
      <w:r w:rsidRPr="002B50B4">
        <w:rPr>
          <w:rFonts w:asciiTheme="majorHAnsi" w:hAnsiTheme="majorHAnsi" w:cs="Times New Roman"/>
          <w:sz w:val="16"/>
          <w:szCs w:val="16"/>
        </w:rPr>
        <w:t xml:space="preserve"> </w:t>
      </w:r>
      <w:r w:rsidRPr="002B50B4">
        <w:rPr>
          <w:rFonts w:asciiTheme="majorHAnsi" w:hAnsiTheme="majorHAnsi" w:cs="Times New Roman"/>
          <w:color w:val="000000"/>
          <w:sz w:val="16"/>
          <w:szCs w:val="16"/>
          <w:lang w:val="ro-MD"/>
        </w:rPr>
        <w:t>Hotărârea Curții de Conturi nr</w:t>
      </w:r>
      <w:r>
        <w:rPr>
          <w:rFonts w:asciiTheme="majorHAnsi" w:hAnsiTheme="majorHAnsi" w:cs="Times New Roman"/>
          <w:color w:val="000000"/>
          <w:sz w:val="16"/>
          <w:szCs w:val="16"/>
          <w:lang w:val="ro-MD"/>
        </w:rPr>
        <w:t>.</w:t>
      </w:r>
      <w:r w:rsidRPr="002B50B4">
        <w:rPr>
          <w:rFonts w:asciiTheme="majorHAnsi" w:hAnsiTheme="majorHAnsi" w:cs="Times New Roman"/>
          <w:color w:val="000000"/>
          <w:sz w:val="16"/>
          <w:szCs w:val="16"/>
          <w:lang w:val="ro-MD"/>
        </w:rPr>
        <w:t>75 din 28.12.2021</w:t>
      </w:r>
      <w:r w:rsidRPr="002B50B4">
        <w:rPr>
          <w:rFonts w:asciiTheme="majorHAnsi" w:hAnsiTheme="majorHAnsi"/>
          <w:bCs/>
          <w:sz w:val="16"/>
          <w:szCs w:val="16"/>
          <w:lang w:val="ro-RO"/>
        </w:rPr>
        <w:t xml:space="preserve">„Privind aprobarea </w:t>
      </w:r>
      <w:r w:rsidRPr="002B50B4">
        <w:rPr>
          <w:rFonts w:asciiTheme="majorHAnsi" w:hAnsiTheme="majorHAnsi"/>
          <w:sz w:val="16"/>
          <w:szCs w:val="16"/>
          <w:lang w:val="ro-RO"/>
        </w:rPr>
        <w:t>Programului activității de audit a Curții de Conturi pe anul 2021”</w:t>
      </w:r>
      <w:r w:rsidRPr="002B50B4">
        <w:rPr>
          <w:rFonts w:asciiTheme="majorHAnsi" w:hAnsiTheme="majorHAnsi" w:cs="Times New Roman"/>
          <w:color w:val="000000"/>
          <w:sz w:val="16"/>
          <w:szCs w:val="16"/>
          <w:lang w:val="ro-MD"/>
        </w:rPr>
        <w:t xml:space="preserve"> (cu modificările și completările ulterioare).</w:t>
      </w:r>
    </w:p>
  </w:footnote>
  <w:footnote w:id="8">
    <w:p w14:paraId="6B538297" w14:textId="77777777" w:rsidR="00F124D2" w:rsidRPr="002B50B4" w:rsidRDefault="00F124D2" w:rsidP="005E462C">
      <w:pPr>
        <w:pStyle w:val="FootnoteText"/>
        <w:jc w:val="both"/>
        <w:rPr>
          <w:rFonts w:asciiTheme="majorHAnsi" w:hAnsiTheme="majorHAnsi" w:cstheme="majorHAnsi"/>
          <w:sz w:val="16"/>
          <w:szCs w:val="16"/>
          <w:vertAlign w:val="baseline"/>
          <w:lang w:val="ro-RO"/>
        </w:rPr>
      </w:pPr>
      <w:r w:rsidRPr="002B50B4">
        <w:rPr>
          <w:rStyle w:val="FootnoteReference"/>
          <w:rFonts w:asciiTheme="majorHAnsi" w:hAnsiTheme="majorHAnsi" w:cstheme="majorHAnsi"/>
          <w:sz w:val="16"/>
          <w:szCs w:val="16"/>
          <w:lang w:val="ro-RO"/>
        </w:rPr>
        <w:footnoteRef/>
      </w:r>
      <w:r w:rsidRPr="002B50B4">
        <w:rPr>
          <w:rFonts w:asciiTheme="majorHAnsi" w:hAnsiTheme="majorHAnsi" w:cstheme="majorHAnsi"/>
          <w:sz w:val="16"/>
          <w:szCs w:val="16"/>
          <w:lang w:val="ro-RO"/>
        </w:rPr>
        <w:t xml:space="preserve"> </w:t>
      </w:r>
      <w:r w:rsidRPr="002B50B4">
        <w:rPr>
          <w:rFonts w:asciiTheme="majorHAnsi" w:eastAsia="Times New Roman" w:hAnsiTheme="majorHAnsi" w:cstheme="majorHAnsi"/>
          <w:sz w:val="16"/>
          <w:szCs w:val="16"/>
          <w:vertAlign w:val="baseline"/>
          <w:lang w:val="ro-RO"/>
        </w:rPr>
        <w:t>Hotărârea Curții de Conturi nr.2 din 24.01.2020 „Cu privire la Cadrul Declarațiilor Profesionale ale INTOSAI”.</w:t>
      </w:r>
    </w:p>
  </w:footnote>
  <w:footnote w:id="9">
    <w:p w14:paraId="7DC5D85B" w14:textId="77777777" w:rsidR="00F124D2" w:rsidRPr="002B50B4" w:rsidRDefault="00F124D2" w:rsidP="005E462C">
      <w:pPr>
        <w:pStyle w:val="FootnoteText"/>
        <w:jc w:val="both"/>
        <w:rPr>
          <w:rFonts w:asciiTheme="majorHAnsi" w:hAnsiTheme="majorHAnsi"/>
          <w:sz w:val="16"/>
          <w:szCs w:val="16"/>
          <w:vertAlign w:val="baseline"/>
          <w:lang w:val="ro-MD"/>
        </w:rPr>
      </w:pPr>
      <w:r w:rsidRPr="002B50B4">
        <w:rPr>
          <w:rStyle w:val="FootnoteReference"/>
          <w:rFonts w:asciiTheme="majorHAnsi" w:hAnsiTheme="majorHAnsi" w:cstheme="majorHAnsi"/>
          <w:sz w:val="16"/>
          <w:szCs w:val="16"/>
          <w:lang w:val="ro-MD"/>
        </w:rPr>
        <w:footnoteRef/>
      </w:r>
      <w:r w:rsidRPr="002B50B4">
        <w:rPr>
          <w:rStyle w:val="FootnoteReference"/>
          <w:rFonts w:asciiTheme="majorHAnsi" w:hAnsiTheme="majorHAnsi" w:cstheme="majorHAnsi"/>
          <w:sz w:val="16"/>
          <w:szCs w:val="16"/>
          <w:lang w:val="ro-MD"/>
        </w:rPr>
        <w:t xml:space="preserve"> </w:t>
      </w:r>
      <w:r w:rsidRPr="002B50B4">
        <w:rPr>
          <w:rFonts w:asciiTheme="majorHAnsi" w:hAnsiTheme="majorHAnsi" w:cstheme="majorHAnsi"/>
          <w:sz w:val="16"/>
          <w:szCs w:val="16"/>
          <w:vertAlign w:val="baseline"/>
          <w:lang w:val="ro-MD"/>
        </w:rPr>
        <w:t xml:space="preserve">Colectarea probelor de audit la distanță a fost condiționată de restricțiile impuse </w:t>
      </w:r>
      <w:r w:rsidRPr="002B50B4">
        <w:rPr>
          <w:rFonts w:asciiTheme="majorHAnsi" w:hAnsiTheme="majorHAnsi" w:cs="Calibri Light"/>
          <w:color w:val="000000" w:themeColor="text1"/>
          <w:sz w:val="16"/>
          <w:szCs w:val="16"/>
          <w:vertAlign w:val="baseline"/>
          <w:lang w:val="ro-MD" w:eastAsia="ro-RO"/>
        </w:rPr>
        <w:t>în legătură cu instituirea stării de urgență în sănătate publică pe întreg teritoriul Republicii Moldova</w:t>
      </w:r>
      <w:r w:rsidRPr="002B50B4">
        <w:rPr>
          <w:rFonts w:asciiTheme="majorHAnsi" w:hAnsiTheme="majorHAnsi" w:cstheme="majorHAnsi"/>
          <w:sz w:val="16"/>
          <w:szCs w:val="16"/>
          <w:vertAlign w:val="baseline"/>
          <w:lang w:val="ro-MD"/>
        </w:rPr>
        <w:t>.</w:t>
      </w:r>
    </w:p>
  </w:footnote>
  <w:footnote w:id="10">
    <w:p w14:paraId="1BC06BF8" w14:textId="77777777" w:rsidR="00F124D2" w:rsidRPr="00991017" w:rsidRDefault="00F124D2" w:rsidP="005E462C">
      <w:pPr>
        <w:pStyle w:val="FootnoteText"/>
        <w:jc w:val="both"/>
        <w:rPr>
          <w:rFonts w:asciiTheme="majorHAnsi" w:hAnsiTheme="majorHAnsi" w:cstheme="majorHAnsi"/>
          <w:sz w:val="16"/>
          <w:szCs w:val="16"/>
          <w:vertAlign w:val="baseline"/>
        </w:rPr>
      </w:pPr>
      <w:r w:rsidRPr="00991017">
        <w:rPr>
          <w:rStyle w:val="FootnoteReference"/>
          <w:rFonts w:asciiTheme="majorHAnsi" w:hAnsiTheme="majorHAnsi" w:cstheme="majorHAnsi"/>
          <w:sz w:val="16"/>
          <w:szCs w:val="16"/>
        </w:rPr>
        <w:footnoteRef/>
      </w:r>
      <w:r w:rsidRPr="00991017">
        <w:rPr>
          <w:rFonts w:asciiTheme="majorHAnsi" w:hAnsiTheme="majorHAnsi" w:cstheme="majorHAnsi"/>
          <w:sz w:val="16"/>
          <w:szCs w:val="16"/>
        </w:rPr>
        <w:t xml:space="preserve"> </w:t>
      </w:r>
      <w:r w:rsidRPr="00991017">
        <w:rPr>
          <w:rFonts w:asciiTheme="majorHAnsi" w:eastAsia="Times New Roman" w:hAnsiTheme="majorHAnsi" w:cstheme="majorHAnsi"/>
          <w:sz w:val="16"/>
          <w:szCs w:val="16"/>
          <w:vertAlign w:val="baseline"/>
          <w:lang w:val="ro-RO"/>
        </w:rPr>
        <w:t xml:space="preserve">Hotărârea Curții de Conturi nr.19 din 05.04.2019 „Cu privire la aprobarea Codului etic al Curții de Conturi”. </w:t>
      </w:r>
    </w:p>
  </w:footnote>
  <w:footnote w:id="11">
    <w:p w14:paraId="4BFFA675" w14:textId="3179B1DC" w:rsidR="00F124D2" w:rsidRPr="003412D5" w:rsidRDefault="00F124D2" w:rsidP="00AB408F">
      <w:pPr>
        <w:pStyle w:val="FootnoteText"/>
        <w:jc w:val="both"/>
        <w:rPr>
          <w:rFonts w:asciiTheme="majorHAnsi" w:hAnsiTheme="majorHAnsi" w:cstheme="majorHAnsi"/>
          <w:sz w:val="16"/>
          <w:szCs w:val="16"/>
          <w:vertAlign w:val="baseline"/>
          <w:lang w:val="ro-MD"/>
        </w:rPr>
      </w:pPr>
      <w:r w:rsidRPr="003412D5">
        <w:rPr>
          <w:rStyle w:val="FootnoteReference"/>
          <w:rFonts w:asciiTheme="majorHAnsi" w:hAnsiTheme="majorHAnsi" w:cstheme="majorHAnsi"/>
          <w:sz w:val="16"/>
          <w:szCs w:val="16"/>
        </w:rPr>
        <w:footnoteRef/>
      </w:r>
      <w:r w:rsidRPr="003412D5">
        <w:rPr>
          <w:rFonts w:asciiTheme="majorHAnsi" w:hAnsiTheme="majorHAnsi" w:cstheme="majorHAnsi"/>
          <w:sz w:val="16"/>
          <w:szCs w:val="16"/>
        </w:rPr>
        <w:t xml:space="preserve"> </w:t>
      </w:r>
      <w:r>
        <w:rPr>
          <w:rFonts w:asciiTheme="majorHAnsi" w:hAnsiTheme="majorHAnsi" w:cstheme="majorHAnsi"/>
          <w:sz w:val="16"/>
          <w:szCs w:val="16"/>
          <w:vertAlign w:val="baseline"/>
          <w:lang w:val="ro-MD"/>
        </w:rPr>
        <w:t>Art.2 și art.12</w:t>
      </w:r>
      <w:r w:rsidRPr="003412D5">
        <w:rPr>
          <w:rFonts w:asciiTheme="majorHAnsi" w:hAnsiTheme="majorHAnsi" w:cstheme="majorHAnsi"/>
          <w:sz w:val="16"/>
          <w:szCs w:val="16"/>
          <w:vertAlign w:val="baseline"/>
          <w:lang w:val="ro-MD"/>
        </w:rPr>
        <w:t xml:space="preserve"> lit.i) din Legea privind administrarea și deetatizarea proprietății publice nr.</w:t>
      </w:r>
      <w:r w:rsidRPr="003412D5">
        <w:rPr>
          <w:rFonts w:asciiTheme="majorHAnsi" w:hAnsiTheme="majorHAnsi" w:cstheme="majorHAnsi"/>
          <w:bCs/>
          <w:sz w:val="16"/>
          <w:szCs w:val="16"/>
          <w:vertAlign w:val="baseline"/>
          <w:lang w:val="ro-MD"/>
        </w:rPr>
        <w:t>121-XVI  din  04.05.2007</w:t>
      </w:r>
      <w:r w:rsidRPr="003412D5">
        <w:rPr>
          <w:rFonts w:asciiTheme="majorHAnsi" w:hAnsiTheme="majorHAnsi" w:cstheme="majorHAnsi"/>
          <w:sz w:val="16"/>
          <w:szCs w:val="16"/>
          <w:vertAlign w:val="baseline"/>
          <w:lang w:val="ro-MD"/>
        </w:rPr>
        <w:t>.</w:t>
      </w:r>
    </w:p>
  </w:footnote>
  <w:footnote w:id="12">
    <w:p w14:paraId="61F35A94" w14:textId="67080A05" w:rsidR="00F124D2" w:rsidRPr="003412D5" w:rsidRDefault="00F124D2" w:rsidP="007C244B">
      <w:pPr>
        <w:pStyle w:val="FootnoteText"/>
        <w:jc w:val="both"/>
        <w:rPr>
          <w:rFonts w:asciiTheme="majorHAnsi" w:hAnsiTheme="majorHAnsi"/>
          <w:sz w:val="16"/>
          <w:szCs w:val="16"/>
        </w:rPr>
      </w:pPr>
      <w:r w:rsidRPr="003412D5">
        <w:rPr>
          <w:rStyle w:val="FootnoteReference"/>
          <w:rFonts w:asciiTheme="majorHAnsi" w:hAnsiTheme="majorHAnsi"/>
          <w:sz w:val="16"/>
          <w:szCs w:val="16"/>
        </w:rPr>
        <w:footnoteRef/>
      </w:r>
      <w:r w:rsidRPr="003412D5">
        <w:rPr>
          <w:rFonts w:asciiTheme="majorHAnsi" w:hAnsiTheme="majorHAnsi"/>
          <w:sz w:val="16"/>
          <w:szCs w:val="16"/>
        </w:rPr>
        <w:t xml:space="preserve"> </w:t>
      </w:r>
      <w:r>
        <w:rPr>
          <w:rFonts w:asciiTheme="majorHAnsi" w:hAnsiTheme="majorHAnsi" w:cstheme="majorHAnsi"/>
          <w:sz w:val="16"/>
          <w:szCs w:val="16"/>
          <w:vertAlign w:val="baseline"/>
          <w:lang w:val="ro-MD"/>
        </w:rPr>
        <w:t>Hotăr</w:t>
      </w:r>
      <w:r>
        <w:rPr>
          <w:rFonts w:asciiTheme="majorHAnsi" w:hAnsiTheme="majorHAnsi" w:cstheme="majorHAnsi"/>
          <w:sz w:val="16"/>
          <w:szCs w:val="16"/>
          <w:vertAlign w:val="baseline"/>
          <w:lang w:val="ro-RO"/>
        </w:rPr>
        <w:t>â</w:t>
      </w:r>
      <w:r w:rsidRPr="003412D5">
        <w:rPr>
          <w:rFonts w:asciiTheme="majorHAnsi" w:hAnsiTheme="majorHAnsi" w:cstheme="majorHAnsi"/>
          <w:sz w:val="16"/>
          <w:szCs w:val="16"/>
          <w:vertAlign w:val="baseline"/>
          <w:lang w:val="ro-MD"/>
        </w:rPr>
        <w:t>rea Guvernului nr.859 din 31.0</w:t>
      </w:r>
      <w:r>
        <w:rPr>
          <w:rFonts w:asciiTheme="majorHAnsi" w:hAnsiTheme="majorHAnsi" w:cstheme="majorHAnsi"/>
          <w:sz w:val="16"/>
          <w:szCs w:val="16"/>
          <w:vertAlign w:val="baseline"/>
          <w:lang w:val="ro-MD"/>
        </w:rPr>
        <w:t>7.2006 privind aprobarea Concepț</w:t>
      </w:r>
      <w:r w:rsidRPr="003412D5">
        <w:rPr>
          <w:rFonts w:asciiTheme="majorHAnsi" w:hAnsiTheme="majorHAnsi" w:cstheme="majorHAnsi"/>
          <w:sz w:val="16"/>
          <w:szCs w:val="16"/>
          <w:vertAlign w:val="baseline"/>
          <w:lang w:val="ro-MD"/>
        </w:rPr>
        <w:t>iei infrastructurii calității în Republica Moldova.</w:t>
      </w:r>
    </w:p>
  </w:footnote>
  <w:footnote w:id="13">
    <w:p w14:paraId="7B97372E" w14:textId="46A7A03A" w:rsidR="00F124D2" w:rsidRPr="0084061B" w:rsidRDefault="00F124D2" w:rsidP="007C244B">
      <w:pPr>
        <w:pStyle w:val="FootnoteText"/>
        <w:jc w:val="both"/>
        <w:rPr>
          <w:rFonts w:asciiTheme="majorHAnsi" w:hAnsiTheme="majorHAnsi" w:cstheme="majorHAnsi"/>
          <w:sz w:val="20"/>
          <w:vertAlign w:val="baseline"/>
        </w:rPr>
      </w:pPr>
      <w:r w:rsidRPr="007C244B">
        <w:rPr>
          <w:rStyle w:val="FootnoteReference"/>
          <w:rFonts w:asciiTheme="majorHAnsi" w:hAnsiTheme="majorHAnsi" w:cstheme="majorHAnsi"/>
          <w:sz w:val="16"/>
          <w:szCs w:val="16"/>
        </w:rPr>
        <w:footnoteRef/>
      </w:r>
      <w:r w:rsidRPr="007C244B">
        <w:rPr>
          <w:rFonts w:asciiTheme="majorHAnsi" w:hAnsiTheme="majorHAnsi" w:cstheme="majorHAnsi"/>
          <w:sz w:val="16"/>
          <w:szCs w:val="16"/>
        </w:rPr>
        <w:t xml:space="preserve"> </w:t>
      </w:r>
      <w:r>
        <w:rPr>
          <w:rFonts w:asciiTheme="majorHAnsi" w:hAnsiTheme="majorHAnsi" w:cstheme="majorHAnsi"/>
          <w:sz w:val="16"/>
          <w:szCs w:val="16"/>
          <w:vertAlign w:val="baseline"/>
          <w:lang w:val="ro-MD"/>
        </w:rPr>
        <w:t>Hotărâ</w:t>
      </w:r>
      <w:r w:rsidRPr="00FA4A88">
        <w:rPr>
          <w:rFonts w:asciiTheme="majorHAnsi" w:hAnsiTheme="majorHAnsi" w:cstheme="majorHAnsi"/>
          <w:sz w:val="16"/>
          <w:szCs w:val="16"/>
          <w:vertAlign w:val="baseline"/>
          <w:lang w:val="ro-MD"/>
        </w:rPr>
        <w:t>rea Guvernului nr.996 din 27.12.2012  privind unele măsuri de reformare a sistemului infrastructurii calității</w:t>
      </w:r>
      <w:r>
        <w:rPr>
          <w:rFonts w:asciiTheme="majorHAnsi" w:hAnsiTheme="majorHAnsi" w:cstheme="majorHAnsi"/>
          <w:sz w:val="16"/>
          <w:szCs w:val="16"/>
          <w:vertAlign w:val="baseline"/>
          <w:lang w:val="ro-MD"/>
        </w:rPr>
        <w:t>.</w:t>
      </w:r>
    </w:p>
  </w:footnote>
  <w:footnote w:id="14">
    <w:p w14:paraId="3082A0D5" w14:textId="1AB9431E" w:rsidR="00F124D2" w:rsidRPr="0074265C" w:rsidRDefault="00F124D2" w:rsidP="007C244B">
      <w:pPr>
        <w:pStyle w:val="FootnoteText"/>
        <w:jc w:val="both"/>
        <w:rPr>
          <w:rFonts w:asciiTheme="majorHAnsi" w:hAnsiTheme="majorHAnsi" w:cstheme="majorHAnsi"/>
          <w:sz w:val="16"/>
          <w:szCs w:val="16"/>
          <w:vertAlign w:val="baseline"/>
        </w:rPr>
      </w:pPr>
      <w:r w:rsidRPr="007C244B">
        <w:rPr>
          <w:rStyle w:val="FootnoteReference"/>
          <w:rFonts w:asciiTheme="majorHAnsi" w:hAnsiTheme="majorHAnsi" w:cstheme="majorHAnsi"/>
          <w:sz w:val="16"/>
          <w:szCs w:val="16"/>
        </w:rPr>
        <w:footnoteRef/>
      </w:r>
      <w:r w:rsidRPr="0074265C">
        <w:rPr>
          <w:rFonts w:asciiTheme="majorHAnsi" w:hAnsiTheme="majorHAnsi" w:cstheme="majorHAnsi"/>
          <w:sz w:val="16"/>
          <w:szCs w:val="16"/>
          <w:vertAlign w:val="baseline"/>
        </w:rPr>
        <w:t xml:space="preserve"> Pct.3 și pct.5  din Hotărârea Guvernului</w:t>
      </w:r>
      <w:r>
        <w:rPr>
          <w:rFonts w:asciiTheme="majorHAnsi" w:hAnsiTheme="majorHAnsi" w:cstheme="majorHAnsi"/>
          <w:sz w:val="16"/>
          <w:szCs w:val="16"/>
          <w:vertAlign w:val="baseline"/>
        </w:rPr>
        <w:t xml:space="preserve"> </w:t>
      </w:r>
      <w:r w:rsidRPr="0074265C">
        <w:rPr>
          <w:rFonts w:asciiTheme="majorHAnsi" w:hAnsiTheme="majorHAnsi" w:cstheme="majorHAnsi"/>
          <w:sz w:val="16"/>
          <w:szCs w:val="16"/>
          <w:vertAlign w:val="baseline"/>
        </w:rPr>
        <w:t>nr.996 din 27.12.2012 privind unele măsuri de reformare a sistemului infrastructurii calității</w:t>
      </w:r>
      <w:r>
        <w:rPr>
          <w:rFonts w:asciiTheme="majorHAnsi" w:hAnsiTheme="majorHAnsi" w:cstheme="majorHAnsi"/>
          <w:sz w:val="16"/>
          <w:szCs w:val="16"/>
          <w:vertAlign w:val="baseline"/>
        </w:rPr>
        <w:t xml:space="preserve"> (în continuare  -  Hotărârea Guvernului  nr.996 din 27.12.2012)</w:t>
      </w:r>
      <w:r w:rsidRPr="0074265C">
        <w:rPr>
          <w:rFonts w:asciiTheme="majorHAnsi" w:hAnsiTheme="majorHAnsi" w:cstheme="majorHAnsi"/>
          <w:sz w:val="16"/>
          <w:szCs w:val="16"/>
          <w:vertAlign w:val="baseline"/>
        </w:rPr>
        <w:t>.</w:t>
      </w:r>
    </w:p>
  </w:footnote>
  <w:footnote w:id="15">
    <w:p w14:paraId="3E899185" w14:textId="66899BA4" w:rsidR="00F124D2" w:rsidRPr="0074265C" w:rsidRDefault="00F124D2" w:rsidP="007C244B">
      <w:pPr>
        <w:pStyle w:val="FootnoteText"/>
        <w:jc w:val="both"/>
        <w:rPr>
          <w:rFonts w:asciiTheme="majorHAnsi" w:hAnsiTheme="majorHAnsi" w:cstheme="majorHAnsi"/>
          <w:sz w:val="16"/>
          <w:szCs w:val="16"/>
          <w:vertAlign w:val="baseline"/>
        </w:rPr>
      </w:pPr>
      <w:r w:rsidRPr="007C244B">
        <w:rPr>
          <w:rStyle w:val="FootnoteReference"/>
          <w:rFonts w:asciiTheme="majorHAnsi" w:hAnsiTheme="majorHAnsi" w:cstheme="majorHAnsi"/>
          <w:sz w:val="16"/>
          <w:szCs w:val="16"/>
        </w:rPr>
        <w:footnoteRef/>
      </w:r>
      <w:r w:rsidRPr="0074265C">
        <w:rPr>
          <w:rFonts w:asciiTheme="majorHAnsi" w:hAnsiTheme="majorHAnsi" w:cstheme="majorHAnsi"/>
          <w:sz w:val="16"/>
          <w:szCs w:val="16"/>
          <w:vertAlign w:val="baseline"/>
        </w:rPr>
        <w:t xml:space="preserve"> </w:t>
      </w:r>
      <w:r w:rsidRPr="0074265C">
        <w:rPr>
          <w:rFonts w:asciiTheme="majorHAnsi" w:hAnsiTheme="majorHAnsi" w:cstheme="majorHAnsi"/>
          <w:sz w:val="16"/>
          <w:szCs w:val="16"/>
          <w:vertAlign w:val="baseline"/>
          <w:lang w:val="ro-MD"/>
        </w:rPr>
        <w:t>Regulamentul cu privire la modul de transmitere a întreprinderilor, organizaţiilor, instituţiilor de stat, a subdiviziunilor lor, clădirilor, edificiilor, mijloacelor fixe şi altor active, aprobat prin Hotărârea Guvernului nr. 688 din 9 octombrie 1995.</w:t>
      </w:r>
    </w:p>
  </w:footnote>
  <w:footnote w:id="16">
    <w:p w14:paraId="3EBFAC51" w14:textId="3F6FCC41" w:rsidR="00F124D2" w:rsidRPr="0074265C" w:rsidRDefault="00F124D2" w:rsidP="0084061B">
      <w:pPr>
        <w:pStyle w:val="FootnoteText"/>
        <w:jc w:val="both"/>
        <w:rPr>
          <w:rFonts w:asciiTheme="majorHAnsi" w:hAnsiTheme="majorHAnsi" w:cstheme="majorHAnsi"/>
          <w:sz w:val="16"/>
          <w:szCs w:val="16"/>
          <w:vertAlign w:val="baseline"/>
        </w:rPr>
      </w:pPr>
      <w:r w:rsidRPr="0074265C">
        <w:rPr>
          <w:rStyle w:val="FootnoteReference"/>
          <w:rFonts w:asciiTheme="majorHAnsi" w:hAnsiTheme="majorHAnsi" w:cstheme="majorHAnsi"/>
          <w:sz w:val="16"/>
          <w:szCs w:val="16"/>
          <w:vertAlign w:val="baseline"/>
        </w:rPr>
        <w:footnoteRef/>
      </w:r>
      <w:r w:rsidRPr="0074265C">
        <w:rPr>
          <w:rFonts w:asciiTheme="majorHAnsi" w:hAnsiTheme="majorHAnsi" w:cstheme="majorHAnsi"/>
          <w:sz w:val="16"/>
          <w:szCs w:val="16"/>
          <w:vertAlign w:val="baseline"/>
        </w:rPr>
        <w:t xml:space="preserve"> Pct.24 din Regulamentul cu privire la modul de transmitere a întreprinderilor de stat, organizațiilor, instituțiilor, a subdiviziunilor lor, clădirilor, construcțiilor, mijloacelor fixe și altor active, aprobat prin Hotărârea Guvernului nr. 688 din 09.10.1995</w:t>
      </w:r>
      <w:r>
        <w:rPr>
          <w:rFonts w:asciiTheme="majorHAnsi" w:hAnsiTheme="majorHAnsi" w:cstheme="majorHAnsi"/>
          <w:sz w:val="16"/>
          <w:szCs w:val="16"/>
          <w:vertAlign w:val="baseline"/>
        </w:rPr>
        <w:t>.</w:t>
      </w:r>
    </w:p>
  </w:footnote>
  <w:footnote w:id="17">
    <w:p w14:paraId="6ABA4B1A" w14:textId="10CC687F" w:rsidR="00F124D2" w:rsidRPr="000D6463" w:rsidRDefault="00F124D2" w:rsidP="00AC397B">
      <w:pPr>
        <w:pStyle w:val="FootnoteText"/>
        <w:rPr>
          <w:sz w:val="16"/>
          <w:szCs w:val="16"/>
          <w:vertAlign w:val="baseline"/>
        </w:rPr>
      </w:pPr>
      <w:r w:rsidRPr="0074265C">
        <w:rPr>
          <w:rStyle w:val="FootnoteReference"/>
          <w:rFonts w:asciiTheme="majorHAnsi" w:hAnsiTheme="majorHAnsi" w:cstheme="majorHAnsi"/>
          <w:sz w:val="16"/>
          <w:szCs w:val="16"/>
        </w:rPr>
        <w:footnoteRef/>
      </w:r>
      <w:r w:rsidRPr="0074265C">
        <w:rPr>
          <w:rFonts w:asciiTheme="majorHAnsi" w:hAnsiTheme="majorHAnsi" w:cstheme="majorHAnsi"/>
          <w:sz w:val="16"/>
          <w:szCs w:val="16"/>
        </w:rPr>
        <w:t xml:space="preserve"> </w:t>
      </w:r>
      <w:r>
        <w:rPr>
          <w:rFonts w:asciiTheme="majorHAnsi" w:hAnsiTheme="majorHAnsi" w:cstheme="majorHAnsi"/>
          <w:sz w:val="16"/>
          <w:szCs w:val="16"/>
          <w:vertAlign w:val="baseline"/>
        </w:rPr>
        <w:t xml:space="preserve">Pct. </w:t>
      </w:r>
      <w:r w:rsidRPr="0074265C">
        <w:rPr>
          <w:rFonts w:asciiTheme="majorHAnsi" w:hAnsiTheme="majorHAnsi" w:cstheme="majorHAnsi"/>
          <w:sz w:val="16"/>
          <w:szCs w:val="16"/>
          <w:vertAlign w:val="baseline"/>
        </w:rPr>
        <w:t xml:space="preserve">5 </w:t>
      </w:r>
      <w:r>
        <w:rPr>
          <w:rFonts w:asciiTheme="majorHAnsi" w:hAnsiTheme="majorHAnsi" w:cstheme="majorHAnsi"/>
          <w:sz w:val="16"/>
          <w:szCs w:val="16"/>
          <w:vertAlign w:val="baseline"/>
        </w:rPr>
        <w:t xml:space="preserve">din Hotărârea Guvernului </w:t>
      </w:r>
      <w:r w:rsidRPr="000D6463">
        <w:rPr>
          <w:rFonts w:asciiTheme="majorHAnsi" w:hAnsiTheme="majorHAnsi" w:cstheme="majorHAnsi"/>
          <w:sz w:val="16"/>
          <w:szCs w:val="16"/>
          <w:vertAlign w:val="baseline"/>
        </w:rPr>
        <w:t xml:space="preserve"> nr.996 din 27.12.2012</w:t>
      </w:r>
      <w:r>
        <w:rPr>
          <w:rFonts w:asciiTheme="majorHAnsi" w:hAnsiTheme="majorHAnsi" w:cstheme="majorHAnsi"/>
          <w:sz w:val="16"/>
          <w:szCs w:val="16"/>
          <w:vertAlign w:val="baseline"/>
        </w:rPr>
        <w:t>.</w:t>
      </w:r>
    </w:p>
  </w:footnote>
  <w:footnote w:id="18">
    <w:p w14:paraId="1D9360CB" w14:textId="4B0DE1BE" w:rsidR="00F124D2" w:rsidRPr="003A64B1" w:rsidRDefault="00F124D2" w:rsidP="00DD4687">
      <w:pPr>
        <w:pStyle w:val="FootnoteText"/>
        <w:jc w:val="both"/>
        <w:rPr>
          <w:sz w:val="16"/>
          <w:szCs w:val="16"/>
          <w:vertAlign w:val="baseline"/>
          <w:lang w:val="ro-MD"/>
        </w:rPr>
      </w:pPr>
      <w:r w:rsidRPr="003A64B1">
        <w:rPr>
          <w:rStyle w:val="FootnoteReference"/>
          <w:rFonts w:asciiTheme="majorHAnsi" w:hAnsiTheme="majorHAnsi" w:cstheme="majorHAnsi"/>
          <w:sz w:val="16"/>
          <w:szCs w:val="16"/>
          <w:lang w:val="ro-MD"/>
        </w:rPr>
        <w:footnoteRef/>
      </w:r>
      <w:r w:rsidRPr="003A64B1">
        <w:rPr>
          <w:rFonts w:asciiTheme="majorHAnsi" w:hAnsiTheme="majorHAnsi" w:cstheme="majorHAnsi"/>
          <w:sz w:val="16"/>
          <w:szCs w:val="16"/>
          <w:lang w:val="ro-MD"/>
        </w:rPr>
        <w:t xml:space="preserve"> </w:t>
      </w:r>
      <w:r w:rsidRPr="003A64B1">
        <w:rPr>
          <w:rFonts w:asciiTheme="majorHAnsi" w:hAnsiTheme="majorHAnsi" w:cstheme="majorHAnsi"/>
          <w:sz w:val="16"/>
          <w:szCs w:val="16"/>
          <w:vertAlign w:val="baseline"/>
          <w:lang w:val="ro-MD"/>
        </w:rPr>
        <w:t>Legea contabilității nr.113-XVI din 27.04.2007 (î</w:t>
      </w:r>
      <w:r>
        <w:rPr>
          <w:rFonts w:asciiTheme="majorHAnsi" w:hAnsiTheme="majorHAnsi" w:cstheme="majorHAnsi"/>
          <w:sz w:val="16"/>
          <w:szCs w:val="16"/>
          <w:vertAlign w:val="baseline"/>
          <w:lang w:val="ro-MD"/>
        </w:rPr>
        <w:t>n continuare – Legea contabilității</w:t>
      </w:r>
      <w:r w:rsidRPr="003A64B1">
        <w:rPr>
          <w:rFonts w:asciiTheme="majorHAnsi" w:hAnsiTheme="majorHAnsi" w:cstheme="majorHAnsi"/>
          <w:sz w:val="16"/>
          <w:szCs w:val="16"/>
          <w:vertAlign w:val="baseline"/>
          <w:lang w:val="ro-MD"/>
        </w:rPr>
        <w:t xml:space="preserve">); </w:t>
      </w:r>
      <w:r w:rsidRPr="003A64B1">
        <w:rPr>
          <w:rFonts w:ascii="Calibri Light" w:hAnsi="Calibri Light" w:cs="Calibri Light"/>
          <w:sz w:val="16"/>
          <w:szCs w:val="16"/>
          <w:vertAlign w:val="baseline"/>
          <w:lang w:val="ro-MD"/>
        </w:rPr>
        <w:t xml:space="preserve">Regulamentul privind inventarierea, aprobat prin Ordinul </w:t>
      </w:r>
      <w:r>
        <w:rPr>
          <w:rFonts w:ascii="Calibri Light" w:hAnsi="Calibri Light" w:cs="Calibri Light"/>
          <w:sz w:val="16"/>
          <w:szCs w:val="16"/>
          <w:vertAlign w:val="baseline"/>
          <w:lang w:val="ro-MD"/>
        </w:rPr>
        <w:t>M</w:t>
      </w:r>
      <w:r w:rsidRPr="003A64B1">
        <w:rPr>
          <w:rFonts w:ascii="Calibri Light" w:hAnsi="Calibri Light" w:cs="Calibri Light"/>
          <w:sz w:val="16"/>
          <w:szCs w:val="16"/>
          <w:vertAlign w:val="baseline"/>
          <w:lang w:val="ro-MD"/>
        </w:rPr>
        <w:t>inist</w:t>
      </w:r>
      <w:r>
        <w:rPr>
          <w:rFonts w:ascii="Calibri Light" w:hAnsi="Calibri Light" w:cs="Calibri Light"/>
          <w:sz w:val="16"/>
          <w:szCs w:val="16"/>
          <w:vertAlign w:val="baseline"/>
          <w:lang w:val="ro-MD"/>
        </w:rPr>
        <w:t>e</w:t>
      </w:r>
      <w:r w:rsidRPr="003A64B1">
        <w:rPr>
          <w:rFonts w:ascii="Calibri Light" w:hAnsi="Calibri Light" w:cs="Calibri Light"/>
          <w:sz w:val="16"/>
          <w:szCs w:val="16"/>
          <w:vertAlign w:val="baseline"/>
          <w:lang w:val="ro-MD"/>
        </w:rPr>
        <w:t xml:space="preserve">rului </w:t>
      </w:r>
      <w:r>
        <w:rPr>
          <w:rFonts w:ascii="Calibri Light" w:hAnsi="Calibri Light" w:cs="Calibri Light"/>
          <w:sz w:val="16"/>
          <w:szCs w:val="16"/>
          <w:vertAlign w:val="baseline"/>
          <w:lang w:val="ro-MD"/>
        </w:rPr>
        <w:t>F</w:t>
      </w:r>
      <w:r w:rsidRPr="003A64B1">
        <w:rPr>
          <w:rFonts w:ascii="Calibri Light" w:hAnsi="Calibri Light" w:cs="Calibri Light"/>
          <w:sz w:val="16"/>
          <w:szCs w:val="16"/>
          <w:vertAlign w:val="baseline"/>
          <w:lang w:val="ro-MD"/>
        </w:rPr>
        <w:t>inanțelor nr. 60 din 29.05.2012.</w:t>
      </w:r>
    </w:p>
  </w:footnote>
  <w:footnote w:id="19">
    <w:p w14:paraId="40597BC0" w14:textId="4A447979" w:rsidR="00F124D2" w:rsidRPr="00B742C5" w:rsidRDefault="00F124D2" w:rsidP="00B742C5">
      <w:pPr>
        <w:pStyle w:val="FootnoteText"/>
        <w:jc w:val="both"/>
        <w:rPr>
          <w:rFonts w:asciiTheme="majorHAnsi" w:hAnsiTheme="majorHAnsi" w:cstheme="majorHAnsi"/>
          <w:sz w:val="16"/>
          <w:szCs w:val="16"/>
        </w:rPr>
      </w:pPr>
      <w:r w:rsidRPr="00B742C5">
        <w:rPr>
          <w:rStyle w:val="FootnoteReference"/>
          <w:rFonts w:asciiTheme="majorHAnsi" w:hAnsiTheme="majorHAnsi" w:cstheme="majorHAnsi"/>
          <w:sz w:val="16"/>
          <w:szCs w:val="16"/>
        </w:rPr>
        <w:footnoteRef/>
      </w:r>
      <w:r w:rsidRPr="00B742C5">
        <w:rPr>
          <w:rFonts w:asciiTheme="majorHAnsi" w:hAnsiTheme="majorHAnsi" w:cstheme="majorHAnsi"/>
          <w:sz w:val="16"/>
          <w:szCs w:val="16"/>
        </w:rPr>
        <w:t xml:space="preserve"> </w:t>
      </w:r>
      <w:r w:rsidRPr="009D34BB">
        <w:rPr>
          <w:rFonts w:asciiTheme="majorHAnsi" w:hAnsiTheme="majorHAnsi" w:cstheme="majorHAnsi"/>
          <w:sz w:val="16"/>
          <w:szCs w:val="16"/>
          <w:vertAlign w:val="baseline"/>
        </w:rPr>
        <w:t>Art.11 alin.(2) din Legea contabilității și raportării financiare nr.287 din 15.12.2017.</w:t>
      </w:r>
    </w:p>
  </w:footnote>
  <w:footnote w:id="20">
    <w:p w14:paraId="6AB5784F" w14:textId="1984C63D" w:rsidR="00F124D2" w:rsidRPr="00C14D1A" w:rsidRDefault="00F124D2" w:rsidP="00B742C5">
      <w:pPr>
        <w:pStyle w:val="FootnoteText"/>
        <w:jc w:val="both"/>
        <w:rPr>
          <w:rFonts w:asciiTheme="majorHAnsi" w:hAnsiTheme="majorHAnsi" w:cstheme="majorHAnsi"/>
          <w:sz w:val="16"/>
          <w:szCs w:val="16"/>
          <w:vertAlign w:val="baseline"/>
          <w:lang w:val="ro-MD"/>
        </w:rPr>
      </w:pPr>
      <w:r w:rsidRPr="00B742C5">
        <w:rPr>
          <w:rStyle w:val="FootnoteReference"/>
          <w:rFonts w:asciiTheme="majorHAnsi" w:hAnsiTheme="majorHAnsi" w:cstheme="majorHAnsi"/>
          <w:sz w:val="16"/>
          <w:szCs w:val="16"/>
        </w:rPr>
        <w:footnoteRef/>
      </w:r>
      <w:r w:rsidRPr="00B742C5">
        <w:rPr>
          <w:rFonts w:asciiTheme="majorHAnsi" w:hAnsiTheme="majorHAnsi" w:cstheme="majorHAnsi"/>
          <w:sz w:val="16"/>
          <w:szCs w:val="16"/>
        </w:rPr>
        <w:t xml:space="preserve"> </w:t>
      </w:r>
      <w:r w:rsidRPr="009D34BB">
        <w:rPr>
          <w:rFonts w:asciiTheme="majorHAnsi" w:hAnsiTheme="majorHAnsi" w:cstheme="majorHAnsi"/>
          <w:sz w:val="16"/>
          <w:szCs w:val="16"/>
          <w:vertAlign w:val="baseline"/>
          <w:lang w:val="ro-MD"/>
        </w:rPr>
        <w:t>Ordinul Directorului Institutului</w:t>
      </w:r>
      <w:r w:rsidRPr="009D34BB">
        <w:rPr>
          <w:rFonts w:asciiTheme="majorHAnsi" w:hAnsiTheme="majorHAnsi" w:cstheme="majorHAnsi"/>
          <w:sz w:val="16"/>
          <w:szCs w:val="16"/>
          <w:vertAlign w:val="baseline"/>
        </w:rPr>
        <w:t xml:space="preserve">  </w:t>
      </w:r>
      <w:r w:rsidRPr="009D34BB">
        <w:rPr>
          <w:rFonts w:asciiTheme="majorHAnsi" w:hAnsiTheme="majorHAnsi" w:cstheme="majorHAnsi"/>
          <w:sz w:val="16"/>
          <w:szCs w:val="16"/>
          <w:shd w:val="clear" w:color="auto" w:fill="FFFFFF"/>
          <w:vertAlign w:val="baseline"/>
          <w:lang w:val="ro-MD"/>
        </w:rPr>
        <w:t>de Standardizare din Moldova nr.61 din 13.10.2017</w:t>
      </w:r>
      <w:r w:rsidRPr="00C14D1A">
        <w:rPr>
          <w:rFonts w:asciiTheme="majorHAnsi" w:hAnsiTheme="majorHAnsi" w:cstheme="majorHAnsi"/>
          <w:sz w:val="16"/>
          <w:szCs w:val="16"/>
          <w:shd w:val="clear" w:color="auto" w:fill="FFFFFF"/>
          <w:vertAlign w:val="baseline"/>
          <w:lang w:val="ro-MD"/>
        </w:rPr>
        <w:t>.</w:t>
      </w:r>
    </w:p>
  </w:footnote>
  <w:footnote w:id="21">
    <w:p w14:paraId="5D39B3A6" w14:textId="26A48B5D" w:rsidR="00F124D2" w:rsidRPr="003B6E18" w:rsidRDefault="00F124D2">
      <w:pPr>
        <w:pStyle w:val="FootnoteText"/>
        <w:rPr>
          <w:rFonts w:asciiTheme="majorHAnsi" w:hAnsiTheme="majorHAnsi" w:cstheme="majorHAnsi"/>
          <w:sz w:val="16"/>
          <w:szCs w:val="16"/>
          <w:vertAlign w:val="baseline"/>
        </w:rPr>
      </w:pPr>
      <w:r w:rsidRPr="003A64B1">
        <w:rPr>
          <w:rStyle w:val="FootnoteReference"/>
          <w:rFonts w:asciiTheme="majorHAnsi" w:hAnsiTheme="majorHAnsi" w:cstheme="majorHAnsi"/>
          <w:sz w:val="16"/>
          <w:szCs w:val="16"/>
        </w:rPr>
        <w:footnoteRef/>
      </w:r>
      <w:r w:rsidRPr="003A64B1">
        <w:rPr>
          <w:rFonts w:asciiTheme="majorHAnsi" w:hAnsiTheme="majorHAnsi" w:cstheme="majorHAnsi"/>
          <w:sz w:val="16"/>
          <w:szCs w:val="16"/>
        </w:rPr>
        <w:t xml:space="preserve"> </w:t>
      </w:r>
      <w:r>
        <w:rPr>
          <w:rFonts w:asciiTheme="majorHAnsi" w:hAnsiTheme="majorHAnsi" w:cstheme="majorHAnsi"/>
          <w:sz w:val="16"/>
          <w:szCs w:val="16"/>
          <w:vertAlign w:val="baseline"/>
        </w:rPr>
        <w:t xml:space="preserve">Pct. </w:t>
      </w:r>
      <w:r w:rsidRPr="003B6E18">
        <w:rPr>
          <w:rFonts w:asciiTheme="majorHAnsi" w:hAnsiTheme="majorHAnsi" w:cstheme="majorHAnsi"/>
          <w:sz w:val="16"/>
          <w:szCs w:val="16"/>
          <w:vertAlign w:val="baseline"/>
        </w:rPr>
        <w:t xml:space="preserve">6  din SNC </w:t>
      </w:r>
      <w:r>
        <w:rPr>
          <w:rFonts w:asciiTheme="majorHAnsi" w:hAnsiTheme="majorHAnsi" w:cstheme="majorHAnsi"/>
          <w:sz w:val="16"/>
          <w:szCs w:val="16"/>
          <w:vertAlign w:val="baseline"/>
        </w:rPr>
        <w:t>„</w:t>
      </w:r>
      <w:r w:rsidRPr="003B6E18">
        <w:rPr>
          <w:rFonts w:asciiTheme="majorHAnsi" w:hAnsiTheme="majorHAnsi" w:cstheme="majorHAnsi"/>
          <w:sz w:val="16"/>
          <w:szCs w:val="16"/>
          <w:vertAlign w:val="baseline"/>
        </w:rPr>
        <w:t>Imobilizări necoprorale și corporale</w:t>
      </w:r>
      <w:r>
        <w:rPr>
          <w:rFonts w:asciiTheme="majorHAnsi" w:hAnsiTheme="majorHAnsi" w:cstheme="majorHAnsi"/>
          <w:sz w:val="16"/>
          <w:szCs w:val="16"/>
          <w:vertAlign w:val="baseline"/>
        </w:rPr>
        <w:t>”.</w:t>
      </w:r>
    </w:p>
  </w:footnote>
  <w:footnote w:id="22">
    <w:p w14:paraId="79592498" w14:textId="745DB59B" w:rsidR="00F124D2" w:rsidRPr="00482495" w:rsidRDefault="00F124D2" w:rsidP="005A22E6">
      <w:pPr>
        <w:pStyle w:val="FootnoteText"/>
        <w:rPr>
          <w:rFonts w:asciiTheme="majorHAnsi" w:hAnsiTheme="majorHAnsi" w:cstheme="majorHAnsi"/>
          <w:sz w:val="16"/>
          <w:szCs w:val="16"/>
          <w:vertAlign w:val="baseline"/>
          <w:lang w:val="ro-MD"/>
        </w:rPr>
      </w:pPr>
      <w:r w:rsidRPr="00482495">
        <w:rPr>
          <w:rStyle w:val="FootnoteReference"/>
          <w:rFonts w:asciiTheme="majorHAnsi" w:hAnsiTheme="majorHAnsi" w:cstheme="majorHAnsi"/>
          <w:sz w:val="16"/>
          <w:szCs w:val="16"/>
          <w:lang w:val="ro-MD"/>
        </w:rPr>
        <w:footnoteRef/>
      </w:r>
      <w:r w:rsidRPr="00BD28C4">
        <w:rPr>
          <w:rFonts w:asciiTheme="majorHAnsi" w:hAnsiTheme="majorHAnsi" w:cstheme="majorHAnsi"/>
          <w:sz w:val="16"/>
          <w:szCs w:val="16"/>
          <w:vertAlign w:val="baseline"/>
          <w:lang w:val="ro-MD"/>
        </w:rPr>
        <w:t xml:space="preserve"> </w:t>
      </w:r>
      <w:r w:rsidRPr="00482495">
        <w:rPr>
          <w:rFonts w:asciiTheme="majorHAnsi" w:hAnsiTheme="majorHAnsi" w:cstheme="majorHAnsi"/>
          <w:sz w:val="16"/>
          <w:szCs w:val="16"/>
          <w:vertAlign w:val="baseline"/>
          <w:lang w:val="ro-MD"/>
        </w:rPr>
        <w:t xml:space="preserve">Pct.8 și pct.33 din Regulamentul privind inventarierea, aprobat prin Ordinul </w:t>
      </w:r>
      <w:r>
        <w:rPr>
          <w:rFonts w:asciiTheme="majorHAnsi" w:hAnsiTheme="majorHAnsi" w:cstheme="majorHAnsi"/>
          <w:sz w:val="16"/>
          <w:szCs w:val="16"/>
          <w:vertAlign w:val="baseline"/>
          <w:lang w:val="ro-MD"/>
        </w:rPr>
        <w:t>M</w:t>
      </w:r>
      <w:r w:rsidRPr="00482495">
        <w:rPr>
          <w:rFonts w:asciiTheme="majorHAnsi" w:hAnsiTheme="majorHAnsi" w:cstheme="majorHAnsi"/>
          <w:sz w:val="16"/>
          <w:szCs w:val="16"/>
          <w:vertAlign w:val="baseline"/>
          <w:lang w:val="ro-MD"/>
        </w:rPr>
        <w:t>inist</w:t>
      </w:r>
      <w:r>
        <w:rPr>
          <w:rFonts w:asciiTheme="majorHAnsi" w:hAnsiTheme="majorHAnsi" w:cstheme="majorHAnsi"/>
          <w:sz w:val="16"/>
          <w:szCs w:val="16"/>
          <w:vertAlign w:val="baseline"/>
          <w:lang w:val="ro-MD"/>
        </w:rPr>
        <w:t>e</w:t>
      </w:r>
      <w:r w:rsidRPr="00482495">
        <w:rPr>
          <w:rFonts w:asciiTheme="majorHAnsi" w:hAnsiTheme="majorHAnsi" w:cstheme="majorHAnsi"/>
          <w:sz w:val="16"/>
          <w:szCs w:val="16"/>
          <w:vertAlign w:val="baseline"/>
          <w:lang w:val="ro-MD"/>
        </w:rPr>
        <w:t xml:space="preserve">rului </w:t>
      </w:r>
      <w:r>
        <w:rPr>
          <w:rFonts w:asciiTheme="majorHAnsi" w:hAnsiTheme="majorHAnsi" w:cstheme="majorHAnsi"/>
          <w:sz w:val="16"/>
          <w:szCs w:val="16"/>
          <w:vertAlign w:val="baseline"/>
          <w:lang w:val="ro-MD"/>
        </w:rPr>
        <w:t>F</w:t>
      </w:r>
      <w:r w:rsidRPr="00482495">
        <w:rPr>
          <w:rFonts w:asciiTheme="majorHAnsi" w:hAnsiTheme="majorHAnsi" w:cstheme="majorHAnsi"/>
          <w:sz w:val="16"/>
          <w:szCs w:val="16"/>
          <w:vertAlign w:val="baseline"/>
          <w:lang w:val="ro-MD"/>
        </w:rPr>
        <w:t>inanțelor nr.60 din 29.05.2012.</w:t>
      </w:r>
    </w:p>
  </w:footnote>
  <w:footnote w:id="23">
    <w:p w14:paraId="24BA499A" w14:textId="4A0CE807" w:rsidR="00F124D2" w:rsidRPr="00F35065" w:rsidRDefault="00F124D2">
      <w:pPr>
        <w:pStyle w:val="FootnoteText"/>
        <w:rPr>
          <w:rFonts w:asciiTheme="majorHAnsi" w:hAnsiTheme="majorHAnsi" w:cstheme="majorHAnsi"/>
          <w:sz w:val="16"/>
          <w:szCs w:val="16"/>
          <w:vertAlign w:val="baseline"/>
        </w:rPr>
      </w:pPr>
      <w:r w:rsidRPr="00942190">
        <w:rPr>
          <w:rStyle w:val="FootnoteReference"/>
          <w:rFonts w:asciiTheme="majorHAnsi" w:hAnsiTheme="majorHAnsi" w:cstheme="majorHAnsi"/>
          <w:sz w:val="16"/>
          <w:szCs w:val="16"/>
        </w:rPr>
        <w:footnoteRef/>
      </w:r>
      <w:r w:rsidRPr="00F35065">
        <w:rPr>
          <w:rFonts w:asciiTheme="majorHAnsi" w:hAnsiTheme="majorHAnsi" w:cstheme="majorHAnsi"/>
          <w:sz w:val="16"/>
          <w:szCs w:val="16"/>
          <w:vertAlign w:val="baseline"/>
        </w:rPr>
        <w:t xml:space="preserve"> Hotăr</w:t>
      </w:r>
      <w:r>
        <w:rPr>
          <w:rFonts w:asciiTheme="majorHAnsi" w:hAnsiTheme="majorHAnsi" w:cstheme="majorHAnsi"/>
          <w:sz w:val="16"/>
          <w:szCs w:val="16"/>
          <w:vertAlign w:val="baseline"/>
        </w:rPr>
        <w:t>â</w:t>
      </w:r>
      <w:r w:rsidRPr="00F35065">
        <w:rPr>
          <w:rFonts w:asciiTheme="majorHAnsi" w:hAnsiTheme="majorHAnsi" w:cstheme="majorHAnsi"/>
          <w:sz w:val="16"/>
          <w:szCs w:val="16"/>
          <w:vertAlign w:val="baseline"/>
        </w:rPr>
        <w:t>rea Guvernului nr.338 din 21.03.2003 cu privire la aprobarea Catalogului mijloacelor fixe și activelor nemateriale.</w:t>
      </w:r>
    </w:p>
  </w:footnote>
  <w:footnote w:id="24">
    <w:p w14:paraId="0FB0D634" w14:textId="27D73E7F" w:rsidR="00F124D2" w:rsidRPr="00F35065" w:rsidRDefault="00F124D2" w:rsidP="00283BD3">
      <w:pPr>
        <w:pStyle w:val="FootnoteText"/>
        <w:rPr>
          <w:rFonts w:asciiTheme="majorHAnsi" w:hAnsiTheme="majorHAnsi" w:cstheme="majorHAnsi"/>
          <w:sz w:val="16"/>
          <w:szCs w:val="16"/>
          <w:vertAlign w:val="baseline"/>
        </w:rPr>
      </w:pPr>
      <w:r w:rsidRPr="00942190">
        <w:rPr>
          <w:rStyle w:val="FootnoteReference"/>
          <w:rFonts w:asciiTheme="majorHAnsi" w:hAnsiTheme="majorHAnsi" w:cstheme="majorHAnsi"/>
          <w:sz w:val="16"/>
          <w:szCs w:val="16"/>
        </w:rPr>
        <w:footnoteRef/>
      </w:r>
      <w:r w:rsidRPr="00F35065">
        <w:rPr>
          <w:rFonts w:asciiTheme="majorHAnsi" w:hAnsiTheme="majorHAnsi" w:cstheme="majorHAnsi"/>
          <w:sz w:val="16"/>
          <w:szCs w:val="16"/>
          <w:vertAlign w:val="baseline"/>
        </w:rPr>
        <w:t xml:space="preserve"> Legea contabilităţii și raportării financiare nr.287 din 15.12.2017. </w:t>
      </w:r>
    </w:p>
  </w:footnote>
  <w:footnote w:id="25">
    <w:p w14:paraId="5D94DDF3" w14:textId="45F21207" w:rsidR="00F124D2" w:rsidRPr="003B6E18" w:rsidRDefault="00F124D2">
      <w:pPr>
        <w:pStyle w:val="FootnoteText"/>
        <w:rPr>
          <w:rFonts w:asciiTheme="majorHAnsi" w:hAnsiTheme="majorHAnsi" w:cstheme="majorHAnsi"/>
          <w:sz w:val="20"/>
        </w:rPr>
      </w:pPr>
      <w:r w:rsidRPr="00942190">
        <w:rPr>
          <w:rStyle w:val="FootnoteReference"/>
          <w:rFonts w:asciiTheme="majorHAnsi" w:hAnsiTheme="majorHAnsi"/>
          <w:sz w:val="16"/>
          <w:szCs w:val="16"/>
        </w:rPr>
        <w:footnoteRef/>
      </w:r>
      <w:r w:rsidRPr="003B6E18">
        <w:t xml:space="preserve"> </w:t>
      </w:r>
      <w:r>
        <w:rPr>
          <w:rFonts w:asciiTheme="majorHAnsi" w:hAnsiTheme="majorHAnsi" w:cstheme="majorHAnsi"/>
          <w:sz w:val="16"/>
          <w:szCs w:val="16"/>
          <w:vertAlign w:val="baseline"/>
        </w:rPr>
        <w:t xml:space="preserve">Pct. </w:t>
      </w:r>
      <w:r w:rsidRPr="003B6E18">
        <w:rPr>
          <w:rFonts w:asciiTheme="majorHAnsi" w:hAnsiTheme="majorHAnsi" w:cstheme="majorHAnsi"/>
          <w:sz w:val="16"/>
          <w:szCs w:val="16"/>
          <w:vertAlign w:val="baseline"/>
        </w:rPr>
        <w:t xml:space="preserve">18 din SNC </w:t>
      </w:r>
      <w:r>
        <w:rPr>
          <w:rFonts w:asciiTheme="majorHAnsi" w:hAnsiTheme="majorHAnsi" w:cstheme="majorHAnsi"/>
          <w:sz w:val="16"/>
          <w:szCs w:val="16"/>
          <w:vertAlign w:val="baseline"/>
        </w:rPr>
        <w:t>„</w:t>
      </w:r>
      <w:r w:rsidRPr="003B6E18">
        <w:rPr>
          <w:rFonts w:asciiTheme="majorHAnsi" w:hAnsiTheme="majorHAnsi" w:cstheme="majorHAnsi"/>
          <w:sz w:val="16"/>
          <w:szCs w:val="16"/>
          <w:vertAlign w:val="baseline"/>
        </w:rPr>
        <w:t>Imobilizări necorporale și corporale</w:t>
      </w:r>
      <w:r>
        <w:rPr>
          <w:rFonts w:asciiTheme="majorHAnsi" w:hAnsiTheme="majorHAnsi" w:cstheme="majorHAnsi"/>
          <w:sz w:val="16"/>
          <w:szCs w:val="16"/>
          <w:vertAlign w:val="baseline"/>
        </w:rPr>
        <w:t>”, a se vedea Anexa nr.3. Lista imobilizărilor amortizate integral.</w:t>
      </w:r>
    </w:p>
  </w:footnote>
  <w:footnote w:id="26">
    <w:p w14:paraId="6A5B70E1" w14:textId="0FF6ADA8" w:rsidR="00F124D2" w:rsidRPr="00F249D8" w:rsidRDefault="00F124D2" w:rsidP="00516C27">
      <w:pPr>
        <w:pStyle w:val="FootnoteText"/>
        <w:rPr>
          <w:rFonts w:asciiTheme="majorHAnsi" w:hAnsiTheme="majorHAnsi" w:cstheme="majorHAnsi"/>
          <w:color w:val="000000" w:themeColor="text1"/>
          <w:sz w:val="16"/>
          <w:szCs w:val="16"/>
          <w:vertAlign w:val="baseline"/>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vertAlign w:val="baseline"/>
        </w:rPr>
        <w:t>Pct 17 și pct.</w:t>
      </w:r>
      <w:r w:rsidRPr="00F249D8">
        <w:rPr>
          <w:rFonts w:asciiTheme="majorHAnsi" w:hAnsiTheme="majorHAnsi" w:cstheme="majorHAnsi"/>
          <w:color w:val="000000" w:themeColor="text1"/>
          <w:sz w:val="16"/>
          <w:szCs w:val="16"/>
          <w:vertAlign w:val="baseline"/>
        </w:rPr>
        <w:t>18 din SNC</w:t>
      </w:r>
      <w:r>
        <w:rPr>
          <w:rFonts w:asciiTheme="majorHAnsi" w:hAnsiTheme="majorHAnsi" w:cstheme="majorHAnsi"/>
          <w:color w:val="000000" w:themeColor="text1"/>
          <w:sz w:val="16"/>
          <w:szCs w:val="16"/>
          <w:vertAlign w:val="baseline"/>
        </w:rPr>
        <w:t xml:space="preserve"> „</w:t>
      </w:r>
      <w:r w:rsidRPr="00F249D8">
        <w:rPr>
          <w:rFonts w:asciiTheme="majorHAnsi" w:hAnsiTheme="majorHAnsi" w:cstheme="majorHAnsi"/>
          <w:color w:val="000000" w:themeColor="text1"/>
          <w:sz w:val="16"/>
          <w:szCs w:val="16"/>
          <w:vertAlign w:val="baseline"/>
        </w:rPr>
        <w:t>Imobilizări necorporale și corporale</w:t>
      </w:r>
      <w:r>
        <w:rPr>
          <w:rFonts w:asciiTheme="majorHAnsi" w:hAnsiTheme="majorHAnsi" w:cstheme="majorHAnsi"/>
          <w:color w:val="000000" w:themeColor="text1"/>
          <w:sz w:val="16"/>
          <w:szCs w:val="16"/>
          <w:vertAlign w:val="baseline"/>
        </w:rPr>
        <w:t>”</w:t>
      </w:r>
      <w:r w:rsidRPr="00F249D8">
        <w:rPr>
          <w:rFonts w:asciiTheme="majorHAnsi" w:hAnsiTheme="majorHAnsi" w:cstheme="majorHAnsi"/>
          <w:color w:val="000000" w:themeColor="text1"/>
          <w:sz w:val="16"/>
          <w:szCs w:val="16"/>
          <w:vertAlign w:val="baseline"/>
        </w:rPr>
        <w:t>.</w:t>
      </w:r>
    </w:p>
  </w:footnote>
  <w:footnote w:id="27">
    <w:p w14:paraId="691F9E07" w14:textId="507282EF" w:rsidR="00F124D2" w:rsidRPr="00F249D8" w:rsidRDefault="00F124D2">
      <w:pPr>
        <w:pStyle w:val="FootnoteText"/>
        <w:rPr>
          <w:rFonts w:asciiTheme="majorHAnsi" w:hAnsiTheme="majorHAnsi" w:cstheme="majorHAnsi"/>
          <w:color w:val="000000" w:themeColor="text1"/>
          <w:sz w:val="16"/>
          <w:szCs w:val="16"/>
          <w:vertAlign w:val="baseline"/>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vertAlign w:val="baseline"/>
        </w:rPr>
        <w:t>Pct.42 din Regulamentul</w:t>
      </w:r>
      <w:r w:rsidRPr="00F249D8">
        <w:rPr>
          <w:rFonts w:asciiTheme="majorHAnsi" w:hAnsiTheme="majorHAnsi" w:cstheme="majorHAnsi"/>
          <w:color w:val="000000" w:themeColor="text1"/>
          <w:sz w:val="16"/>
          <w:szCs w:val="16"/>
          <w:vertAlign w:val="baseline"/>
        </w:rPr>
        <w:t xml:space="preserve"> privind inventarierea</w:t>
      </w:r>
      <w:r>
        <w:rPr>
          <w:rFonts w:asciiTheme="majorHAnsi" w:hAnsiTheme="majorHAnsi" w:cstheme="majorHAnsi"/>
          <w:color w:val="000000" w:themeColor="text1"/>
          <w:sz w:val="16"/>
          <w:szCs w:val="16"/>
          <w:vertAlign w:val="baseline"/>
        </w:rPr>
        <w:t>,</w:t>
      </w:r>
      <w:r w:rsidRPr="00F249D8">
        <w:rPr>
          <w:rFonts w:asciiTheme="majorHAnsi" w:hAnsiTheme="majorHAnsi" w:cstheme="majorHAnsi"/>
          <w:color w:val="000000" w:themeColor="text1"/>
          <w:sz w:val="16"/>
          <w:szCs w:val="16"/>
          <w:vertAlign w:val="baseline"/>
        </w:rPr>
        <w:t xml:space="preserve"> </w:t>
      </w:r>
      <w:r>
        <w:rPr>
          <w:rFonts w:asciiTheme="majorHAnsi" w:hAnsiTheme="majorHAnsi" w:cstheme="majorHAnsi"/>
          <w:color w:val="000000" w:themeColor="text1"/>
          <w:sz w:val="16"/>
          <w:szCs w:val="16"/>
          <w:vertAlign w:val="baseline"/>
        </w:rPr>
        <w:t>aprobat prin Ordinul Ministerului Finanțelor nr.60 din 29.05.2012.</w:t>
      </w:r>
      <w:r w:rsidRPr="00F249D8">
        <w:rPr>
          <w:rFonts w:asciiTheme="majorHAnsi" w:hAnsiTheme="majorHAnsi" w:cstheme="majorHAnsi"/>
          <w:color w:val="000000" w:themeColor="text1"/>
          <w:sz w:val="16"/>
          <w:szCs w:val="16"/>
          <w:vertAlign w:val="baseline"/>
        </w:rPr>
        <w:t xml:space="preserve"> </w:t>
      </w:r>
    </w:p>
  </w:footnote>
  <w:footnote w:id="28">
    <w:p w14:paraId="73C38FB0" w14:textId="583854E1" w:rsidR="00F124D2" w:rsidRPr="00F249D8" w:rsidRDefault="00F124D2">
      <w:pPr>
        <w:pStyle w:val="FootnoteText"/>
        <w:rPr>
          <w:rFonts w:asciiTheme="majorHAnsi" w:hAnsiTheme="majorHAnsi" w:cstheme="majorHAnsi"/>
          <w:color w:val="000000" w:themeColor="text1"/>
          <w:sz w:val="16"/>
          <w:szCs w:val="16"/>
          <w:lang w:val="ro-MD"/>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F249D8">
        <w:rPr>
          <w:rFonts w:asciiTheme="majorHAnsi" w:hAnsiTheme="majorHAnsi" w:cstheme="majorHAnsi"/>
          <w:color w:val="000000" w:themeColor="text1"/>
          <w:sz w:val="16"/>
          <w:szCs w:val="16"/>
          <w:vertAlign w:val="baseline"/>
          <w:lang w:val="ro-MD"/>
        </w:rPr>
        <w:t xml:space="preserve"> Anexa nr.4</w:t>
      </w:r>
      <w:r>
        <w:rPr>
          <w:rFonts w:asciiTheme="majorHAnsi" w:hAnsiTheme="majorHAnsi" w:cstheme="majorHAnsi"/>
          <w:color w:val="000000" w:themeColor="text1"/>
          <w:sz w:val="16"/>
          <w:szCs w:val="16"/>
          <w:vertAlign w:val="baseline"/>
          <w:lang w:val="ro-MD"/>
        </w:rPr>
        <w:t>.</w:t>
      </w:r>
      <w:r w:rsidRPr="00F249D8">
        <w:rPr>
          <w:rFonts w:asciiTheme="majorHAnsi" w:hAnsiTheme="majorHAnsi" w:cstheme="majorHAnsi"/>
          <w:color w:val="000000" w:themeColor="text1"/>
          <w:sz w:val="16"/>
          <w:szCs w:val="16"/>
          <w:vertAlign w:val="baseline"/>
          <w:lang w:val="ro-MD"/>
        </w:rPr>
        <w:t xml:space="preserve"> </w:t>
      </w:r>
      <w:r>
        <w:rPr>
          <w:rFonts w:asciiTheme="majorHAnsi" w:hAnsiTheme="majorHAnsi" w:cstheme="majorHAnsi"/>
          <w:color w:val="000000" w:themeColor="text1"/>
          <w:sz w:val="16"/>
          <w:szCs w:val="16"/>
          <w:vertAlign w:val="baseline"/>
          <w:lang w:val="ro-MD"/>
        </w:rPr>
        <w:t xml:space="preserve">Listele bunurilor spre casare prezentate de  MOLDAC și ISM la prezentul Raport de audit. </w:t>
      </w:r>
    </w:p>
  </w:footnote>
  <w:footnote w:id="29">
    <w:p w14:paraId="785F15CA" w14:textId="041D131C" w:rsidR="00F124D2" w:rsidRPr="00F249D8" w:rsidRDefault="00F124D2" w:rsidP="00DA265F">
      <w:pPr>
        <w:pStyle w:val="FootnoteText"/>
        <w:rPr>
          <w:rFonts w:asciiTheme="majorHAnsi" w:hAnsiTheme="majorHAnsi" w:cstheme="majorHAnsi"/>
          <w:color w:val="000000" w:themeColor="text1"/>
          <w:sz w:val="16"/>
          <w:szCs w:val="16"/>
          <w:vertAlign w:val="baseline"/>
        </w:rPr>
      </w:pPr>
      <w:r w:rsidRPr="003568F2">
        <w:rPr>
          <w:rStyle w:val="FootnoteReference"/>
          <w:rFonts w:asciiTheme="majorHAnsi" w:hAnsiTheme="majorHAnsi" w:cstheme="majorHAnsi"/>
          <w:color w:val="000000" w:themeColor="text1"/>
          <w:sz w:val="16"/>
          <w:szCs w:val="16"/>
        </w:rPr>
        <w:footnoteRef/>
      </w:r>
      <w:r w:rsidRPr="003568F2">
        <w:rPr>
          <w:rFonts w:asciiTheme="majorHAnsi" w:hAnsiTheme="majorHAnsi" w:cstheme="majorHAnsi"/>
          <w:color w:val="000000" w:themeColor="text1"/>
          <w:sz w:val="16"/>
          <w:szCs w:val="16"/>
        </w:rPr>
        <w:t xml:space="preserve"> </w:t>
      </w:r>
      <w:r w:rsidRPr="003568F2">
        <w:rPr>
          <w:rFonts w:asciiTheme="majorHAnsi" w:hAnsiTheme="majorHAnsi" w:cstheme="majorHAnsi"/>
          <w:color w:val="000000" w:themeColor="text1"/>
          <w:sz w:val="16"/>
          <w:szCs w:val="16"/>
          <w:vertAlign w:val="baseline"/>
        </w:rPr>
        <w:t>Scrisoarea</w:t>
      </w:r>
      <w:r>
        <w:rPr>
          <w:rFonts w:asciiTheme="majorHAnsi" w:hAnsiTheme="majorHAnsi" w:cstheme="majorHAnsi"/>
          <w:color w:val="000000" w:themeColor="text1"/>
          <w:sz w:val="16"/>
          <w:szCs w:val="16"/>
          <w:vertAlign w:val="baseline"/>
        </w:rPr>
        <w:t>-</w:t>
      </w:r>
      <w:r w:rsidRPr="003568F2">
        <w:rPr>
          <w:rFonts w:asciiTheme="majorHAnsi" w:hAnsiTheme="majorHAnsi" w:cstheme="majorHAnsi"/>
          <w:color w:val="000000" w:themeColor="text1"/>
          <w:sz w:val="16"/>
          <w:szCs w:val="16"/>
          <w:vertAlign w:val="baseline"/>
        </w:rPr>
        <w:t>răspuns către INM nr.24/446-DE2 din 24.07.2019 către Ministerul Economiei și Infrastructurii.</w:t>
      </w:r>
    </w:p>
  </w:footnote>
  <w:footnote w:id="30">
    <w:p w14:paraId="54FBFB95" w14:textId="6A72C4B4" w:rsidR="00F124D2" w:rsidRPr="0004572B" w:rsidRDefault="00F124D2" w:rsidP="00231DEF">
      <w:pPr>
        <w:pStyle w:val="FootnoteText"/>
        <w:rPr>
          <w:rFonts w:asciiTheme="majorHAnsi" w:hAnsiTheme="majorHAnsi" w:cstheme="majorHAnsi"/>
          <w:sz w:val="16"/>
          <w:szCs w:val="16"/>
        </w:rPr>
      </w:pPr>
      <w:r w:rsidRPr="00C30562">
        <w:rPr>
          <w:rStyle w:val="FootnoteReference"/>
          <w:rFonts w:asciiTheme="majorHAnsi" w:hAnsiTheme="majorHAnsi" w:cstheme="majorHAnsi"/>
          <w:sz w:val="16"/>
          <w:szCs w:val="16"/>
        </w:rPr>
        <w:footnoteRef/>
      </w:r>
      <w:r w:rsidRPr="00C30562">
        <w:rPr>
          <w:rFonts w:asciiTheme="majorHAnsi" w:hAnsiTheme="majorHAnsi" w:cstheme="majorHAnsi"/>
          <w:sz w:val="16"/>
          <w:szCs w:val="16"/>
        </w:rPr>
        <w:t xml:space="preserve"> </w:t>
      </w:r>
      <w:r w:rsidRPr="00C30562">
        <w:rPr>
          <w:rFonts w:asciiTheme="majorHAnsi" w:hAnsiTheme="majorHAnsi" w:cstheme="majorHAnsi"/>
          <w:color w:val="000000" w:themeColor="text1"/>
          <w:sz w:val="16"/>
          <w:szCs w:val="16"/>
          <w:vertAlign w:val="baseline"/>
        </w:rPr>
        <w:t>Art.21 din Legea nr.20/2016; art. 22 din Legea nr.19/2016</w:t>
      </w:r>
      <w:r>
        <w:rPr>
          <w:rFonts w:asciiTheme="majorHAnsi" w:hAnsiTheme="majorHAnsi" w:cstheme="majorHAnsi"/>
          <w:color w:val="000000" w:themeColor="text1"/>
          <w:sz w:val="16"/>
          <w:szCs w:val="16"/>
          <w:vertAlign w:val="baseline"/>
        </w:rPr>
        <w:t>;</w:t>
      </w:r>
      <w:r w:rsidRPr="00C30562">
        <w:rPr>
          <w:rFonts w:asciiTheme="majorHAnsi" w:hAnsiTheme="majorHAnsi" w:cstheme="majorHAnsi"/>
          <w:color w:val="000000" w:themeColor="text1"/>
          <w:sz w:val="16"/>
          <w:szCs w:val="16"/>
          <w:vertAlign w:val="baseline"/>
        </w:rPr>
        <w:t xml:space="preserve"> art.7 din Legea nr.235/2011.</w:t>
      </w:r>
    </w:p>
  </w:footnote>
  <w:footnote w:id="31">
    <w:p w14:paraId="6AB0F18E" w14:textId="6FBFF0CC" w:rsidR="00F124D2" w:rsidRPr="0095325C" w:rsidRDefault="00F124D2" w:rsidP="0095325C">
      <w:pPr>
        <w:pStyle w:val="Heading4"/>
        <w:shd w:val="clear" w:color="auto" w:fill="FFFFFF"/>
        <w:spacing w:before="0"/>
        <w:jc w:val="both"/>
        <w:rPr>
          <w:rFonts w:cstheme="majorHAnsi"/>
          <w:sz w:val="16"/>
          <w:szCs w:val="16"/>
        </w:rPr>
      </w:pPr>
      <w:r w:rsidRPr="0095325C">
        <w:rPr>
          <w:rStyle w:val="FootnoteReference"/>
          <w:rFonts w:cstheme="majorHAnsi"/>
          <w:color w:val="auto"/>
          <w:sz w:val="16"/>
          <w:szCs w:val="16"/>
        </w:rPr>
        <w:footnoteRef/>
      </w:r>
      <w:r w:rsidRPr="0095325C">
        <w:rPr>
          <w:rFonts w:cstheme="majorHAnsi"/>
          <w:color w:val="auto"/>
          <w:sz w:val="16"/>
          <w:szCs w:val="16"/>
        </w:rPr>
        <w:t xml:space="preserve"> </w:t>
      </w:r>
      <w:r>
        <w:rPr>
          <w:rFonts w:eastAsiaTheme="minorHAnsi" w:cstheme="majorHAnsi"/>
          <w:i w:val="0"/>
          <w:iCs w:val="0"/>
          <w:color w:val="auto"/>
          <w:sz w:val="16"/>
          <w:szCs w:val="16"/>
          <w:lang w:val="ro-MD"/>
        </w:rPr>
        <w:t>Pct.13 și pct.</w:t>
      </w:r>
      <w:r w:rsidRPr="0095325C">
        <w:rPr>
          <w:rFonts w:eastAsiaTheme="minorHAnsi" w:cstheme="majorHAnsi"/>
          <w:i w:val="0"/>
          <w:iCs w:val="0"/>
          <w:color w:val="auto"/>
          <w:sz w:val="16"/>
          <w:szCs w:val="16"/>
          <w:lang w:val="ro-MD"/>
        </w:rPr>
        <w:t>14 din</w:t>
      </w:r>
      <w:r>
        <w:rPr>
          <w:rFonts w:eastAsiaTheme="minorHAnsi" w:cstheme="majorHAnsi"/>
          <w:i w:val="0"/>
          <w:iCs w:val="0"/>
          <w:color w:val="auto"/>
          <w:sz w:val="16"/>
          <w:szCs w:val="16"/>
          <w:lang w:val="ro-MD"/>
        </w:rPr>
        <w:t xml:space="preserve"> Anexa nr.2 la Hotărârea Guvernului nr.1213 din 04.11.2016 </w:t>
      </w:r>
      <w:r w:rsidRPr="0095325C">
        <w:rPr>
          <w:rFonts w:eastAsiaTheme="minorHAnsi" w:cstheme="majorHAnsi"/>
          <w:i w:val="0"/>
          <w:iCs w:val="0"/>
          <w:color w:val="auto"/>
          <w:sz w:val="16"/>
          <w:szCs w:val="16"/>
          <w:lang w:val="ro-MD"/>
        </w:rPr>
        <w:t xml:space="preserve"> cu privire la serviciile în domeniul standardizării prestate contra plată de către</w:t>
      </w:r>
      <w:r>
        <w:rPr>
          <w:rFonts w:eastAsiaTheme="minorHAnsi" w:cstheme="majorHAnsi"/>
          <w:i w:val="0"/>
          <w:iCs w:val="0"/>
          <w:color w:val="auto"/>
          <w:sz w:val="16"/>
          <w:szCs w:val="16"/>
          <w:lang w:val="ro-MD"/>
        </w:rPr>
        <w:t xml:space="preserve"> Institutul de Standardizare din Moldova (în continuare  -  Anexa nr.2 la HG nr.1213/2016).</w:t>
      </w:r>
    </w:p>
  </w:footnote>
  <w:footnote w:id="32">
    <w:p w14:paraId="7B9CB01F" w14:textId="71465B61" w:rsidR="00F124D2" w:rsidRPr="004D0718" w:rsidRDefault="00F124D2" w:rsidP="0095325C">
      <w:pPr>
        <w:pStyle w:val="FootnoteText"/>
        <w:jc w:val="both"/>
        <w:rPr>
          <w:rFonts w:asciiTheme="majorHAnsi" w:hAnsiTheme="majorHAnsi" w:cstheme="majorHAnsi"/>
          <w:sz w:val="16"/>
          <w:szCs w:val="16"/>
          <w:lang w:val="ro-MD"/>
        </w:rPr>
      </w:pPr>
      <w:r w:rsidRPr="004D0718">
        <w:rPr>
          <w:rStyle w:val="FootnoteReference"/>
          <w:rFonts w:asciiTheme="majorHAnsi" w:hAnsiTheme="majorHAnsi" w:cstheme="majorHAnsi"/>
          <w:sz w:val="16"/>
          <w:szCs w:val="16"/>
        </w:rPr>
        <w:footnoteRef/>
      </w:r>
      <w:r w:rsidRPr="004D0718">
        <w:rPr>
          <w:rFonts w:asciiTheme="majorHAnsi" w:hAnsiTheme="majorHAnsi" w:cstheme="majorHAnsi"/>
          <w:sz w:val="16"/>
          <w:szCs w:val="16"/>
        </w:rPr>
        <w:t xml:space="preserve"> </w:t>
      </w:r>
      <w:r w:rsidRPr="00AA428F">
        <w:rPr>
          <w:rFonts w:asciiTheme="majorHAnsi" w:hAnsiTheme="majorHAnsi" w:cstheme="majorHAnsi"/>
          <w:sz w:val="16"/>
          <w:szCs w:val="16"/>
          <w:vertAlign w:val="baseline"/>
          <w:lang w:val="ro-MD"/>
        </w:rPr>
        <w:t>Scrisoarea de solicitare nr.10-2/50 din 19.02.2020 și Solicitarea nr.10-1/76 din 31.03.2022</w:t>
      </w:r>
      <w:r>
        <w:rPr>
          <w:rFonts w:asciiTheme="majorHAnsi" w:hAnsiTheme="majorHAnsi" w:cstheme="majorHAnsi"/>
          <w:sz w:val="16"/>
          <w:szCs w:val="16"/>
          <w:vertAlign w:val="baseline"/>
          <w:lang w:val="ro-MD"/>
        </w:rPr>
        <w:t>.</w:t>
      </w:r>
    </w:p>
  </w:footnote>
  <w:footnote w:id="33">
    <w:p w14:paraId="570AD832" w14:textId="09AFD0F1" w:rsidR="00F124D2" w:rsidRPr="00C66909" w:rsidRDefault="00F124D2" w:rsidP="0095325C">
      <w:pPr>
        <w:pStyle w:val="FootnoteText"/>
        <w:jc w:val="both"/>
        <w:rPr>
          <w:rFonts w:asciiTheme="majorHAnsi" w:hAnsiTheme="majorHAnsi" w:cstheme="majorHAnsi"/>
          <w:sz w:val="16"/>
          <w:szCs w:val="16"/>
          <w:lang w:val="ro-MD"/>
        </w:rPr>
      </w:pPr>
      <w:r w:rsidRPr="004D0718">
        <w:rPr>
          <w:rStyle w:val="FootnoteReference"/>
          <w:rFonts w:asciiTheme="majorHAnsi" w:hAnsiTheme="majorHAnsi" w:cstheme="majorHAnsi"/>
          <w:sz w:val="16"/>
          <w:szCs w:val="16"/>
        </w:rPr>
        <w:footnoteRef/>
      </w:r>
      <w:r w:rsidRPr="004D0718">
        <w:rPr>
          <w:rFonts w:asciiTheme="majorHAnsi" w:hAnsiTheme="majorHAnsi" w:cstheme="majorHAnsi"/>
          <w:sz w:val="16"/>
          <w:szCs w:val="16"/>
        </w:rPr>
        <w:t xml:space="preserve"> </w:t>
      </w:r>
      <w:r w:rsidRPr="00AA428F">
        <w:rPr>
          <w:rFonts w:asciiTheme="majorHAnsi" w:hAnsiTheme="majorHAnsi" w:cstheme="majorHAnsi"/>
          <w:sz w:val="16"/>
          <w:szCs w:val="16"/>
          <w:vertAlign w:val="baseline"/>
          <w:lang w:val="ro-MD"/>
        </w:rPr>
        <w:t>Răspuns</w:t>
      </w:r>
      <w:r>
        <w:rPr>
          <w:rFonts w:asciiTheme="majorHAnsi" w:hAnsiTheme="majorHAnsi" w:cstheme="majorHAnsi"/>
          <w:sz w:val="16"/>
          <w:szCs w:val="16"/>
          <w:vertAlign w:val="baseline"/>
          <w:lang w:val="ro-MD"/>
        </w:rPr>
        <w:t>ul</w:t>
      </w:r>
      <w:r w:rsidRPr="00AA428F">
        <w:rPr>
          <w:rFonts w:asciiTheme="majorHAnsi" w:hAnsiTheme="majorHAnsi" w:cstheme="majorHAnsi"/>
          <w:sz w:val="16"/>
          <w:szCs w:val="16"/>
          <w:vertAlign w:val="baseline"/>
          <w:lang w:val="ro-MD"/>
        </w:rPr>
        <w:t xml:space="preserve"> </w:t>
      </w:r>
      <w:r w:rsidRPr="00C66909">
        <w:rPr>
          <w:rFonts w:asciiTheme="majorHAnsi" w:hAnsiTheme="majorHAnsi" w:cstheme="majorHAnsi"/>
          <w:sz w:val="16"/>
          <w:szCs w:val="16"/>
          <w:vertAlign w:val="baseline"/>
          <w:lang w:val="ro-MD"/>
        </w:rPr>
        <w:t>M</w:t>
      </w:r>
      <w:r>
        <w:rPr>
          <w:rFonts w:asciiTheme="majorHAnsi" w:hAnsiTheme="majorHAnsi" w:cstheme="majorHAnsi"/>
          <w:sz w:val="16"/>
          <w:szCs w:val="16"/>
          <w:vertAlign w:val="baseline"/>
          <w:lang w:val="ro-MD"/>
        </w:rPr>
        <w:t xml:space="preserve">inisterului </w:t>
      </w:r>
      <w:r w:rsidRPr="00C66909">
        <w:rPr>
          <w:rFonts w:asciiTheme="majorHAnsi" w:hAnsiTheme="majorHAnsi" w:cstheme="majorHAnsi"/>
          <w:sz w:val="16"/>
          <w:szCs w:val="16"/>
          <w:vertAlign w:val="baseline"/>
          <w:lang w:val="ro-MD"/>
        </w:rPr>
        <w:t>E</w:t>
      </w:r>
      <w:r>
        <w:rPr>
          <w:rFonts w:asciiTheme="majorHAnsi" w:hAnsiTheme="majorHAnsi" w:cstheme="majorHAnsi"/>
          <w:sz w:val="16"/>
          <w:szCs w:val="16"/>
          <w:vertAlign w:val="baseline"/>
          <w:lang w:val="ro-MD"/>
        </w:rPr>
        <w:t xml:space="preserve">conomiei și </w:t>
      </w:r>
      <w:r w:rsidRPr="00C66909">
        <w:rPr>
          <w:rFonts w:asciiTheme="majorHAnsi" w:hAnsiTheme="majorHAnsi" w:cstheme="majorHAnsi"/>
          <w:sz w:val="16"/>
          <w:szCs w:val="16"/>
          <w:vertAlign w:val="baseline"/>
          <w:lang w:val="ro-MD"/>
        </w:rPr>
        <w:t>I</w:t>
      </w:r>
      <w:r>
        <w:rPr>
          <w:rFonts w:asciiTheme="majorHAnsi" w:hAnsiTheme="majorHAnsi" w:cstheme="majorHAnsi"/>
          <w:sz w:val="16"/>
          <w:szCs w:val="16"/>
          <w:vertAlign w:val="baseline"/>
          <w:lang w:val="ro-MD"/>
        </w:rPr>
        <w:t>nfrastructurii</w:t>
      </w:r>
      <w:r w:rsidRPr="00C66909">
        <w:rPr>
          <w:rFonts w:asciiTheme="majorHAnsi" w:hAnsiTheme="majorHAnsi" w:cstheme="majorHAnsi"/>
          <w:sz w:val="16"/>
          <w:szCs w:val="16"/>
          <w:vertAlign w:val="baseline"/>
          <w:lang w:val="ro-MD"/>
        </w:rPr>
        <w:t xml:space="preserve"> nr.12-7903 din 26.11.2019.</w:t>
      </w:r>
    </w:p>
  </w:footnote>
  <w:footnote w:id="34">
    <w:p w14:paraId="5B7DFAD9" w14:textId="3185B55A" w:rsidR="00F124D2" w:rsidRPr="00C66909" w:rsidRDefault="00F124D2" w:rsidP="0095325C">
      <w:pPr>
        <w:pStyle w:val="Heading4"/>
        <w:shd w:val="clear" w:color="auto" w:fill="FFFFFF"/>
        <w:spacing w:before="0"/>
        <w:jc w:val="both"/>
        <w:rPr>
          <w:rFonts w:cstheme="majorHAnsi"/>
          <w:sz w:val="16"/>
          <w:szCs w:val="16"/>
        </w:rPr>
      </w:pPr>
      <w:r w:rsidRPr="00C66909">
        <w:rPr>
          <w:rStyle w:val="FootnoteReference"/>
          <w:rFonts w:cstheme="majorHAnsi"/>
          <w:i w:val="0"/>
          <w:color w:val="auto"/>
          <w:sz w:val="16"/>
          <w:szCs w:val="16"/>
        </w:rPr>
        <w:footnoteRef/>
      </w:r>
      <w:r w:rsidRPr="00C66909">
        <w:rPr>
          <w:rFonts w:cstheme="majorHAnsi"/>
          <w:i w:val="0"/>
          <w:color w:val="auto"/>
          <w:sz w:val="16"/>
          <w:szCs w:val="16"/>
        </w:rPr>
        <w:t xml:space="preserve"> Pct.2 din Anexa nr.2 la HG nr. 1213/2016.</w:t>
      </w:r>
    </w:p>
  </w:footnote>
  <w:footnote w:id="35">
    <w:p w14:paraId="45708726" w14:textId="2C1BAA92" w:rsidR="00F124D2" w:rsidRPr="00C66909" w:rsidRDefault="00F124D2" w:rsidP="0095325C">
      <w:pPr>
        <w:pStyle w:val="Heading4"/>
        <w:shd w:val="clear" w:color="auto" w:fill="FFFFFF"/>
        <w:spacing w:before="0"/>
        <w:jc w:val="both"/>
        <w:rPr>
          <w:rFonts w:eastAsiaTheme="minorHAnsi" w:cstheme="majorHAnsi"/>
          <w:i w:val="0"/>
          <w:iCs w:val="0"/>
          <w:color w:val="auto"/>
          <w:sz w:val="16"/>
          <w:szCs w:val="16"/>
          <w:lang w:val="ro-MD"/>
        </w:rPr>
      </w:pPr>
      <w:r w:rsidRPr="00C66909">
        <w:rPr>
          <w:rStyle w:val="FootnoteReference"/>
          <w:rFonts w:cstheme="majorHAnsi"/>
          <w:i w:val="0"/>
          <w:color w:val="auto"/>
          <w:sz w:val="16"/>
          <w:szCs w:val="16"/>
        </w:rPr>
        <w:footnoteRef/>
      </w:r>
      <w:r w:rsidRPr="00C66909">
        <w:rPr>
          <w:rFonts w:cstheme="majorHAnsi"/>
          <w:i w:val="0"/>
          <w:color w:val="auto"/>
          <w:sz w:val="16"/>
          <w:szCs w:val="16"/>
        </w:rPr>
        <w:t xml:space="preserve"> Art.24 </w:t>
      </w:r>
      <w:r w:rsidRPr="00C66909">
        <w:rPr>
          <w:rFonts w:eastAsiaTheme="minorHAnsi" w:cstheme="majorHAnsi"/>
          <w:i w:val="0"/>
          <w:iCs w:val="0"/>
          <w:color w:val="auto"/>
          <w:sz w:val="16"/>
          <w:szCs w:val="16"/>
          <w:lang w:val="ro-MD"/>
        </w:rPr>
        <w:t>din Legea nr.16/2016.</w:t>
      </w:r>
    </w:p>
  </w:footnote>
  <w:footnote w:id="36">
    <w:p w14:paraId="35F0FC01" w14:textId="7C6F5E57" w:rsidR="00F124D2" w:rsidRPr="00623CEC" w:rsidRDefault="00F124D2" w:rsidP="00623CEC">
      <w:pPr>
        <w:pStyle w:val="Heading4"/>
        <w:shd w:val="clear" w:color="auto" w:fill="FFFFFF"/>
        <w:spacing w:before="0"/>
        <w:jc w:val="both"/>
        <w:rPr>
          <w:rFonts w:eastAsiaTheme="minorHAnsi" w:cstheme="majorHAnsi"/>
          <w:i w:val="0"/>
          <w:iCs w:val="0"/>
          <w:color w:val="auto"/>
          <w:sz w:val="16"/>
          <w:szCs w:val="16"/>
          <w:lang w:val="ro-MD"/>
        </w:rPr>
      </w:pPr>
      <w:r w:rsidRPr="00C66909">
        <w:rPr>
          <w:rFonts w:eastAsiaTheme="minorHAnsi"/>
          <w:i w:val="0"/>
          <w:iCs w:val="0"/>
          <w:color w:val="auto"/>
          <w:sz w:val="16"/>
          <w:szCs w:val="16"/>
          <w:vertAlign w:val="superscript"/>
          <w:lang w:val="ro-MD"/>
        </w:rPr>
        <w:footnoteRef/>
      </w:r>
      <w:r w:rsidRPr="00C66909">
        <w:rPr>
          <w:rFonts w:eastAsiaTheme="minorHAnsi" w:cstheme="majorHAnsi"/>
          <w:i w:val="0"/>
          <w:iCs w:val="0"/>
          <w:color w:val="auto"/>
          <w:sz w:val="16"/>
          <w:szCs w:val="16"/>
          <w:vertAlign w:val="superscript"/>
          <w:lang w:val="ro-MD"/>
        </w:rPr>
        <w:t xml:space="preserve"> </w:t>
      </w:r>
      <w:r w:rsidRPr="00C66909">
        <w:rPr>
          <w:rFonts w:eastAsiaTheme="minorHAnsi" w:cstheme="majorHAnsi"/>
          <w:i w:val="0"/>
          <w:iCs w:val="0"/>
          <w:color w:val="auto"/>
          <w:sz w:val="16"/>
          <w:szCs w:val="16"/>
          <w:lang w:val="ro-MD"/>
        </w:rPr>
        <w:t>Pct.3 din Nomenclatorul serviciilor</w:t>
      </w:r>
      <w:r w:rsidRPr="0095325C">
        <w:rPr>
          <w:rFonts w:eastAsiaTheme="minorHAnsi" w:cstheme="majorHAnsi"/>
          <w:i w:val="0"/>
          <w:iCs w:val="0"/>
          <w:color w:val="auto"/>
          <w:sz w:val="16"/>
          <w:szCs w:val="16"/>
          <w:lang w:val="ro-MD"/>
        </w:rPr>
        <w:t xml:space="preserve"> prestate </w:t>
      </w:r>
      <w:r>
        <w:rPr>
          <w:rFonts w:eastAsiaTheme="minorHAnsi" w:cstheme="majorHAnsi"/>
          <w:i w:val="0"/>
          <w:iCs w:val="0"/>
          <w:color w:val="auto"/>
          <w:sz w:val="16"/>
          <w:szCs w:val="16"/>
          <w:lang w:val="ro-MD"/>
        </w:rPr>
        <w:t xml:space="preserve">în domeniul metrologiei,  aprobat prin </w:t>
      </w:r>
      <w:r w:rsidRPr="0095325C">
        <w:rPr>
          <w:rFonts w:eastAsiaTheme="minorHAnsi" w:cstheme="majorHAnsi"/>
          <w:i w:val="0"/>
          <w:iCs w:val="0"/>
          <w:color w:val="auto"/>
          <w:sz w:val="16"/>
          <w:szCs w:val="16"/>
          <w:lang w:val="ro-MD"/>
        </w:rPr>
        <w:t>Hotărârea Guvernului nr.1074 din 22</w:t>
      </w:r>
      <w:r>
        <w:rPr>
          <w:rFonts w:eastAsiaTheme="minorHAnsi" w:cstheme="majorHAnsi"/>
          <w:i w:val="0"/>
          <w:iCs w:val="0"/>
          <w:color w:val="auto"/>
          <w:sz w:val="16"/>
          <w:szCs w:val="16"/>
          <w:lang w:val="ro-MD"/>
        </w:rPr>
        <w:t xml:space="preserve">.09.2016. </w:t>
      </w:r>
    </w:p>
  </w:footnote>
  <w:footnote w:id="37">
    <w:p w14:paraId="0F4C9D19" w14:textId="642D523C" w:rsidR="00F124D2" w:rsidRPr="004D0718" w:rsidRDefault="00F124D2">
      <w:pPr>
        <w:pStyle w:val="FootnoteText"/>
        <w:rPr>
          <w:rFonts w:asciiTheme="majorHAnsi" w:hAnsiTheme="majorHAnsi" w:cstheme="majorHAnsi"/>
          <w:sz w:val="16"/>
          <w:szCs w:val="16"/>
          <w:lang w:val="ro-MD"/>
        </w:rPr>
      </w:pPr>
      <w:r w:rsidRPr="004D0718">
        <w:rPr>
          <w:rStyle w:val="FootnoteReference"/>
          <w:rFonts w:asciiTheme="majorHAnsi" w:hAnsiTheme="majorHAnsi" w:cstheme="majorHAnsi"/>
          <w:sz w:val="16"/>
          <w:szCs w:val="16"/>
        </w:rPr>
        <w:footnoteRef/>
      </w:r>
      <w:r w:rsidRPr="004D0718">
        <w:rPr>
          <w:rFonts w:asciiTheme="majorHAnsi" w:hAnsiTheme="majorHAnsi" w:cstheme="majorHAnsi"/>
          <w:sz w:val="16"/>
          <w:szCs w:val="16"/>
        </w:rPr>
        <w:t xml:space="preserve"> </w:t>
      </w:r>
      <w:r w:rsidRPr="00AA428F">
        <w:rPr>
          <w:rFonts w:asciiTheme="majorHAnsi" w:hAnsiTheme="majorHAnsi" w:cstheme="majorHAnsi"/>
          <w:sz w:val="16"/>
          <w:szCs w:val="16"/>
          <w:vertAlign w:val="baseline"/>
          <w:lang w:val="ro-MD"/>
        </w:rPr>
        <w:t>Art. 11 din Legea contabilității și raportării financiare nr.287 din 15.12.2017</w:t>
      </w:r>
      <w:r>
        <w:rPr>
          <w:rFonts w:asciiTheme="majorHAnsi" w:hAnsiTheme="majorHAnsi" w:cstheme="majorHAnsi"/>
          <w:sz w:val="16"/>
          <w:szCs w:val="16"/>
          <w:vertAlign w:val="baseline"/>
          <w:lang w:val="ro-MD"/>
        </w:rPr>
        <w:t>.</w:t>
      </w:r>
    </w:p>
  </w:footnote>
  <w:footnote w:id="38">
    <w:p w14:paraId="271E3E25" w14:textId="57832804" w:rsidR="00F124D2" w:rsidRPr="00EB3935" w:rsidRDefault="00F124D2">
      <w:pPr>
        <w:pStyle w:val="FootnoteText"/>
      </w:pPr>
      <w:r w:rsidRPr="00EB3935">
        <w:rPr>
          <w:rStyle w:val="FootnoteReference"/>
          <w:sz w:val="16"/>
          <w:szCs w:val="16"/>
        </w:rPr>
        <w:footnoteRef/>
      </w:r>
      <w:r w:rsidRPr="00EB3935">
        <w:rPr>
          <w:sz w:val="16"/>
          <w:szCs w:val="16"/>
        </w:rPr>
        <w:t xml:space="preserve"> </w:t>
      </w:r>
      <w:r>
        <w:rPr>
          <w:rFonts w:asciiTheme="majorHAnsi" w:hAnsiTheme="majorHAnsi" w:cstheme="majorHAnsi"/>
          <w:sz w:val="16"/>
          <w:szCs w:val="16"/>
          <w:vertAlign w:val="baseline"/>
        </w:rPr>
        <w:t>Hotărârea Guvernului nr.859 din 31.07.</w:t>
      </w:r>
      <w:r w:rsidRPr="00194EC6">
        <w:rPr>
          <w:rFonts w:asciiTheme="majorHAnsi" w:hAnsiTheme="majorHAnsi" w:cstheme="majorHAnsi"/>
          <w:sz w:val="16"/>
          <w:szCs w:val="16"/>
          <w:vertAlign w:val="baseline"/>
        </w:rPr>
        <w:t>2006 cu privire la aprobarea Concepţiei infrastructurii calităţii în Republica Moldova</w:t>
      </w:r>
      <w:r>
        <w:rPr>
          <w:rFonts w:asciiTheme="majorHAnsi" w:hAnsiTheme="majorHAnsi" w:cstheme="majorHAnsi"/>
          <w:sz w:val="16"/>
          <w:szCs w:val="16"/>
          <w:vertAlign w:val="baseline"/>
        </w:rPr>
        <w:t>.</w:t>
      </w:r>
      <w:r w:rsidRPr="00EB3935">
        <w:t xml:space="preserve">  </w:t>
      </w:r>
    </w:p>
  </w:footnote>
  <w:footnote w:id="39">
    <w:p w14:paraId="4E77C50C" w14:textId="4FF9C4A4" w:rsidR="00F124D2" w:rsidRPr="00887D79" w:rsidRDefault="00F124D2" w:rsidP="00A30B4A">
      <w:pPr>
        <w:tabs>
          <w:tab w:val="left" w:pos="253"/>
        </w:tabs>
        <w:spacing w:after="0" w:line="276" w:lineRule="auto"/>
        <w:jc w:val="both"/>
        <w:rPr>
          <w:sz w:val="18"/>
          <w:szCs w:val="18"/>
        </w:rPr>
      </w:pPr>
      <w:r>
        <w:rPr>
          <w:rStyle w:val="FootnoteReference"/>
        </w:rPr>
        <w:footnoteRef/>
      </w:r>
      <w:r>
        <w:t xml:space="preserve"> </w:t>
      </w:r>
      <w:r w:rsidRPr="00887D79">
        <w:rPr>
          <w:rFonts w:asciiTheme="majorHAnsi" w:hAnsiTheme="majorHAnsi" w:cstheme="majorHAnsi"/>
          <w:bCs/>
          <w:sz w:val="18"/>
          <w:szCs w:val="18"/>
          <w:lang w:val="ro-MD"/>
        </w:rPr>
        <w:t>Leg</w:t>
      </w:r>
      <w:r>
        <w:rPr>
          <w:rFonts w:asciiTheme="majorHAnsi" w:hAnsiTheme="majorHAnsi" w:cstheme="majorHAnsi"/>
          <w:bCs/>
          <w:sz w:val="18"/>
          <w:szCs w:val="18"/>
          <w:lang w:val="ro-MD"/>
        </w:rPr>
        <w:t>ea</w:t>
      </w:r>
      <w:r w:rsidRPr="00887D79">
        <w:rPr>
          <w:rFonts w:asciiTheme="majorHAnsi" w:hAnsiTheme="majorHAnsi" w:cstheme="majorHAnsi"/>
          <w:bCs/>
          <w:sz w:val="18"/>
          <w:szCs w:val="18"/>
          <w:lang w:val="ro-MD"/>
        </w:rPr>
        <w:t xml:space="preserve"> salarizării nr.847-XV din 14.02.14.02.2002, Hotărârea Guvernului nr.743 din 11.06.2002 „Cu privire la salarizarea angajaților din unitățile cu autonomie financiară”, Hotărârea Guvernului nr. 165 din 09.03.2010 cu privire la aprobarea cuantumului minim garantat al salariului în sectorul real</w:t>
      </w:r>
      <w:r>
        <w:rPr>
          <w:rFonts w:asciiTheme="majorHAnsi" w:hAnsiTheme="majorHAnsi" w:cstheme="majorHAnsi"/>
          <w:bCs/>
          <w:sz w:val="18"/>
          <w:szCs w:val="18"/>
          <w:lang w:val="ro-MD"/>
        </w:rPr>
        <w:t>.</w:t>
      </w:r>
    </w:p>
  </w:footnote>
  <w:footnote w:id="40">
    <w:p w14:paraId="5A83405D" w14:textId="75FF7185" w:rsidR="00F124D2" w:rsidRPr="00A201DF" w:rsidRDefault="00F124D2" w:rsidP="002A384E">
      <w:pPr>
        <w:pStyle w:val="FootnoteText"/>
        <w:jc w:val="both"/>
        <w:rPr>
          <w:rFonts w:asciiTheme="majorHAnsi" w:hAnsiTheme="majorHAnsi" w:cstheme="majorHAnsi"/>
          <w:sz w:val="16"/>
          <w:szCs w:val="16"/>
          <w:lang w:val="ro-MD"/>
        </w:rPr>
      </w:pPr>
      <w:r w:rsidRPr="00A201DF">
        <w:rPr>
          <w:rStyle w:val="FootnoteReference"/>
          <w:rFonts w:asciiTheme="majorHAnsi" w:hAnsiTheme="majorHAnsi" w:cstheme="majorHAnsi"/>
          <w:sz w:val="16"/>
          <w:szCs w:val="16"/>
          <w:lang w:val="ro-MD"/>
        </w:rPr>
        <w:footnoteRef/>
      </w:r>
      <w:r w:rsidRPr="00A201DF">
        <w:rPr>
          <w:rFonts w:asciiTheme="majorHAnsi" w:hAnsiTheme="majorHAnsi" w:cstheme="majorHAnsi"/>
          <w:sz w:val="16"/>
          <w:szCs w:val="16"/>
          <w:lang w:val="ro-MD"/>
        </w:rPr>
        <w:t xml:space="preserve"> </w:t>
      </w:r>
      <w:r w:rsidRPr="00A201DF">
        <w:rPr>
          <w:rFonts w:asciiTheme="majorHAnsi" w:hAnsiTheme="majorHAnsi" w:cstheme="majorHAnsi"/>
          <w:sz w:val="16"/>
          <w:szCs w:val="16"/>
          <w:vertAlign w:val="baseline"/>
          <w:lang w:val="ro-MD"/>
        </w:rPr>
        <w:t xml:space="preserve">Pct.82 </w:t>
      </w:r>
      <w:r>
        <w:rPr>
          <w:rFonts w:asciiTheme="majorHAnsi" w:hAnsiTheme="majorHAnsi" w:cstheme="majorHAnsi"/>
          <w:sz w:val="16"/>
          <w:szCs w:val="16"/>
          <w:vertAlign w:val="baseline"/>
          <w:lang w:val="ro-MD"/>
        </w:rPr>
        <w:t>–</w:t>
      </w:r>
      <w:r w:rsidRPr="00A201DF">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pct.</w:t>
      </w:r>
      <w:r w:rsidRPr="00A201DF">
        <w:rPr>
          <w:rFonts w:asciiTheme="majorHAnsi" w:hAnsiTheme="majorHAnsi" w:cstheme="majorHAnsi"/>
          <w:sz w:val="16"/>
          <w:szCs w:val="16"/>
          <w:vertAlign w:val="baseline"/>
          <w:lang w:val="ro-MD"/>
        </w:rPr>
        <w:t>89</w:t>
      </w:r>
      <w:r w:rsidRPr="00A201DF">
        <w:rPr>
          <w:rFonts w:asciiTheme="majorHAnsi" w:hAnsiTheme="majorHAnsi" w:cstheme="majorHAnsi"/>
          <w:sz w:val="16"/>
          <w:szCs w:val="16"/>
          <w:lang w:val="ro-MD"/>
        </w:rPr>
        <w:t xml:space="preserve">  </w:t>
      </w:r>
      <w:r w:rsidRPr="00A201DF">
        <w:rPr>
          <w:rFonts w:asciiTheme="majorHAnsi" w:hAnsiTheme="majorHAnsi" w:cstheme="majorHAnsi"/>
          <w:sz w:val="16"/>
          <w:szCs w:val="16"/>
          <w:vertAlign w:val="baseline"/>
          <w:lang w:val="ro-MD"/>
        </w:rPr>
        <w:t xml:space="preserve">din </w:t>
      </w:r>
      <w:r w:rsidRPr="00A201DF">
        <w:rPr>
          <w:rFonts w:asciiTheme="majorHAnsi" w:eastAsia="Times New Roman" w:hAnsiTheme="majorHAnsi" w:cstheme="majorHAnsi"/>
          <w:bCs/>
          <w:sz w:val="16"/>
          <w:szCs w:val="16"/>
          <w:vertAlign w:val="baseline"/>
          <w:lang w:val="ro-MD"/>
        </w:rPr>
        <w:t>Standardul</w:t>
      </w:r>
      <w:r w:rsidRPr="00A201DF">
        <w:rPr>
          <w:rFonts w:asciiTheme="majorHAnsi" w:hAnsiTheme="majorHAnsi" w:cstheme="majorHAnsi"/>
          <w:sz w:val="16"/>
          <w:szCs w:val="16"/>
          <w:vertAlign w:val="baseline"/>
          <w:lang w:val="ro-MD"/>
        </w:rPr>
        <w:t xml:space="preserve"> Național de Contabilitate „</w:t>
      </w:r>
      <w:r w:rsidRPr="00A201DF">
        <w:rPr>
          <w:rFonts w:asciiTheme="majorHAnsi" w:eastAsia="Times New Roman" w:hAnsiTheme="majorHAnsi" w:cstheme="majorHAnsi"/>
          <w:bCs/>
          <w:sz w:val="16"/>
          <w:szCs w:val="16"/>
          <w:vertAlign w:val="baseline"/>
          <w:lang w:val="ro-MD"/>
        </w:rPr>
        <w:t xml:space="preserve">Capital propriu și datorii”, aprobat prin Ordinul ministrului </w:t>
      </w:r>
      <w:r>
        <w:rPr>
          <w:rFonts w:asciiTheme="majorHAnsi" w:eastAsia="Times New Roman" w:hAnsiTheme="majorHAnsi" w:cstheme="majorHAnsi"/>
          <w:bCs/>
          <w:sz w:val="16"/>
          <w:szCs w:val="16"/>
          <w:vertAlign w:val="baseline"/>
          <w:lang w:val="ro-MD"/>
        </w:rPr>
        <w:t>f</w:t>
      </w:r>
      <w:r w:rsidRPr="00A201DF">
        <w:rPr>
          <w:rFonts w:asciiTheme="majorHAnsi" w:eastAsia="Times New Roman" w:hAnsiTheme="majorHAnsi" w:cstheme="majorHAnsi"/>
          <w:bCs/>
          <w:sz w:val="16"/>
          <w:szCs w:val="16"/>
          <w:vertAlign w:val="baseline"/>
          <w:lang w:val="ro-MD"/>
        </w:rPr>
        <w:t>inanțelor nr.118 din 06.08.2013.</w:t>
      </w:r>
    </w:p>
  </w:footnote>
  <w:footnote w:id="41">
    <w:p w14:paraId="78492126" w14:textId="2C73F48F" w:rsidR="00F124D2" w:rsidRPr="003521F6" w:rsidRDefault="00F124D2" w:rsidP="002A384E">
      <w:pPr>
        <w:pStyle w:val="FootnoteText"/>
        <w:rPr>
          <w:rFonts w:asciiTheme="majorHAnsi" w:hAnsiTheme="majorHAnsi" w:cstheme="majorHAnsi"/>
          <w:sz w:val="18"/>
          <w:szCs w:val="18"/>
          <w:vertAlign w:val="baseline"/>
        </w:rPr>
      </w:pPr>
      <w:r w:rsidRPr="003521F6">
        <w:rPr>
          <w:rStyle w:val="FootnoteReference"/>
          <w:rFonts w:asciiTheme="majorHAnsi" w:hAnsiTheme="majorHAnsi" w:cstheme="majorHAnsi"/>
          <w:sz w:val="18"/>
          <w:szCs w:val="18"/>
        </w:rPr>
        <w:footnoteRef/>
      </w:r>
      <w:r w:rsidRPr="003521F6">
        <w:rPr>
          <w:rFonts w:asciiTheme="majorHAnsi" w:hAnsiTheme="majorHAnsi" w:cstheme="majorHAnsi"/>
          <w:sz w:val="18"/>
          <w:szCs w:val="18"/>
        </w:rPr>
        <w:t xml:space="preserve"> </w:t>
      </w:r>
      <w:r w:rsidRPr="003521F6">
        <w:rPr>
          <w:rFonts w:asciiTheme="majorHAnsi" w:hAnsiTheme="majorHAnsi" w:cstheme="majorHAnsi"/>
          <w:sz w:val="18"/>
          <w:szCs w:val="18"/>
          <w:vertAlign w:val="baseline"/>
          <w:lang w:val="ro-MD"/>
        </w:rPr>
        <w:t xml:space="preserve">ISM – 575 de zile  aferente a 23 de salariați; MOLDAC –  </w:t>
      </w:r>
      <w:r w:rsidRPr="00624264">
        <w:rPr>
          <w:rFonts w:asciiTheme="majorHAnsi" w:hAnsiTheme="majorHAnsi" w:cstheme="majorHAnsi"/>
          <w:sz w:val="18"/>
          <w:szCs w:val="18"/>
          <w:vertAlign w:val="baseline"/>
          <w:lang w:val="ro-MD"/>
        </w:rPr>
        <w:t>326</w:t>
      </w:r>
      <w:r>
        <w:rPr>
          <w:rFonts w:asciiTheme="majorHAnsi" w:hAnsiTheme="majorHAnsi" w:cstheme="majorHAnsi"/>
          <w:sz w:val="18"/>
          <w:szCs w:val="18"/>
          <w:vertAlign w:val="baseline"/>
          <w:lang w:val="ro-MD"/>
        </w:rPr>
        <w:t xml:space="preserve"> de </w:t>
      </w:r>
      <w:r w:rsidRPr="003521F6">
        <w:rPr>
          <w:rFonts w:asciiTheme="majorHAnsi" w:hAnsiTheme="majorHAnsi" w:cstheme="majorHAnsi"/>
          <w:sz w:val="18"/>
          <w:szCs w:val="18"/>
          <w:vertAlign w:val="baseline"/>
          <w:lang w:val="ro-MD"/>
        </w:rPr>
        <w:t xml:space="preserve">zile aferente  a 21 </w:t>
      </w:r>
      <w:r>
        <w:rPr>
          <w:rFonts w:asciiTheme="majorHAnsi" w:hAnsiTheme="majorHAnsi" w:cstheme="majorHAnsi"/>
          <w:sz w:val="18"/>
          <w:szCs w:val="18"/>
          <w:vertAlign w:val="baseline"/>
          <w:lang w:val="ro-MD"/>
        </w:rPr>
        <w:t xml:space="preserve">de </w:t>
      </w:r>
      <w:r w:rsidRPr="003521F6">
        <w:rPr>
          <w:rFonts w:asciiTheme="majorHAnsi" w:hAnsiTheme="majorHAnsi" w:cstheme="majorHAnsi"/>
          <w:sz w:val="18"/>
          <w:szCs w:val="18"/>
          <w:vertAlign w:val="baseline"/>
          <w:lang w:val="ro-MD"/>
        </w:rPr>
        <w:t>salariați</w:t>
      </w:r>
      <w:r>
        <w:rPr>
          <w:rFonts w:asciiTheme="majorHAnsi" w:hAnsiTheme="majorHAnsi" w:cstheme="majorHAnsi"/>
          <w:sz w:val="18"/>
          <w:szCs w:val="18"/>
          <w:vertAlign w:val="baseline"/>
          <w:lang w:val="ro-MD"/>
        </w:rPr>
        <w:t>.</w:t>
      </w:r>
    </w:p>
  </w:footnote>
  <w:footnote w:id="42">
    <w:p w14:paraId="2889A831" w14:textId="0D4BFBED" w:rsidR="00F124D2" w:rsidRPr="003521F6" w:rsidRDefault="00F124D2" w:rsidP="002A384E">
      <w:pPr>
        <w:pStyle w:val="FootnoteText"/>
        <w:rPr>
          <w:sz w:val="18"/>
          <w:szCs w:val="18"/>
          <w:vertAlign w:val="baseline"/>
        </w:rPr>
      </w:pPr>
      <w:r>
        <w:rPr>
          <w:rStyle w:val="FootnoteReference"/>
        </w:rPr>
        <w:footnoteRef/>
      </w:r>
      <w:r>
        <w:t xml:space="preserve"> </w:t>
      </w:r>
      <w:r w:rsidRPr="003521F6">
        <w:rPr>
          <w:rFonts w:asciiTheme="majorHAnsi" w:hAnsiTheme="majorHAnsi" w:cstheme="majorHAnsi"/>
          <w:sz w:val="18"/>
          <w:szCs w:val="18"/>
          <w:vertAlign w:val="baseline"/>
          <w:lang w:val="ro-MD"/>
        </w:rPr>
        <w:t>271</w:t>
      </w:r>
      <w:r>
        <w:rPr>
          <w:rFonts w:asciiTheme="majorHAnsi" w:hAnsiTheme="majorHAnsi" w:cstheme="majorHAnsi"/>
          <w:sz w:val="18"/>
          <w:szCs w:val="18"/>
          <w:vertAlign w:val="baseline"/>
          <w:lang w:val="ro-MD"/>
        </w:rPr>
        <w:t>,0</w:t>
      </w:r>
      <w:r w:rsidRPr="003521F6">
        <w:rPr>
          <w:rFonts w:asciiTheme="majorHAnsi" w:hAnsiTheme="majorHAnsi" w:cstheme="majorHAnsi"/>
          <w:bCs/>
          <w:iCs/>
          <w:color w:val="000000"/>
          <w:sz w:val="18"/>
          <w:szCs w:val="18"/>
          <w:vertAlign w:val="baseline"/>
        </w:rPr>
        <w:t xml:space="preserve"> mii lei aferente ISM și 197</w:t>
      </w:r>
      <w:r>
        <w:rPr>
          <w:rFonts w:asciiTheme="majorHAnsi" w:hAnsiTheme="majorHAnsi" w:cstheme="majorHAnsi"/>
          <w:bCs/>
          <w:iCs/>
          <w:color w:val="000000"/>
          <w:sz w:val="18"/>
          <w:szCs w:val="18"/>
          <w:vertAlign w:val="baseline"/>
        </w:rPr>
        <w:t>,0</w:t>
      </w:r>
      <w:r w:rsidRPr="003521F6">
        <w:rPr>
          <w:rFonts w:asciiTheme="majorHAnsi" w:hAnsiTheme="majorHAnsi" w:cstheme="majorHAnsi"/>
          <w:bCs/>
          <w:iCs/>
          <w:color w:val="000000"/>
          <w:sz w:val="18"/>
          <w:szCs w:val="18"/>
          <w:vertAlign w:val="baseline"/>
        </w:rPr>
        <w:t xml:space="preserve"> mii lei aferente MOLDAC</w:t>
      </w:r>
      <w:r>
        <w:rPr>
          <w:rFonts w:asciiTheme="majorHAnsi" w:hAnsiTheme="majorHAnsi" w:cstheme="majorHAnsi"/>
          <w:bCs/>
          <w:iCs/>
          <w:color w:val="000000"/>
          <w:sz w:val="18"/>
          <w:szCs w:val="18"/>
          <w:vertAlign w:val="baseline"/>
        </w:rPr>
        <w:t>.</w:t>
      </w:r>
    </w:p>
  </w:footnote>
  <w:footnote w:id="43">
    <w:p w14:paraId="44061D2B" w14:textId="0EAD5A69" w:rsidR="00F124D2" w:rsidRPr="005F3994" w:rsidRDefault="00F124D2" w:rsidP="002A384E">
      <w:pPr>
        <w:pStyle w:val="FootnoteText"/>
        <w:jc w:val="both"/>
        <w:rPr>
          <w:lang w:val="ro-MD"/>
        </w:rPr>
      </w:pPr>
      <w:r>
        <w:rPr>
          <w:rStyle w:val="FootnoteReference"/>
        </w:rPr>
        <w:footnoteRef/>
      </w:r>
      <w:r>
        <w:t xml:space="preserve"> </w:t>
      </w:r>
      <w:r w:rsidRPr="005F3994">
        <w:rPr>
          <w:rFonts w:asciiTheme="majorHAnsi" w:hAnsiTheme="majorHAnsi" w:cstheme="majorHAnsi"/>
          <w:bCs/>
          <w:iCs/>
          <w:color w:val="000000"/>
          <w:sz w:val="18"/>
          <w:szCs w:val="18"/>
          <w:vertAlign w:val="baseline"/>
        </w:rPr>
        <w:t xml:space="preserve">APCSP se conduce de Ordinul </w:t>
      </w:r>
      <w:r>
        <w:rPr>
          <w:rFonts w:asciiTheme="majorHAnsi" w:hAnsiTheme="majorHAnsi" w:cstheme="majorHAnsi"/>
          <w:bCs/>
          <w:iCs/>
          <w:color w:val="000000"/>
          <w:sz w:val="18"/>
          <w:szCs w:val="18"/>
          <w:vertAlign w:val="baseline"/>
        </w:rPr>
        <w:t>m</w:t>
      </w:r>
      <w:r w:rsidRPr="005F3994">
        <w:rPr>
          <w:rFonts w:asciiTheme="majorHAnsi" w:hAnsiTheme="majorHAnsi" w:cstheme="majorHAnsi"/>
          <w:bCs/>
          <w:iCs/>
          <w:color w:val="000000"/>
          <w:sz w:val="18"/>
          <w:szCs w:val="18"/>
          <w:vertAlign w:val="baseline"/>
        </w:rPr>
        <w:t xml:space="preserve">inistrului </w:t>
      </w:r>
      <w:r>
        <w:rPr>
          <w:rFonts w:asciiTheme="majorHAnsi" w:hAnsiTheme="majorHAnsi" w:cstheme="majorHAnsi"/>
          <w:bCs/>
          <w:iCs/>
          <w:color w:val="000000"/>
          <w:sz w:val="18"/>
          <w:szCs w:val="18"/>
          <w:vertAlign w:val="baseline"/>
        </w:rPr>
        <w:t>f</w:t>
      </w:r>
      <w:r w:rsidRPr="005F3994">
        <w:rPr>
          <w:rFonts w:asciiTheme="majorHAnsi" w:hAnsiTheme="majorHAnsi" w:cstheme="majorHAnsi"/>
          <w:bCs/>
          <w:iCs/>
          <w:color w:val="000000"/>
          <w:sz w:val="18"/>
          <w:szCs w:val="18"/>
          <w:vertAlign w:val="baseline"/>
        </w:rPr>
        <w:t>inanțelor nr.216 din 28.12.2015 cu privire la aprobarea Planului de conturi contabile în sistemul bugetar și a Normelor metodologice privind evidența contabilă financiară în sistemul bugetar.</w:t>
      </w:r>
    </w:p>
  </w:footnote>
  <w:footnote w:id="44">
    <w:p w14:paraId="149F4F86" w14:textId="77777777" w:rsidR="00F124D2" w:rsidRPr="002C2EE0" w:rsidRDefault="00F124D2" w:rsidP="000D01B1">
      <w:pPr>
        <w:spacing w:after="0" w:line="240" w:lineRule="auto"/>
        <w:jc w:val="both"/>
        <w:rPr>
          <w:rFonts w:asciiTheme="majorHAnsi" w:hAnsiTheme="majorHAnsi" w:cstheme="majorHAnsi"/>
          <w:sz w:val="18"/>
          <w:szCs w:val="18"/>
          <w:lang w:val="ro-MD"/>
        </w:rPr>
      </w:pPr>
      <w:r w:rsidRPr="002C2EE0">
        <w:rPr>
          <w:rStyle w:val="FootnoteReference"/>
          <w:rFonts w:asciiTheme="majorHAnsi" w:hAnsiTheme="majorHAnsi" w:cstheme="majorHAnsi"/>
          <w:sz w:val="18"/>
          <w:szCs w:val="18"/>
        </w:rPr>
        <w:footnoteRef/>
      </w:r>
      <w:r w:rsidRPr="002C2EE0">
        <w:rPr>
          <w:rStyle w:val="FootnoteReference"/>
          <w:rFonts w:asciiTheme="majorHAnsi" w:hAnsiTheme="majorHAnsi" w:cstheme="majorHAnsi"/>
          <w:sz w:val="18"/>
          <w:szCs w:val="18"/>
        </w:rPr>
        <w:t xml:space="preserve"> </w:t>
      </w:r>
      <w:r w:rsidRPr="002C2EE0">
        <w:rPr>
          <w:rFonts w:asciiTheme="majorHAnsi" w:hAnsiTheme="majorHAnsi" w:cstheme="majorHAnsi"/>
          <w:sz w:val="18"/>
          <w:szCs w:val="18"/>
        </w:rPr>
        <w:t xml:space="preserve">Anexa nr. 6 la </w:t>
      </w:r>
      <w:r w:rsidRPr="002C2EE0">
        <w:rPr>
          <w:rFonts w:asciiTheme="majorHAnsi" w:hAnsiTheme="majorHAnsi" w:cstheme="majorHAnsi"/>
          <w:sz w:val="18"/>
          <w:szCs w:val="18"/>
          <w:lang w:val="ro-MD"/>
        </w:rPr>
        <w:t xml:space="preserve">HG nr. 743/2002 cu privire la salarizarea angajaților din unitățile cu autonomie financiară: „...altor persoane cu funcţii de conducere nu Ii se permite cumularea a două funcții de conducere”. </w:t>
      </w:r>
    </w:p>
  </w:footnote>
  <w:footnote w:id="45">
    <w:p w14:paraId="3EBA76CF" w14:textId="2B723973" w:rsidR="00F124D2" w:rsidRPr="0041556D" w:rsidRDefault="00F124D2" w:rsidP="000D01B1">
      <w:pPr>
        <w:pStyle w:val="BodyText"/>
        <w:tabs>
          <w:tab w:val="left" w:pos="-1920"/>
        </w:tabs>
        <w:spacing w:after="0"/>
        <w:rPr>
          <w:rFonts w:asciiTheme="majorHAnsi" w:eastAsiaTheme="minorHAnsi" w:hAnsiTheme="majorHAnsi" w:cstheme="majorHAnsi"/>
          <w:sz w:val="18"/>
          <w:szCs w:val="18"/>
          <w:lang w:val="ro-MD" w:bidi="ar-SA"/>
        </w:rPr>
      </w:pPr>
      <w:r w:rsidRPr="0041556D">
        <w:rPr>
          <w:rStyle w:val="FootnoteReference"/>
          <w:rFonts w:asciiTheme="majorHAnsi" w:hAnsiTheme="majorHAnsi" w:cstheme="majorHAnsi"/>
          <w:sz w:val="18"/>
          <w:szCs w:val="18"/>
        </w:rPr>
        <w:footnoteRef/>
      </w:r>
      <w:r w:rsidRPr="0041556D">
        <w:rPr>
          <w:rFonts w:asciiTheme="majorHAnsi" w:hAnsiTheme="majorHAnsi" w:cstheme="majorHAnsi"/>
          <w:sz w:val="18"/>
          <w:szCs w:val="18"/>
        </w:rPr>
        <w:t xml:space="preserve"> MOLDAC –</w:t>
      </w:r>
      <w:r>
        <w:rPr>
          <w:rFonts w:asciiTheme="majorHAnsi" w:hAnsiTheme="majorHAnsi" w:cstheme="majorHAnsi"/>
          <w:sz w:val="18"/>
          <w:szCs w:val="18"/>
        </w:rPr>
        <w:t xml:space="preserve"> </w:t>
      </w:r>
      <w:r w:rsidRPr="0041556D">
        <w:rPr>
          <w:rFonts w:asciiTheme="majorHAnsi" w:eastAsiaTheme="minorHAnsi" w:hAnsiTheme="majorHAnsi" w:cstheme="majorHAnsi"/>
          <w:sz w:val="18"/>
          <w:szCs w:val="18"/>
          <w:lang w:val="ro-MD" w:bidi="ar-SA"/>
        </w:rPr>
        <w:t xml:space="preserve">în perioada februarie-noiembrie 2021, </w:t>
      </w:r>
      <w:r w:rsidRPr="00634D6E">
        <w:rPr>
          <w:rFonts w:asciiTheme="majorHAnsi" w:eastAsiaTheme="minorHAnsi" w:hAnsiTheme="majorHAnsi" w:cstheme="majorHAnsi"/>
          <w:sz w:val="18"/>
          <w:szCs w:val="18"/>
          <w:lang w:val="ro-MD" w:bidi="ar-SA"/>
        </w:rPr>
        <w:t xml:space="preserve">persoana cu funcție de conducere (șef direcție) a cumulat </w:t>
      </w:r>
      <w:r>
        <w:rPr>
          <w:rFonts w:asciiTheme="majorHAnsi" w:eastAsiaTheme="minorHAnsi" w:hAnsiTheme="majorHAnsi" w:cstheme="majorHAnsi"/>
          <w:sz w:val="18"/>
          <w:szCs w:val="18"/>
          <w:lang w:val="ro-MD" w:bidi="ar-SA"/>
        </w:rPr>
        <w:t xml:space="preserve">o </w:t>
      </w:r>
      <w:r w:rsidRPr="00634D6E">
        <w:rPr>
          <w:rFonts w:asciiTheme="majorHAnsi" w:eastAsiaTheme="minorHAnsi" w:hAnsiTheme="majorHAnsi" w:cstheme="majorHAnsi"/>
          <w:sz w:val="18"/>
          <w:szCs w:val="18"/>
          <w:lang w:val="ro-MD" w:bidi="ar-SA"/>
        </w:rPr>
        <w:t xml:space="preserve">altă funcție de conducere (vicedirector), </w:t>
      </w:r>
      <w:r>
        <w:rPr>
          <w:rFonts w:asciiTheme="majorHAnsi" w:eastAsiaTheme="minorHAnsi" w:hAnsiTheme="majorHAnsi" w:cstheme="majorHAnsi"/>
          <w:sz w:val="18"/>
          <w:szCs w:val="18"/>
          <w:lang w:val="ro-MD" w:bidi="ar-SA"/>
        </w:rPr>
        <w:t xml:space="preserve">ceea ce </w:t>
      </w:r>
      <w:r w:rsidRPr="0041556D">
        <w:rPr>
          <w:rFonts w:asciiTheme="majorHAnsi" w:eastAsiaTheme="minorHAnsi" w:hAnsiTheme="majorHAnsi" w:cstheme="majorHAnsi"/>
          <w:sz w:val="18"/>
          <w:szCs w:val="18"/>
          <w:lang w:val="ro-MD" w:bidi="ar-SA"/>
        </w:rPr>
        <w:t xml:space="preserve">a condiționat </w:t>
      </w:r>
      <w:r w:rsidRPr="00634D6E">
        <w:rPr>
          <w:rFonts w:asciiTheme="majorHAnsi" w:eastAsiaTheme="minorHAnsi" w:hAnsiTheme="majorHAnsi" w:cstheme="majorHAnsi"/>
          <w:sz w:val="18"/>
          <w:szCs w:val="18"/>
          <w:lang w:val="ro-MD" w:bidi="ar-SA"/>
        </w:rPr>
        <w:t xml:space="preserve">suportarea cheltuielilor neconforme </w:t>
      </w:r>
      <w:r w:rsidRPr="0041556D">
        <w:rPr>
          <w:rFonts w:asciiTheme="majorHAnsi" w:eastAsiaTheme="minorHAnsi" w:hAnsiTheme="majorHAnsi" w:cstheme="majorHAnsi"/>
          <w:sz w:val="18"/>
          <w:szCs w:val="18"/>
          <w:lang w:val="ro-MD" w:bidi="ar-SA"/>
        </w:rPr>
        <w:t xml:space="preserve">în cuantum de </w:t>
      </w:r>
      <w:r w:rsidRPr="00634D6E">
        <w:rPr>
          <w:rFonts w:asciiTheme="majorHAnsi" w:eastAsiaTheme="minorHAnsi" w:hAnsiTheme="majorHAnsi" w:cstheme="majorHAnsi"/>
          <w:sz w:val="18"/>
          <w:szCs w:val="18"/>
          <w:lang w:val="ro-MD" w:bidi="ar-SA"/>
        </w:rPr>
        <w:t>63,</w:t>
      </w:r>
      <w:r>
        <w:rPr>
          <w:rFonts w:asciiTheme="majorHAnsi" w:eastAsiaTheme="minorHAnsi" w:hAnsiTheme="majorHAnsi" w:cstheme="majorHAnsi"/>
          <w:sz w:val="18"/>
          <w:szCs w:val="18"/>
          <w:lang w:val="ro-MD" w:bidi="ar-SA"/>
        </w:rPr>
        <w:t xml:space="preserve"> </w:t>
      </w:r>
      <w:r w:rsidRPr="00634D6E">
        <w:rPr>
          <w:rFonts w:asciiTheme="majorHAnsi" w:eastAsiaTheme="minorHAnsi" w:hAnsiTheme="majorHAnsi" w:cstheme="majorHAnsi"/>
          <w:sz w:val="18"/>
          <w:szCs w:val="18"/>
          <w:lang w:val="ro-MD" w:bidi="ar-SA"/>
        </w:rPr>
        <w:t>92 mii lei.</w:t>
      </w:r>
    </w:p>
    <w:p w14:paraId="126CC6B5" w14:textId="64A9F150" w:rsidR="00F124D2" w:rsidRPr="00A50404" w:rsidRDefault="00F124D2" w:rsidP="000D01B1">
      <w:pPr>
        <w:pStyle w:val="BodyText"/>
        <w:tabs>
          <w:tab w:val="left" w:pos="-1920"/>
        </w:tabs>
        <w:spacing w:after="0"/>
        <w:rPr>
          <w:rFonts w:asciiTheme="majorHAnsi" w:eastAsiaTheme="minorHAnsi" w:hAnsiTheme="majorHAnsi" w:cstheme="majorHAnsi"/>
          <w:sz w:val="18"/>
          <w:szCs w:val="18"/>
          <w:lang w:val="ro-MD" w:bidi="ar-SA"/>
        </w:rPr>
      </w:pPr>
      <w:r w:rsidRPr="0041556D">
        <w:rPr>
          <w:rFonts w:asciiTheme="majorHAnsi" w:eastAsiaTheme="minorHAnsi" w:hAnsiTheme="majorHAnsi" w:cstheme="majorHAnsi"/>
          <w:sz w:val="18"/>
          <w:szCs w:val="18"/>
          <w:lang w:val="ro-MD" w:bidi="ar-SA"/>
        </w:rPr>
        <w:t>ISM –</w:t>
      </w:r>
      <w:r>
        <w:rPr>
          <w:rFonts w:asciiTheme="majorHAnsi" w:eastAsiaTheme="minorHAnsi" w:hAnsiTheme="majorHAnsi" w:cstheme="majorHAnsi"/>
          <w:sz w:val="18"/>
          <w:szCs w:val="18"/>
          <w:lang w:val="ro-MD" w:bidi="ar-SA"/>
        </w:rPr>
        <w:t xml:space="preserve"> </w:t>
      </w:r>
      <w:r w:rsidRPr="0041556D">
        <w:rPr>
          <w:rFonts w:asciiTheme="majorHAnsi" w:eastAsiaTheme="minorHAnsi" w:hAnsiTheme="majorHAnsi" w:cstheme="majorHAnsi"/>
          <w:sz w:val="18"/>
          <w:szCs w:val="18"/>
          <w:lang w:val="ro-MD" w:bidi="ar-SA"/>
        </w:rPr>
        <w:t xml:space="preserve">în perioada februarie-iunie 2020,  </w:t>
      </w:r>
      <w:r>
        <w:rPr>
          <w:rFonts w:asciiTheme="majorHAnsi" w:eastAsiaTheme="minorHAnsi" w:hAnsiTheme="majorHAnsi" w:cstheme="majorHAnsi"/>
          <w:sz w:val="18"/>
          <w:szCs w:val="18"/>
          <w:lang w:val="ro-MD" w:bidi="ar-SA"/>
        </w:rPr>
        <w:t xml:space="preserve">persoana cu funcție de conducere (șef departament) </w:t>
      </w:r>
      <w:r w:rsidRPr="0041556D">
        <w:rPr>
          <w:rFonts w:asciiTheme="majorHAnsi" w:eastAsiaTheme="minorHAnsi" w:hAnsiTheme="majorHAnsi" w:cstheme="majorHAnsi"/>
          <w:sz w:val="18"/>
          <w:szCs w:val="18"/>
          <w:lang w:val="ro-MD" w:bidi="ar-SA"/>
        </w:rPr>
        <w:t xml:space="preserve"> </w:t>
      </w:r>
      <w:r w:rsidRPr="00634D6E">
        <w:rPr>
          <w:rFonts w:asciiTheme="majorHAnsi" w:eastAsiaTheme="minorHAnsi" w:hAnsiTheme="majorHAnsi" w:cstheme="majorHAnsi"/>
          <w:sz w:val="18"/>
          <w:szCs w:val="18"/>
          <w:lang w:val="ro-MD" w:bidi="ar-SA"/>
        </w:rPr>
        <w:t xml:space="preserve">a cumulat </w:t>
      </w:r>
      <w:r>
        <w:rPr>
          <w:rFonts w:asciiTheme="majorHAnsi" w:eastAsiaTheme="minorHAnsi" w:hAnsiTheme="majorHAnsi" w:cstheme="majorHAnsi"/>
          <w:sz w:val="18"/>
          <w:szCs w:val="18"/>
          <w:lang w:val="ro-MD" w:bidi="ar-SA"/>
        </w:rPr>
        <w:t xml:space="preserve">o </w:t>
      </w:r>
      <w:r w:rsidRPr="00634D6E">
        <w:rPr>
          <w:rFonts w:asciiTheme="majorHAnsi" w:eastAsiaTheme="minorHAnsi" w:hAnsiTheme="majorHAnsi" w:cstheme="majorHAnsi"/>
          <w:sz w:val="18"/>
          <w:szCs w:val="18"/>
          <w:lang w:val="ro-MD" w:bidi="ar-SA"/>
        </w:rPr>
        <w:t>altă funcție de conducere (</w:t>
      </w:r>
      <w:r>
        <w:rPr>
          <w:rFonts w:asciiTheme="majorHAnsi" w:eastAsiaTheme="minorHAnsi" w:hAnsiTheme="majorHAnsi" w:cstheme="majorHAnsi"/>
          <w:sz w:val="18"/>
          <w:szCs w:val="18"/>
          <w:lang w:val="ro-MD" w:bidi="ar-SA"/>
        </w:rPr>
        <w:t>șef Organism certificare</w:t>
      </w:r>
      <w:r w:rsidRPr="00634D6E">
        <w:rPr>
          <w:rFonts w:asciiTheme="majorHAnsi" w:eastAsiaTheme="minorHAnsi" w:hAnsiTheme="majorHAnsi" w:cstheme="majorHAnsi"/>
          <w:sz w:val="18"/>
          <w:szCs w:val="18"/>
          <w:lang w:val="ro-MD" w:bidi="ar-SA"/>
        </w:rPr>
        <w:t xml:space="preserve">), </w:t>
      </w:r>
      <w:r>
        <w:rPr>
          <w:rFonts w:asciiTheme="majorHAnsi" w:eastAsiaTheme="minorHAnsi" w:hAnsiTheme="majorHAnsi" w:cstheme="majorHAnsi"/>
          <w:sz w:val="18"/>
          <w:szCs w:val="18"/>
          <w:lang w:val="ro-MD" w:bidi="ar-SA"/>
        </w:rPr>
        <w:t xml:space="preserve">ceea ce </w:t>
      </w:r>
      <w:r w:rsidRPr="0041556D">
        <w:rPr>
          <w:rFonts w:asciiTheme="majorHAnsi" w:eastAsiaTheme="minorHAnsi" w:hAnsiTheme="majorHAnsi" w:cstheme="majorHAnsi"/>
          <w:sz w:val="18"/>
          <w:szCs w:val="18"/>
          <w:lang w:val="ro-MD" w:bidi="ar-SA"/>
        </w:rPr>
        <w:t xml:space="preserve">a condiționat </w:t>
      </w:r>
      <w:r w:rsidRPr="00634D6E">
        <w:rPr>
          <w:rFonts w:asciiTheme="majorHAnsi" w:eastAsiaTheme="minorHAnsi" w:hAnsiTheme="majorHAnsi" w:cstheme="majorHAnsi"/>
          <w:sz w:val="18"/>
          <w:szCs w:val="18"/>
          <w:lang w:val="ro-MD" w:bidi="ar-SA"/>
        </w:rPr>
        <w:t xml:space="preserve">suportarea cheltuielilor neconforme </w:t>
      </w:r>
      <w:r w:rsidRPr="0041556D">
        <w:rPr>
          <w:rFonts w:asciiTheme="majorHAnsi" w:eastAsiaTheme="minorHAnsi" w:hAnsiTheme="majorHAnsi" w:cstheme="majorHAnsi"/>
          <w:sz w:val="18"/>
          <w:szCs w:val="18"/>
          <w:lang w:val="ro-MD" w:bidi="ar-SA"/>
        </w:rPr>
        <w:t xml:space="preserve">în cuantum </w:t>
      </w:r>
      <w:r w:rsidRPr="00A50404">
        <w:rPr>
          <w:rFonts w:asciiTheme="majorHAnsi" w:eastAsiaTheme="minorHAnsi" w:hAnsiTheme="majorHAnsi" w:cstheme="majorHAnsi"/>
          <w:sz w:val="18"/>
          <w:szCs w:val="18"/>
          <w:lang w:val="ro-MD" w:bidi="ar-SA"/>
        </w:rPr>
        <w:t>de 21,1 mii lei.</w:t>
      </w:r>
    </w:p>
    <w:p w14:paraId="720FC99E" w14:textId="77777777" w:rsidR="00F124D2" w:rsidRPr="00A50404" w:rsidRDefault="00F124D2" w:rsidP="000D01B1">
      <w:pPr>
        <w:pStyle w:val="BodyText"/>
        <w:tabs>
          <w:tab w:val="left" w:pos="-1920"/>
        </w:tabs>
        <w:spacing w:after="0"/>
        <w:rPr>
          <w:rFonts w:asciiTheme="majorHAnsi" w:hAnsiTheme="majorHAnsi" w:cstheme="majorHAnsi"/>
          <w:sz w:val="18"/>
          <w:szCs w:val="18"/>
          <w:lang w:val="ro-MD"/>
        </w:rPr>
      </w:pPr>
    </w:p>
  </w:footnote>
  <w:footnote w:id="46">
    <w:p w14:paraId="4CC75162" w14:textId="5812B94F" w:rsidR="00F124D2" w:rsidRPr="00656500" w:rsidRDefault="00F124D2" w:rsidP="00497CB4">
      <w:pPr>
        <w:pStyle w:val="FootnoteText"/>
        <w:rPr>
          <w:rFonts w:asciiTheme="majorHAnsi" w:hAnsiTheme="majorHAnsi" w:cstheme="majorHAnsi"/>
          <w:sz w:val="16"/>
          <w:szCs w:val="16"/>
          <w:vertAlign w:val="baseline"/>
        </w:rPr>
      </w:pPr>
      <w:r w:rsidRPr="00497CB4">
        <w:rPr>
          <w:rStyle w:val="FootnoteReference"/>
          <w:rFonts w:asciiTheme="majorHAnsi" w:hAnsiTheme="majorHAnsi" w:cstheme="majorHAnsi"/>
          <w:sz w:val="16"/>
          <w:szCs w:val="16"/>
        </w:rPr>
        <w:footnoteRef/>
      </w:r>
      <w:r w:rsidRPr="00497CB4">
        <w:rPr>
          <w:rFonts w:asciiTheme="majorHAnsi" w:hAnsiTheme="majorHAnsi" w:cstheme="majorHAnsi"/>
          <w:sz w:val="16"/>
          <w:szCs w:val="16"/>
        </w:rPr>
        <w:t xml:space="preserve"> </w:t>
      </w:r>
      <w:r w:rsidRPr="00656500">
        <w:rPr>
          <w:rFonts w:asciiTheme="majorHAnsi" w:hAnsiTheme="majorHAnsi" w:cstheme="majorHAnsi"/>
          <w:sz w:val="16"/>
          <w:szCs w:val="16"/>
          <w:vertAlign w:val="baseline"/>
        </w:rPr>
        <w:t>Legea salarizării nr. 847 din 14.02.2002; HG nr. 743 din 11.06.2002 cu privire la salarizarea angajaților din unitățile cu</w:t>
      </w:r>
      <w:r w:rsidRPr="00656500">
        <w:rPr>
          <w:rFonts w:asciiTheme="majorHAnsi" w:hAnsiTheme="majorHAnsi" w:cstheme="majorHAnsi"/>
          <w:sz w:val="16"/>
          <w:szCs w:val="16"/>
        </w:rPr>
        <w:t xml:space="preserve"> </w:t>
      </w:r>
      <w:r w:rsidRPr="00656500">
        <w:rPr>
          <w:rFonts w:asciiTheme="majorHAnsi" w:hAnsiTheme="majorHAnsi" w:cstheme="majorHAnsi"/>
          <w:sz w:val="16"/>
          <w:szCs w:val="16"/>
          <w:vertAlign w:val="baseline"/>
        </w:rPr>
        <w:t>autonomie financiară</w:t>
      </w:r>
      <w:r>
        <w:rPr>
          <w:rFonts w:asciiTheme="majorHAnsi" w:hAnsiTheme="majorHAnsi" w:cstheme="majorHAnsi"/>
          <w:sz w:val="16"/>
          <w:szCs w:val="16"/>
          <w:vertAlign w:val="baseline"/>
        </w:rPr>
        <w:t>.</w:t>
      </w:r>
    </w:p>
  </w:footnote>
  <w:footnote w:id="47">
    <w:p w14:paraId="1589F279" w14:textId="34AB31E4" w:rsidR="00F124D2" w:rsidRPr="00656500" w:rsidRDefault="00F124D2" w:rsidP="00497CB4">
      <w:pPr>
        <w:pStyle w:val="FootnoteText"/>
        <w:rPr>
          <w:rFonts w:asciiTheme="majorHAnsi" w:hAnsiTheme="majorHAnsi" w:cstheme="majorHAnsi"/>
          <w:sz w:val="16"/>
          <w:szCs w:val="16"/>
          <w:vertAlign w:val="baseline"/>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sidRPr="00656500">
        <w:rPr>
          <w:rFonts w:asciiTheme="majorHAnsi" w:hAnsiTheme="majorHAnsi" w:cstheme="majorHAnsi"/>
          <w:sz w:val="16"/>
          <w:szCs w:val="16"/>
          <w:vertAlign w:val="baseline"/>
        </w:rPr>
        <w:t>Regulamentul cu privire la remunerarea muncii angajaților Instituți</w:t>
      </w:r>
      <w:r>
        <w:rPr>
          <w:rFonts w:asciiTheme="majorHAnsi" w:hAnsiTheme="majorHAnsi" w:cstheme="majorHAnsi"/>
          <w:sz w:val="16"/>
          <w:szCs w:val="16"/>
          <w:vertAlign w:val="baseline"/>
        </w:rPr>
        <w:t>e</w:t>
      </w:r>
      <w:r w:rsidRPr="00656500">
        <w:rPr>
          <w:rFonts w:asciiTheme="majorHAnsi" w:hAnsiTheme="majorHAnsi" w:cstheme="majorHAnsi"/>
          <w:sz w:val="16"/>
          <w:szCs w:val="16"/>
          <w:vertAlign w:val="baseline"/>
        </w:rPr>
        <w:t xml:space="preserve">i Publice </w:t>
      </w:r>
      <w:r>
        <w:rPr>
          <w:rFonts w:asciiTheme="majorHAnsi" w:hAnsiTheme="majorHAnsi" w:cstheme="majorHAnsi"/>
          <w:sz w:val="16"/>
          <w:szCs w:val="16"/>
          <w:vertAlign w:val="baseline"/>
        </w:rPr>
        <w:t>„</w:t>
      </w:r>
      <w:r w:rsidRPr="00656500">
        <w:rPr>
          <w:rFonts w:asciiTheme="majorHAnsi" w:hAnsiTheme="majorHAnsi" w:cstheme="majorHAnsi"/>
          <w:sz w:val="16"/>
          <w:szCs w:val="16"/>
          <w:vertAlign w:val="baseline"/>
          <w:lang w:val="ro-RO"/>
        </w:rPr>
        <w:t xml:space="preserve">Centrul Național de Acreditare din Republica Moldova </w:t>
      </w:r>
      <w:r w:rsidRPr="00656500">
        <w:rPr>
          <w:rFonts w:asciiTheme="majorHAnsi" w:hAnsiTheme="majorHAnsi" w:cstheme="majorHAnsi"/>
          <w:sz w:val="16"/>
          <w:szCs w:val="16"/>
          <w:vertAlign w:val="baseline"/>
        </w:rPr>
        <w:t xml:space="preserve">” (MOLDAC), aprobat la 01.09.2021, cu modificările și completările ulterioare; Regualemntul privind sistemul de salarizare </w:t>
      </w:r>
      <w:r w:rsidRPr="00656500">
        <w:rPr>
          <w:rFonts w:asciiTheme="majorHAnsi" w:hAnsiTheme="majorHAnsi" w:cstheme="majorHAnsi"/>
          <w:sz w:val="16"/>
          <w:szCs w:val="16"/>
          <w:vertAlign w:val="baseline"/>
          <w:lang w:val="ro-RO"/>
        </w:rPr>
        <w:t xml:space="preserve">în Institutul de Standardizare din Moldova, aprobat prin </w:t>
      </w:r>
      <w:r>
        <w:rPr>
          <w:rFonts w:asciiTheme="majorHAnsi" w:hAnsiTheme="majorHAnsi" w:cstheme="majorHAnsi"/>
          <w:sz w:val="16"/>
          <w:szCs w:val="16"/>
          <w:vertAlign w:val="baseline"/>
          <w:lang w:val="ro-RO"/>
        </w:rPr>
        <w:t>O</w:t>
      </w:r>
      <w:r w:rsidRPr="00656500">
        <w:rPr>
          <w:rFonts w:asciiTheme="majorHAnsi" w:hAnsiTheme="majorHAnsi" w:cstheme="majorHAnsi"/>
          <w:sz w:val="16"/>
          <w:szCs w:val="16"/>
          <w:vertAlign w:val="baseline"/>
          <w:lang w:val="ro-RO"/>
        </w:rPr>
        <w:t xml:space="preserve">rdinul directorului nr. 71 din 16.12.2019; Contractul colectiv de muncă </w:t>
      </w:r>
      <w:r w:rsidRPr="00603857">
        <w:rPr>
          <w:rFonts w:asciiTheme="majorHAnsi" w:hAnsiTheme="majorHAnsi" w:cstheme="majorHAnsi"/>
          <w:sz w:val="16"/>
          <w:szCs w:val="16"/>
          <w:vertAlign w:val="baseline"/>
          <w:lang w:val="ro-RO"/>
        </w:rPr>
        <w:t>al IP Institutul</w:t>
      </w:r>
      <w:r w:rsidRPr="00656500">
        <w:rPr>
          <w:rFonts w:asciiTheme="majorHAnsi" w:hAnsiTheme="majorHAnsi" w:cstheme="majorHAnsi"/>
          <w:sz w:val="16"/>
          <w:szCs w:val="16"/>
          <w:vertAlign w:val="baseline"/>
          <w:lang w:val="ro-RO"/>
        </w:rPr>
        <w:t xml:space="preserve"> Național de Metrologie pentru anii 2013-2016</w:t>
      </w:r>
      <w:r>
        <w:rPr>
          <w:rFonts w:asciiTheme="majorHAnsi" w:hAnsiTheme="majorHAnsi" w:cstheme="majorHAnsi"/>
          <w:sz w:val="16"/>
          <w:szCs w:val="16"/>
          <w:vertAlign w:val="baseline"/>
          <w:lang w:val="ro-RO"/>
        </w:rPr>
        <w:t>,</w:t>
      </w:r>
      <w:r w:rsidRPr="00656500">
        <w:rPr>
          <w:rFonts w:asciiTheme="majorHAnsi" w:hAnsiTheme="majorHAnsi" w:cstheme="majorHAnsi"/>
          <w:sz w:val="16"/>
          <w:szCs w:val="16"/>
          <w:vertAlign w:val="baseline"/>
          <w:lang w:val="ro-RO"/>
        </w:rPr>
        <w:t xml:space="preserve"> cu acordurile adiționale</w:t>
      </w:r>
      <w:r w:rsidRPr="00656500">
        <w:rPr>
          <w:rFonts w:asciiTheme="majorHAnsi" w:hAnsiTheme="majorHAnsi" w:cstheme="majorHAnsi"/>
          <w:sz w:val="16"/>
          <w:szCs w:val="16"/>
          <w:vertAlign w:val="baseline"/>
        </w:rPr>
        <w:t>.</w:t>
      </w:r>
    </w:p>
  </w:footnote>
  <w:footnote w:id="48">
    <w:p w14:paraId="6827C593" w14:textId="26A5CDFF" w:rsidR="00F124D2" w:rsidRPr="00656500" w:rsidRDefault="00F124D2" w:rsidP="00497CB4">
      <w:pPr>
        <w:pStyle w:val="FootnoteText"/>
        <w:rPr>
          <w:rFonts w:asciiTheme="majorHAnsi" w:hAnsiTheme="majorHAnsi" w:cstheme="majorHAnsi"/>
          <w:sz w:val="16"/>
          <w:szCs w:val="16"/>
          <w:vertAlign w:val="baseline"/>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sidRPr="00656500">
        <w:rPr>
          <w:rFonts w:asciiTheme="majorHAnsi" w:hAnsiTheme="majorHAnsi" w:cstheme="majorHAnsi"/>
          <w:sz w:val="16"/>
          <w:szCs w:val="16"/>
          <w:vertAlign w:val="baseline"/>
        </w:rPr>
        <w:t>HG nr. 165/2010 cu privire la aprobarea cuantumului minim garantat al salariului în sector</w:t>
      </w:r>
      <w:r>
        <w:rPr>
          <w:rFonts w:asciiTheme="majorHAnsi" w:hAnsiTheme="majorHAnsi" w:cstheme="majorHAnsi"/>
          <w:sz w:val="16"/>
          <w:szCs w:val="16"/>
          <w:vertAlign w:val="baseline"/>
        </w:rPr>
        <w:t>ul</w:t>
      </w:r>
      <w:r w:rsidRPr="00656500">
        <w:rPr>
          <w:rFonts w:asciiTheme="majorHAnsi" w:hAnsiTheme="majorHAnsi" w:cstheme="majorHAnsi"/>
          <w:sz w:val="16"/>
          <w:szCs w:val="16"/>
          <w:vertAlign w:val="baseline"/>
        </w:rPr>
        <w:t xml:space="preserve"> real</w:t>
      </w:r>
      <w:r>
        <w:rPr>
          <w:rFonts w:asciiTheme="majorHAnsi" w:hAnsiTheme="majorHAnsi" w:cstheme="majorHAnsi"/>
          <w:sz w:val="16"/>
          <w:szCs w:val="16"/>
          <w:vertAlign w:val="baseline"/>
        </w:rPr>
        <w:t>.</w:t>
      </w:r>
    </w:p>
  </w:footnote>
  <w:footnote w:id="49">
    <w:p w14:paraId="58D38C64" w14:textId="0682CADD" w:rsidR="00F124D2" w:rsidRPr="00656500" w:rsidRDefault="00F124D2" w:rsidP="00497CB4">
      <w:pPr>
        <w:pStyle w:val="FootnoteText"/>
        <w:rPr>
          <w:rFonts w:asciiTheme="majorHAnsi" w:hAnsiTheme="majorHAnsi" w:cstheme="majorHAnsi"/>
          <w:sz w:val="16"/>
          <w:szCs w:val="16"/>
          <w:vertAlign w:val="baseline"/>
          <w:lang w:val="ro-RO"/>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sidRPr="00656500">
        <w:rPr>
          <w:rFonts w:asciiTheme="majorHAnsi" w:hAnsiTheme="majorHAnsi" w:cstheme="majorHAnsi"/>
          <w:sz w:val="16"/>
          <w:szCs w:val="16"/>
          <w:vertAlign w:val="baseline"/>
          <w:lang w:val="ro-RO"/>
        </w:rPr>
        <w:t>Art. 11 din Legea nr. 847/2002</w:t>
      </w:r>
      <w:r>
        <w:rPr>
          <w:rFonts w:asciiTheme="majorHAnsi" w:hAnsiTheme="majorHAnsi" w:cstheme="majorHAnsi"/>
          <w:sz w:val="16"/>
          <w:szCs w:val="16"/>
          <w:vertAlign w:val="baseline"/>
          <w:lang w:val="ro-RO"/>
        </w:rPr>
        <w:t>.</w:t>
      </w:r>
    </w:p>
  </w:footnote>
  <w:footnote w:id="50">
    <w:p w14:paraId="46BDB90F" w14:textId="77777777" w:rsidR="00F124D2" w:rsidRPr="00656500" w:rsidRDefault="00F124D2" w:rsidP="00497CB4">
      <w:pPr>
        <w:pStyle w:val="FootnoteText"/>
        <w:jc w:val="both"/>
        <w:rPr>
          <w:rFonts w:asciiTheme="majorHAnsi" w:hAnsiTheme="majorHAnsi" w:cstheme="majorHAnsi"/>
          <w:sz w:val="16"/>
          <w:szCs w:val="16"/>
          <w:vertAlign w:val="baseline"/>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sidRPr="00656500">
        <w:rPr>
          <w:rFonts w:asciiTheme="majorHAnsi" w:hAnsiTheme="majorHAnsi" w:cstheme="majorHAnsi"/>
          <w:color w:val="000000"/>
          <w:sz w:val="16"/>
          <w:szCs w:val="16"/>
          <w:vertAlign w:val="baseline"/>
        </w:rPr>
        <w:t>Pct. 3 din HG nr. 743/2002: Evaluarea complexității lucrărilor executate și a performanțelor individuale pentru stabilirea salariului de funcție în raport proporțional cu cuantumul minim garantat al salariului în sectorul real sau al salariului tarifar pentru categoria I de calificare stabilit la unitate se efectuează de către angajator.</w:t>
      </w:r>
    </w:p>
  </w:footnote>
  <w:footnote w:id="51">
    <w:p w14:paraId="77716164" w14:textId="41DC8521" w:rsidR="00F124D2" w:rsidRPr="00656500" w:rsidRDefault="00F124D2" w:rsidP="00497CB4">
      <w:pPr>
        <w:pStyle w:val="FootnoteText"/>
        <w:rPr>
          <w:rFonts w:asciiTheme="majorHAnsi" w:hAnsiTheme="majorHAnsi" w:cstheme="majorHAnsi"/>
          <w:sz w:val="16"/>
          <w:szCs w:val="16"/>
          <w:vertAlign w:val="baseline"/>
          <w:lang w:val="ro-RO"/>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Pr>
          <w:rFonts w:asciiTheme="majorHAnsi" w:hAnsiTheme="majorHAnsi" w:cstheme="majorHAnsi"/>
          <w:sz w:val="16"/>
          <w:szCs w:val="16"/>
          <w:vertAlign w:val="baseline"/>
          <w:lang w:val="ro-RO"/>
        </w:rPr>
        <w:t>P</w:t>
      </w:r>
      <w:r w:rsidRPr="00656500">
        <w:rPr>
          <w:rFonts w:asciiTheme="majorHAnsi" w:hAnsiTheme="majorHAnsi" w:cstheme="majorHAnsi"/>
          <w:sz w:val="16"/>
          <w:szCs w:val="16"/>
          <w:vertAlign w:val="baseline"/>
          <w:lang w:val="ro-RO"/>
        </w:rPr>
        <w:t>ct. 1 din HG nr. 743/2022 cu privire la salarizarea angajaților din unitățile cu autonomie financiară</w:t>
      </w:r>
      <w:r>
        <w:rPr>
          <w:rFonts w:asciiTheme="majorHAnsi" w:hAnsiTheme="majorHAnsi" w:cstheme="majorHAnsi"/>
          <w:sz w:val="16"/>
          <w:szCs w:val="16"/>
          <w:vertAlign w:val="baseline"/>
          <w:lang w:val="ro-RO"/>
        </w:rPr>
        <w:t>.</w:t>
      </w:r>
    </w:p>
  </w:footnote>
  <w:footnote w:id="52">
    <w:p w14:paraId="53B23D93" w14:textId="43EC267E" w:rsidR="00F124D2" w:rsidRPr="00656500" w:rsidRDefault="00F124D2" w:rsidP="00497CB4">
      <w:pPr>
        <w:autoSpaceDE w:val="0"/>
        <w:autoSpaceDN w:val="0"/>
        <w:adjustRightInd w:val="0"/>
        <w:spacing w:after="0" w:line="276" w:lineRule="auto"/>
        <w:jc w:val="both"/>
        <w:rPr>
          <w:rFonts w:asciiTheme="majorHAnsi" w:hAnsiTheme="majorHAnsi" w:cstheme="majorHAnsi"/>
          <w:sz w:val="16"/>
          <w:szCs w:val="16"/>
          <w:lang w:val="ro-RO"/>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MOLDAC: L</w:t>
      </w:r>
      <w:r w:rsidRPr="00656500">
        <w:rPr>
          <w:rFonts w:asciiTheme="majorHAnsi" w:hAnsiTheme="majorHAnsi" w:cstheme="majorHAnsi"/>
          <w:sz w:val="16"/>
          <w:szCs w:val="16"/>
          <w:lang w:val="ro-RO"/>
        </w:rPr>
        <w:t xml:space="preserve">unar, prin ordinul directoarei cu privire la stabilirea sporurilor stimulatorii, se stabilea fiecărui angajat cota procentuală a sporului calculată din salariul de funcție, </w:t>
      </w:r>
      <w:r w:rsidRPr="00656500">
        <w:rPr>
          <w:rFonts w:asciiTheme="majorHAnsi" w:hAnsiTheme="majorHAnsi" w:cstheme="majorHAnsi"/>
          <w:sz w:val="16"/>
          <w:szCs w:val="16"/>
          <w:shd w:val="clear" w:color="auto" w:fill="FFFFFF"/>
        </w:rPr>
        <w:t>pentru timpul efectiv lucrat pe parcursul lunii de referință. Ordinele conducătorului nu conținea</w:t>
      </w:r>
      <w:r>
        <w:rPr>
          <w:rFonts w:asciiTheme="majorHAnsi" w:hAnsiTheme="majorHAnsi" w:cstheme="majorHAnsi"/>
          <w:sz w:val="16"/>
          <w:szCs w:val="16"/>
          <w:shd w:val="clear" w:color="auto" w:fill="FFFFFF"/>
        </w:rPr>
        <w:t>u</w:t>
      </w:r>
      <w:r w:rsidRPr="00656500">
        <w:rPr>
          <w:rFonts w:asciiTheme="majorHAnsi" w:hAnsiTheme="majorHAnsi" w:cstheme="majorHAnsi"/>
          <w:sz w:val="16"/>
          <w:szCs w:val="16"/>
          <w:shd w:val="clear" w:color="auto" w:fill="FFFFFF"/>
        </w:rPr>
        <w:t xml:space="preserve"> informații privind v</w:t>
      </w:r>
      <w:r w:rsidRPr="00656500">
        <w:rPr>
          <w:rFonts w:asciiTheme="majorHAnsi" w:hAnsiTheme="majorHAnsi" w:cstheme="majorHAnsi"/>
          <w:sz w:val="16"/>
          <w:szCs w:val="16"/>
          <w:lang w:val="ro-RO" w:eastAsia="ru-RU"/>
        </w:rPr>
        <w:t>aloarea totală a mijloacelor financiare utilizate pentru achitarea</w:t>
      </w:r>
      <w:r w:rsidRPr="00656500">
        <w:rPr>
          <w:rFonts w:asciiTheme="majorHAnsi" w:hAnsiTheme="majorHAnsi" w:cstheme="majorHAnsi"/>
          <w:sz w:val="16"/>
          <w:szCs w:val="16"/>
          <w:lang w:val="ro-RO"/>
        </w:rPr>
        <w:t xml:space="preserve"> sporului, precum și mijloacele </w:t>
      </w:r>
      <w:r w:rsidRPr="00656500">
        <w:rPr>
          <w:rFonts w:asciiTheme="majorHAnsi" w:hAnsiTheme="majorHAnsi" w:cstheme="majorHAnsi"/>
          <w:sz w:val="16"/>
          <w:szCs w:val="16"/>
          <w:lang w:val="ro-RO" w:eastAsia="ru-RU"/>
        </w:rPr>
        <w:t xml:space="preserve">băneşti anuale alocate/planificate pentru acordarea sporului </w:t>
      </w:r>
      <w:r w:rsidRPr="00656500">
        <w:rPr>
          <w:rFonts w:asciiTheme="majorHAnsi" w:hAnsiTheme="majorHAnsi" w:cstheme="majorHAnsi"/>
          <w:sz w:val="16"/>
          <w:szCs w:val="16"/>
          <w:lang w:val="ro-RO"/>
        </w:rPr>
        <w:t>de compensare</w:t>
      </w:r>
      <w:r w:rsidRPr="00656500">
        <w:rPr>
          <w:rFonts w:asciiTheme="majorHAnsi" w:hAnsiTheme="majorHAnsi" w:cstheme="majorHAnsi"/>
          <w:sz w:val="16"/>
          <w:szCs w:val="16"/>
          <w:lang w:val="ro-RO" w:eastAsia="ru-RU"/>
        </w:rPr>
        <w:t>.</w:t>
      </w:r>
      <w:r w:rsidRPr="00656500">
        <w:rPr>
          <w:rFonts w:asciiTheme="majorHAnsi" w:hAnsiTheme="majorHAnsi" w:cstheme="majorHAnsi"/>
          <w:sz w:val="16"/>
          <w:szCs w:val="16"/>
          <w:lang w:val="ro-RO"/>
        </w:rPr>
        <w:t xml:space="preserve"> Sporul lunar pentru rezultatele activității curente pentru a</w:t>
      </w:r>
      <w:r>
        <w:rPr>
          <w:rFonts w:asciiTheme="majorHAnsi" w:hAnsiTheme="majorHAnsi" w:cstheme="majorHAnsi"/>
          <w:sz w:val="16"/>
          <w:szCs w:val="16"/>
          <w:lang w:val="ro-RO"/>
        </w:rPr>
        <w:t>nul</w:t>
      </w:r>
      <w:r w:rsidRPr="00656500">
        <w:rPr>
          <w:rFonts w:asciiTheme="majorHAnsi" w:hAnsiTheme="majorHAnsi" w:cstheme="majorHAnsi"/>
          <w:sz w:val="16"/>
          <w:szCs w:val="16"/>
          <w:lang w:val="ro-RO"/>
        </w:rPr>
        <w:t xml:space="preserve"> 2020 a însumat 748,8 mii lei, iar pentru anul 2021 – 606,2 mii lei. </w:t>
      </w:r>
    </w:p>
  </w:footnote>
  <w:footnote w:id="53">
    <w:p w14:paraId="6FAEC0E0" w14:textId="2680E496" w:rsidR="00F124D2" w:rsidRPr="00656500" w:rsidRDefault="00F124D2" w:rsidP="00497CB4">
      <w:pPr>
        <w:pStyle w:val="FootnoteText"/>
        <w:rPr>
          <w:rFonts w:asciiTheme="majorHAnsi" w:hAnsiTheme="majorHAnsi" w:cstheme="majorHAnsi"/>
          <w:sz w:val="16"/>
          <w:szCs w:val="16"/>
          <w:vertAlign w:val="baseline"/>
        </w:rPr>
      </w:pPr>
      <w:r w:rsidRPr="00656500">
        <w:rPr>
          <w:rStyle w:val="FootnoteReference"/>
          <w:rFonts w:asciiTheme="majorHAnsi" w:hAnsiTheme="majorHAnsi" w:cstheme="majorHAnsi"/>
          <w:sz w:val="16"/>
          <w:szCs w:val="16"/>
        </w:rPr>
        <w:footnoteRef/>
      </w:r>
      <w:r w:rsidRPr="00656500">
        <w:rPr>
          <w:rFonts w:asciiTheme="majorHAnsi" w:hAnsiTheme="majorHAnsi" w:cstheme="majorHAnsi"/>
          <w:sz w:val="16"/>
          <w:szCs w:val="16"/>
        </w:rPr>
        <w:t xml:space="preserve"> </w:t>
      </w:r>
      <w:r w:rsidRPr="00656500">
        <w:rPr>
          <w:rFonts w:asciiTheme="majorHAnsi" w:hAnsiTheme="majorHAnsi" w:cstheme="majorHAnsi"/>
          <w:sz w:val="16"/>
          <w:szCs w:val="16"/>
          <w:vertAlign w:val="baseline"/>
        </w:rPr>
        <w:t>Pct.</w:t>
      </w:r>
      <w:r w:rsidRPr="00656500">
        <w:rPr>
          <w:rFonts w:asciiTheme="majorHAnsi" w:hAnsiTheme="majorHAnsi" w:cstheme="majorHAnsi"/>
          <w:color w:val="333333"/>
          <w:sz w:val="16"/>
          <w:szCs w:val="16"/>
          <w:vertAlign w:val="baseline"/>
        </w:rPr>
        <w:t>13</w:t>
      </w:r>
      <w:r w:rsidRPr="00656500">
        <w:rPr>
          <w:rFonts w:asciiTheme="majorHAnsi" w:hAnsiTheme="majorHAnsi" w:cstheme="majorHAnsi"/>
          <w:color w:val="333333"/>
          <w:sz w:val="16"/>
          <w:szCs w:val="16"/>
        </w:rPr>
        <w:t>2</w:t>
      </w:r>
      <w:r w:rsidRPr="00656500">
        <w:rPr>
          <w:rFonts w:asciiTheme="majorHAnsi" w:hAnsiTheme="majorHAnsi" w:cstheme="majorHAnsi"/>
          <w:color w:val="333333"/>
          <w:sz w:val="16"/>
          <w:szCs w:val="16"/>
          <w:vertAlign w:val="baseline"/>
        </w:rPr>
        <w:t> din HG nr. 743/2002 cu privire la salarizarea angajaților din autoritățile cu autonomie financiară.</w:t>
      </w:r>
    </w:p>
  </w:footnote>
  <w:footnote w:id="54">
    <w:p w14:paraId="5601A9AF" w14:textId="4F3DAA60" w:rsidR="00F124D2" w:rsidRPr="000A754D" w:rsidRDefault="00F124D2" w:rsidP="000A754D">
      <w:pPr>
        <w:shd w:val="clear" w:color="auto" w:fill="FFFFFF"/>
        <w:spacing w:after="0"/>
        <w:jc w:val="both"/>
        <w:rPr>
          <w:rFonts w:asciiTheme="majorHAnsi" w:hAnsiTheme="majorHAnsi" w:cstheme="majorHAnsi"/>
          <w:sz w:val="16"/>
          <w:szCs w:val="16"/>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Pct.</w:t>
      </w:r>
      <w:r w:rsidRPr="000A754D">
        <w:rPr>
          <w:rFonts w:asciiTheme="majorHAnsi" w:hAnsiTheme="majorHAnsi" w:cstheme="majorHAnsi"/>
          <w:color w:val="333333"/>
          <w:sz w:val="16"/>
          <w:szCs w:val="16"/>
        </w:rPr>
        <w:t>13</w:t>
      </w:r>
      <w:r w:rsidRPr="000A754D">
        <w:rPr>
          <w:rFonts w:asciiTheme="majorHAnsi" w:hAnsiTheme="majorHAnsi" w:cstheme="majorHAnsi"/>
          <w:color w:val="333333"/>
          <w:sz w:val="16"/>
          <w:szCs w:val="16"/>
          <w:vertAlign w:val="superscript"/>
        </w:rPr>
        <w:t>2</w:t>
      </w:r>
      <w:r w:rsidRPr="000A754D">
        <w:rPr>
          <w:rFonts w:asciiTheme="majorHAnsi" w:hAnsiTheme="majorHAnsi" w:cstheme="majorHAnsi"/>
          <w:color w:val="333333"/>
          <w:sz w:val="16"/>
          <w:szCs w:val="16"/>
        </w:rPr>
        <w:t xml:space="preserve"> din HG nr. 743/2002: </w:t>
      </w:r>
      <w:r>
        <w:rPr>
          <w:rFonts w:asciiTheme="majorHAnsi" w:hAnsiTheme="majorHAnsi" w:cstheme="majorHAnsi"/>
          <w:color w:val="333333"/>
          <w:sz w:val="16"/>
          <w:szCs w:val="16"/>
        </w:rPr>
        <w:t>„</w:t>
      </w:r>
      <w:r w:rsidRPr="000A754D">
        <w:rPr>
          <w:rFonts w:asciiTheme="majorHAnsi" w:hAnsiTheme="majorHAnsi" w:cstheme="majorHAnsi"/>
          <w:color w:val="333333"/>
          <w:sz w:val="16"/>
          <w:szCs w:val="16"/>
        </w:rPr>
        <w:t>Mărimile altor plăţi, care nu se raportează la salarizare, dar care pot fi prevăzute în contractul individual de muncă sau în contractul colectiv de muncă (ajutor material, premii cu prilejul jubileelor, sărbătorilor profesionale etc.), se determină în fiecare caz concret, în funcţie de mijloacele financiare disponibile.</w:t>
      </w:r>
      <w:r w:rsidRPr="0044409B">
        <w:rPr>
          <w:rFonts w:asciiTheme="majorHAnsi" w:hAnsiTheme="majorHAnsi" w:cstheme="majorHAnsi"/>
          <w:color w:val="333333"/>
          <w:sz w:val="16"/>
          <w:szCs w:val="16"/>
        </w:rPr>
        <w:t xml:space="preserve"> </w:t>
      </w:r>
      <w:r w:rsidRPr="000A754D">
        <w:rPr>
          <w:rFonts w:asciiTheme="majorHAnsi" w:hAnsiTheme="majorHAnsi" w:cstheme="majorHAnsi"/>
          <w:color w:val="333333"/>
          <w:sz w:val="16"/>
          <w:szCs w:val="16"/>
        </w:rPr>
        <w:t>Totodată, cuantumul acestor plăţi, care se plătesc din contul economisirii mijloacelor pentru retribuirea muncii, acordate conducătorului întreprinderii de stat, întreprinderii cu capital majoritar de stat şi celor monopoliste, indicate de Guvern, pe parcursul unui an, nu va depăşi 3 salarii de funcţie</w:t>
      </w:r>
      <w:r w:rsidRPr="0044409B">
        <w:rPr>
          <w:rFonts w:asciiTheme="majorHAnsi" w:hAnsiTheme="majorHAnsi" w:cstheme="majorHAnsi"/>
          <w:color w:val="333333"/>
          <w:sz w:val="16"/>
          <w:szCs w:val="16"/>
        </w:rPr>
        <w:t xml:space="preserve"> </w:t>
      </w:r>
      <w:r w:rsidRPr="000A754D">
        <w:rPr>
          <w:rFonts w:asciiTheme="majorHAnsi" w:hAnsiTheme="majorHAnsi" w:cstheme="majorHAnsi"/>
          <w:color w:val="333333"/>
          <w:sz w:val="16"/>
          <w:szCs w:val="16"/>
        </w:rPr>
        <w:t>”.</w:t>
      </w:r>
    </w:p>
  </w:footnote>
  <w:footnote w:id="55">
    <w:p w14:paraId="18D78C6C" w14:textId="0BBE0C34" w:rsidR="00F124D2" w:rsidRPr="000A754D" w:rsidRDefault="00F124D2" w:rsidP="000A754D">
      <w:pPr>
        <w:pStyle w:val="FootnoteText"/>
        <w:jc w:val="both"/>
        <w:rPr>
          <w:rFonts w:asciiTheme="majorHAnsi" w:hAnsiTheme="majorHAnsi" w:cstheme="majorHAnsi"/>
          <w:sz w:val="16"/>
          <w:szCs w:val="16"/>
          <w:vertAlign w:val="baseline"/>
          <w:lang w:val="ro-RO"/>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sz w:val="16"/>
          <w:szCs w:val="16"/>
          <w:vertAlign w:val="baseline"/>
          <w:lang w:val="ro-RO"/>
        </w:rPr>
        <w:t>M</w:t>
      </w:r>
      <w:r>
        <w:rPr>
          <w:rFonts w:asciiTheme="majorHAnsi" w:hAnsiTheme="majorHAnsi" w:cstheme="majorHAnsi"/>
          <w:sz w:val="16"/>
          <w:szCs w:val="16"/>
          <w:vertAlign w:val="baseline"/>
          <w:lang w:val="ro-RO"/>
        </w:rPr>
        <w:t>OLDAC</w:t>
      </w:r>
      <w:r w:rsidRPr="000A754D">
        <w:rPr>
          <w:rFonts w:asciiTheme="majorHAnsi" w:hAnsiTheme="majorHAnsi" w:cstheme="majorHAnsi"/>
          <w:sz w:val="16"/>
          <w:szCs w:val="16"/>
          <w:vertAlign w:val="baseline"/>
          <w:lang w:val="ro-RO"/>
        </w:rPr>
        <w:t xml:space="preserve">: </w:t>
      </w:r>
      <w:r w:rsidRPr="000A754D">
        <w:rPr>
          <w:rFonts w:asciiTheme="majorHAnsi" w:hAnsiTheme="majorHAnsi" w:cstheme="majorHAnsi"/>
          <w:sz w:val="16"/>
          <w:szCs w:val="16"/>
          <w:vertAlign w:val="baseline"/>
          <w:lang w:val="ro-MD"/>
        </w:rPr>
        <w:t>în anul 2020 – cu 27,7 mii lei, în anul 2021 – cu 30,22 mii lei.</w:t>
      </w:r>
    </w:p>
  </w:footnote>
  <w:footnote w:id="56">
    <w:p w14:paraId="576ECAE8" w14:textId="14E6ECE0" w:rsidR="00F124D2" w:rsidRPr="000A754D" w:rsidRDefault="00F124D2" w:rsidP="000A754D">
      <w:pPr>
        <w:pStyle w:val="FootnoteText"/>
        <w:jc w:val="both"/>
        <w:rPr>
          <w:rFonts w:asciiTheme="majorHAnsi" w:hAnsiTheme="majorHAnsi" w:cstheme="majorHAnsi"/>
          <w:sz w:val="16"/>
          <w:szCs w:val="16"/>
          <w:vertAlign w:val="baseline"/>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color w:val="333333"/>
          <w:sz w:val="16"/>
          <w:szCs w:val="16"/>
          <w:shd w:val="clear" w:color="auto" w:fill="FFFFFF"/>
          <w:vertAlign w:val="baseline"/>
        </w:rPr>
        <w:t>Pct. 4 din HG nr. 743/2002:  Salariul de bază, modul şi condiţiile de salarizare a conducătorilor unităţilor cu autonomie financiară (cu excepţia celor specificaţi la punctul 5 al prezentei hotărâri) se stabile</w:t>
      </w:r>
      <w:r>
        <w:rPr>
          <w:rFonts w:asciiTheme="majorHAnsi" w:hAnsiTheme="majorHAnsi" w:cstheme="majorHAnsi"/>
          <w:color w:val="333333"/>
          <w:sz w:val="16"/>
          <w:szCs w:val="16"/>
          <w:shd w:val="clear" w:color="auto" w:fill="FFFFFF"/>
          <w:vertAlign w:val="baseline"/>
        </w:rPr>
        <w:t>sc</w:t>
      </w:r>
      <w:r w:rsidRPr="000A754D">
        <w:rPr>
          <w:rFonts w:asciiTheme="majorHAnsi" w:hAnsiTheme="majorHAnsi" w:cstheme="majorHAnsi"/>
          <w:color w:val="333333"/>
          <w:sz w:val="16"/>
          <w:szCs w:val="16"/>
          <w:shd w:val="clear" w:color="auto" w:fill="FFFFFF"/>
          <w:vertAlign w:val="baseline"/>
        </w:rPr>
        <w:t xml:space="preserve"> de către organele împuternicite să numească aceste persoane şi se fixează în contractul încheiat între părţi.</w:t>
      </w:r>
    </w:p>
  </w:footnote>
  <w:footnote w:id="57">
    <w:p w14:paraId="2157CCBD" w14:textId="2B645185" w:rsidR="00F124D2" w:rsidRPr="000A754D" w:rsidRDefault="00F124D2" w:rsidP="000A754D">
      <w:pPr>
        <w:pStyle w:val="FootnoteText"/>
        <w:jc w:val="both"/>
        <w:rPr>
          <w:rFonts w:asciiTheme="majorHAnsi" w:hAnsiTheme="majorHAnsi" w:cstheme="majorHAnsi"/>
          <w:sz w:val="16"/>
          <w:szCs w:val="16"/>
          <w:lang w:val="ro-MD"/>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sz w:val="16"/>
          <w:szCs w:val="16"/>
          <w:vertAlign w:val="baseline"/>
          <w:lang w:val="ro-MD"/>
        </w:rPr>
        <w:t>Art.1376</w:t>
      </w:r>
      <w:r>
        <w:rPr>
          <w:rFonts w:asciiTheme="majorHAnsi" w:hAnsiTheme="majorHAnsi" w:cstheme="majorHAnsi"/>
          <w:sz w:val="16"/>
          <w:szCs w:val="16"/>
          <w:vertAlign w:val="baseline"/>
          <w:lang w:val="ro-MD"/>
        </w:rPr>
        <w:t xml:space="preserve"> alin. (1) din Codul</w:t>
      </w:r>
      <w:r w:rsidRPr="000A754D">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c</w:t>
      </w:r>
      <w:r w:rsidRPr="000A754D">
        <w:rPr>
          <w:rFonts w:asciiTheme="majorHAnsi" w:hAnsiTheme="majorHAnsi" w:cstheme="majorHAnsi"/>
          <w:sz w:val="16"/>
          <w:szCs w:val="16"/>
          <w:vertAlign w:val="baseline"/>
          <w:lang w:val="ro-MD"/>
        </w:rPr>
        <w:t>ivil</w:t>
      </w:r>
      <w:r>
        <w:rPr>
          <w:rFonts w:asciiTheme="majorHAnsi" w:hAnsiTheme="majorHAnsi" w:cstheme="majorHAnsi"/>
          <w:sz w:val="16"/>
          <w:szCs w:val="16"/>
          <w:vertAlign w:val="baseline"/>
          <w:lang w:val="ro-MD"/>
        </w:rPr>
        <w:t>: „</w:t>
      </w:r>
      <w:r w:rsidRPr="000A754D">
        <w:rPr>
          <w:rFonts w:asciiTheme="majorHAnsi" w:hAnsiTheme="majorHAnsi" w:cstheme="majorHAnsi"/>
          <w:sz w:val="16"/>
          <w:szCs w:val="16"/>
          <w:vertAlign w:val="baseline"/>
          <w:lang w:val="ro-MD"/>
        </w:rPr>
        <w:t>Plata pentru servicii se efectuează după prestarea serviciilor</w:t>
      </w:r>
      <w:r>
        <w:rPr>
          <w:rFonts w:asciiTheme="majorHAnsi" w:hAnsiTheme="majorHAnsi" w:cstheme="majorHAnsi"/>
          <w:sz w:val="16"/>
          <w:szCs w:val="16"/>
          <w:vertAlign w:val="baseline"/>
          <w:lang w:val="ro-MD"/>
        </w:rPr>
        <w:t>”.</w:t>
      </w:r>
    </w:p>
  </w:footnote>
  <w:footnote w:id="58">
    <w:p w14:paraId="405644AE" w14:textId="42983395" w:rsidR="00F124D2" w:rsidRPr="007854F0" w:rsidRDefault="00F124D2" w:rsidP="000A754D">
      <w:pPr>
        <w:pStyle w:val="FootnoteText"/>
        <w:jc w:val="both"/>
        <w:rPr>
          <w:rFonts w:asciiTheme="majorHAnsi" w:hAnsiTheme="majorHAnsi"/>
          <w:sz w:val="24"/>
          <w:szCs w:val="24"/>
          <w:lang w:val="ro-MD"/>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sz w:val="16"/>
          <w:szCs w:val="16"/>
          <w:vertAlign w:val="baseline"/>
          <w:lang w:val="ro-MD"/>
        </w:rPr>
        <w:t>Art.1011 alin</w:t>
      </w:r>
      <w:r>
        <w:rPr>
          <w:rFonts w:asciiTheme="majorHAnsi" w:hAnsiTheme="majorHAnsi" w:cstheme="majorHAnsi"/>
          <w:sz w:val="16"/>
          <w:szCs w:val="16"/>
          <w:vertAlign w:val="baseline"/>
          <w:lang w:val="ro-MD"/>
        </w:rPr>
        <w:t>. (2) a) din Codul</w:t>
      </w:r>
      <w:r w:rsidRPr="000A754D">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c</w:t>
      </w:r>
      <w:r w:rsidRPr="000A754D">
        <w:rPr>
          <w:rFonts w:asciiTheme="majorHAnsi" w:hAnsiTheme="majorHAnsi" w:cstheme="majorHAnsi"/>
          <w:sz w:val="16"/>
          <w:szCs w:val="16"/>
          <w:vertAlign w:val="baseline"/>
          <w:lang w:val="ro-MD"/>
        </w:rPr>
        <w:t>ivil</w:t>
      </w:r>
      <w:r>
        <w:rPr>
          <w:rFonts w:asciiTheme="majorHAnsi" w:hAnsiTheme="majorHAnsi" w:cstheme="majorHAnsi"/>
          <w:sz w:val="16"/>
          <w:szCs w:val="16"/>
          <w:vertAlign w:val="baseline"/>
          <w:lang w:val="ro-MD"/>
        </w:rPr>
        <w:t>.</w:t>
      </w:r>
    </w:p>
  </w:footnote>
  <w:footnote w:id="59">
    <w:p w14:paraId="401BF3D2" w14:textId="6D552980" w:rsidR="00F124D2" w:rsidRPr="00E95C2C" w:rsidRDefault="00F124D2" w:rsidP="00C770C0">
      <w:pPr>
        <w:spacing w:after="0"/>
        <w:jc w:val="both"/>
        <w:rPr>
          <w:rFonts w:asciiTheme="majorHAnsi" w:hAnsiTheme="majorHAnsi" w:cstheme="majorHAnsi"/>
          <w:sz w:val="16"/>
          <w:szCs w:val="16"/>
          <w:lang w:val="ro-MD"/>
        </w:rPr>
      </w:pPr>
      <w:r w:rsidRPr="00E95C2C">
        <w:rPr>
          <w:rStyle w:val="FootnoteReference"/>
          <w:rFonts w:asciiTheme="majorHAnsi" w:hAnsiTheme="majorHAnsi" w:cstheme="majorHAnsi"/>
          <w:sz w:val="16"/>
          <w:szCs w:val="16"/>
        </w:rPr>
        <w:footnoteRef/>
      </w:r>
      <w:r w:rsidRPr="00E95C2C">
        <w:rPr>
          <w:rFonts w:asciiTheme="majorHAnsi" w:hAnsiTheme="majorHAnsi" w:cstheme="majorHAnsi"/>
          <w:sz w:val="16"/>
          <w:szCs w:val="16"/>
          <w:lang w:val="ro-MD"/>
        </w:rPr>
        <w:t xml:space="preserve"> Rholiq – Cercetarea trasabilității metodologice în domeniul densității lichidelor prin utilizarea materialelor de referință certificate (inițiat în </w:t>
      </w:r>
      <w:r>
        <w:rPr>
          <w:rFonts w:asciiTheme="majorHAnsi" w:hAnsiTheme="majorHAnsi" w:cstheme="majorHAnsi"/>
          <w:sz w:val="16"/>
          <w:szCs w:val="16"/>
          <w:lang w:val="ro-MD"/>
        </w:rPr>
        <w:t>a.</w:t>
      </w:r>
      <w:r w:rsidRPr="00E95C2C">
        <w:rPr>
          <w:rFonts w:asciiTheme="majorHAnsi" w:hAnsiTheme="majorHAnsi" w:cstheme="majorHAnsi"/>
          <w:sz w:val="16"/>
          <w:szCs w:val="16"/>
          <w:lang w:val="ro-MD"/>
        </w:rPr>
        <w:t xml:space="preserve">2017); DoseTrance – Cercetarea capabilităților dozimetrelor utilizate în domeniul radioprotecției (inițiat în </w:t>
      </w:r>
      <w:r>
        <w:rPr>
          <w:rFonts w:asciiTheme="majorHAnsi" w:hAnsiTheme="majorHAnsi" w:cstheme="majorHAnsi"/>
          <w:sz w:val="16"/>
          <w:szCs w:val="16"/>
          <w:lang w:val="ro-MD"/>
        </w:rPr>
        <w:t>a.</w:t>
      </w:r>
      <w:r w:rsidRPr="00E95C2C">
        <w:rPr>
          <w:rFonts w:asciiTheme="majorHAnsi" w:hAnsiTheme="majorHAnsi" w:cstheme="majorHAnsi"/>
          <w:sz w:val="16"/>
          <w:szCs w:val="16"/>
          <w:lang w:val="ro-MD"/>
        </w:rPr>
        <w:t xml:space="preserve">2017); MetForTC – Cercetarea capabilităților de măsurare transabile pentru monitorizarea performanței termocuplurilor (inițiat în </w:t>
      </w:r>
      <w:r>
        <w:rPr>
          <w:rFonts w:asciiTheme="majorHAnsi" w:hAnsiTheme="majorHAnsi" w:cstheme="majorHAnsi"/>
          <w:sz w:val="16"/>
          <w:szCs w:val="16"/>
          <w:lang w:val="ro-MD"/>
        </w:rPr>
        <w:t>a.</w:t>
      </w:r>
      <w:r w:rsidRPr="00E95C2C">
        <w:rPr>
          <w:rFonts w:asciiTheme="majorHAnsi" w:hAnsiTheme="majorHAnsi" w:cstheme="majorHAnsi"/>
          <w:sz w:val="16"/>
          <w:szCs w:val="16"/>
          <w:lang w:val="ro-MD"/>
        </w:rPr>
        <w:t xml:space="preserve">2018); Smart PhoRa – Sprijinirea specializării inteligente și a legăturii cu părțile interesate în fotometrie și radiometrie (înițiat în </w:t>
      </w:r>
      <w:r>
        <w:rPr>
          <w:rFonts w:asciiTheme="majorHAnsi" w:hAnsiTheme="majorHAnsi" w:cstheme="majorHAnsi"/>
          <w:sz w:val="16"/>
          <w:szCs w:val="16"/>
          <w:lang w:val="ro-MD"/>
        </w:rPr>
        <w:t>a.</w:t>
      </w:r>
      <w:r w:rsidRPr="00E95C2C">
        <w:rPr>
          <w:rFonts w:asciiTheme="majorHAnsi" w:hAnsiTheme="majorHAnsi" w:cstheme="majorHAnsi"/>
          <w:sz w:val="16"/>
          <w:szCs w:val="16"/>
          <w:lang w:val="ro-MD"/>
        </w:rPr>
        <w:t xml:space="preserve">2021); CEFTON – Dezvoltarea tonometriei oculare în țările CEFTA (inițiat în </w:t>
      </w:r>
      <w:r>
        <w:rPr>
          <w:rFonts w:asciiTheme="majorHAnsi" w:hAnsiTheme="majorHAnsi" w:cstheme="majorHAnsi"/>
          <w:sz w:val="16"/>
          <w:szCs w:val="16"/>
          <w:lang w:val="ro-MD"/>
        </w:rPr>
        <w:t>a.</w:t>
      </w:r>
      <w:r w:rsidRPr="00E95C2C">
        <w:rPr>
          <w:rFonts w:asciiTheme="majorHAnsi" w:hAnsiTheme="majorHAnsi" w:cstheme="majorHAnsi"/>
          <w:sz w:val="16"/>
          <w:szCs w:val="16"/>
          <w:lang w:val="ro-MD"/>
        </w:rPr>
        <w:t>2021).</w:t>
      </w:r>
    </w:p>
  </w:footnote>
  <w:footnote w:id="60">
    <w:p w14:paraId="242D0AAE" w14:textId="7762F11F" w:rsidR="00F124D2" w:rsidRPr="00E95C2C" w:rsidRDefault="00F124D2" w:rsidP="00CB680F">
      <w:pPr>
        <w:pStyle w:val="FootnoteText"/>
        <w:jc w:val="both"/>
        <w:rPr>
          <w:rFonts w:asciiTheme="majorHAnsi" w:hAnsiTheme="majorHAnsi" w:cstheme="majorHAnsi"/>
          <w:sz w:val="16"/>
          <w:szCs w:val="16"/>
          <w:lang w:val="ro-MD"/>
        </w:rPr>
      </w:pPr>
      <w:r w:rsidRPr="00E95C2C">
        <w:rPr>
          <w:rStyle w:val="FootnoteReference"/>
          <w:rFonts w:asciiTheme="majorHAnsi" w:hAnsiTheme="majorHAnsi" w:cstheme="majorHAnsi"/>
          <w:sz w:val="16"/>
          <w:szCs w:val="16"/>
        </w:rPr>
        <w:footnoteRef/>
      </w:r>
      <w:r w:rsidRPr="00E95C2C">
        <w:rPr>
          <w:rFonts w:asciiTheme="majorHAnsi" w:hAnsiTheme="majorHAnsi" w:cstheme="majorHAnsi"/>
          <w:sz w:val="16"/>
          <w:szCs w:val="16"/>
        </w:rPr>
        <w:t xml:space="preserve"> </w:t>
      </w:r>
      <w:r>
        <w:rPr>
          <w:rFonts w:asciiTheme="majorHAnsi" w:hAnsiTheme="majorHAnsi" w:cstheme="majorHAnsi"/>
          <w:sz w:val="16"/>
          <w:szCs w:val="16"/>
          <w:vertAlign w:val="baseline"/>
        </w:rPr>
        <w:t xml:space="preserve">Hotărârea </w:t>
      </w:r>
      <w:r w:rsidRPr="00E95C2C">
        <w:rPr>
          <w:rFonts w:asciiTheme="majorHAnsi" w:hAnsiTheme="majorHAnsi" w:cstheme="majorHAnsi"/>
          <w:sz w:val="16"/>
          <w:szCs w:val="16"/>
          <w:vertAlign w:val="baseline"/>
        </w:rPr>
        <w:t>Guvern</w:t>
      </w:r>
      <w:r>
        <w:rPr>
          <w:rFonts w:asciiTheme="majorHAnsi" w:hAnsiTheme="majorHAnsi" w:cstheme="majorHAnsi"/>
          <w:sz w:val="16"/>
          <w:szCs w:val="16"/>
          <w:vertAlign w:val="baseline"/>
        </w:rPr>
        <w:t>ului</w:t>
      </w:r>
      <w:r w:rsidRPr="00E95C2C">
        <w:rPr>
          <w:rFonts w:asciiTheme="majorHAnsi" w:hAnsiTheme="majorHAnsi" w:cstheme="majorHAnsi"/>
          <w:sz w:val="16"/>
          <w:szCs w:val="16"/>
          <w:vertAlign w:val="baseline"/>
        </w:rPr>
        <w:t xml:space="preserve"> nr. 534 din 20.07.2012  cu privire la aprobarea Normativelor de plată pentru prestarea serviciilor de cercetări ştiinţifice de către angajaţii organizaţiilor de drept public din sfera ştiinţei şi inovării participanţi la proiectele de cercetare-dezvoltare europene şi internaţionale</w:t>
      </w:r>
      <w:r>
        <w:rPr>
          <w:rFonts w:asciiTheme="majorHAnsi" w:hAnsiTheme="majorHAnsi" w:cstheme="majorHAnsi"/>
          <w:sz w:val="16"/>
          <w:szCs w:val="16"/>
          <w:vertAlign w:val="baseline"/>
        </w:rPr>
        <w:t>, abrogate prin Hotărârea Guvernului nr.984 din 22.12.2020.</w:t>
      </w:r>
    </w:p>
  </w:footnote>
  <w:footnote w:id="61">
    <w:p w14:paraId="007E5069" w14:textId="241B0E27" w:rsidR="00F124D2" w:rsidRPr="00AD5FAB" w:rsidRDefault="00F124D2" w:rsidP="002A7E86">
      <w:pPr>
        <w:pStyle w:val="FootnoteText"/>
        <w:rPr>
          <w:rFonts w:asciiTheme="majorHAnsi" w:hAnsiTheme="majorHAnsi" w:cstheme="majorHAnsi"/>
          <w:sz w:val="16"/>
          <w:szCs w:val="16"/>
        </w:rPr>
      </w:pPr>
      <w:r w:rsidRPr="00E95C2C">
        <w:rPr>
          <w:rStyle w:val="FootnoteReference"/>
          <w:rFonts w:asciiTheme="majorHAnsi" w:hAnsiTheme="majorHAnsi" w:cstheme="majorHAnsi"/>
          <w:sz w:val="16"/>
          <w:szCs w:val="16"/>
        </w:rPr>
        <w:footnoteRef/>
      </w:r>
      <w:r w:rsidRPr="00E95C2C">
        <w:rPr>
          <w:rFonts w:asciiTheme="majorHAnsi" w:hAnsiTheme="majorHAnsi" w:cstheme="majorHAnsi"/>
          <w:sz w:val="16"/>
          <w:szCs w:val="16"/>
        </w:rPr>
        <w:t xml:space="preserve"> </w:t>
      </w:r>
      <w:r>
        <w:rPr>
          <w:rFonts w:asciiTheme="majorHAnsi" w:hAnsiTheme="majorHAnsi" w:cstheme="majorHAnsi"/>
          <w:sz w:val="16"/>
          <w:szCs w:val="16"/>
          <w:vertAlign w:val="baseline"/>
          <w:lang w:val="ro-MD"/>
        </w:rPr>
        <w:t>Art.22 alin</w:t>
      </w:r>
      <w:r w:rsidRPr="00E95C2C">
        <w:rPr>
          <w:rFonts w:asciiTheme="majorHAnsi" w:hAnsiTheme="majorHAnsi" w:cstheme="majorHAnsi"/>
          <w:sz w:val="16"/>
          <w:szCs w:val="16"/>
          <w:vertAlign w:val="baseline"/>
          <w:lang w:val="ro-MD"/>
        </w:rPr>
        <w:t>.</w:t>
      </w:r>
      <w:r>
        <w:rPr>
          <w:rFonts w:asciiTheme="majorHAnsi" w:hAnsiTheme="majorHAnsi" w:cstheme="majorHAnsi"/>
          <w:sz w:val="16"/>
          <w:szCs w:val="16"/>
          <w:vertAlign w:val="baseline"/>
          <w:lang w:val="ro-MD"/>
        </w:rPr>
        <w:t>(</w:t>
      </w:r>
      <w:r w:rsidRPr="00E95C2C">
        <w:rPr>
          <w:rFonts w:asciiTheme="majorHAnsi" w:hAnsiTheme="majorHAnsi" w:cstheme="majorHAnsi"/>
          <w:sz w:val="16"/>
          <w:szCs w:val="16"/>
          <w:vertAlign w:val="baseline"/>
          <w:lang w:val="ro-MD"/>
        </w:rPr>
        <w:t>1</w:t>
      </w:r>
      <w:r>
        <w:rPr>
          <w:rFonts w:asciiTheme="majorHAnsi" w:hAnsiTheme="majorHAnsi" w:cstheme="majorHAnsi"/>
          <w:sz w:val="16"/>
          <w:szCs w:val="16"/>
          <w:vertAlign w:val="baseline"/>
          <w:lang w:val="ro-MD"/>
        </w:rPr>
        <w:t>)</w:t>
      </w:r>
      <w:r w:rsidRPr="00E95C2C">
        <w:rPr>
          <w:rFonts w:asciiTheme="majorHAnsi" w:hAnsiTheme="majorHAnsi" w:cstheme="majorHAnsi"/>
          <w:sz w:val="16"/>
          <w:szCs w:val="16"/>
          <w:vertAlign w:val="baseline"/>
          <w:lang w:val="ro-MD"/>
        </w:rPr>
        <w:t xml:space="preserve"> din Legea integrității nr.82 din 25.05.2017</w:t>
      </w:r>
      <w:r>
        <w:rPr>
          <w:rFonts w:asciiTheme="majorHAnsi" w:hAnsiTheme="majorHAnsi" w:cstheme="majorHAnsi"/>
          <w:sz w:val="16"/>
          <w:szCs w:val="16"/>
          <w:vertAlign w:val="baseline"/>
          <w:lang w:val="ro-MD"/>
        </w:rPr>
        <w:t>.</w:t>
      </w:r>
    </w:p>
  </w:footnote>
  <w:footnote w:id="62">
    <w:p w14:paraId="6D12B363" w14:textId="77777777" w:rsidR="00F124D2" w:rsidRPr="00913348" w:rsidRDefault="00F124D2" w:rsidP="009421A6">
      <w:pPr>
        <w:pStyle w:val="FootnoteText"/>
        <w:rPr>
          <w:rFonts w:asciiTheme="majorHAnsi" w:hAnsiTheme="majorHAnsi" w:cstheme="majorHAnsi"/>
          <w:sz w:val="16"/>
          <w:szCs w:val="16"/>
          <w:vertAlign w:val="baseline"/>
        </w:rPr>
      </w:pPr>
      <w:r w:rsidRPr="00913348">
        <w:rPr>
          <w:rStyle w:val="FootnoteReference"/>
          <w:rFonts w:asciiTheme="majorHAnsi" w:hAnsiTheme="majorHAnsi" w:cstheme="majorHAnsi"/>
          <w:sz w:val="16"/>
          <w:szCs w:val="16"/>
          <w:vertAlign w:val="baseline"/>
        </w:rPr>
        <w:footnoteRef/>
      </w:r>
      <w:r w:rsidRPr="00913348">
        <w:rPr>
          <w:rFonts w:asciiTheme="majorHAnsi" w:hAnsiTheme="majorHAnsi" w:cstheme="majorHAnsi"/>
          <w:sz w:val="16"/>
          <w:szCs w:val="16"/>
          <w:vertAlign w:val="baseline"/>
        </w:rPr>
        <w:t xml:space="preserve"> Legea contabilităţii și raportării financiare nr.287 din 15.12.2017. </w:t>
      </w:r>
    </w:p>
  </w:footnote>
  <w:footnote w:id="63">
    <w:p w14:paraId="0178D59B" w14:textId="167FB93C" w:rsidR="00F124D2" w:rsidRPr="00255E9C" w:rsidRDefault="00F124D2" w:rsidP="009421A6">
      <w:pPr>
        <w:pStyle w:val="FootnoteText"/>
        <w:rPr>
          <w:rFonts w:asciiTheme="majorHAnsi" w:hAnsiTheme="majorHAnsi" w:cstheme="majorHAnsi"/>
          <w:sz w:val="16"/>
          <w:szCs w:val="16"/>
        </w:rPr>
      </w:pPr>
      <w:r w:rsidRPr="00255E9C">
        <w:rPr>
          <w:rStyle w:val="FootnoteReference"/>
          <w:rFonts w:asciiTheme="majorHAnsi" w:hAnsiTheme="majorHAnsi"/>
          <w:sz w:val="16"/>
          <w:szCs w:val="16"/>
        </w:rPr>
        <w:footnoteRef/>
      </w:r>
      <w:r w:rsidRPr="00255E9C">
        <w:rPr>
          <w:rFonts w:asciiTheme="majorHAnsi" w:hAnsiTheme="majorHAnsi"/>
          <w:sz w:val="16"/>
          <w:szCs w:val="16"/>
        </w:rPr>
        <w:t xml:space="preserve"> </w:t>
      </w:r>
      <w:r w:rsidRPr="00913348">
        <w:rPr>
          <w:rFonts w:asciiTheme="majorHAnsi" w:hAnsiTheme="majorHAnsi" w:cstheme="majorHAnsi"/>
          <w:sz w:val="16"/>
          <w:szCs w:val="16"/>
          <w:vertAlign w:val="baseline"/>
        </w:rPr>
        <w:t xml:space="preserve">Pct. 18 din SNC </w:t>
      </w:r>
      <w:r>
        <w:rPr>
          <w:rFonts w:asciiTheme="majorHAnsi" w:hAnsiTheme="majorHAnsi" w:cstheme="majorHAnsi"/>
          <w:sz w:val="16"/>
          <w:szCs w:val="16"/>
          <w:vertAlign w:val="baseline"/>
          <w:lang w:val="ro-RO"/>
        </w:rPr>
        <w:t>„</w:t>
      </w:r>
      <w:r w:rsidRPr="00913348">
        <w:rPr>
          <w:rFonts w:asciiTheme="majorHAnsi" w:hAnsiTheme="majorHAnsi" w:cstheme="majorHAnsi"/>
          <w:sz w:val="16"/>
          <w:szCs w:val="16"/>
          <w:vertAlign w:val="baseline"/>
        </w:rPr>
        <w:t>Imobilizări necorporale și corporale</w:t>
      </w:r>
      <w:r>
        <w:rPr>
          <w:rFonts w:asciiTheme="majorHAnsi" w:hAnsiTheme="majorHAnsi" w:cstheme="majorHAnsi"/>
          <w:sz w:val="16"/>
          <w:szCs w:val="16"/>
          <w:vertAlign w:val="baseline"/>
        </w:rPr>
        <w:t>”</w:t>
      </w:r>
      <w:r w:rsidRPr="00913348">
        <w:rPr>
          <w:rFonts w:asciiTheme="majorHAnsi" w:hAnsiTheme="majorHAnsi" w:cstheme="majorHAnsi"/>
          <w:sz w:val="16"/>
          <w:szCs w:val="16"/>
          <w:vertAlign w:val="baseline"/>
        </w:rPr>
        <w:t>.</w:t>
      </w:r>
    </w:p>
  </w:footnote>
  <w:footnote w:id="64">
    <w:p w14:paraId="13A73982" w14:textId="3CF1F1F6" w:rsidR="00F124D2" w:rsidRPr="00F249D8" w:rsidRDefault="00F124D2" w:rsidP="009421A6">
      <w:pPr>
        <w:pStyle w:val="FootnoteText"/>
        <w:rPr>
          <w:rFonts w:asciiTheme="majorHAnsi" w:hAnsiTheme="majorHAnsi" w:cstheme="majorHAnsi"/>
          <w:color w:val="000000" w:themeColor="text1"/>
          <w:sz w:val="16"/>
          <w:szCs w:val="16"/>
          <w:vertAlign w:val="baseline"/>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F249D8">
        <w:rPr>
          <w:rFonts w:asciiTheme="majorHAnsi" w:hAnsiTheme="majorHAnsi" w:cstheme="majorHAnsi"/>
          <w:color w:val="000000" w:themeColor="text1"/>
          <w:sz w:val="16"/>
          <w:szCs w:val="16"/>
          <w:vertAlign w:val="baseline"/>
        </w:rPr>
        <w:t xml:space="preserve">Art. 42 din Ordinul Ministerului Finanțelor  </w:t>
      </w:r>
      <w:r>
        <w:rPr>
          <w:rFonts w:asciiTheme="majorHAnsi" w:hAnsiTheme="majorHAnsi" w:cstheme="majorHAnsi"/>
          <w:color w:val="000000" w:themeColor="text1"/>
          <w:sz w:val="16"/>
          <w:szCs w:val="16"/>
          <w:vertAlign w:val="baseline"/>
        </w:rPr>
        <w:t xml:space="preserve">nr.60 </w:t>
      </w:r>
      <w:r w:rsidRPr="00F249D8">
        <w:rPr>
          <w:rFonts w:asciiTheme="majorHAnsi" w:hAnsiTheme="majorHAnsi" w:cstheme="majorHAnsi"/>
          <w:color w:val="000000" w:themeColor="text1"/>
          <w:sz w:val="16"/>
          <w:szCs w:val="16"/>
          <w:vertAlign w:val="baseline"/>
        </w:rPr>
        <w:t>din 29.05.2012 cu privire la aprobarea Regulamentului privind inventarierea</w:t>
      </w:r>
      <w:r>
        <w:rPr>
          <w:rFonts w:asciiTheme="majorHAnsi" w:hAnsiTheme="majorHAnsi" w:cstheme="majorHAnsi"/>
          <w:color w:val="000000" w:themeColor="text1"/>
          <w:sz w:val="16"/>
          <w:szCs w:val="16"/>
          <w:vertAlign w:val="baseline"/>
        </w:rPr>
        <w:t>.</w:t>
      </w:r>
    </w:p>
  </w:footnote>
  <w:footnote w:id="65">
    <w:p w14:paraId="1155EB6D" w14:textId="7D144EF9" w:rsidR="00F124D2" w:rsidRPr="00F249D8" w:rsidRDefault="00F124D2" w:rsidP="009421A6">
      <w:pPr>
        <w:pStyle w:val="FootnoteText"/>
        <w:rPr>
          <w:rFonts w:asciiTheme="majorHAnsi" w:hAnsiTheme="majorHAnsi" w:cstheme="majorHAnsi"/>
          <w:color w:val="000000" w:themeColor="text1"/>
          <w:sz w:val="16"/>
          <w:szCs w:val="16"/>
          <w:lang w:val="ro-MD"/>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F249D8">
        <w:rPr>
          <w:rFonts w:asciiTheme="majorHAnsi" w:hAnsiTheme="majorHAnsi" w:cstheme="majorHAnsi"/>
          <w:color w:val="000000" w:themeColor="text1"/>
          <w:sz w:val="16"/>
          <w:szCs w:val="16"/>
          <w:vertAlign w:val="baseline"/>
          <w:lang w:val="ro-MD"/>
        </w:rPr>
        <w:t>A se vedea Anexa nr.4</w:t>
      </w:r>
      <w:r>
        <w:rPr>
          <w:rFonts w:asciiTheme="majorHAnsi" w:hAnsiTheme="majorHAnsi" w:cstheme="majorHAnsi"/>
          <w:color w:val="000000" w:themeColor="text1"/>
          <w:sz w:val="16"/>
          <w:szCs w:val="16"/>
          <w:vertAlign w:val="baseline"/>
          <w:lang w:val="ro-MD"/>
        </w:rPr>
        <w:t>.</w:t>
      </w:r>
      <w:r w:rsidRPr="00F249D8">
        <w:rPr>
          <w:rFonts w:asciiTheme="majorHAnsi" w:hAnsiTheme="majorHAnsi" w:cstheme="majorHAnsi"/>
          <w:color w:val="000000" w:themeColor="text1"/>
          <w:sz w:val="16"/>
          <w:szCs w:val="16"/>
          <w:vertAlign w:val="baseline"/>
          <w:lang w:val="ro-MD"/>
        </w:rPr>
        <w:t xml:space="preserve"> Listele bunuril</w:t>
      </w:r>
      <w:r>
        <w:rPr>
          <w:rFonts w:asciiTheme="majorHAnsi" w:hAnsiTheme="majorHAnsi" w:cstheme="majorHAnsi"/>
          <w:color w:val="000000" w:themeColor="text1"/>
          <w:sz w:val="16"/>
          <w:szCs w:val="16"/>
          <w:vertAlign w:val="baseline"/>
          <w:lang w:val="ro-MD"/>
        </w:rPr>
        <w:t xml:space="preserve">or spre casare ale  MOLDAC. </w:t>
      </w:r>
    </w:p>
  </w:footnote>
  <w:footnote w:id="66">
    <w:p w14:paraId="2835603F" w14:textId="28DC48EE" w:rsidR="00F124D2" w:rsidRPr="00F249D8" w:rsidRDefault="00F124D2" w:rsidP="009421A6">
      <w:pPr>
        <w:pStyle w:val="FootnoteText"/>
        <w:rPr>
          <w:rFonts w:asciiTheme="majorHAnsi" w:hAnsiTheme="majorHAnsi" w:cstheme="majorHAnsi"/>
          <w:color w:val="000000" w:themeColor="text1"/>
          <w:sz w:val="16"/>
          <w:szCs w:val="16"/>
          <w:vertAlign w:val="baseline"/>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F249D8">
        <w:rPr>
          <w:rFonts w:asciiTheme="majorHAnsi" w:hAnsiTheme="majorHAnsi" w:cstheme="majorHAnsi"/>
          <w:color w:val="000000" w:themeColor="text1"/>
          <w:sz w:val="16"/>
          <w:szCs w:val="16"/>
          <w:vertAlign w:val="baseline"/>
        </w:rPr>
        <w:t>Scrisoarea nr.24/446-DE2 din 24.07.2019 către Mini</w:t>
      </w:r>
      <w:r>
        <w:rPr>
          <w:rFonts w:asciiTheme="majorHAnsi" w:hAnsiTheme="majorHAnsi" w:cstheme="majorHAnsi"/>
          <w:color w:val="000000" w:themeColor="text1"/>
          <w:sz w:val="16"/>
          <w:szCs w:val="16"/>
          <w:vertAlign w:val="baseline"/>
        </w:rPr>
        <w:t>s</w:t>
      </w:r>
      <w:r w:rsidRPr="00F249D8">
        <w:rPr>
          <w:rFonts w:asciiTheme="majorHAnsi" w:hAnsiTheme="majorHAnsi" w:cstheme="majorHAnsi"/>
          <w:color w:val="000000" w:themeColor="text1"/>
          <w:sz w:val="16"/>
          <w:szCs w:val="16"/>
          <w:vertAlign w:val="baseline"/>
        </w:rPr>
        <w:t>terul Economiei și Infrastructurii</w:t>
      </w:r>
      <w:r>
        <w:rPr>
          <w:rFonts w:asciiTheme="majorHAnsi" w:hAnsiTheme="majorHAnsi" w:cstheme="majorHAnsi"/>
          <w:color w:val="000000" w:themeColor="text1"/>
          <w:sz w:val="16"/>
          <w:szCs w:val="16"/>
          <w:vertAlign w:val="baseline"/>
        </w:rPr>
        <w:t>.</w:t>
      </w:r>
    </w:p>
  </w:footnote>
  <w:footnote w:id="67">
    <w:p w14:paraId="22BA1017" w14:textId="0F44687D" w:rsidR="00F124D2" w:rsidRPr="004E0E85" w:rsidRDefault="00F124D2" w:rsidP="009421A6">
      <w:pPr>
        <w:pStyle w:val="FootnoteText"/>
        <w:rPr>
          <w:rFonts w:asciiTheme="majorHAnsi" w:hAnsiTheme="majorHAnsi" w:cstheme="majorHAnsi"/>
          <w:sz w:val="22"/>
          <w:szCs w:val="22"/>
          <w:lang w:val="ro-MD"/>
        </w:rPr>
      </w:pPr>
      <w:r w:rsidRPr="004E0E85">
        <w:rPr>
          <w:rStyle w:val="FootnoteReference"/>
          <w:rFonts w:asciiTheme="majorHAnsi" w:hAnsiTheme="majorHAnsi" w:cstheme="majorHAnsi"/>
          <w:sz w:val="22"/>
          <w:szCs w:val="22"/>
        </w:rPr>
        <w:footnoteRef/>
      </w:r>
      <w:r w:rsidRPr="004E0E85">
        <w:rPr>
          <w:rFonts w:asciiTheme="majorHAnsi" w:hAnsiTheme="majorHAnsi" w:cstheme="majorHAnsi"/>
          <w:sz w:val="22"/>
          <w:szCs w:val="22"/>
        </w:rPr>
        <w:t xml:space="preserve"> </w:t>
      </w:r>
      <w:r w:rsidRPr="004E0E85">
        <w:rPr>
          <w:rFonts w:asciiTheme="majorHAnsi" w:hAnsiTheme="majorHAnsi" w:cstheme="majorHAnsi"/>
          <w:sz w:val="22"/>
          <w:szCs w:val="22"/>
          <w:lang w:val="ro-MD"/>
        </w:rPr>
        <w:t>Art. 11 din Legea contabilității și raportării financiare nr.287 din 15.12.2017</w:t>
      </w:r>
      <w:r>
        <w:rPr>
          <w:rFonts w:asciiTheme="majorHAnsi" w:hAnsiTheme="majorHAnsi" w:cstheme="majorHAnsi"/>
          <w:sz w:val="22"/>
          <w:szCs w:val="22"/>
          <w:lang w:val="ro-MD"/>
        </w:rPr>
        <w:t>.</w:t>
      </w:r>
    </w:p>
  </w:footnote>
  <w:footnote w:id="68">
    <w:p w14:paraId="57081137" w14:textId="19004A9A" w:rsidR="00F124D2" w:rsidRPr="0082062B" w:rsidRDefault="00F124D2" w:rsidP="009421A6">
      <w:pPr>
        <w:pStyle w:val="FootnoteText"/>
        <w:jc w:val="both"/>
        <w:rPr>
          <w:rFonts w:asciiTheme="majorHAnsi" w:hAnsiTheme="majorHAnsi" w:cstheme="majorHAnsi"/>
          <w:sz w:val="16"/>
          <w:szCs w:val="16"/>
          <w:lang w:val="ro-MD"/>
        </w:rPr>
      </w:pPr>
      <w:r w:rsidRPr="0082062B">
        <w:rPr>
          <w:rStyle w:val="FootnoteReference"/>
          <w:rFonts w:asciiTheme="majorHAnsi" w:hAnsiTheme="majorHAnsi" w:cstheme="majorHAnsi"/>
          <w:sz w:val="16"/>
          <w:szCs w:val="16"/>
          <w:lang w:val="ro-MD"/>
        </w:rPr>
        <w:footnoteRef/>
      </w:r>
      <w:r w:rsidRPr="0082062B">
        <w:rPr>
          <w:rFonts w:asciiTheme="majorHAnsi" w:hAnsiTheme="majorHAnsi" w:cstheme="majorHAnsi"/>
          <w:sz w:val="16"/>
          <w:szCs w:val="16"/>
          <w:lang w:val="ro-MD"/>
        </w:rPr>
        <w:t xml:space="preserve"> </w:t>
      </w:r>
      <w:r w:rsidRPr="0082062B">
        <w:rPr>
          <w:rFonts w:asciiTheme="majorHAnsi" w:hAnsiTheme="majorHAnsi" w:cstheme="majorHAnsi"/>
          <w:sz w:val="16"/>
          <w:szCs w:val="16"/>
          <w:vertAlign w:val="baseline"/>
          <w:lang w:val="ro-MD"/>
        </w:rPr>
        <w:t>Pct.82 – pct.89</w:t>
      </w:r>
      <w:r w:rsidRPr="0082062B">
        <w:rPr>
          <w:rFonts w:asciiTheme="majorHAnsi" w:hAnsiTheme="majorHAnsi" w:cstheme="majorHAnsi"/>
          <w:sz w:val="16"/>
          <w:szCs w:val="16"/>
          <w:lang w:val="ro-MD"/>
        </w:rPr>
        <w:t xml:space="preserve">  </w:t>
      </w:r>
      <w:r w:rsidRPr="0082062B">
        <w:rPr>
          <w:rFonts w:asciiTheme="majorHAnsi" w:hAnsiTheme="majorHAnsi" w:cstheme="majorHAnsi"/>
          <w:sz w:val="16"/>
          <w:szCs w:val="16"/>
          <w:vertAlign w:val="baseline"/>
          <w:lang w:val="ro-MD"/>
        </w:rPr>
        <w:t xml:space="preserve">din </w:t>
      </w:r>
      <w:r w:rsidRPr="0082062B">
        <w:rPr>
          <w:rFonts w:asciiTheme="majorHAnsi" w:eastAsia="Times New Roman" w:hAnsiTheme="majorHAnsi" w:cstheme="majorHAnsi"/>
          <w:bCs/>
          <w:sz w:val="16"/>
          <w:szCs w:val="16"/>
          <w:vertAlign w:val="baseline"/>
          <w:lang w:val="ro-MD"/>
        </w:rPr>
        <w:t>Standardul</w:t>
      </w:r>
      <w:r w:rsidRPr="0082062B">
        <w:rPr>
          <w:rFonts w:asciiTheme="majorHAnsi" w:hAnsiTheme="majorHAnsi" w:cstheme="majorHAnsi"/>
          <w:sz w:val="16"/>
          <w:szCs w:val="16"/>
          <w:vertAlign w:val="baseline"/>
          <w:lang w:val="ro-MD"/>
        </w:rPr>
        <w:t xml:space="preserve"> Național de Contabilitate „</w:t>
      </w:r>
      <w:r w:rsidRPr="0082062B">
        <w:rPr>
          <w:rFonts w:asciiTheme="majorHAnsi" w:eastAsia="Times New Roman" w:hAnsiTheme="majorHAnsi" w:cstheme="majorHAnsi"/>
          <w:bCs/>
          <w:sz w:val="16"/>
          <w:szCs w:val="16"/>
          <w:vertAlign w:val="baseline"/>
          <w:lang w:val="ro-MD"/>
        </w:rPr>
        <w:t>Capital propriu și datorii”, aprobat prin Ordinul ministrului finanțelor nr.118 din 06.08.2013.</w:t>
      </w:r>
    </w:p>
  </w:footnote>
  <w:footnote w:id="69">
    <w:p w14:paraId="6B895EC8" w14:textId="3B3AB569" w:rsidR="00F124D2" w:rsidRPr="00255E9C" w:rsidRDefault="00F124D2" w:rsidP="009421A6">
      <w:pPr>
        <w:pStyle w:val="FootnoteText"/>
        <w:jc w:val="both"/>
        <w:rPr>
          <w:sz w:val="16"/>
          <w:szCs w:val="16"/>
          <w:vertAlign w:val="baseline"/>
          <w:lang w:val="ro-MD"/>
        </w:rPr>
      </w:pPr>
      <w:r w:rsidRPr="00255E9C">
        <w:rPr>
          <w:rStyle w:val="FootnoteReference"/>
          <w:sz w:val="16"/>
          <w:szCs w:val="16"/>
        </w:rPr>
        <w:footnoteRef/>
      </w:r>
      <w:r w:rsidRPr="00255E9C">
        <w:rPr>
          <w:sz w:val="16"/>
          <w:szCs w:val="16"/>
        </w:rPr>
        <w:t xml:space="preserve"> </w:t>
      </w:r>
      <w:r>
        <w:rPr>
          <w:rFonts w:asciiTheme="majorHAnsi" w:hAnsiTheme="majorHAnsi" w:cstheme="majorHAnsi"/>
          <w:sz w:val="16"/>
          <w:szCs w:val="16"/>
          <w:vertAlign w:val="baseline"/>
        </w:rPr>
        <w:t>P</w:t>
      </w:r>
      <w:r w:rsidRPr="00255E9C">
        <w:rPr>
          <w:rFonts w:asciiTheme="majorHAnsi" w:hAnsiTheme="majorHAnsi" w:cstheme="majorHAnsi"/>
          <w:sz w:val="16"/>
          <w:szCs w:val="16"/>
          <w:vertAlign w:val="baseline"/>
        </w:rPr>
        <w:t>ct. 12 din</w:t>
      </w:r>
      <w:r w:rsidRPr="00255E9C">
        <w:rPr>
          <w:rFonts w:asciiTheme="majorHAnsi" w:hAnsiTheme="majorHAnsi" w:cstheme="majorHAnsi"/>
          <w:sz w:val="16"/>
          <w:szCs w:val="16"/>
        </w:rPr>
        <w:t xml:space="preserve"> </w:t>
      </w:r>
      <w:r w:rsidRPr="00255E9C">
        <w:rPr>
          <w:rFonts w:asciiTheme="majorHAnsi" w:hAnsiTheme="majorHAnsi" w:cstheme="majorHAnsi"/>
          <w:sz w:val="16"/>
          <w:szCs w:val="16"/>
          <w:vertAlign w:val="baseline"/>
        </w:rPr>
        <w:t>HG nr. 743 din 11 iunie 2002 cu privire la salarizarea angajaților din unitățile cu autonomie financiară.</w:t>
      </w:r>
    </w:p>
  </w:footnote>
  <w:footnote w:id="70">
    <w:p w14:paraId="1006011E" w14:textId="16650B28" w:rsidR="00F124D2" w:rsidRPr="00255E9C" w:rsidRDefault="00F124D2" w:rsidP="009421A6">
      <w:pPr>
        <w:autoSpaceDE w:val="0"/>
        <w:autoSpaceDN w:val="0"/>
        <w:adjustRightInd w:val="0"/>
        <w:spacing w:after="0" w:line="276" w:lineRule="auto"/>
        <w:jc w:val="both"/>
        <w:rPr>
          <w:rFonts w:asciiTheme="majorHAnsi" w:hAnsiTheme="majorHAnsi" w:cstheme="majorHAnsi"/>
          <w:sz w:val="16"/>
          <w:szCs w:val="16"/>
          <w:lang w:val="ro-MD"/>
        </w:rPr>
      </w:pPr>
      <w:r w:rsidRPr="00255E9C">
        <w:rPr>
          <w:rStyle w:val="FootnoteReference"/>
          <w:rFonts w:asciiTheme="majorHAnsi" w:hAnsiTheme="majorHAnsi" w:cstheme="majorHAnsi"/>
          <w:sz w:val="16"/>
          <w:szCs w:val="16"/>
          <w:lang w:val="ro-MD"/>
        </w:rPr>
        <w:footnoteRef/>
      </w:r>
      <w:r w:rsidRPr="00255E9C">
        <w:rPr>
          <w:rFonts w:asciiTheme="majorHAnsi" w:hAnsiTheme="majorHAnsi" w:cstheme="majorHAnsi"/>
          <w:sz w:val="16"/>
          <w:szCs w:val="16"/>
          <w:lang w:val="ro-MD"/>
        </w:rPr>
        <w:t xml:space="preserve"> Sporul lunar pentru rezultatele activității curente </w:t>
      </w:r>
      <w:r>
        <w:rPr>
          <w:rFonts w:asciiTheme="majorHAnsi" w:hAnsiTheme="majorHAnsi" w:cstheme="majorHAnsi"/>
          <w:sz w:val="16"/>
          <w:szCs w:val="16"/>
          <w:lang w:val="ro-MD"/>
        </w:rPr>
        <w:t>în</w:t>
      </w:r>
      <w:r w:rsidRPr="00255E9C">
        <w:rPr>
          <w:rFonts w:asciiTheme="majorHAnsi" w:hAnsiTheme="majorHAnsi" w:cstheme="majorHAnsi"/>
          <w:sz w:val="16"/>
          <w:szCs w:val="16"/>
          <w:lang w:val="ro-MD"/>
        </w:rPr>
        <w:t xml:space="preserve"> a</w:t>
      </w:r>
      <w:r>
        <w:rPr>
          <w:rFonts w:asciiTheme="majorHAnsi" w:hAnsiTheme="majorHAnsi" w:cstheme="majorHAnsi"/>
          <w:sz w:val="16"/>
          <w:szCs w:val="16"/>
          <w:lang w:val="ro-MD"/>
        </w:rPr>
        <w:t>nul</w:t>
      </w:r>
      <w:r w:rsidRPr="00255E9C">
        <w:rPr>
          <w:rFonts w:asciiTheme="majorHAnsi" w:hAnsiTheme="majorHAnsi" w:cstheme="majorHAnsi"/>
          <w:sz w:val="16"/>
          <w:szCs w:val="16"/>
          <w:lang w:val="ro-MD"/>
        </w:rPr>
        <w:t xml:space="preserve"> 2020 a însumat 748,8 mii lei, iar </w:t>
      </w:r>
      <w:r>
        <w:rPr>
          <w:rFonts w:asciiTheme="majorHAnsi" w:hAnsiTheme="majorHAnsi" w:cstheme="majorHAnsi"/>
          <w:sz w:val="16"/>
          <w:szCs w:val="16"/>
          <w:lang w:val="ro-MD"/>
        </w:rPr>
        <w:t>în</w:t>
      </w:r>
      <w:r w:rsidRPr="00255E9C">
        <w:rPr>
          <w:rFonts w:asciiTheme="majorHAnsi" w:hAnsiTheme="majorHAnsi" w:cstheme="majorHAnsi"/>
          <w:sz w:val="16"/>
          <w:szCs w:val="16"/>
          <w:lang w:val="ro-MD"/>
        </w:rPr>
        <w:t xml:space="preserve"> anul 2021 – 606,2 mii lei. </w:t>
      </w:r>
    </w:p>
  </w:footnote>
  <w:footnote w:id="71">
    <w:p w14:paraId="51658316" w14:textId="77777777" w:rsidR="00F124D2" w:rsidRPr="00255E9C" w:rsidRDefault="00F124D2" w:rsidP="009421A6">
      <w:pPr>
        <w:spacing w:after="0" w:line="240" w:lineRule="auto"/>
        <w:jc w:val="both"/>
        <w:rPr>
          <w:rFonts w:asciiTheme="majorHAnsi" w:hAnsiTheme="majorHAnsi" w:cstheme="majorHAnsi"/>
          <w:sz w:val="16"/>
          <w:szCs w:val="16"/>
          <w:lang w:val="ro-MD"/>
        </w:rPr>
      </w:pPr>
      <w:r w:rsidRPr="00255E9C">
        <w:rPr>
          <w:rStyle w:val="FootnoteReference"/>
          <w:rFonts w:asciiTheme="majorHAnsi" w:hAnsiTheme="majorHAnsi" w:cstheme="majorHAnsi"/>
          <w:sz w:val="16"/>
          <w:szCs w:val="16"/>
        </w:rPr>
        <w:footnoteRef/>
      </w:r>
      <w:r w:rsidRPr="00255E9C">
        <w:rPr>
          <w:rStyle w:val="FootnoteReference"/>
          <w:rFonts w:asciiTheme="majorHAnsi" w:hAnsiTheme="majorHAnsi" w:cstheme="majorHAnsi"/>
          <w:sz w:val="16"/>
          <w:szCs w:val="16"/>
        </w:rPr>
        <w:t xml:space="preserve"> </w:t>
      </w:r>
      <w:r w:rsidRPr="00255E9C">
        <w:rPr>
          <w:rFonts w:asciiTheme="majorHAnsi" w:hAnsiTheme="majorHAnsi" w:cstheme="majorHAnsi"/>
          <w:sz w:val="16"/>
          <w:szCs w:val="16"/>
        </w:rPr>
        <w:t xml:space="preserve">Anexa nr. 6 la </w:t>
      </w:r>
      <w:r w:rsidRPr="00255E9C">
        <w:rPr>
          <w:rFonts w:asciiTheme="majorHAnsi" w:hAnsiTheme="majorHAnsi" w:cstheme="majorHAnsi"/>
          <w:sz w:val="16"/>
          <w:szCs w:val="16"/>
          <w:lang w:val="ro-MD"/>
        </w:rPr>
        <w:t xml:space="preserve">HG nr. 743/2002 cu privire la salarizarea angajaților din unitățile cu autonomie financiară: „...altor persoane cu funcţii de conducere nu Ii se permite cumularea a două funcții de conducere”. </w:t>
      </w:r>
    </w:p>
  </w:footnote>
  <w:footnote w:id="72">
    <w:p w14:paraId="3E62BCC2" w14:textId="1A67EF06" w:rsidR="00F124D2" w:rsidRPr="00255E9C" w:rsidRDefault="00F124D2" w:rsidP="009421A6">
      <w:pPr>
        <w:pStyle w:val="FootnoteText"/>
        <w:jc w:val="both"/>
        <w:rPr>
          <w:rFonts w:asciiTheme="majorHAnsi" w:hAnsiTheme="majorHAnsi" w:cstheme="majorHAnsi"/>
          <w:sz w:val="16"/>
          <w:szCs w:val="16"/>
          <w:vertAlign w:val="baseline"/>
          <w:lang w:val="ro-MD"/>
        </w:rPr>
      </w:pPr>
      <w:r w:rsidRPr="00255E9C">
        <w:rPr>
          <w:rStyle w:val="FootnoteReference"/>
          <w:rFonts w:asciiTheme="majorHAnsi" w:hAnsiTheme="majorHAnsi" w:cstheme="majorHAnsi"/>
          <w:sz w:val="16"/>
          <w:szCs w:val="16"/>
        </w:rPr>
        <w:footnoteRef/>
      </w:r>
      <w:r w:rsidRPr="00255E9C">
        <w:rPr>
          <w:rFonts w:asciiTheme="majorHAnsi" w:hAnsiTheme="majorHAnsi" w:cstheme="majorHAnsi"/>
          <w:sz w:val="16"/>
          <w:szCs w:val="16"/>
        </w:rPr>
        <w:t xml:space="preserve"> </w:t>
      </w:r>
      <w:r w:rsidRPr="00255E9C">
        <w:rPr>
          <w:rFonts w:asciiTheme="majorHAnsi" w:hAnsiTheme="majorHAnsi" w:cstheme="majorHAnsi"/>
          <w:sz w:val="16"/>
          <w:szCs w:val="16"/>
          <w:vertAlign w:val="baseline"/>
          <w:lang w:val="ro-MD"/>
        </w:rPr>
        <w:t>Art. 156 din Codul muncii al Republicii Moldova nr.154-XV din 28.03.2003.</w:t>
      </w:r>
    </w:p>
  </w:footnote>
  <w:footnote w:id="73">
    <w:p w14:paraId="6CF0292D" w14:textId="617E10FF" w:rsidR="00F124D2" w:rsidRPr="000A754D" w:rsidRDefault="00F124D2" w:rsidP="009421A6">
      <w:pPr>
        <w:pStyle w:val="FootnoteText"/>
        <w:jc w:val="both"/>
        <w:rPr>
          <w:rFonts w:asciiTheme="majorHAnsi" w:hAnsiTheme="majorHAnsi" w:cstheme="majorHAnsi"/>
          <w:sz w:val="16"/>
          <w:szCs w:val="16"/>
          <w:lang w:val="ro-MD"/>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sz w:val="16"/>
          <w:szCs w:val="16"/>
          <w:vertAlign w:val="baseline"/>
          <w:lang w:val="ro-MD"/>
        </w:rPr>
        <w:t xml:space="preserve">Art.1376 (1) al Codului </w:t>
      </w:r>
      <w:r>
        <w:rPr>
          <w:rFonts w:asciiTheme="majorHAnsi" w:hAnsiTheme="majorHAnsi" w:cstheme="majorHAnsi"/>
          <w:sz w:val="16"/>
          <w:szCs w:val="16"/>
          <w:vertAlign w:val="baseline"/>
          <w:lang w:val="ro-MD"/>
        </w:rPr>
        <w:t>c</w:t>
      </w:r>
      <w:r w:rsidRPr="000A754D">
        <w:rPr>
          <w:rFonts w:asciiTheme="majorHAnsi" w:hAnsiTheme="majorHAnsi" w:cstheme="majorHAnsi"/>
          <w:sz w:val="16"/>
          <w:szCs w:val="16"/>
          <w:vertAlign w:val="baseline"/>
          <w:lang w:val="ro-MD"/>
        </w:rPr>
        <w:t xml:space="preserve">ivil </w:t>
      </w:r>
      <w:r>
        <w:rPr>
          <w:rFonts w:asciiTheme="majorHAnsi" w:hAnsiTheme="majorHAnsi" w:cstheme="majorHAnsi"/>
          <w:sz w:val="16"/>
          <w:szCs w:val="16"/>
          <w:vertAlign w:val="baseline"/>
          <w:lang w:val="ro-MD"/>
        </w:rPr>
        <w:t>: „</w:t>
      </w:r>
      <w:r w:rsidRPr="000A754D">
        <w:rPr>
          <w:rFonts w:asciiTheme="majorHAnsi" w:hAnsiTheme="majorHAnsi" w:cstheme="majorHAnsi"/>
          <w:sz w:val="16"/>
          <w:szCs w:val="16"/>
          <w:vertAlign w:val="baseline"/>
          <w:lang w:val="ro-MD"/>
        </w:rPr>
        <w:t>Plata pentru servicii se efectuează după prestarea serviciilor</w:t>
      </w:r>
      <w:r>
        <w:rPr>
          <w:rFonts w:asciiTheme="majorHAnsi" w:hAnsiTheme="majorHAnsi" w:cstheme="majorHAnsi"/>
          <w:sz w:val="16"/>
          <w:szCs w:val="16"/>
          <w:vertAlign w:val="baseline"/>
          <w:lang w:val="ro-MD"/>
        </w:rPr>
        <w:t>”.</w:t>
      </w:r>
    </w:p>
  </w:footnote>
  <w:footnote w:id="74">
    <w:p w14:paraId="5468A738" w14:textId="1E8466BA" w:rsidR="00F124D2" w:rsidRPr="007854F0" w:rsidRDefault="00F124D2" w:rsidP="009421A6">
      <w:pPr>
        <w:pStyle w:val="FootnoteText"/>
        <w:jc w:val="both"/>
        <w:rPr>
          <w:rFonts w:asciiTheme="majorHAnsi" w:hAnsiTheme="majorHAnsi"/>
          <w:sz w:val="24"/>
          <w:szCs w:val="24"/>
          <w:lang w:val="ro-MD"/>
        </w:rPr>
      </w:pPr>
      <w:r w:rsidRPr="000A754D">
        <w:rPr>
          <w:rStyle w:val="FootnoteReference"/>
          <w:rFonts w:asciiTheme="majorHAnsi" w:hAnsiTheme="majorHAnsi" w:cstheme="majorHAnsi"/>
          <w:sz w:val="16"/>
          <w:szCs w:val="16"/>
        </w:rPr>
        <w:footnoteRef/>
      </w:r>
      <w:r w:rsidRPr="000A754D">
        <w:rPr>
          <w:rFonts w:asciiTheme="majorHAnsi" w:hAnsiTheme="majorHAnsi" w:cstheme="majorHAnsi"/>
          <w:sz w:val="16"/>
          <w:szCs w:val="16"/>
        </w:rPr>
        <w:t xml:space="preserve"> </w:t>
      </w:r>
      <w:r w:rsidRPr="000A754D">
        <w:rPr>
          <w:rFonts w:asciiTheme="majorHAnsi" w:hAnsiTheme="majorHAnsi" w:cstheme="majorHAnsi"/>
          <w:sz w:val="16"/>
          <w:szCs w:val="16"/>
          <w:vertAlign w:val="baseline"/>
          <w:lang w:val="ro-MD"/>
        </w:rPr>
        <w:t>Art.1011 alin</w:t>
      </w:r>
      <w:r>
        <w:rPr>
          <w:rFonts w:asciiTheme="majorHAnsi" w:hAnsiTheme="majorHAnsi" w:cstheme="majorHAnsi"/>
          <w:sz w:val="16"/>
          <w:szCs w:val="16"/>
          <w:vertAlign w:val="baseline"/>
          <w:lang w:val="ro-MD"/>
        </w:rPr>
        <w:t>.</w:t>
      </w:r>
      <w:r w:rsidRPr="000A754D">
        <w:rPr>
          <w:rFonts w:asciiTheme="majorHAnsi" w:hAnsiTheme="majorHAnsi" w:cstheme="majorHAnsi"/>
          <w:sz w:val="16"/>
          <w:szCs w:val="16"/>
          <w:vertAlign w:val="baseline"/>
          <w:lang w:val="ro-MD"/>
        </w:rPr>
        <w:t xml:space="preserve"> (2)</w:t>
      </w:r>
      <w:r>
        <w:rPr>
          <w:rFonts w:asciiTheme="majorHAnsi" w:hAnsiTheme="majorHAnsi" w:cstheme="majorHAnsi"/>
          <w:sz w:val="16"/>
          <w:szCs w:val="16"/>
          <w:vertAlign w:val="baseline"/>
          <w:lang w:val="ro-MD"/>
        </w:rPr>
        <w:t>, lit.</w:t>
      </w:r>
      <w:r w:rsidRPr="000A754D">
        <w:rPr>
          <w:rFonts w:asciiTheme="majorHAnsi" w:hAnsiTheme="majorHAnsi" w:cstheme="majorHAnsi"/>
          <w:sz w:val="16"/>
          <w:szCs w:val="16"/>
          <w:vertAlign w:val="baseline"/>
          <w:lang w:val="ro-MD"/>
        </w:rPr>
        <w:t xml:space="preserve"> a) </w:t>
      </w:r>
      <w:r>
        <w:rPr>
          <w:rFonts w:asciiTheme="majorHAnsi" w:hAnsiTheme="majorHAnsi" w:cstheme="majorHAnsi"/>
          <w:sz w:val="16"/>
          <w:szCs w:val="16"/>
          <w:vertAlign w:val="baseline"/>
          <w:lang w:val="ro-MD"/>
        </w:rPr>
        <w:t>din</w:t>
      </w:r>
      <w:r w:rsidRPr="000A754D">
        <w:rPr>
          <w:rFonts w:asciiTheme="majorHAnsi" w:hAnsiTheme="majorHAnsi" w:cstheme="majorHAnsi"/>
          <w:sz w:val="16"/>
          <w:szCs w:val="16"/>
          <w:vertAlign w:val="baseline"/>
          <w:lang w:val="ro-MD"/>
        </w:rPr>
        <w:t xml:space="preserve"> Codul </w:t>
      </w:r>
      <w:r>
        <w:rPr>
          <w:rFonts w:asciiTheme="majorHAnsi" w:hAnsiTheme="majorHAnsi" w:cstheme="majorHAnsi"/>
          <w:sz w:val="16"/>
          <w:szCs w:val="16"/>
          <w:vertAlign w:val="baseline"/>
          <w:lang w:val="ro-MD"/>
        </w:rPr>
        <w:t>c</w:t>
      </w:r>
      <w:r w:rsidRPr="000A754D">
        <w:rPr>
          <w:rFonts w:asciiTheme="majorHAnsi" w:hAnsiTheme="majorHAnsi" w:cstheme="majorHAnsi"/>
          <w:sz w:val="16"/>
          <w:szCs w:val="16"/>
          <w:vertAlign w:val="baseline"/>
          <w:lang w:val="ro-MD"/>
        </w:rPr>
        <w:t>ivil</w:t>
      </w:r>
      <w:r>
        <w:rPr>
          <w:rFonts w:asciiTheme="majorHAnsi" w:hAnsiTheme="majorHAnsi" w:cstheme="majorHAnsi"/>
          <w:sz w:val="16"/>
          <w:szCs w:val="16"/>
          <w:vertAlign w:val="baseline"/>
          <w:lang w:val="ro-MD"/>
        </w:rPr>
        <w:t>.</w:t>
      </w:r>
    </w:p>
  </w:footnote>
  <w:footnote w:id="75">
    <w:p w14:paraId="7C769067" w14:textId="5865A457" w:rsidR="00F124D2" w:rsidRPr="00F249D8" w:rsidRDefault="00F124D2" w:rsidP="00300DC4">
      <w:pPr>
        <w:pStyle w:val="FootnoteText"/>
        <w:rPr>
          <w:rFonts w:asciiTheme="majorHAnsi" w:hAnsiTheme="majorHAnsi" w:cstheme="majorHAnsi"/>
          <w:color w:val="000000" w:themeColor="text1"/>
          <w:sz w:val="16"/>
          <w:szCs w:val="16"/>
          <w:vertAlign w:val="baseline"/>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F249D8">
        <w:rPr>
          <w:rFonts w:asciiTheme="majorHAnsi" w:hAnsiTheme="majorHAnsi" w:cstheme="majorHAnsi"/>
          <w:color w:val="000000" w:themeColor="text1"/>
          <w:sz w:val="16"/>
          <w:szCs w:val="16"/>
          <w:vertAlign w:val="baseline"/>
        </w:rPr>
        <w:t xml:space="preserve">Art. 42 din </w:t>
      </w:r>
      <w:r w:rsidRPr="00B52EC6">
        <w:rPr>
          <w:rFonts w:asciiTheme="majorHAnsi" w:hAnsiTheme="majorHAnsi" w:cstheme="majorHAnsi"/>
          <w:color w:val="000000" w:themeColor="text1"/>
          <w:sz w:val="16"/>
          <w:szCs w:val="16"/>
          <w:vertAlign w:val="baseline"/>
        </w:rPr>
        <w:t xml:space="preserve">Ordinul Ministerului Finanțelor  </w:t>
      </w:r>
      <w:r w:rsidRPr="00255E9C">
        <w:rPr>
          <w:rFonts w:asciiTheme="majorHAnsi" w:hAnsiTheme="majorHAnsi" w:cstheme="majorHAnsi"/>
          <w:color w:val="000000" w:themeColor="text1"/>
          <w:sz w:val="16"/>
          <w:szCs w:val="16"/>
          <w:vertAlign w:val="baseline"/>
        </w:rPr>
        <w:t xml:space="preserve">nr.60 </w:t>
      </w:r>
      <w:r w:rsidRPr="00B52EC6">
        <w:rPr>
          <w:rFonts w:asciiTheme="majorHAnsi" w:hAnsiTheme="majorHAnsi" w:cstheme="majorHAnsi"/>
          <w:color w:val="000000" w:themeColor="text1"/>
          <w:sz w:val="16"/>
          <w:szCs w:val="16"/>
          <w:vertAlign w:val="baseline"/>
        </w:rPr>
        <w:t>din 29.05.2012 cu privire la</w:t>
      </w:r>
      <w:r w:rsidRPr="00F249D8">
        <w:rPr>
          <w:rFonts w:asciiTheme="majorHAnsi" w:hAnsiTheme="majorHAnsi" w:cstheme="majorHAnsi"/>
          <w:color w:val="000000" w:themeColor="text1"/>
          <w:sz w:val="16"/>
          <w:szCs w:val="16"/>
          <w:vertAlign w:val="baseline"/>
        </w:rPr>
        <w:t xml:space="preserve"> aprobarea Regulamentului privind inventarierea</w:t>
      </w:r>
      <w:r>
        <w:rPr>
          <w:rFonts w:asciiTheme="majorHAnsi" w:hAnsiTheme="majorHAnsi" w:cstheme="majorHAnsi"/>
          <w:color w:val="000000" w:themeColor="text1"/>
          <w:sz w:val="16"/>
          <w:szCs w:val="16"/>
          <w:vertAlign w:val="baseline"/>
        </w:rPr>
        <w:t>.</w:t>
      </w:r>
    </w:p>
  </w:footnote>
  <w:footnote w:id="76">
    <w:p w14:paraId="6B8EC157" w14:textId="53FC89C1" w:rsidR="00F124D2" w:rsidRPr="00255E9C" w:rsidRDefault="00F124D2" w:rsidP="00300DC4">
      <w:pPr>
        <w:pStyle w:val="FootnoteText"/>
        <w:jc w:val="both"/>
        <w:rPr>
          <w:sz w:val="16"/>
          <w:szCs w:val="16"/>
        </w:rPr>
      </w:pPr>
      <w:r w:rsidRPr="00255E9C">
        <w:rPr>
          <w:rStyle w:val="FootnoteReference"/>
          <w:sz w:val="16"/>
          <w:szCs w:val="16"/>
        </w:rPr>
        <w:footnoteRef/>
      </w:r>
      <w:r w:rsidRPr="00255E9C">
        <w:rPr>
          <w:sz w:val="16"/>
          <w:szCs w:val="16"/>
        </w:rPr>
        <w:t xml:space="preserve"> </w:t>
      </w:r>
      <w:r w:rsidRPr="00255E9C">
        <w:rPr>
          <w:rFonts w:asciiTheme="majorHAnsi" w:hAnsiTheme="majorHAnsi" w:cstheme="majorHAnsi"/>
          <w:bCs/>
          <w:iCs/>
          <w:color w:val="000000"/>
          <w:sz w:val="16"/>
          <w:szCs w:val="16"/>
          <w:vertAlign w:val="baseline"/>
        </w:rPr>
        <w:t xml:space="preserve">APCSP se conduce de Ordinul </w:t>
      </w:r>
      <w:r>
        <w:rPr>
          <w:rFonts w:asciiTheme="majorHAnsi" w:hAnsiTheme="majorHAnsi" w:cstheme="majorHAnsi"/>
          <w:bCs/>
          <w:iCs/>
          <w:color w:val="000000"/>
          <w:sz w:val="16"/>
          <w:szCs w:val="16"/>
          <w:vertAlign w:val="baseline"/>
        </w:rPr>
        <w:t>m</w:t>
      </w:r>
      <w:r w:rsidRPr="00255E9C">
        <w:rPr>
          <w:rFonts w:asciiTheme="majorHAnsi" w:hAnsiTheme="majorHAnsi" w:cstheme="majorHAnsi"/>
          <w:bCs/>
          <w:iCs/>
          <w:color w:val="000000"/>
          <w:sz w:val="16"/>
          <w:szCs w:val="16"/>
          <w:vertAlign w:val="baseline"/>
        </w:rPr>
        <w:t xml:space="preserve">inistrului </w:t>
      </w:r>
      <w:r>
        <w:rPr>
          <w:rFonts w:asciiTheme="majorHAnsi" w:hAnsiTheme="majorHAnsi" w:cstheme="majorHAnsi"/>
          <w:bCs/>
          <w:iCs/>
          <w:color w:val="000000"/>
          <w:sz w:val="16"/>
          <w:szCs w:val="16"/>
          <w:vertAlign w:val="baseline"/>
        </w:rPr>
        <w:t>f</w:t>
      </w:r>
      <w:r w:rsidRPr="00255E9C">
        <w:rPr>
          <w:rFonts w:asciiTheme="majorHAnsi" w:hAnsiTheme="majorHAnsi" w:cstheme="majorHAnsi"/>
          <w:bCs/>
          <w:iCs/>
          <w:color w:val="000000"/>
          <w:sz w:val="16"/>
          <w:szCs w:val="16"/>
          <w:vertAlign w:val="baseline"/>
        </w:rPr>
        <w:t>inanțelor nr.216 din 28.12.2015 cu privire la aprobarea Planului de conturi contabile în sistemul bugetar și a Normelor metodologice privind evidența contabilă financiară în sistemul bugetar.</w:t>
      </w:r>
    </w:p>
  </w:footnote>
  <w:footnote w:id="77">
    <w:p w14:paraId="5E9C259B" w14:textId="1A3DA1BC" w:rsidR="00F124D2" w:rsidRPr="00255E9C" w:rsidRDefault="00F124D2" w:rsidP="00300DC4">
      <w:pPr>
        <w:pStyle w:val="FootnoteText"/>
        <w:rPr>
          <w:rFonts w:asciiTheme="majorHAnsi" w:hAnsiTheme="majorHAnsi"/>
          <w:sz w:val="16"/>
          <w:szCs w:val="16"/>
          <w:vertAlign w:val="baseline"/>
        </w:rPr>
      </w:pPr>
      <w:r w:rsidRPr="00255E9C">
        <w:rPr>
          <w:rStyle w:val="FootnoteReference"/>
          <w:rFonts w:asciiTheme="majorHAnsi" w:hAnsiTheme="majorHAnsi"/>
          <w:sz w:val="16"/>
          <w:szCs w:val="16"/>
        </w:rPr>
        <w:footnoteRef/>
      </w:r>
      <w:r w:rsidRPr="00255E9C">
        <w:rPr>
          <w:rFonts w:asciiTheme="majorHAnsi" w:hAnsiTheme="majorHAnsi"/>
          <w:sz w:val="16"/>
          <w:szCs w:val="16"/>
        </w:rPr>
        <w:t xml:space="preserve"> </w:t>
      </w:r>
      <w:r w:rsidRPr="00255E9C">
        <w:rPr>
          <w:rFonts w:asciiTheme="majorHAnsi" w:hAnsiTheme="majorHAnsi"/>
          <w:sz w:val="16"/>
          <w:szCs w:val="16"/>
          <w:vertAlign w:val="baseline"/>
        </w:rPr>
        <w:t xml:space="preserve">Art.9 </w:t>
      </w:r>
      <w:r w:rsidRPr="00255E9C">
        <w:rPr>
          <w:rFonts w:asciiTheme="majorHAnsi" w:hAnsiTheme="majorHAnsi"/>
          <w:color w:val="333333"/>
          <w:sz w:val="16"/>
          <w:szCs w:val="16"/>
          <w:shd w:val="clear" w:color="auto" w:fill="FFFFFF"/>
          <w:vertAlign w:val="baseline"/>
        </w:rPr>
        <w:t xml:space="preserve">alin. (11),  art. 112 alin.(2), art. 118 alin. (5), art.122 alin. (5) din Codul </w:t>
      </w:r>
      <w:r>
        <w:rPr>
          <w:rFonts w:asciiTheme="majorHAnsi" w:hAnsiTheme="majorHAnsi"/>
          <w:color w:val="333333"/>
          <w:sz w:val="16"/>
          <w:szCs w:val="16"/>
          <w:shd w:val="clear" w:color="auto" w:fill="FFFFFF"/>
          <w:vertAlign w:val="baseline"/>
        </w:rPr>
        <w:t>m</w:t>
      </w:r>
      <w:r w:rsidRPr="00255E9C">
        <w:rPr>
          <w:rFonts w:asciiTheme="majorHAnsi" w:hAnsiTheme="majorHAnsi"/>
          <w:color w:val="333333"/>
          <w:sz w:val="16"/>
          <w:szCs w:val="16"/>
          <w:shd w:val="clear" w:color="auto" w:fill="FFFFFF"/>
          <w:vertAlign w:val="baseline"/>
        </w:rPr>
        <w:t>uncii al Republicii Moldova</w:t>
      </w:r>
      <w:r>
        <w:rPr>
          <w:rFonts w:asciiTheme="majorHAnsi" w:hAnsiTheme="majorHAnsi"/>
          <w:color w:val="333333"/>
          <w:sz w:val="16"/>
          <w:szCs w:val="16"/>
          <w:shd w:val="clear" w:color="auto" w:fill="FFFFFF"/>
          <w:vertAlign w:val="baseline"/>
        </w:rPr>
        <w:t>.</w:t>
      </w:r>
    </w:p>
  </w:footnote>
  <w:footnote w:id="78">
    <w:p w14:paraId="033623C7" w14:textId="5F6D528C" w:rsidR="00F124D2" w:rsidRPr="008E6CA1" w:rsidRDefault="00F124D2" w:rsidP="00BD1605">
      <w:pPr>
        <w:pBdr>
          <w:top w:val="nil"/>
          <w:left w:val="nil"/>
          <w:bottom w:val="nil"/>
          <w:right w:val="nil"/>
          <w:between w:val="nil"/>
        </w:pBdr>
        <w:spacing w:after="0" w:line="240" w:lineRule="auto"/>
        <w:jc w:val="both"/>
        <w:rPr>
          <w:rFonts w:cs="Calibri"/>
          <w:color w:val="000000"/>
          <w:sz w:val="16"/>
          <w:szCs w:val="16"/>
        </w:rPr>
      </w:pPr>
      <w:r>
        <w:rPr>
          <w:rStyle w:val="FootnoteReference"/>
        </w:rPr>
        <w:footnoteRef/>
      </w:r>
      <w:r>
        <w:rPr>
          <w:rFonts w:cs="Calibri"/>
          <w:color w:val="000000"/>
          <w:sz w:val="16"/>
          <w:szCs w:val="16"/>
        </w:rPr>
        <w:t xml:space="preserve"> </w:t>
      </w:r>
      <w:r w:rsidRPr="008E6CA1">
        <w:rPr>
          <w:rFonts w:cs="Calibri"/>
          <w:color w:val="000000"/>
          <w:sz w:val="16"/>
          <w:szCs w:val="16"/>
        </w:rPr>
        <w:t>Pct.3 și pct.5  din Hotărârea Guvernului privind unele măsuri de reformare a sistemului infrastructurii calității nr.996 din 27.</w:t>
      </w:r>
      <w:r>
        <w:rPr>
          <w:rFonts w:cs="Calibri"/>
          <w:color w:val="000000"/>
          <w:sz w:val="16"/>
          <w:szCs w:val="16"/>
        </w:rPr>
        <w:t xml:space="preserve"> </w:t>
      </w:r>
      <w:r w:rsidRPr="008E6CA1">
        <w:rPr>
          <w:rFonts w:cs="Calibri"/>
          <w:color w:val="000000"/>
          <w:sz w:val="16"/>
          <w:szCs w:val="16"/>
        </w:rPr>
        <w:t>12.2012.</w:t>
      </w:r>
    </w:p>
  </w:footnote>
  <w:footnote w:id="79">
    <w:p w14:paraId="4F0741DD" w14:textId="77777777" w:rsidR="00F124D2" w:rsidRPr="008E6CA1" w:rsidRDefault="00F124D2" w:rsidP="00BD1605">
      <w:pPr>
        <w:pBdr>
          <w:top w:val="nil"/>
          <w:left w:val="nil"/>
          <w:bottom w:val="nil"/>
          <w:right w:val="nil"/>
          <w:between w:val="nil"/>
        </w:pBdr>
        <w:spacing w:after="0" w:line="240" w:lineRule="auto"/>
        <w:jc w:val="both"/>
        <w:rPr>
          <w:rFonts w:cs="Calibri"/>
          <w:color w:val="000000"/>
          <w:sz w:val="16"/>
          <w:szCs w:val="16"/>
        </w:rPr>
      </w:pPr>
      <w:r w:rsidRPr="00255E9C">
        <w:rPr>
          <w:rStyle w:val="FootnoteReference"/>
          <w:sz w:val="16"/>
          <w:szCs w:val="16"/>
        </w:rPr>
        <w:footnoteRef/>
      </w:r>
      <w:r w:rsidRPr="008E6CA1">
        <w:rPr>
          <w:rFonts w:cs="Calibri"/>
          <w:color w:val="000000"/>
          <w:sz w:val="16"/>
          <w:szCs w:val="16"/>
        </w:rPr>
        <w:t xml:space="preserve"> Regulamentul cu privire la modul de transmitere a întreprinderilor, organizaţiilor, instituţiilor de stat, a subdiviziunilor lor, clădirilor, edificiilor, mijloacelor fixe şi altor active, aprobat prin Hotărârea Guvernului nr. 688 din 9 octombrie 1995.</w:t>
      </w:r>
    </w:p>
  </w:footnote>
  <w:footnote w:id="80">
    <w:p w14:paraId="64769A72" w14:textId="3EEBCAE9" w:rsidR="00F124D2" w:rsidRPr="008E6CA1" w:rsidRDefault="00F124D2" w:rsidP="00BD1605">
      <w:pPr>
        <w:pBdr>
          <w:top w:val="nil"/>
          <w:left w:val="nil"/>
          <w:bottom w:val="nil"/>
          <w:right w:val="nil"/>
          <w:between w:val="nil"/>
        </w:pBdr>
        <w:spacing w:after="0" w:line="240" w:lineRule="auto"/>
        <w:rPr>
          <w:rFonts w:ascii="Times New Roman" w:eastAsia="Times New Roman" w:hAnsi="Times New Roman"/>
          <w:color w:val="000000"/>
          <w:sz w:val="16"/>
          <w:szCs w:val="16"/>
        </w:rPr>
      </w:pPr>
      <w:r w:rsidRPr="00255E9C">
        <w:rPr>
          <w:rStyle w:val="FootnoteReference"/>
          <w:sz w:val="16"/>
          <w:szCs w:val="16"/>
        </w:rPr>
        <w:footnoteRef/>
      </w:r>
      <w:r w:rsidRPr="008E6CA1">
        <w:rPr>
          <w:rFonts w:cs="Calibri"/>
          <w:color w:val="000000"/>
          <w:sz w:val="16"/>
          <w:szCs w:val="16"/>
          <w:vertAlign w:val="superscript"/>
        </w:rPr>
        <w:t xml:space="preserve"> </w:t>
      </w:r>
      <w:r w:rsidRPr="008E6CA1">
        <w:rPr>
          <w:rFonts w:cs="Calibri"/>
          <w:color w:val="000000"/>
          <w:sz w:val="16"/>
          <w:szCs w:val="16"/>
        </w:rPr>
        <w:t>Pct. nr.5 din Hotărârea Guvernului privind unele măsuri de reformare a sistemului infrastructurii calității nr.996 din 27.12.2012</w:t>
      </w:r>
      <w:r>
        <w:rPr>
          <w:rFonts w:cs="Calibri"/>
          <w:color w:val="000000"/>
          <w:sz w:val="16"/>
          <w:szCs w:val="16"/>
        </w:rPr>
        <w:t>.</w:t>
      </w:r>
    </w:p>
  </w:footnote>
  <w:footnote w:id="81">
    <w:p w14:paraId="350FEC1E" w14:textId="77777777" w:rsidR="00F124D2" w:rsidRPr="008E6CA1" w:rsidRDefault="00F124D2" w:rsidP="00BD1605">
      <w:pPr>
        <w:pBdr>
          <w:top w:val="nil"/>
          <w:left w:val="nil"/>
          <w:bottom w:val="nil"/>
          <w:right w:val="nil"/>
          <w:between w:val="nil"/>
        </w:pBdr>
        <w:spacing w:after="0" w:line="240" w:lineRule="auto"/>
        <w:rPr>
          <w:rFonts w:cs="Calibri"/>
          <w:color w:val="000000"/>
          <w:sz w:val="16"/>
          <w:szCs w:val="16"/>
        </w:rPr>
      </w:pPr>
      <w:r>
        <w:rPr>
          <w:rStyle w:val="FootnoteReference"/>
        </w:rPr>
        <w:footnoteRef/>
      </w:r>
      <w:r>
        <w:rPr>
          <w:rFonts w:cs="Calibri"/>
          <w:color w:val="000000"/>
          <w:sz w:val="16"/>
          <w:szCs w:val="16"/>
        </w:rPr>
        <w:t xml:space="preserve"> </w:t>
      </w:r>
      <w:r w:rsidRPr="008E6CA1">
        <w:rPr>
          <w:rFonts w:cs="Calibri"/>
          <w:color w:val="000000"/>
          <w:sz w:val="16"/>
          <w:szCs w:val="16"/>
        </w:rPr>
        <w:t xml:space="preserve">Legea contabilităţii și raportării financiare nr.287 din 15.12.2017. </w:t>
      </w:r>
    </w:p>
  </w:footnote>
  <w:footnote w:id="82">
    <w:p w14:paraId="3EE21989" w14:textId="43668937" w:rsidR="00F124D2" w:rsidRPr="00255E9C" w:rsidRDefault="00F124D2" w:rsidP="00BD1605">
      <w:pPr>
        <w:pBdr>
          <w:top w:val="nil"/>
          <w:left w:val="nil"/>
          <w:bottom w:val="nil"/>
          <w:right w:val="nil"/>
          <w:between w:val="nil"/>
        </w:pBdr>
        <w:spacing w:after="0" w:line="240" w:lineRule="auto"/>
        <w:rPr>
          <w:rFonts w:cs="Calibri"/>
          <w:color w:val="000000"/>
          <w:sz w:val="16"/>
          <w:szCs w:val="16"/>
          <w:vertAlign w:val="superscript"/>
        </w:rPr>
      </w:pPr>
      <w:r w:rsidRPr="00255E9C">
        <w:rPr>
          <w:rStyle w:val="FootnoteReference"/>
          <w:sz w:val="16"/>
          <w:szCs w:val="16"/>
        </w:rPr>
        <w:footnoteRef/>
      </w:r>
      <w:r w:rsidRPr="00255E9C">
        <w:rPr>
          <w:rFonts w:ascii="Times New Roman" w:eastAsia="Times New Roman" w:hAnsi="Times New Roman"/>
          <w:color w:val="000000"/>
          <w:sz w:val="16"/>
          <w:szCs w:val="16"/>
          <w:vertAlign w:val="superscript"/>
        </w:rPr>
        <w:t xml:space="preserve"> </w:t>
      </w:r>
      <w:r w:rsidRPr="008E6CA1">
        <w:rPr>
          <w:rFonts w:cs="Calibri"/>
          <w:color w:val="000000"/>
          <w:sz w:val="16"/>
          <w:szCs w:val="16"/>
        </w:rPr>
        <w:t xml:space="preserve">Pct. nr.18 din SNC </w:t>
      </w:r>
      <w:r>
        <w:rPr>
          <w:rFonts w:cs="Calibri"/>
          <w:color w:val="000000"/>
          <w:sz w:val="16"/>
          <w:szCs w:val="16"/>
        </w:rPr>
        <w:t>„</w:t>
      </w:r>
      <w:r w:rsidRPr="008E6CA1">
        <w:rPr>
          <w:rFonts w:cs="Calibri"/>
          <w:color w:val="000000"/>
          <w:sz w:val="16"/>
          <w:szCs w:val="16"/>
        </w:rPr>
        <w:t>Imobilizări necorporale și corporale</w:t>
      </w:r>
      <w:r>
        <w:rPr>
          <w:rFonts w:cs="Calibri"/>
          <w:color w:val="000000"/>
          <w:sz w:val="16"/>
          <w:szCs w:val="16"/>
        </w:rPr>
        <w:t>”.</w:t>
      </w:r>
    </w:p>
  </w:footnote>
  <w:footnote w:id="83">
    <w:p w14:paraId="02FA600F" w14:textId="66FAAC13" w:rsidR="00F124D2" w:rsidRPr="008E6CA1" w:rsidRDefault="00F124D2" w:rsidP="00BD1605">
      <w:pPr>
        <w:pBdr>
          <w:top w:val="nil"/>
          <w:left w:val="nil"/>
          <w:bottom w:val="nil"/>
          <w:right w:val="nil"/>
          <w:between w:val="nil"/>
        </w:pBdr>
        <w:spacing w:after="0" w:line="240" w:lineRule="auto"/>
        <w:jc w:val="both"/>
        <w:rPr>
          <w:rFonts w:cs="Calibri"/>
          <w:color w:val="000000"/>
          <w:sz w:val="16"/>
          <w:szCs w:val="16"/>
          <w:vertAlign w:val="superscript"/>
        </w:rPr>
      </w:pPr>
      <w:r w:rsidRPr="00255E9C">
        <w:rPr>
          <w:rStyle w:val="FootnoteReference"/>
          <w:sz w:val="16"/>
          <w:szCs w:val="16"/>
        </w:rPr>
        <w:footnoteRef/>
      </w:r>
      <w:r w:rsidRPr="008E6CA1">
        <w:rPr>
          <w:rFonts w:cs="Calibri"/>
          <w:color w:val="000000"/>
          <w:sz w:val="16"/>
          <w:szCs w:val="16"/>
          <w:vertAlign w:val="superscript"/>
        </w:rPr>
        <w:t xml:space="preserve"> </w:t>
      </w:r>
      <w:r w:rsidRPr="008E6CA1">
        <w:rPr>
          <w:rFonts w:cs="Calibri"/>
          <w:color w:val="000000"/>
          <w:sz w:val="16"/>
          <w:szCs w:val="16"/>
        </w:rPr>
        <w:t xml:space="preserve">Pct.82 </w:t>
      </w:r>
      <w:r>
        <w:rPr>
          <w:rFonts w:cs="Calibri"/>
          <w:color w:val="000000"/>
          <w:sz w:val="16"/>
          <w:szCs w:val="16"/>
        </w:rPr>
        <w:t>–</w:t>
      </w:r>
      <w:r w:rsidRPr="008E6CA1">
        <w:rPr>
          <w:rFonts w:cs="Calibri"/>
          <w:color w:val="000000"/>
          <w:sz w:val="16"/>
          <w:szCs w:val="16"/>
        </w:rPr>
        <w:t xml:space="preserve"> </w:t>
      </w:r>
      <w:r>
        <w:rPr>
          <w:rFonts w:cs="Calibri"/>
          <w:color w:val="000000"/>
          <w:sz w:val="16"/>
          <w:szCs w:val="16"/>
        </w:rPr>
        <w:t xml:space="preserve">pct. </w:t>
      </w:r>
      <w:r w:rsidRPr="008E6CA1">
        <w:rPr>
          <w:rFonts w:cs="Calibri"/>
          <w:color w:val="000000"/>
          <w:sz w:val="16"/>
          <w:szCs w:val="16"/>
        </w:rPr>
        <w:t>89</w:t>
      </w:r>
      <w:r w:rsidRPr="008E6CA1">
        <w:rPr>
          <w:rFonts w:cs="Calibri"/>
          <w:color w:val="000000"/>
          <w:sz w:val="16"/>
          <w:szCs w:val="16"/>
          <w:vertAlign w:val="superscript"/>
        </w:rPr>
        <w:t xml:space="preserve">  </w:t>
      </w:r>
      <w:r w:rsidRPr="008E6CA1">
        <w:rPr>
          <w:rFonts w:cs="Calibri"/>
          <w:color w:val="000000"/>
          <w:sz w:val="16"/>
          <w:szCs w:val="16"/>
        </w:rPr>
        <w:t xml:space="preserve">din Standardul Național de Contabilitate „Capital propriu și datorii”, aprobat prin Ordinul ministrului </w:t>
      </w:r>
      <w:r>
        <w:rPr>
          <w:rFonts w:cs="Calibri"/>
          <w:color w:val="000000"/>
          <w:sz w:val="16"/>
          <w:szCs w:val="16"/>
        </w:rPr>
        <w:t>f</w:t>
      </w:r>
      <w:r w:rsidRPr="008E6CA1">
        <w:rPr>
          <w:rFonts w:cs="Calibri"/>
          <w:color w:val="000000"/>
          <w:sz w:val="16"/>
          <w:szCs w:val="16"/>
        </w:rPr>
        <w:t>inanțelor nr.118 din 06.08.2013.</w:t>
      </w:r>
    </w:p>
  </w:footnote>
  <w:footnote w:id="84">
    <w:p w14:paraId="5A43D745" w14:textId="77777777" w:rsidR="00F124D2" w:rsidRPr="008E6CA1" w:rsidRDefault="00F124D2" w:rsidP="00BD1605">
      <w:pPr>
        <w:spacing w:after="0"/>
        <w:jc w:val="both"/>
        <w:rPr>
          <w:rFonts w:cs="Calibri"/>
          <w:sz w:val="16"/>
          <w:szCs w:val="16"/>
        </w:rPr>
      </w:pPr>
      <w:r>
        <w:rPr>
          <w:rStyle w:val="FootnoteReference"/>
        </w:rPr>
        <w:footnoteRef/>
      </w:r>
      <w:r>
        <w:rPr>
          <w:rFonts w:cs="Calibri"/>
          <w:sz w:val="16"/>
          <w:szCs w:val="16"/>
        </w:rPr>
        <w:t xml:space="preserve"> </w:t>
      </w:r>
      <w:r w:rsidRPr="008E6CA1">
        <w:rPr>
          <w:rFonts w:cs="Calibri"/>
          <w:sz w:val="16"/>
          <w:szCs w:val="16"/>
        </w:rPr>
        <w:t>Rholiq – Cercetarea trasabilității metodologice în domeniul densității lichidelor prin utilizarea materialelor de referință certificate (inițiat în 2017); DoseTrance – Cercetarea capabilităților dozimetrelor utilizate în domeniul radioprotecției (inițiat în 2017); MetForTC – Cercetarea capabilităților de măsurare transabile pentru monitorizarea performanței termocuplurilor (inițiat în 2018); Smart PhoRa – Sprijinirea specializării inteligente și a legăturii cu părțile interesate în fotometrie și radiometrie (înițiat în 2021); CEFTON – Dezvoltarea tonometriei oculare în țările CEFTA (inițiat în 2021).</w:t>
      </w:r>
    </w:p>
  </w:footnote>
  <w:footnote w:id="85">
    <w:p w14:paraId="77A65845" w14:textId="06240908" w:rsidR="00F124D2" w:rsidRPr="008E6CA1" w:rsidRDefault="00F124D2" w:rsidP="00BD1605">
      <w:pPr>
        <w:pBdr>
          <w:top w:val="nil"/>
          <w:left w:val="nil"/>
          <w:bottom w:val="nil"/>
          <w:right w:val="nil"/>
          <w:between w:val="nil"/>
        </w:pBdr>
        <w:spacing w:after="0" w:line="240" w:lineRule="auto"/>
        <w:jc w:val="both"/>
        <w:rPr>
          <w:rFonts w:cs="Calibri"/>
          <w:color w:val="000000"/>
          <w:sz w:val="16"/>
          <w:szCs w:val="16"/>
          <w:vertAlign w:val="superscript"/>
        </w:rPr>
      </w:pPr>
      <w:r w:rsidRPr="00255E9C">
        <w:rPr>
          <w:rStyle w:val="FootnoteReference"/>
          <w:sz w:val="16"/>
          <w:szCs w:val="16"/>
        </w:rPr>
        <w:footnoteRef/>
      </w:r>
      <w:r w:rsidRPr="008E6CA1">
        <w:rPr>
          <w:rFonts w:cs="Calibri"/>
          <w:color w:val="000000"/>
          <w:sz w:val="16"/>
          <w:szCs w:val="16"/>
          <w:vertAlign w:val="superscript"/>
        </w:rPr>
        <w:t xml:space="preserve"> </w:t>
      </w:r>
      <w:r w:rsidRPr="008E6CA1">
        <w:rPr>
          <w:rFonts w:cs="Calibri"/>
          <w:color w:val="000000"/>
          <w:sz w:val="16"/>
          <w:szCs w:val="16"/>
        </w:rPr>
        <w:t>Hotăr</w:t>
      </w:r>
      <w:r>
        <w:rPr>
          <w:rFonts w:cs="Calibri"/>
          <w:color w:val="000000"/>
          <w:sz w:val="16"/>
          <w:szCs w:val="16"/>
        </w:rPr>
        <w:t>â</w:t>
      </w:r>
      <w:r w:rsidRPr="008E6CA1">
        <w:rPr>
          <w:rFonts w:cs="Calibri"/>
          <w:color w:val="000000"/>
          <w:sz w:val="16"/>
          <w:szCs w:val="16"/>
        </w:rPr>
        <w:t>rea Guvern</w:t>
      </w:r>
      <w:r>
        <w:rPr>
          <w:rFonts w:cs="Calibri"/>
          <w:color w:val="000000"/>
          <w:sz w:val="16"/>
          <w:szCs w:val="16"/>
        </w:rPr>
        <w:t>ului</w:t>
      </w:r>
      <w:r w:rsidRPr="008E6CA1">
        <w:rPr>
          <w:rFonts w:cs="Calibri"/>
          <w:color w:val="000000"/>
          <w:sz w:val="16"/>
          <w:szCs w:val="16"/>
        </w:rPr>
        <w:t xml:space="preserve"> nr. 534 din 20.07.2012  cu privire la aprobarea Normativelor de plată pentru prestarea serviciilor de cercetări ştiinţifice de către angajaţii organizaţiilor de drept public din sfera ştiinţei şi inovării participanţi la proiectele de cercetare-dezvoltare europene şi internaţionale.</w:t>
      </w:r>
    </w:p>
  </w:footnote>
  <w:footnote w:id="86">
    <w:p w14:paraId="4395369E" w14:textId="6BCF11F2" w:rsidR="00F124D2" w:rsidRPr="008E6CA1" w:rsidRDefault="00F124D2" w:rsidP="00BD1605">
      <w:pPr>
        <w:pBdr>
          <w:top w:val="nil"/>
          <w:left w:val="nil"/>
          <w:bottom w:val="nil"/>
          <w:right w:val="nil"/>
          <w:between w:val="nil"/>
        </w:pBdr>
        <w:spacing w:after="0" w:line="240" w:lineRule="auto"/>
        <w:rPr>
          <w:rFonts w:cs="Calibri"/>
          <w:color w:val="000000"/>
          <w:sz w:val="16"/>
          <w:szCs w:val="16"/>
        </w:rPr>
      </w:pPr>
      <w:r w:rsidRPr="00255E9C">
        <w:rPr>
          <w:rStyle w:val="FootnoteReference"/>
          <w:sz w:val="16"/>
          <w:szCs w:val="16"/>
        </w:rPr>
        <w:footnoteRef/>
      </w:r>
      <w:r w:rsidRPr="008E6CA1">
        <w:rPr>
          <w:rFonts w:cs="Calibri"/>
          <w:color w:val="000000"/>
          <w:sz w:val="16"/>
          <w:szCs w:val="16"/>
          <w:vertAlign w:val="superscript"/>
        </w:rPr>
        <w:t xml:space="preserve"> </w:t>
      </w:r>
      <w:r w:rsidRPr="008E6CA1">
        <w:rPr>
          <w:rFonts w:cs="Calibri"/>
          <w:color w:val="000000"/>
          <w:sz w:val="16"/>
          <w:szCs w:val="16"/>
        </w:rPr>
        <w:t>Art.24 din Legea nr.16/2016</w:t>
      </w:r>
      <w:r>
        <w:rPr>
          <w:rFonts w:cs="Calibri"/>
          <w:color w:val="000000"/>
          <w:sz w:val="16"/>
          <w:szCs w:val="16"/>
        </w:rPr>
        <w:t>.</w:t>
      </w:r>
    </w:p>
  </w:footnote>
  <w:footnote w:id="87">
    <w:p w14:paraId="4E5D2670" w14:textId="2F7B380C" w:rsidR="00F124D2" w:rsidRPr="008E6CA1" w:rsidRDefault="00F124D2" w:rsidP="00BD1605">
      <w:pPr>
        <w:pBdr>
          <w:top w:val="nil"/>
          <w:left w:val="nil"/>
          <w:bottom w:val="nil"/>
          <w:right w:val="nil"/>
          <w:between w:val="nil"/>
        </w:pBdr>
        <w:spacing w:after="0" w:line="240" w:lineRule="auto"/>
        <w:rPr>
          <w:rFonts w:cs="Calibri"/>
          <w:color w:val="000000"/>
          <w:sz w:val="16"/>
          <w:szCs w:val="16"/>
        </w:rPr>
      </w:pPr>
      <w:r w:rsidRPr="00255E9C">
        <w:rPr>
          <w:rStyle w:val="FootnoteReference"/>
          <w:sz w:val="16"/>
          <w:szCs w:val="16"/>
        </w:rPr>
        <w:footnoteRef/>
      </w:r>
      <w:r w:rsidRPr="008E6CA1">
        <w:rPr>
          <w:rFonts w:cs="Calibri"/>
          <w:color w:val="000000"/>
          <w:sz w:val="16"/>
          <w:szCs w:val="16"/>
          <w:vertAlign w:val="superscript"/>
        </w:rPr>
        <w:t xml:space="preserve"> </w:t>
      </w:r>
      <w:r>
        <w:rPr>
          <w:rFonts w:cs="Calibri"/>
          <w:color w:val="000000"/>
          <w:sz w:val="16"/>
          <w:szCs w:val="16"/>
        </w:rPr>
        <w:t>P</w:t>
      </w:r>
      <w:r w:rsidRPr="008E6CA1">
        <w:rPr>
          <w:rFonts w:cs="Calibri"/>
          <w:color w:val="000000"/>
          <w:sz w:val="16"/>
          <w:szCs w:val="16"/>
        </w:rPr>
        <w:t>ct.3 din HG nr.1074/2016</w:t>
      </w:r>
      <w:r>
        <w:rPr>
          <w:rFonts w:cs="Calibri"/>
          <w:color w:val="000000"/>
          <w:sz w:val="16"/>
          <w:szCs w:val="16"/>
        </w:rPr>
        <w:t>.</w:t>
      </w:r>
    </w:p>
  </w:footnote>
  <w:footnote w:id="88">
    <w:p w14:paraId="7CD44096" w14:textId="6DECFA05" w:rsidR="00F124D2" w:rsidRPr="003A64B1" w:rsidRDefault="00F124D2" w:rsidP="007A20C9">
      <w:pPr>
        <w:pStyle w:val="FootnoteText"/>
        <w:rPr>
          <w:rFonts w:asciiTheme="majorHAnsi" w:hAnsiTheme="majorHAnsi" w:cstheme="majorHAnsi"/>
          <w:sz w:val="16"/>
          <w:szCs w:val="16"/>
          <w:vertAlign w:val="baseline"/>
        </w:rPr>
      </w:pPr>
      <w:r w:rsidRPr="003A64B1">
        <w:rPr>
          <w:rStyle w:val="FootnoteReference"/>
          <w:rFonts w:asciiTheme="majorHAnsi" w:hAnsiTheme="majorHAnsi" w:cstheme="majorHAnsi"/>
          <w:sz w:val="16"/>
          <w:szCs w:val="16"/>
        </w:rPr>
        <w:footnoteRef/>
      </w:r>
      <w:r w:rsidRPr="003A64B1">
        <w:rPr>
          <w:rFonts w:asciiTheme="majorHAnsi" w:hAnsiTheme="majorHAnsi" w:cstheme="majorHAnsi"/>
          <w:sz w:val="16"/>
          <w:szCs w:val="16"/>
        </w:rPr>
        <w:t xml:space="preserve"> </w:t>
      </w:r>
      <w:r w:rsidRPr="003A64B1">
        <w:rPr>
          <w:rFonts w:asciiTheme="majorHAnsi" w:hAnsiTheme="majorHAnsi" w:cstheme="majorHAnsi"/>
          <w:sz w:val="16"/>
          <w:szCs w:val="16"/>
          <w:vertAlign w:val="baseline"/>
        </w:rPr>
        <w:t>Art.11 alin.</w:t>
      </w:r>
      <w:r>
        <w:rPr>
          <w:rFonts w:asciiTheme="majorHAnsi" w:hAnsiTheme="majorHAnsi" w:cstheme="majorHAnsi"/>
          <w:sz w:val="16"/>
          <w:szCs w:val="16"/>
          <w:vertAlign w:val="baseline"/>
        </w:rPr>
        <w:t>(</w:t>
      </w:r>
      <w:r w:rsidRPr="003A64B1">
        <w:rPr>
          <w:rFonts w:asciiTheme="majorHAnsi" w:hAnsiTheme="majorHAnsi" w:cstheme="majorHAnsi"/>
          <w:sz w:val="16"/>
          <w:szCs w:val="16"/>
          <w:vertAlign w:val="baseline"/>
        </w:rPr>
        <w:t>2</w:t>
      </w:r>
      <w:r>
        <w:rPr>
          <w:rFonts w:asciiTheme="majorHAnsi" w:hAnsiTheme="majorHAnsi" w:cstheme="majorHAnsi"/>
          <w:sz w:val="16"/>
          <w:szCs w:val="16"/>
          <w:vertAlign w:val="baseline"/>
        </w:rPr>
        <w:t>)</w:t>
      </w:r>
      <w:r w:rsidRPr="003A64B1">
        <w:rPr>
          <w:rFonts w:asciiTheme="majorHAnsi" w:hAnsiTheme="majorHAnsi" w:cstheme="majorHAnsi"/>
          <w:sz w:val="16"/>
          <w:szCs w:val="16"/>
          <w:vertAlign w:val="baseline"/>
        </w:rPr>
        <w:t xml:space="preserve"> din Legea contabilității și raportării financiare nr.287 din 15.12.2017</w:t>
      </w:r>
      <w:r>
        <w:rPr>
          <w:rFonts w:asciiTheme="majorHAnsi" w:hAnsiTheme="majorHAnsi" w:cstheme="majorHAnsi"/>
          <w:sz w:val="16"/>
          <w:szCs w:val="16"/>
          <w:vertAlign w:val="baseline"/>
        </w:rPr>
        <w:t>.</w:t>
      </w:r>
    </w:p>
  </w:footnote>
  <w:footnote w:id="89">
    <w:p w14:paraId="75BEAA82" w14:textId="77777777" w:rsidR="00F124D2" w:rsidRPr="003A64B1" w:rsidRDefault="00F124D2" w:rsidP="007A20C9">
      <w:pPr>
        <w:pStyle w:val="FootnoteText"/>
        <w:rPr>
          <w:rFonts w:asciiTheme="majorHAnsi" w:hAnsiTheme="majorHAnsi" w:cstheme="majorHAnsi"/>
          <w:sz w:val="16"/>
          <w:szCs w:val="16"/>
          <w:vertAlign w:val="baseline"/>
          <w:lang w:val="ro-MD"/>
        </w:rPr>
      </w:pPr>
      <w:r w:rsidRPr="003A64B1">
        <w:rPr>
          <w:rStyle w:val="FootnoteReference"/>
          <w:rFonts w:asciiTheme="majorHAnsi" w:hAnsiTheme="majorHAnsi" w:cstheme="majorHAnsi"/>
          <w:sz w:val="16"/>
          <w:szCs w:val="16"/>
          <w:vertAlign w:val="baseline"/>
        </w:rPr>
        <w:footnoteRef/>
      </w:r>
      <w:r w:rsidRPr="003A64B1">
        <w:rPr>
          <w:rFonts w:asciiTheme="majorHAnsi" w:hAnsiTheme="majorHAnsi" w:cstheme="majorHAnsi"/>
          <w:sz w:val="16"/>
          <w:szCs w:val="16"/>
          <w:vertAlign w:val="baseline"/>
        </w:rPr>
        <w:t xml:space="preserve"> </w:t>
      </w:r>
      <w:r w:rsidRPr="003A64B1">
        <w:rPr>
          <w:rFonts w:asciiTheme="majorHAnsi" w:hAnsiTheme="majorHAnsi" w:cstheme="majorHAnsi"/>
          <w:sz w:val="16"/>
          <w:szCs w:val="16"/>
          <w:vertAlign w:val="baseline"/>
          <w:lang w:val="ro-MD"/>
        </w:rPr>
        <w:t>Ordinul Directorului Institutului</w:t>
      </w:r>
      <w:r w:rsidRPr="003A64B1">
        <w:rPr>
          <w:rFonts w:asciiTheme="majorHAnsi" w:hAnsiTheme="majorHAnsi" w:cstheme="majorHAnsi"/>
          <w:sz w:val="16"/>
          <w:szCs w:val="16"/>
          <w:vertAlign w:val="baseline"/>
        </w:rPr>
        <w:t xml:space="preserve">  </w:t>
      </w:r>
      <w:r w:rsidRPr="003A64B1">
        <w:rPr>
          <w:rFonts w:asciiTheme="majorHAnsi" w:hAnsiTheme="majorHAnsi" w:cstheme="majorHAnsi"/>
          <w:sz w:val="16"/>
          <w:szCs w:val="16"/>
          <w:shd w:val="clear" w:color="auto" w:fill="FFFFFF"/>
          <w:vertAlign w:val="baseline"/>
          <w:lang w:val="ro-MD"/>
        </w:rPr>
        <w:t>de Standardizare din Moldova nr.61 din 13.10.2017.</w:t>
      </w:r>
    </w:p>
  </w:footnote>
  <w:footnote w:id="90">
    <w:p w14:paraId="2EA02C59" w14:textId="1FC55511" w:rsidR="00F124D2" w:rsidRPr="003B6E18" w:rsidRDefault="00F124D2" w:rsidP="007A20C9">
      <w:pPr>
        <w:pStyle w:val="FootnoteText"/>
        <w:rPr>
          <w:rFonts w:asciiTheme="majorHAnsi" w:hAnsiTheme="majorHAnsi" w:cstheme="majorHAnsi"/>
          <w:sz w:val="16"/>
          <w:szCs w:val="16"/>
          <w:vertAlign w:val="baseline"/>
        </w:rPr>
      </w:pPr>
      <w:r w:rsidRPr="003A64B1">
        <w:rPr>
          <w:rStyle w:val="FootnoteReference"/>
          <w:rFonts w:asciiTheme="majorHAnsi" w:hAnsiTheme="majorHAnsi" w:cstheme="majorHAnsi"/>
          <w:sz w:val="16"/>
          <w:szCs w:val="16"/>
        </w:rPr>
        <w:footnoteRef/>
      </w:r>
      <w:r w:rsidRPr="003A64B1">
        <w:rPr>
          <w:rFonts w:asciiTheme="majorHAnsi" w:hAnsiTheme="majorHAnsi" w:cstheme="majorHAnsi"/>
          <w:sz w:val="16"/>
          <w:szCs w:val="16"/>
        </w:rPr>
        <w:t xml:space="preserve"> </w:t>
      </w:r>
      <w:r w:rsidRPr="003B6E18">
        <w:rPr>
          <w:rFonts w:asciiTheme="majorHAnsi" w:hAnsiTheme="majorHAnsi" w:cstheme="majorHAnsi"/>
          <w:sz w:val="16"/>
          <w:szCs w:val="16"/>
          <w:vertAlign w:val="baseline"/>
        </w:rPr>
        <w:t xml:space="preserve">Pct.6  din SNC </w:t>
      </w:r>
      <w:r>
        <w:rPr>
          <w:rFonts w:asciiTheme="majorHAnsi" w:hAnsiTheme="majorHAnsi" w:cstheme="majorHAnsi"/>
          <w:sz w:val="16"/>
          <w:szCs w:val="16"/>
          <w:vertAlign w:val="baseline"/>
        </w:rPr>
        <w:t>„</w:t>
      </w:r>
      <w:r w:rsidRPr="003B6E18">
        <w:rPr>
          <w:rFonts w:asciiTheme="majorHAnsi" w:hAnsiTheme="majorHAnsi" w:cstheme="majorHAnsi"/>
          <w:sz w:val="16"/>
          <w:szCs w:val="16"/>
          <w:vertAlign w:val="baseline"/>
        </w:rPr>
        <w:t>Imobilizări neco</w:t>
      </w:r>
      <w:r>
        <w:rPr>
          <w:rFonts w:asciiTheme="majorHAnsi" w:hAnsiTheme="majorHAnsi" w:cstheme="majorHAnsi"/>
          <w:sz w:val="16"/>
          <w:szCs w:val="16"/>
          <w:vertAlign w:val="baseline"/>
        </w:rPr>
        <w:t>rp</w:t>
      </w:r>
      <w:r w:rsidRPr="003B6E18">
        <w:rPr>
          <w:rFonts w:asciiTheme="majorHAnsi" w:hAnsiTheme="majorHAnsi" w:cstheme="majorHAnsi"/>
          <w:sz w:val="16"/>
          <w:szCs w:val="16"/>
          <w:vertAlign w:val="baseline"/>
        </w:rPr>
        <w:t>orale și corporale</w:t>
      </w:r>
      <w:r>
        <w:rPr>
          <w:rFonts w:asciiTheme="majorHAnsi" w:hAnsiTheme="majorHAnsi" w:cstheme="majorHAnsi"/>
          <w:sz w:val="16"/>
          <w:szCs w:val="16"/>
          <w:vertAlign w:val="baseline"/>
        </w:rPr>
        <w:t>”.</w:t>
      </w:r>
    </w:p>
  </w:footnote>
  <w:footnote w:id="91">
    <w:p w14:paraId="51D21431" w14:textId="44B6BEEB" w:rsidR="00F124D2" w:rsidRPr="008E6CA1" w:rsidRDefault="00F124D2" w:rsidP="007A20C9">
      <w:pPr>
        <w:pStyle w:val="FootnoteText"/>
        <w:rPr>
          <w:rFonts w:asciiTheme="majorHAnsi" w:hAnsiTheme="majorHAnsi" w:cstheme="majorHAnsi"/>
          <w:sz w:val="16"/>
          <w:szCs w:val="16"/>
          <w:vertAlign w:val="baseline"/>
          <w:lang w:val="ro-MD"/>
        </w:rPr>
      </w:pPr>
      <w:r w:rsidRPr="00255E9C">
        <w:rPr>
          <w:rStyle w:val="FootnoteReference"/>
          <w:sz w:val="16"/>
          <w:szCs w:val="16"/>
        </w:rPr>
        <w:footnoteRef/>
      </w:r>
      <w:r w:rsidRPr="00255E9C">
        <w:rPr>
          <w:sz w:val="16"/>
          <w:szCs w:val="16"/>
        </w:rPr>
        <w:t xml:space="preserve"> </w:t>
      </w:r>
      <w:r w:rsidRPr="008E6CA1">
        <w:rPr>
          <w:rFonts w:asciiTheme="majorHAnsi" w:hAnsiTheme="majorHAnsi" w:cstheme="majorHAnsi"/>
          <w:sz w:val="16"/>
          <w:szCs w:val="16"/>
          <w:vertAlign w:val="baseline"/>
          <w:lang w:val="ro-MD"/>
        </w:rPr>
        <w:t xml:space="preserve">Pct.8 și pct.33 din Regulamentul privind inventarierea, aprobat prin Ordinul </w:t>
      </w:r>
      <w:r>
        <w:rPr>
          <w:rFonts w:asciiTheme="majorHAnsi" w:hAnsiTheme="majorHAnsi" w:cstheme="majorHAnsi"/>
          <w:sz w:val="16"/>
          <w:szCs w:val="16"/>
          <w:vertAlign w:val="baseline"/>
          <w:lang w:val="ro-MD"/>
        </w:rPr>
        <w:t>M</w:t>
      </w:r>
      <w:r w:rsidRPr="008E6CA1">
        <w:rPr>
          <w:rFonts w:asciiTheme="majorHAnsi" w:hAnsiTheme="majorHAnsi" w:cstheme="majorHAnsi"/>
          <w:sz w:val="16"/>
          <w:szCs w:val="16"/>
          <w:vertAlign w:val="baseline"/>
          <w:lang w:val="ro-MD"/>
        </w:rPr>
        <w:t>inist</w:t>
      </w:r>
      <w:r>
        <w:rPr>
          <w:rFonts w:asciiTheme="majorHAnsi" w:hAnsiTheme="majorHAnsi" w:cstheme="majorHAnsi"/>
          <w:sz w:val="16"/>
          <w:szCs w:val="16"/>
          <w:vertAlign w:val="baseline"/>
          <w:lang w:val="ro-MD"/>
        </w:rPr>
        <w:t>e</w:t>
      </w:r>
      <w:r w:rsidRPr="008E6CA1">
        <w:rPr>
          <w:rFonts w:asciiTheme="majorHAnsi" w:hAnsiTheme="majorHAnsi" w:cstheme="majorHAnsi"/>
          <w:sz w:val="16"/>
          <w:szCs w:val="16"/>
          <w:vertAlign w:val="baseline"/>
          <w:lang w:val="ro-MD"/>
        </w:rPr>
        <w:t xml:space="preserve">rului </w:t>
      </w:r>
      <w:r>
        <w:rPr>
          <w:rFonts w:asciiTheme="majorHAnsi" w:hAnsiTheme="majorHAnsi" w:cstheme="majorHAnsi"/>
          <w:sz w:val="16"/>
          <w:szCs w:val="16"/>
          <w:vertAlign w:val="baseline"/>
          <w:lang w:val="ro-MD"/>
        </w:rPr>
        <w:t>F</w:t>
      </w:r>
      <w:r w:rsidRPr="008E6CA1">
        <w:rPr>
          <w:rFonts w:asciiTheme="majorHAnsi" w:hAnsiTheme="majorHAnsi" w:cstheme="majorHAnsi"/>
          <w:sz w:val="16"/>
          <w:szCs w:val="16"/>
          <w:vertAlign w:val="baseline"/>
          <w:lang w:val="ro-MD"/>
        </w:rPr>
        <w:t>inanțelor nr.60 din 29.05.2012.</w:t>
      </w:r>
    </w:p>
    <w:p w14:paraId="035D8F0B" w14:textId="77777777" w:rsidR="00F124D2" w:rsidRPr="00A75289" w:rsidRDefault="00F124D2" w:rsidP="007A20C9">
      <w:pPr>
        <w:pStyle w:val="FootnoteText"/>
        <w:rPr>
          <w:vertAlign w:val="baseline"/>
          <w:lang w:val="ro-MD"/>
        </w:rPr>
      </w:pPr>
    </w:p>
  </w:footnote>
  <w:footnote w:id="92">
    <w:p w14:paraId="37455A69" w14:textId="77777777" w:rsidR="00F124D2" w:rsidRPr="008E6CA1" w:rsidRDefault="00F124D2" w:rsidP="007A20C9">
      <w:pPr>
        <w:pStyle w:val="FootnoteText"/>
        <w:rPr>
          <w:rFonts w:asciiTheme="majorHAnsi" w:hAnsiTheme="majorHAnsi" w:cstheme="majorHAnsi"/>
          <w:sz w:val="16"/>
          <w:szCs w:val="16"/>
          <w:vertAlign w:val="baseline"/>
        </w:rPr>
      </w:pPr>
      <w:r w:rsidRPr="008E6CA1">
        <w:rPr>
          <w:rStyle w:val="FootnoteReference"/>
          <w:rFonts w:asciiTheme="majorHAnsi" w:hAnsiTheme="majorHAnsi" w:cstheme="majorHAnsi"/>
          <w:sz w:val="16"/>
          <w:szCs w:val="16"/>
          <w:vertAlign w:val="baseline"/>
        </w:rPr>
        <w:footnoteRef/>
      </w:r>
      <w:r w:rsidRPr="008E6CA1">
        <w:rPr>
          <w:rFonts w:asciiTheme="majorHAnsi" w:hAnsiTheme="majorHAnsi" w:cstheme="majorHAnsi"/>
          <w:sz w:val="16"/>
          <w:szCs w:val="16"/>
          <w:vertAlign w:val="baseline"/>
        </w:rPr>
        <w:t xml:space="preserve"> Legea contabilităţii și raportării financiare nr.287 din 15.12.2017. </w:t>
      </w:r>
    </w:p>
  </w:footnote>
  <w:footnote w:id="93">
    <w:p w14:paraId="7AAA3792" w14:textId="406183A7" w:rsidR="00F124D2" w:rsidRPr="00255E9C" w:rsidRDefault="00F124D2" w:rsidP="007A20C9">
      <w:pPr>
        <w:pStyle w:val="FootnoteText"/>
        <w:rPr>
          <w:rFonts w:asciiTheme="majorHAnsi" w:hAnsiTheme="majorHAnsi" w:cstheme="majorHAnsi"/>
          <w:sz w:val="16"/>
          <w:szCs w:val="16"/>
        </w:rPr>
      </w:pPr>
      <w:r w:rsidRPr="00255E9C">
        <w:rPr>
          <w:rStyle w:val="FootnoteReference"/>
          <w:sz w:val="16"/>
          <w:szCs w:val="16"/>
        </w:rPr>
        <w:footnoteRef/>
      </w:r>
      <w:r w:rsidRPr="00255E9C">
        <w:rPr>
          <w:sz w:val="16"/>
          <w:szCs w:val="16"/>
        </w:rPr>
        <w:t xml:space="preserve"> </w:t>
      </w:r>
      <w:r w:rsidRPr="008E6CA1">
        <w:rPr>
          <w:rFonts w:asciiTheme="majorHAnsi" w:hAnsiTheme="majorHAnsi" w:cstheme="majorHAnsi"/>
          <w:sz w:val="16"/>
          <w:szCs w:val="16"/>
          <w:vertAlign w:val="baseline"/>
        </w:rPr>
        <w:t xml:space="preserve">Pct.18 din SNC </w:t>
      </w:r>
      <w:r>
        <w:rPr>
          <w:rFonts w:asciiTheme="majorHAnsi" w:hAnsiTheme="majorHAnsi" w:cstheme="majorHAnsi"/>
          <w:sz w:val="16"/>
          <w:szCs w:val="16"/>
          <w:vertAlign w:val="baseline"/>
        </w:rPr>
        <w:t>„</w:t>
      </w:r>
      <w:r w:rsidRPr="008E6CA1">
        <w:rPr>
          <w:rFonts w:asciiTheme="majorHAnsi" w:hAnsiTheme="majorHAnsi" w:cstheme="majorHAnsi"/>
          <w:sz w:val="16"/>
          <w:szCs w:val="16"/>
          <w:vertAlign w:val="baseline"/>
        </w:rPr>
        <w:t>Imobilizări necorporale și corporale</w:t>
      </w:r>
      <w:r>
        <w:rPr>
          <w:rFonts w:asciiTheme="majorHAnsi" w:hAnsiTheme="majorHAnsi" w:cstheme="majorHAnsi"/>
          <w:sz w:val="16"/>
          <w:szCs w:val="16"/>
          <w:vertAlign w:val="baseline"/>
        </w:rPr>
        <w:t>”.</w:t>
      </w:r>
    </w:p>
  </w:footnote>
  <w:footnote w:id="94">
    <w:p w14:paraId="6F22DC8A" w14:textId="78047E79" w:rsidR="00F124D2" w:rsidRPr="008E6CA1" w:rsidRDefault="00F124D2" w:rsidP="007A20C9">
      <w:pPr>
        <w:pStyle w:val="FootnoteText"/>
        <w:rPr>
          <w:rFonts w:asciiTheme="majorHAnsi" w:hAnsiTheme="majorHAnsi" w:cstheme="majorHAnsi"/>
          <w:color w:val="000000" w:themeColor="text1"/>
          <w:sz w:val="16"/>
          <w:szCs w:val="16"/>
          <w:vertAlign w:val="baseline"/>
        </w:rPr>
      </w:pPr>
      <w:r w:rsidRPr="008E6CA1">
        <w:rPr>
          <w:rStyle w:val="FootnoteReference"/>
          <w:rFonts w:asciiTheme="majorHAnsi" w:hAnsiTheme="majorHAnsi" w:cstheme="majorHAnsi"/>
          <w:color w:val="000000" w:themeColor="text1"/>
          <w:sz w:val="16"/>
          <w:szCs w:val="16"/>
        </w:rPr>
        <w:footnoteRef/>
      </w:r>
      <w:r w:rsidRPr="008E6CA1">
        <w:rPr>
          <w:rFonts w:asciiTheme="majorHAnsi" w:hAnsiTheme="majorHAnsi" w:cstheme="majorHAnsi"/>
          <w:color w:val="000000" w:themeColor="text1"/>
          <w:sz w:val="16"/>
          <w:szCs w:val="16"/>
        </w:rPr>
        <w:t xml:space="preserve"> </w:t>
      </w:r>
      <w:r w:rsidRPr="008E6CA1">
        <w:rPr>
          <w:rFonts w:asciiTheme="majorHAnsi" w:hAnsiTheme="majorHAnsi" w:cstheme="majorHAnsi"/>
          <w:color w:val="000000" w:themeColor="text1"/>
          <w:sz w:val="16"/>
          <w:szCs w:val="16"/>
          <w:vertAlign w:val="baseline"/>
        </w:rPr>
        <w:t xml:space="preserve">Art.42 din Ordinul Ministerului Finanțelor  </w:t>
      </w:r>
      <w:r>
        <w:rPr>
          <w:rFonts w:asciiTheme="majorHAnsi" w:hAnsiTheme="majorHAnsi" w:cstheme="majorHAnsi"/>
          <w:color w:val="000000" w:themeColor="text1"/>
          <w:sz w:val="16"/>
          <w:szCs w:val="16"/>
          <w:vertAlign w:val="baseline"/>
        </w:rPr>
        <w:t xml:space="preserve">nr.60 </w:t>
      </w:r>
      <w:r w:rsidRPr="008E6CA1">
        <w:rPr>
          <w:rFonts w:asciiTheme="majorHAnsi" w:hAnsiTheme="majorHAnsi" w:cstheme="majorHAnsi"/>
          <w:color w:val="000000" w:themeColor="text1"/>
          <w:sz w:val="16"/>
          <w:szCs w:val="16"/>
          <w:vertAlign w:val="baseline"/>
        </w:rPr>
        <w:t>din 29.05.2012 cu privire la aprobarea Regulamentului privind inventarierea</w:t>
      </w:r>
      <w:r>
        <w:rPr>
          <w:rFonts w:asciiTheme="majorHAnsi" w:hAnsiTheme="majorHAnsi" w:cstheme="majorHAnsi"/>
          <w:color w:val="000000" w:themeColor="text1"/>
          <w:sz w:val="16"/>
          <w:szCs w:val="16"/>
          <w:vertAlign w:val="baseline"/>
        </w:rPr>
        <w:t>.</w:t>
      </w:r>
    </w:p>
  </w:footnote>
  <w:footnote w:id="95">
    <w:p w14:paraId="277387C1" w14:textId="0A279C45" w:rsidR="00F124D2" w:rsidRPr="00F249D8" w:rsidRDefault="00F124D2" w:rsidP="007A20C9">
      <w:pPr>
        <w:pStyle w:val="FootnoteText"/>
        <w:rPr>
          <w:rFonts w:asciiTheme="majorHAnsi" w:hAnsiTheme="majorHAnsi" w:cstheme="majorHAnsi"/>
          <w:color w:val="000000" w:themeColor="text1"/>
          <w:sz w:val="16"/>
          <w:szCs w:val="16"/>
          <w:lang w:val="ro-MD"/>
        </w:rPr>
      </w:pPr>
      <w:r w:rsidRPr="00F249D8">
        <w:rPr>
          <w:rStyle w:val="FootnoteReference"/>
          <w:rFonts w:asciiTheme="majorHAnsi" w:hAnsiTheme="majorHAnsi" w:cstheme="majorHAnsi"/>
          <w:color w:val="000000" w:themeColor="text1"/>
          <w:sz w:val="16"/>
          <w:szCs w:val="16"/>
        </w:rPr>
        <w:footnoteRef/>
      </w:r>
      <w:r w:rsidRPr="00F249D8">
        <w:rPr>
          <w:rFonts w:asciiTheme="majorHAnsi" w:hAnsiTheme="majorHAnsi" w:cstheme="majorHAnsi"/>
          <w:color w:val="000000" w:themeColor="text1"/>
          <w:sz w:val="16"/>
          <w:szCs w:val="16"/>
        </w:rPr>
        <w:t xml:space="preserve"> </w:t>
      </w:r>
      <w:r w:rsidRPr="004013B1">
        <w:rPr>
          <w:rFonts w:asciiTheme="majorHAnsi" w:hAnsiTheme="majorHAnsi" w:cstheme="majorHAnsi"/>
          <w:color w:val="000000" w:themeColor="text1"/>
          <w:sz w:val="16"/>
          <w:szCs w:val="16"/>
          <w:vertAlign w:val="baseline"/>
          <w:lang w:val="ro-MD"/>
        </w:rPr>
        <w:t>A se vedea Anexa nr.4</w:t>
      </w:r>
      <w:r>
        <w:rPr>
          <w:rFonts w:asciiTheme="majorHAnsi" w:hAnsiTheme="majorHAnsi" w:cstheme="majorHAnsi"/>
          <w:color w:val="000000" w:themeColor="text1"/>
          <w:sz w:val="16"/>
          <w:szCs w:val="16"/>
          <w:vertAlign w:val="baseline"/>
          <w:lang w:val="ro-MD"/>
        </w:rPr>
        <w:t>.</w:t>
      </w:r>
      <w:r w:rsidRPr="004013B1">
        <w:rPr>
          <w:rFonts w:asciiTheme="majorHAnsi" w:hAnsiTheme="majorHAnsi" w:cstheme="majorHAnsi"/>
          <w:color w:val="000000" w:themeColor="text1"/>
          <w:sz w:val="16"/>
          <w:szCs w:val="16"/>
          <w:vertAlign w:val="baseline"/>
          <w:lang w:val="ro-MD"/>
        </w:rPr>
        <w:t xml:space="preserve"> Listele bunurilor spre casare a</w:t>
      </w:r>
      <w:r>
        <w:rPr>
          <w:rFonts w:asciiTheme="majorHAnsi" w:hAnsiTheme="majorHAnsi" w:cstheme="majorHAnsi"/>
          <w:color w:val="000000" w:themeColor="text1"/>
          <w:sz w:val="16"/>
          <w:szCs w:val="16"/>
          <w:vertAlign w:val="baseline"/>
          <w:lang w:val="ro-MD"/>
        </w:rPr>
        <w:t>le</w:t>
      </w:r>
      <w:r w:rsidRPr="004013B1">
        <w:rPr>
          <w:rFonts w:asciiTheme="majorHAnsi" w:hAnsiTheme="majorHAnsi" w:cstheme="majorHAnsi"/>
          <w:color w:val="000000" w:themeColor="text1"/>
          <w:sz w:val="16"/>
          <w:szCs w:val="16"/>
          <w:vertAlign w:val="baseline"/>
          <w:lang w:val="ro-MD"/>
        </w:rPr>
        <w:t xml:space="preserve">  MOLDAC</w:t>
      </w:r>
      <w:r>
        <w:rPr>
          <w:rFonts w:asciiTheme="majorHAnsi" w:hAnsiTheme="majorHAnsi" w:cstheme="majorHAnsi"/>
          <w:color w:val="000000" w:themeColor="text1"/>
          <w:sz w:val="16"/>
          <w:szCs w:val="16"/>
          <w:vertAlign w:val="baseline"/>
          <w:lang w:val="ro-MD"/>
        </w:rPr>
        <w:t xml:space="preserve">. </w:t>
      </w:r>
    </w:p>
  </w:footnote>
  <w:footnote w:id="96">
    <w:p w14:paraId="162BC711" w14:textId="2123D3DA" w:rsidR="00F124D2" w:rsidRPr="008E6CA1" w:rsidRDefault="00F124D2" w:rsidP="007A20C9">
      <w:pPr>
        <w:pStyle w:val="FootnoteText"/>
        <w:jc w:val="both"/>
        <w:rPr>
          <w:rFonts w:asciiTheme="majorHAnsi" w:hAnsiTheme="majorHAnsi" w:cstheme="majorHAnsi"/>
          <w:sz w:val="16"/>
          <w:szCs w:val="16"/>
          <w:lang w:val="ro-MD"/>
        </w:rPr>
      </w:pPr>
      <w:r w:rsidRPr="008E6CA1">
        <w:rPr>
          <w:rStyle w:val="FootnoteReference"/>
          <w:rFonts w:asciiTheme="majorHAnsi" w:hAnsiTheme="majorHAnsi" w:cstheme="majorHAnsi"/>
          <w:sz w:val="16"/>
          <w:szCs w:val="16"/>
          <w:lang w:val="ro-MD"/>
        </w:rPr>
        <w:footnoteRef/>
      </w:r>
      <w:r w:rsidRPr="008E6CA1">
        <w:rPr>
          <w:rFonts w:asciiTheme="majorHAnsi" w:hAnsiTheme="majorHAnsi" w:cstheme="majorHAnsi"/>
          <w:sz w:val="16"/>
          <w:szCs w:val="16"/>
          <w:lang w:val="ro-MD"/>
        </w:rPr>
        <w:t xml:space="preserve"> </w:t>
      </w:r>
      <w:r w:rsidRPr="008E6CA1">
        <w:rPr>
          <w:rFonts w:asciiTheme="majorHAnsi" w:hAnsiTheme="majorHAnsi" w:cstheme="majorHAnsi"/>
          <w:sz w:val="16"/>
          <w:szCs w:val="16"/>
          <w:vertAlign w:val="baseline"/>
          <w:lang w:val="ro-MD"/>
        </w:rPr>
        <w:t xml:space="preserve">Pct.82 </w:t>
      </w:r>
      <w:r>
        <w:rPr>
          <w:rFonts w:asciiTheme="majorHAnsi" w:hAnsiTheme="majorHAnsi" w:cstheme="majorHAnsi"/>
          <w:sz w:val="16"/>
          <w:szCs w:val="16"/>
          <w:vertAlign w:val="baseline"/>
          <w:lang w:val="ro-MD"/>
        </w:rPr>
        <w:t>–</w:t>
      </w:r>
      <w:r w:rsidRPr="008E6CA1">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pct.</w:t>
      </w:r>
      <w:r w:rsidRPr="008E6CA1">
        <w:rPr>
          <w:rFonts w:asciiTheme="majorHAnsi" w:hAnsiTheme="majorHAnsi" w:cstheme="majorHAnsi"/>
          <w:sz w:val="16"/>
          <w:szCs w:val="16"/>
          <w:vertAlign w:val="baseline"/>
          <w:lang w:val="ro-MD"/>
        </w:rPr>
        <w:t>89</w:t>
      </w:r>
      <w:r w:rsidRPr="008E6CA1">
        <w:rPr>
          <w:rFonts w:asciiTheme="majorHAnsi" w:hAnsiTheme="majorHAnsi" w:cstheme="majorHAnsi"/>
          <w:sz w:val="16"/>
          <w:szCs w:val="16"/>
          <w:lang w:val="ro-MD"/>
        </w:rPr>
        <w:t xml:space="preserve">  </w:t>
      </w:r>
      <w:r w:rsidRPr="008E6CA1">
        <w:rPr>
          <w:rFonts w:asciiTheme="majorHAnsi" w:hAnsiTheme="majorHAnsi" w:cstheme="majorHAnsi"/>
          <w:sz w:val="16"/>
          <w:szCs w:val="16"/>
          <w:vertAlign w:val="baseline"/>
          <w:lang w:val="ro-MD"/>
        </w:rPr>
        <w:t xml:space="preserve">din </w:t>
      </w:r>
      <w:r w:rsidRPr="008E6CA1">
        <w:rPr>
          <w:rFonts w:asciiTheme="majorHAnsi" w:eastAsia="Times New Roman" w:hAnsiTheme="majorHAnsi" w:cstheme="majorHAnsi"/>
          <w:bCs/>
          <w:sz w:val="16"/>
          <w:szCs w:val="16"/>
          <w:vertAlign w:val="baseline"/>
          <w:lang w:val="ro-MD"/>
        </w:rPr>
        <w:t>Standardul</w:t>
      </w:r>
      <w:r w:rsidRPr="008E6CA1">
        <w:rPr>
          <w:rFonts w:asciiTheme="majorHAnsi" w:hAnsiTheme="majorHAnsi" w:cstheme="majorHAnsi"/>
          <w:sz w:val="16"/>
          <w:szCs w:val="16"/>
          <w:vertAlign w:val="baseline"/>
          <w:lang w:val="ro-MD"/>
        </w:rPr>
        <w:t xml:space="preserve"> Național de Contabilitate „</w:t>
      </w:r>
      <w:r w:rsidRPr="008E6CA1">
        <w:rPr>
          <w:rFonts w:asciiTheme="majorHAnsi" w:eastAsia="Times New Roman" w:hAnsiTheme="majorHAnsi" w:cstheme="majorHAnsi"/>
          <w:bCs/>
          <w:sz w:val="16"/>
          <w:szCs w:val="16"/>
          <w:vertAlign w:val="baseline"/>
          <w:lang w:val="ro-MD"/>
        </w:rPr>
        <w:t xml:space="preserve">Capital propriu și datorii”, aprobat prin Ordinul ministrului </w:t>
      </w:r>
      <w:r>
        <w:rPr>
          <w:rFonts w:asciiTheme="majorHAnsi" w:eastAsia="Times New Roman" w:hAnsiTheme="majorHAnsi" w:cstheme="majorHAnsi"/>
          <w:bCs/>
          <w:sz w:val="16"/>
          <w:szCs w:val="16"/>
          <w:vertAlign w:val="baseline"/>
          <w:lang w:val="ro-MD"/>
        </w:rPr>
        <w:t>f</w:t>
      </w:r>
      <w:r w:rsidRPr="008E6CA1">
        <w:rPr>
          <w:rFonts w:asciiTheme="majorHAnsi" w:eastAsia="Times New Roman" w:hAnsiTheme="majorHAnsi" w:cstheme="majorHAnsi"/>
          <w:bCs/>
          <w:sz w:val="16"/>
          <w:szCs w:val="16"/>
          <w:vertAlign w:val="baseline"/>
          <w:lang w:val="ro-MD"/>
        </w:rPr>
        <w:t>inanțelor nr.118 din 06.08.2013.</w:t>
      </w:r>
    </w:p>
  </w:footnote>
  <w:footnote w:id="97">
    <w:p w14:paraId="28808363" w14:textId="77777777" w:rsidR="00F124D2" w:rsidRPr="008E6CA1" w:rsidRDefault="00F124D2" w:rsidP="007A20C9">
      <w:pPr>
        <w:spacing w:after="0" w:line="240" w:lineRule="auto"/>
        <w:jc w:val="both"/>
        <w:rPr>
          <w:rFonts w:asciiTheme="majorHAnsi" w:hAnsiTheme="majorHAnsi" w:cstheme="majorHAnsi"/>
          <w:sz w:val="16"/>
          <w:szCs w:val="16"/>
          <w:lang w:val="ro-MD"/>
        </w:rPr>
      </w:pPr>
      <w:r w:rsidRPr="008E6CA1">
        <w:rPr>
          <w:rStyle w:val="FootnoteReference"/>
          <w:rFonts w:asciiTheme="majorHAnsi" w:hAnsiTheme="majorHAnsi" w:cstheme="majorHAnsi"/>
          <w:sz w:val="16"/>
          <w:szCs w:val="16"/>
        </w:rPr>
        <w:footnoteRef/>
      </w:r>
      <w:r w:rsidRPr="008E6CA1">
        <w:rPr>
          <w:rStyle w:val="FootnoteReference"/>
          <w:rFonts w:asciiTheme="majorHAnsi" w:hAnsiTheme="majorHAnsi" w:cstheme="majorHAnsi"/>
          <w:sz w:val="16"/>
          <w:szCs w:val="16"/>
        </w:rPr>
        <w:t xml:space="preserve"> </w:t>
      </w:r>
      <w:r w:rsidRPr="008E6CA1">
        <w:rPr>
          <w:rFonts w:asciiTheme="majorHAnsi" w:hAnsiTheme="majorHAnsi" w:cstheme="majorHAnsi"/>
          <w:sz w:val="16"/>
          <w:szCs w:val="16"/>
        </w:rPr>
        <w:t xml:space="preserve">Anexa nr. 6 la </w:t>
      </w:r>
      <w:r w:rsidRPr="008E6CA1">
        <w:rPr>
          <w:rFonts w:asciiTheme="majorHAnsi" w:hAnsiTheme="majorHAnsi" w:cstheme="majorHAnsi"/>
          <w:sz w:val="16"/>
          <w:szCs w:val="16"/>
          <w:lang w:val="ro-MD"/>
        </w:rPr>
        <w:t xml:space="preserve">HG nr. 743/2002 cu privire la salarizarea angajaților din unitățile cu autonomie financiară: „...altor persoane cu funcții de conducere nu Ii se permite cumularea a două funcții de conducere”. </w:t>
      </w:r>
    </w:p>
  </w:footnote>
  <w:footnote w:id="98">
    <w:p w14:paraId="653D26E2" w14:textId="2003D50A" w:rsidR="00F124D2" w:rsidRPr="00255E9C" w:rsidRDefault="00F124D2" w:rsidP="007A20C9">
      <w:pPr>
        <w:pStyle w:val="FootnoteText"/>
        <w:jc w:val="both"/>
        <w:rPr>
          <w:rFonts w:asciiTheme="majorHAnsi" w:hAnsiTheme="majorHAnsi" w:cstheme="majorHAnsi"/>
          <w:sz w:val="16"/>
          <w:szCs w:val="16"/>
          <w:vertAlign w:val="baseline"/>
          <w:lang w:val="ro-MD"/>
        </w:rPr>
      </w:pPr>
      <w:r w:rsidRPr="008E6CA1">
        <w:rPr>
          <w:rStyle w:val="FootnoteReference"/>
          <w:rFonts w:asciiTheme="majorHAnsi" w:hAnsiTheme="majorHAnsi" w:cstheme="majorHAnsi"/>
          <w:sz w:val="16"/>
          <w:szCs w:val="16"/>
        </w:rPr>
        <w:footnoteRef/>
      </w:r>
      <w:r w:rsidRPr="008E6CA1">
        <w:rPr>
          <w:rFonts w:asciiTheme="majorHAnsi" w:hAnsiTheme="majorHAnsi" w:cstheme="majorHAnsi"/>
          <w:sz w:val="16"/>
          <w:szCs w:val="16"/>
        </w:rPr>
        <w:t xml:space="preserve"> </w:t>
      </w:r>
      <w:r>
        <w:rPr>
          <w:rFonts w:asciiTheme="majorHAnsi" w:hAnsiTheme="majorHAnsi" w:cstheme="majorHAnsi"/>
          <w:sz w:val="16"/>
          <w:szCs w:val="16"/>
          <w:vertAlign w:val="baseline"/>
          <w:lang w:val="ro-MD"/>
        </w:rPr>
        <w:t>A</w:t>
      </w:r>
      <w:r w:rsidRPr="008E6CA1">
        <w:rPr>
          <w:rFonts w:asciiTheme="majorHAnsi" w:hAnsiTheme="majorHAnsi" w:cstheme="majorHAnsi"/>
          <w:sz w:val="16"/>
          <w:szCs w:val="16"/>
          <w:vertAlign w:val="baseline"/>
          <w:lang w:val="ro-MD"/>
        </w:rPr>
        <w:t xml:space="preserve">rt. 156 din Codul </w:t>
      </w:r>
      <w:r>
        <w:rPr>
          <w:rFonts w:asciiTheme="majorHAnsi" w:hAnsiTheme="majorHAnsi" w:cstheme="majorHAnsi"/>
          <w:sz w:val="16"/>
          <w:szCs w:val="16"/>
          <w:vertAlign w:val="baseline"/>
          <w:lang w:val="ro-MD"/>
        </w:rPr>
        <w:t>m</w:t>
      </w:r>
      <w:r w:rsidRPr="008E6CA1">
        <w:rPr>
          <w:rFonts w:asciiTheme="majorHAnsi" w:hAnsiTheme="majorHAnsi" w:cstheme="majorHAnsi"/>
          <w:sz w:val="16"/>
          <w:szCs w:val="16"/>
          <w:vertAlign w:val="baseline"/>
          <w:lang w:val="ro-MD"/>
        </w:rPr>
        <w:t>uncii al Republicii Moldova nr.154-XV din 28.03.2003.</w:t>
      </w:r>
    </w:p>
  </w:footnote>
  <w:footnote w:id="99">
    <w:p w14:paraId="76099599" w14:textId="4E10AEEF" w:rsidR="00F124D2" w:rsidRPr="004013B1" w:rsidRDefault="00F124D2" w:rsidP="007A20C9">
      <w:pPr>
        <w:pStyle w:val="FootnoteText"/>
        <w:jc w:val="both"/>
        <w:rPr>
          <w:rFonts w:asciiTheme="majorHAnsi" w:hAnsiTheme="majorHAnsi" w:cstheme="majorHAnsi"/>
          <w:color w:val="333333"/>
          <w:sz w:val="16"/>
          <w:szCs w:val="16"/>
          <w:shd w:val="clear" w:color="auto" w:fill="FFFFFF"/>
          <w:vertAlign w:val="baseline"/>
          <w:lang w:val="ro-MD"/>
        </w:rPr>
      </w:pPr>
      <w:r w:rsidRPr="00255E9C">
        <w:rPr>
          <w:rStyle w:val="FootnoteReference"/>
          <w:sz w:val="16"/>
          <w:szCs w:val="16"/>
        </w:rPr>
        <w:footnoteRef/>
      </w:r>
      <w:r w:rsidRPr="00255E9C">
        <w:rPr>
          <w:sz w:val="16"/>
          <w:szCs w:val="16"/>
        </w:rPr>
        <w:t xml:space="preserve"> </w:t>
      </w:r>
      <w:r w:rsidRPr="008E6CA1">
        <w:rPr>
          <w:rFonts w:asciiTheme="majorHAnsi" w:hAnsiTheme="majorHAnsi" w:cstheme="majorHAnsi"/>
          <w:sz w:val="16"/>
          <w:szCs w:val="16"/>
          <w:vertAlign w:val="baseline"/>
        </w:rPr>
        <w:t>Pct. 7</w:t>
      </w:r>
      <w:r>
        <w:rPr>
          <w:rFonts w:asciiTheme="majorHAnsi" w:hAnsiTheme="majorHAnsi" w:cstheme="majorHAnsi"/>
          <w:sz w:val="16"/>
          <w:szCs w:val="16"/>
          <w:vertAlign w:val="baseline"/>
        </w:rPr>
        <w:t>.</w:t>
      </w:r>
      <w:r w:rsidRPr="008E6CA1">
        <w:rPr>
          <w:rFonts w:asciiTheme="majorHAnsi" w:hAnsiTheme="majorHAnsi" w:cstheme="majorHAnsi"/>
          <w:sz w:val="16"/>
          <w:szCs w:val="16"/>
          <w:vertAlign w:val="baseline"/>
        </w:rPr>
        <w:t xml:space="preserve"> </w:t>
      </w:r>
      <w:r>
        <w:rPr>
          <w:rFonts w:asciiTheme="majorHAnsi" w:hAnsiTheme="majorHAnsi" w:cstheme="majorHAnsi"/>
          <w:sz w:val="16"/>
          <w:szCs w:val="16"/>
          <w:vertAlign w:val="baseline"/>
          <w:lang w:val="ro-MD"/>
        </w:rPr>
        <w:t>„</w:t>
      </w:r>
      <w:r w:rsidRPr="008E6CA1">
        <w:rPr>
          <w:rFonts w:asciiTheme="majorHAnsi" w:hAnsiTheme="majorHAnsi" w:cstheme="majorHAnsi"/>
          <w:sz w:val="16"/>
          <w:szCs w:val="16"/>
          <w:lang w:val="ro-MD"/>
        </w:rPr>
        <w:t xml:space="preserve"> </w:t>
      </w:r>
      <w:r w:rsidRPr="008E6CA1">
        <w:rPr>
          <w:rFonts w:asciiTheme="majorHAnsi" w:hAnsiTheme="majorHAnsi" w:cstheme="majorHAnsi"/>
          <w:color w:val="333333"/>
          <w:sz w:val="16"/>
          <w:szCs w:val="16"/>
          <w:shd w:val="clear" w:color="auto" w:fill="FFFFFF"/>
          <w:vertAlign w:val="baseline"/>
          <w:lang w:val="ro-MD"/>
        </w:rPr>
        <w:t>Achiziţiile publice de valoare mică se realizează de către autoritatea contractantă în baza planurilor</w:t>
      </w:r>
      <w:r w:rsidRPr="004013B1">
        <w:rPr>
          <w:rFonts w:asciiTheme="majorHAnsi" w:hAnsiTheme="majorHAnsi" w:cstheme="majorHAnsi"/>
          <w:color w:val="333333"/>
          <w:sz w:val="16"/>
          <w:szCs w:val="16"/>
          <w:shd w:val="clear" w:color="auto" w:fill="FFFFFF"/>
          <w:vertAlign w:val="baseline"/>
          <w:lang w:val="ro-MD"/>
        </w:rPr>
        <w:t xml:space="preserve"> anuale de efectuare a achiziţiilor publice sau din motive de urgenţă, ca urmare a apariţiei unor necesităţi neplanificate sau evenimente imprevizibile. Motivele de urgenţă vor fi stabilite de grupul de lucru printr-un proces-verbal</w:t>
      </w:r>
      <w:r w:rsidRPr="004013B1">
        <w:rPr>
          <w:rFonts w:asciiTheme="majorHAnsi" w:hAnsiTheme="majorHAnsi" w:cstheme="majorHAnsi"/>
          <w:color w:val="333333"/>
          <w:sz w:val="16"/>
          <w:szCs w:val="16"/>
          <w:shd w:val="clear" w:color="auto" w:fill="FFFFFF"/>
          <w:lang w:val="ro-MD"/>
        </w:rPr>
        <w:t>.</w:t>
      </w:r>
      <w:r w:rsidRPr="004013B1">
        <w:rPr>
          <w:rFonts w:asciiTheme="majorHAnsi" w:hAnsiTheme="majorHAnsi" w:cstheme="majorHAnsi"/>
          <w:color w:val="333333"/>
          <w:sz w:val="16"/>
          <w:szCs w:val="16"/>
          <w:shd w:val="clear" w:color="auto" w:fill="FFFFFF"/>
          <w:vertAlign w:val="baseline"/>
          <w:lang w:val="ro-MD"/>
        </w:rPr>
        <w:t xml:space="preserve">. </w:t>
      </w:r>
    </w:p>
    <w:p w14:paraId="68BD0531" w14:textId="500228D0" w:rsidR="00F124D2" w:rsidRPr="004013B1" w:rsidRDefault="00F124D2" w:rsidP="007A20C9">
      <w:pPr>
        <w:pStyle w:val="FootnoteText"/>
        <w:jc w:val="both"/>
        <w:rPr>
          <w:sz w:val="16"/>
          <w:szCs w:val="16"/>
          <w:lang w:val="ro-MD"/>
        </w:rPr>
      </w:pPr>
      <w:r w:rsidRPr="004013B1">
        <w:rPr>
          <w:rFonts w:asciiTheme="majorHAnsi" w:hAnsiTheme="majorHAnsi" w:cstheme="majorHAnsi"/>
          <w:sz w:val="16"/>
          <w:szCs w:val="16"/>
          <w:vertAlign w:val="baseline"/>
          <w:lang w:val="ro-MD"/>
        </w:rPr>
        <w:t xml:space="preserve">Pct. </w:t>
      </w:r>
      <w:r w:rsidRPr="004013B1">
        <w:rPr>
          <w:rFonts w:asciiTheme="majorHAnsi" w:hAnsiTheme="majorHAnsi" w:cstheme="majorHAnsi"/>
          <w:color w:val="333333"/>
          <w:sz w:val="16"/>
          <w:szCs w:val="16"/>
          <w:shd w:val="clear" w:color="auto" w:fill="FFFFFF"/>
          <w:vertAlign w:val="baseline"/>
          <w:lang w:val="ro-MD"/>
        </w:rPr>
        <w:t>15</w:t>
      </w:r>
      <w:r>
        <w:rPr>
          <w:rFonts w:asciiTheme="majorHAnsi" w:hAnsiTheme="majorHAnsi" w:cstheme="majorHAnsi"/>
          <w:color w:val="333333"/>
          <w:sz w:val="16"/>
          <w:szCs w:val="16"/>
          <w:shd w:val="clear" w:color="auto" w:fill="FFFFFF"/>
          <w:vertAlign w:val="baseline"/>
          <w:lang w:val="ro-MD"/>
        </w:rPr>
        <w:t>.</w:t>
      </w:r>
      <w:r w:rsidRPr="004013B1">
        <w:rPr>
          <w:rFonts w:asciiTheme="majorHAnsi" w:hAnsiTheme="majorHAnsi" w:cstheme="majorHAnsi"/>
          <w:color w:val="333333"/>
          <w:sz w:val="16"/>
          <w:szCs w:val="16"/>
          <w:shd w:val="clear" w:color="auto" w:fill="FFFFFF"/>
          <w:vertAlign w:val="baseline"/>
          <w:lang w:val="ro-MD"/>
        </w:rPr>
        <w:t xml:space="preserve"> Contractul de achiziţie publică de valoare mică se încheie pentru întreaga sumă atribuită acestui contract pe an, conform prevederilor Regulamentului cu privire la achizițiile publice de valoare mica, aprobat prin HG </w:t>
      </w:r>
      <w:r>
        <w:rPr>
          <w:rFonts w:asciiTheme="majorHAnsi" w:hAnsiTheme="majorHAnsi" w:cstheme="majorHAnsi"/>
          <w:color w:val="333333"/>
          <w:sz w:val="16"/>
          <w:szCs w:val="16"/>
          <w:shd w:val="clear" w:color="auto" w:fill="FFFFFF"/>
          <w:vertAlign w:val="baseline"/>
          <w:lang w:val="ro-MD"/>
        </w:rPr>
        <w:t>nr.</w:t>
      </w:r>
      <w:r w:rsidRPr="004013B1">
        <w:rPr>
          <w:rFonts w:asciiTheme="majorHAnsi" w:hAnsiTheme="majorHAnsi" w:cstheme="majorHAnsi"/>
          <w:color w:val="333333"/>
          <w:sz w:val="16"/>
          <w:szCs w:val="16"/>
          <w:shd w:val="clear" w:color="auto" w:fill="FFFFFF"/>
          <w:vertAlign w:val="baseline"/>
          <w:lang w:val="ro-MD"/>
        </w:rPr>
        <w:t xml:space="preserve">665 din 27.05.2016; </w:t>
      </w:r>
      <w:r>
        <w:rPr>
          <w:rFonts w:asciiTheme="majorHAnsi" w:hAnsiTheme="majorHAnsi" w:cstheme="majorHAnsi"/>
          <w:sz w:val="16"/>
          <w:szCs w:val="16"/>
          <w:vertAlign w:val="baseline"/>
          <w:lang w:val="ro-MD"/>
        </w:rPr>
        <w:t>a</w:t>
      </w:r>
      <w:r w:rsidRPr="004013B1">
        <w:rPr>
          <w:rFonts w:asciiTheme="majorHAnsi" w:hAnsiTheme="majorHAnsi" w:cstheme="majorHAnsi"/>
          <w:sz w:val="16"/>
          <w:szCs w:val="16"/>
          <w:vertAlign w:val="baseline"/>
          <w:lang w:val="ro-MD"/>
        </w:rPr>
        <w:t xml:space="preserve">rt. 1379 – </w:t>
      </w:r>
      <w:r>
        <w:rPr>
          <w:rFonts w:asciiTheme="majorHAnsi" w:hAnsiTheme="majorHAnsi" w:cstheme="majorHAnsi"/>
          <w:sz w:val="16"/>
          <w:szCs w:val="16"/>
          <w:vertAlign w:val="baseline"/>
          <w:lang w:val="ro-MD"/>
        </w:rPr>
        <w:t>art.</w:t>
      </w:r>
      <w:r w:rsidRPr="004013B1">
        <w:rPr>
          <w:rFonts w:asciiTheme="majorHAnsi" w:hAnsiTheme="majorHAnsi" w:cstheme="majorHAnsi"/>
          <w:sz w:val="16"/>
          <w:szCs w:val="16"/>
          <w:vertAlign w:val="baseline"/>
          <w:lang w:val="ro-MD"/>
        </w:rPr>
        <w:t xml:space="preserve">1383 din </w:t>
      </w:r>
      <w:r>
        <w:rPr>
          <w:rFonts w:asciiTheme="majorHAnsi" w:hAnsiTheme="majorHAnsi" w:cstheme="majorHAnsi"/>
          <w:sz w:val="16"/>
          <w:szCs w:val="16"/>
          <w:vertAlign w:val="baseline"/>
          <w:lang w:val="ro-MD"/>
        </w:rPr>
        <w:t xml:space="preserve">Codul civil al Republicii </w:t>
      </w:r>
      <w:r w:rsidRPr="004013B1">
        <w:rPr>
          <w:rFonts w:asciiTheme="majorHAnsi" w:hAnsiTheme="majorHAnsi" w:cstheme="majorHAnsi"/>
          <w:sz w:val="16"/>
          <w:szCs w:val="16"/>
          <w:vertAlign w:val="baseline"/>
          <w:lang w:val="ro-MD"/>
        </w:rPr>
        <w:t xml:space="preserve"> </w:t>
      </w:r>
      <w:r>
        <w:rPr>
          <w:rFonts w:asciiTheme="majorHAnsi" w:hAnsiTheme="majorHAnsi" w:cstheme="majorHAnsi"/>
          <w:sz w:val="16"/>
          <w:szCs w:val="16"/>
          <w:vertAlign w:val="baseline"/>
          <w:lang w:val="ro-MD"/>
        </w:rPr>
        <w:t xml:space="preserve">Moldova </w:t>
      </w:r>
      <w:r w:rsidRPr="004013B1">
        <w:rPr>
          <w:rFonts w:asciiTheme="majorHAnsi" w:hAnsiTheme="majorHAnsi" w:cstheme="majorHAnsi"/>
          <w:sz w:val="16"/>
          <w:szCs w:val="16"/>
          <w:vertAlign w:val="baseline"/>
          <w:lang w:val="ro-MD"/>
        </w:rPr>
        <w:t>nr. 1107 din 06.06.2002.</w:t>
      </w:r>
    </w:p>
  </w:footnote>
  <w:footnote w:id="100">
    <w:p w14:paraId="367D1752" w14:textId="3ABA37E7" w:rsidR="00F124D2" w:rsidRPr="004013B1" w:rsidRDefault="00F124D2" w:rsidP="007A20C9">
      <w:pPr>
        <w:pStyle w:val="FootnoteText"/>
        <w:rPr>
          <w:rFonts w:asciiTheme="majorHAnsi" w:hAnsiTheme="majorHAnsi" w:cstheme="majorHAnsi"/>
          <w:sz w:val="16"/>
          <w:szCs w:val="16"/>
          <w:vertAlign w:val="baseline"/>
          <w:lang w:val="ro-MD"/>
        </w:rPr>
      </w:pPr>
      <w:r w:rsidRPr="004013B1">
        <w:rPr>
          <w:rStyle w:val="FootnoteReference"/>
          <w:sz w:val="16"/>
          <w:szCs w:val="16"/>
          <w:lang w:val="ro-MD"/>
        </w:rPr>
        <w:footnoteRef/>
      </w:r>
      <w:r w:rsidRPr="004013B1">
        <w:rPr>
          <w:sz w:val="16"/>
          <w:szCs w:val="16"/>
          <w:lang w:val="ro-MD"/>
        </w:rPr>
        <w:t xml:space="preserve"> </w:t>
      </w:r>
      <w:r w:rsidRPr="004013B1">
        <w:rPr>
          <w:rFonts w:asciiTheme="majorHAnsi" w:hAnsiTheme="majorHAnsi" w:cstheme="majorHAnsi"/>
          <w:sz w:val="16"/>
          <w:szCs w:val="16"/>
          <w:vertAlign w:val="baseline"/>
          <w:lang w:val="ro-MD"/>
        </w:rPr>
        <w:t>INS: pentru anul 2020 – 16,98 mii lei, pentru anul 2021 – 14,64 mii lei</w:t>
      </w:r>
      <w:r>
        <w:rPr>
          <w:rFonts w:asciiTheme="majorHAnsi" w:hAnsiTheme="majorHAnsi" w:cstheme="majorHAnsi"/>
          <w:sz w:val="16"/>
          <w:szCs w:val="16"/>
          <w:vertAlign w:val="baseline"/>
          <w:lang w:val="ro-MD"/>
        </w:rPr>
        <w:t>.</w:t>
      </w:r>
    </w:p>
  </w:footnote>
  <w:footnote w:id="101">
    <w:p w14:paraId="2C4E7068" w14:textId="43C99D53" w:rsidR="00F124D2" w:rsidRPr="00A33AB7" w:rsidRDefault="00F124D2" w:rsidP="00864410">
      <w:pPr>
        <w:pStyle w:val="FootnoteText"/>
        <w:rPr>
          <w:rFonts w:asciiTheme="majorHAnsi" w:hAnsiTheme="majorHAnsi" w:cstheme="majorHAnsi"/>
          <w:sz w:val="16"/>
          <w:szCs w:val="16"/>
          <w:lang w:val="ro-MD"/>
        </w:rPr>
      </w:pPr>
      <w:r w:rsidRPr="00A33AB7">
        <w:rPr>
          <w:rStyle w:val="FootnoteReference"/>
          <w:rFonts w:asciiTheme="majorHAnsi" w:hAnsiTheme="majorHAnsi" w:cstheme="majorHAnsi"/>
          <w:sz w:val="16"/>
          <w:szCs w:val="16"/>
        </w:rPr>
        <w:footnoteRef/>
      </w:r>
      <w:r>
        <w:rPr>
          <w:rFonts w:asciiTheme="majorHAnsi" w:hAnsiTheme="majorHAnsi" w:cstheme="majorHAnsi"/>
          <w:sz w:val="16"/>
          <w:szCs w:val="16"/>
          <w:lang w:val="ro-MD"/>
        </w:rPr>
        <w:t xml:space="preserve"> P</w:t>
      </w:r>
      <w:r w:rsidRPr="00A33AB7">
        <w:rPr>
          <w:rFonts w:asciiTheme="majorHAnsi" w:hAnsiTheme="majorHAnsi" w:cstheme="majorHAnsi"/>
          <w:sz w:val="16"/>
          <w:szCs w:val="16"/>
          <w:lang w:val="ro-MD"/>
        </w:rPr>
        <w:t>ct.13,</w:t>
      </w:r>
      <w:r>
        <w:rPr>
          <w:rFonts w:asciiTheme="majorHAnsi" w:hAnsiTheme="majorHAnsi" w:cstheme="majorHAnsi"/>
          <w:sz w:val="16"/>
          <w:szCs w:val="16"/>
          <w:lang w:val="ro-MD"/>
        </w:rPr>
        <w:t xml:space="preserve"> pct.</w:t>
      </w:r>
      <w:r w:rsidRPr="00A33AB7">
        <w:rPr>
          <w:rFonts w:asciiTheme="majorHAnsi" w:hAnsiTheme="majorHAnsi" w:cstheme="majorHAnsi"/>
          <w:sz w:val="16"/>
          <w:szCs w:val="16"/>
          <w:lang w:val="ro-MD"/>
        </w:rPr>
        <w:t>14 din HG nr.1213/2016</w:t>
      </w:r>
      <w:r>
        <w:rPr>
          <w:rFonts w:asciiTheme="majorHAnsi" w:hAnsiTheme="majorHAnsi" w:cstheme="majorHAnsi"/>
          <w:sz w:val="16"/>
          <w:szCs w:val="16"/>
          <w:lang w:val="ro-MD"/>
        </w:rPr>
        <w:t>.</w:t>
      </w:r>
    </w:p>
  </w:footnote>
  <w:footnote w:id="102">
    <w:p w14:paraId="583B19C6" w14:textId="66F8137E" w:rsidR="00F124D2" w:rsidRPr="00A33AB7" w:rsidRDefault="00F124D2" w:rsidP="00864410">
      <w:pPr>
        <w:pStyle w:val="FootnoteText"/>
        <w:rPr>
          <w:rFonts w:asciiTheme="majorHAnsi" w:hAnsiTheme="majorHAnsi" w:cstheme="majorHAnsi"/>
          <w:sz w:val="16"/>
          <w:szCs w:val="16"/>
          <w:lang w:val="ro-MD"/>
        </w:rPr>
      </w:pPr>
      <w:r w:rsidRPr="00A33AB7">
        <w:rPr>
          <w:rStyle w:val="FootnoteReference"/>
          <w:rFonts w:asciiTheme="majorHAnsi" w:hAnsiTheme="majorHAnsi" w:cstheme="majorHAnsi"/>
          <w:sz w:val="16"/>
          <w:szCs w:val="16"/>
        </w:rPr>
        <w:footnoteRef/>
      </w:r>
      <w:r w:rsidRPr="00A33AB7">
        <w:rPr>
          <w:rFonts w:asciiTheme="majorHAnsi" w:hAnsiTheme="majorHAnsi" w:cstheme="majorHAnsi"/>
          <w:sz w:val="16"/>
          <w:szCs w:val="16"/>
        </w:rPr>
        <w:t xml:space="preserve"> </w:t>
      </w:r>
      <w:r w:rsidRPr="00A33AB7">
        <w:rPr>
          <w:rFonts w:asciiTheme="majorHAnsi" w:hAnsiTheme="majorHAnsi" w:cstheme="majorHAnsi"/>
          <w:sz w:val="16"/>
          <w:szCs w:val="16"/>
          <w:lang w:val="ro-MD"/>
        </w:rPr>
        <w:t>Scrisoarea de solicitare nr.10-2/50 din 19.02.2020 și Solicitarea nr.10-1/76 din 31.03.2022</w:t>
      </w:r>
      <w:r>
        <w:rPr>
          <w:rFonts w:asciiTheme="majorHAnsi" w:hAnsiTheme="majorHAnsi" w:cstheme="majorHAnsi"/>
          <w:sz w:val="16"/>
          <w:szCs w:val="16"/>
          <w:lang w:val="ro-MD"/>
        </w:rPr>
        <w:t>.</w:t>
      </w:r>
    </w:p>
  </w:footnote>
  <w:footnote w:id="103">
    <w:p w14:paraId="6E58B285" w14:textId="378B78E7" w:rsidR="00F124D2" w:rsidRPr="00A33AB7" w:rsidRDefault="00F124D2" w:rsidP="00864410">
      <w:pPr>
        <w:pStyle w:val="FootnoteText"/>
        <w:rPr>
          <w:rFonts w:asciiTheme="majorHAnsi" w:hAnsiTheme="majorHAnsi" w:cstheme="majorHAnsi"/>
          <w:sz w:val="16"/>
          <w:szCs w:val="16"/>
          <w:lang w:val="ro-MD"/>
        </w:rPr>
      </w:pPr>
      <w:r w:rsidRPr="00A33AB7">
        <w:rPr>
          <w:rStyle w:val="FootnoteReference"/>
          <w:rFonts w:asciiTheme="majorHAnsi" w:hAnsiTheme="majorHAnsi" w:cstheme="majorHAnsi"/>
          <w:sz w:val="16"/>
          <w:szCs w:val="16"/>
        </w:rPr>
        <w:footnoteRef/>
      </w:r>
      <w:r w:rsidRPr="00A33AB7">
        <w:rPr>
          <w:rFonts w:asciiTheme="majorHAnsi" w:hAnsiTheme="majorHAnsi" w:cstheme="majorHAnsi"/>
          <w:sz w:val="16"/>
          <w:szCs w:val="16"/>
        </w:rPr>
        <w:t xml:space="preserve"> </w:t>
      </w:r>
      <w:r w:rsidRPr="00A33AB7">
        <w:rPr>
          <w:rFonts w:asciiTheme="majorHAnsi" w:hAnsiTheme="majorHAnsi" w:cstheme="majorHAnsi"/>
          <w:sz w:val="16"/>
          <w:szCs w:val="16"/>
          <w:lang w:val="ro-MD"/>
        </w:rPr>
        <w:t>Răspuns</w:t>
      </w:r>
      <w:r>
        <w:rPr>
          <w:rFonts w:asciiTheme="majorHAnsi" w:hAnsiTheme="majorHAnsi" w:cstheme="majorHAnsi"/>
          <w:sz w:val="16"/>
          <w:szCs w:val="16"/>
          <w:lang w:val="ro-MD"/>
        </w:rPr>
        <w:t xml:space="preserve">ul </w:t>
      </w:r>
      <w:r w:rsidRPr="00A33AB7">
        <w:rPr>
          <w:rFonts w:asciiTheme="majorHAnsi" w:hAnsiTheme="majorHAnsi" w:cstheme="majorHAnsi"/>
          <w:sz w:val="16"/>
          <w:szCs w:val="16"/>
          <w:lang w:val="ro-MD"/>
        </w:rPr>
        <w:t xml:space="preserve"> M</w:t>
      </w:r>
      <w:r>
        <w:rPr>
          <w:rFonts w:asciiTheme="majorHAnsi" w:hAnsiTheme="majorHAnsi" w:cstheme="majorHAnsi"/>
          <w:sz w:val="16"/>
          <w:szCs w:val="16"/>
          <w:lang w:val="ro-MD"/>
        </w:rPr>
        <w:t xml:space="preserve">inisterului </w:t>
      </w:r>
      <w:r w:rsidRPr="00A33AB7">
        <w:rPr>
          <w:rFonts w:asciiTheme="majorHAnsi" w:hAnsiTheme="majorHAnsi" w:cstheme="majorHAnsi"/>
          <w:sz w:val="16"/>
          <w:szCs w:val="16"/>
          <w:lang w:val="ro-MD"/>
        </w:rPr>
        <w:t>E</w:t>
      </w:r>
      <w:r>
        <w:rPr>
          <w:rFonts w:asciiTheme="majorHAnsi" w:hAnsiTheme="majorHAnsi" w:cstheme="majorHAnsi"/>
          <w:sz w:val="16"/>
          <w:szCs w:val="16"/>
          <w:lang w:val="ro-MD"/>
        </w:rPr>
        <w:t xml:space="preserve">conomiei și </w:t>
      </w:r>
      <w:r w:rsidRPr="00A33AB7">
        <w:rPr>
          <w:rFonts w:asciiTheme="majorHAnsi" w:hAnsiTheme="majorHAnsi" w:cstheme="majorHAnsi"/>
          <w:sz w:val="16"/>
          <w:szCs w:val="16"/>
          <w:lang w:val="ro-MD"/>
        </w:rPr>
        <w:t>I</w:t>
      </w:r>
      <w:r>
        <w:rPr>
          <w:rFonts w:asciiTheme="majorHAnsi" w:hAnsiTheme="majorHAnsi" w:cstheme="majorHAnsi"/>
          <w:sz w:val="16"/>
          <w:szCs w:val="16"/>
          <w:lang w:val="ro-MD"/>
        </w:rPr>
        <w:t>nfrastructurii</w:t>
      </w:r>
      <w:r w:rsidRPr="00A33AB7">
        <w:rPr>
          <w:rFonts w:asciiTheme="majorHAnsi" w:hAnsiTheme="majorHAnsi" w:cstheme="majorHAnsi"/>
          <w:sz w:val="16"/>
          <w:szCs w:val="16"/>
          <w:lang w:val="ro-MD"/>
        </w:rPr>
        <w:t xml:space="preserve"> nr.12-7903 din 26.11.2019</w:t>
      </w:r>
      <w:r>
        <w:rPr>
          <w:rFonts w:asciiTheme="majorHAnsi" w:hAnsiTheme="majorHAnsi" w:cstheme="majorHAnsi"/>
          <w:sz w:val="16"/>
          <w:szCs w:val="16"/>
          <w:lang w:val="ro-MD"/>
        </w:rPr>
        <w:t>.</w:t>
      </w:r>
    </w:p>
  </w:footnote>
  <w:footnote w:id="104">
    <w:p w14:paraId="5BC5803E" w14:textId="28A5468E" w:rsidR="00F124D2" w:rsidRPr="004D0718" w:rsidRDefault="00F124D2" w:rsidP="00864410">
      <w:pPr>
        <w:pStyle w:val="FootnoteText"/>
        <w:rPr>
          <w:rFonts w:asciiTheme="majorHAnsi" w:hAnsiTheme="majorHAnsi" w:cstheme="majorHAnsi"/>
          <w:sz w:val="16"/>
          <w:szCs w:val="16"/>
        </w:rPr>
      </w:pPr>
      <w:r w:rsidRPr="004D0718">
        <w:rPr>
          <w:rStyle w:val="FootnoteReference"/>
          <w:rFonts w:asciiTheme="majorHAnsi" w:hAnsiTheme="majorHAnsi" w:cstheme="majorHAnsi"/>
          <w:sz w:val="16"/>
          <w:szCs w:val="16"/>
        </w:rPr>
        <w:footnoteRef/>
      </w:r>
      <w:r w:rsidRPr="004D0718">
        <w:rPr>
          <w:rFonts w:asciiTheme="majorHAnsi" w:hAnsiTheme="majorHAnsi" w:cstheme="majorHAnsi"/>
          <w:sz w:val="16"/>
          <w:szCs w:val="16"/>
        </w:rPr>
        <w:t xml:space="preserve"> </w:t>
      </w:r>
      <w:r>
        <w:rPr>
          <w:rFonts w:asciiTheme="majorHAnsi" w:hAnsiTheme="majorHAnsi" w:cstheme="majorHAnsi"/>
          <w:sz w:val="16"/>
          <w:szCs w:val="16"/>
        </w:rPr>
        <w:t>P</w:t>
      </w:r>
      <w:r w:rsidRPr="004D0718">
        <w:rPr>
          <w:rFonts w:asciiTheme="majorHAnsi" w:hAnsiTheme="majorHAnsi" w:cstheme="majorHAnsi"/>
          <w:sz w:val="16"/>
          <w:szCs w:val="16"/>
        </w:rPr>
        <w:t>ct.2 din HG nr.1213/2016</w:t>
      </w:r>
      <w:r>
        <w:rPr>
          <w:rFonts w:asciiTheme="majorHAnsi" w:hAnsiTheme="majorHAnsi"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0A65" w14:textId="06F96F48" w:rsidR="00F124D2" w:rsidRPr="009E7B2D" w:rsidRDefault="00F124D2" w:rsidP="009E7B2D">
    <w:pPr>
      <w:pStyle w:val="Header"/>
      <w:jc w:val="right"/>
      <w:rPr>
        <w:rFonts w:asciiTheme="majorHAnsi" w:hAnsiTheme="majorHAnsi" w:cstheme="majorHAnsi"/>
        <w:i/>
        <w:sz w:val="24"/>
        <w:szCs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924"/>
    <w:multiLevelType w:val="hybridMultilevel"/>
    <w:tmpl w:val="3BC43B64"/>
    <w:lvl w:ilvl="0" w:tplc="EE3E848E">
      <w:start w:val="24"/>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D140ED"/>
    <w:multiLevelType w:val="hybridMultilevel"/>
    <w:tmpl w:val="5F0A9ABE"/>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15:restartNumberingAfterBreak="0">
    <w:nsid w:val="0EFA33F5"/>
    <w:multiLevelType w:val="hybridMultilevel"/>
    <w:tmpl w:val="376A3EC6"/>
    <w:lvl w:ilvl="0" w:tplc="53544FF2">
      <w:start w:val="1"/>
      <w:numFmt w:val="lowerRoman"/>
      <w:lvlText w:val="(%1)"/>
      <w:lvlJc w:val="left"/>
      <w:pPr>
        <w:ind w:left="399" w:hanging="360"/>
      </w:pPr>
      <w:rPr>
        <w:rFonts w:hint="default"/>
        <w:b/>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 w15:restartNumberingAfterBreak="0">
    <w:nsid w:val="0F6D7F68"/>
    <w:multiLevelType w:val="hybridMultilevel"/>
    <w:tmpl w:val="0666C4DC"/>
    <w:lvl w:ilvl="0" w:tplc="0409000D">
      <w:start w:val="1"/>
      <w:numFmt w:val="bullet"/>
      <w:lvlText w:val=""/>
      <w:lvlJc w:val="left"/>
      <w:pPr>
        <w:ind w:left="291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3F43BB1"/>
    <w:multiLevelType w:val="hybridMultilevel"/>
    <w:tmpl w:val="C8EECB2C"/>
    <w:lvl w:ilvl="0" w:tplc="EE3E848E">
      <w:start w:val="2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7FF0"/>
    <w:multiLevelType w:val="hybridMultilevel"/>
    <w:tmpl w:val="8EA86648"/>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548A8236">
      <w:start w:val="1"/>
      <w:numFmt w:val="decimal"/>
      <w:lvlText w:val="%3)"/>
      <w:lvlJc w:val="left"/>
      <w:pPr>
        <w:ind w:left="2379" w:hanging="360"/>
      </w:pPr>
      <w:rPr>
        <w:rFonts w:hint="default"/>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15:restartNumberingAfterBreak="0">
    <w:nsid w:val="1ACD567B"/>
    <w:multiLevelType w:val="multilevel"/>
    <w:tmpl w:val="FAE24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1197238"/>
    <w:multiLevelType w:val="hybridMultilevel"/>
    <w:tmpl w:val="A44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3EF7"/>
    <w:multiLevelType w:val="hybridMultilevel"/>
    <w:tmpl w:val="A00C6AFC"/>
    <w:lvl w:ilvl="0" w:tplc="3092A3BA">
      <w:start w:val="72"/>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15:restartNumberingAfterBreak="0">
    <w:nsid w:val="24F05460"/>
    <w:multiLevelType w:val="hybridMultilevel"/>
    <w:tmpl w:val="B05E76DE"/>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53544FF2">
      <w:start w:val="1"/>
      <w:numFmt w:val="lowerRoman"/>
      <w:lvlText w:val="(%3)"/>
      <w:lvlJc w:val="left"/>
      <w:pPr>
        <w:ind w:left="2199" w:hanging="180"/>
      </w:pPr>
      <w:rPr>
        <w:rFonts w:hint="default"/>
        <w:b/>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15:restartNumberingAfterBreak="0">
    <w:nsid w:val="268504F3"/>
    <w:multiLevelType w:val="hybridMultilevel"/>
    <w:tmpl w:val="24542BE2"/>
    <w:lvl w:ilvl="0" w:tplc="0409000D">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253388"/>
    <w:multiLevelType w:val="hybridMultilevel"/>
    <w:tmpl w:val="498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6638"/>
    <w:multiLevelType w:val="hybridMultilevel"/>
    <w:tmpl w:val="6950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037B9"/>
    <w:multiLevelType w:val="hybridMultilevel"/>
    <w:tmpl w:val="37F03A36"/>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5" w15:restartNumberingAfterBreak="0">
    <w:nsid w:val="2DE144BB"/>
    <w:multiLevelType w:val="hybridMultilevel"/>
    <w:tmpl w:val="210ABFD8"/>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6" w15:restartNumberingAfterBreak="0">
    <w:nsid w:val="2DF540F8"/>
    <w:multiLevelType w:val="multilevel"/>
    <w:tmpl w:val="D026C394"/>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b/>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7" w15:restartNumberingAfterBreak="0">
    <w:nsid w:val="323D180F"/>
    <w:multiLevelType w:val="multilevel"/>
    <w:tmpl w:val="BCA8FA80"/>
    <w:lvl w:ilvl="0">
      <w:start w:val="4"/>
      <w:numFmt w:val="decimal"/>
      <w:lvlText w:val="%1."/>
      <w:lvlJc w:val="left"/>
      <w:pPr>
        <w:ind w:left="396" w:hanging="396"/>
      </w:pPr>
      <w:rPr>
        <w:rFonts w:hint="default"/>
        <w:i/>
      </w:rPr>
    </w:lvl>
    <w:lvl w:ilvl="1">
      <w:start w:val="1"/>
      <w:numFmt w:val="decimal"/>
      <w:lvlText w:val="%1.%2."/>
      <w:lvlJc w:val="left"/>
      <w:pPr>
        <w:ind w:left="538" w:hanging="396"/>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43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B1715E"/>
    <w:multiLevelType w:val="hybridMultilevel"/>
    <w:tmpl w:val="02A4CD0E"/>
    <w:lvl w:ilvl="0" w:tplc="53544FF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F4884"/>
    <w:multiLevelType w:val="hybridMultilevel"/>
    <w:tmpl w:val="1620145C"/>
    <w:lvl w:ilvl="0" w:tplc="53544FF2">
      <w:start w:val="1"/>
      <w:numFmt w:val="lowerRoman"/>
      <w:lvlText w:val="(%1)"/>
      <w:lvlJc w:val="left"/>
      <w:pPr>
        <w:ind w:left="3191" w:hanging="360"/>
      </w:pPr>
      <w:rPr>
        <w:rFonts w:hint="default"/>
        <w:b/>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20" w15:restartNumberingAfterBreak="0">
    <w:nsid w:val="330578DE"/>
    <w:multiLevelType w:val="hybridMultilevel"/>
    <w:tmpl w:val="418E78F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335F759F"/>
    <w:multiLevelType w:val="hybridMultilevel"/>
    <w:tmpl w:val="F41A3BFE"/>
    <w:lvl w:ilvl="0" w:tplc="53544FF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30BC7"/>
    <w:multiLevelType w:val="singleLevel"/>
    <w:tmpl w:val="31A4DF22"/>
    <w:lvl w:ilvl="0">
      <w:start w:val="1"/>
      <w:numFmt w:val="bullet"/>
      <w:pStyle w:val="mk1txtb1"/>
      <w:lvlText w:val=""/>
      <w:lvlJc w:val="left"/>
      <w:pPr>
        <w:tabs>
          <w:tab w:val="num" w:pos="1495"/>
        </w:tabs>
        <w:ind w:left="1423" w:hanging="288"/>
      </w:pPr>
      <w:rPr>
        <w:rFonts w:ascii="Symbol" w:hAnsi="Symbol" w:hint="default"/>
      </w:rPr>
    </w:lvl>
  </w:abstractNum>
  <w:abstractNum w:abstractNumId="23"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36836C23"/>
    <w:multiLevelType w:val="hybridMultilevel"/>
    <w:tmpl w:val="196A6B4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15:restartNumberingAfterBreak="0">
    <w:nsid w:val="36E656CA"/>
    <w:multiLevelType w:val="hybridMultilevel"/>
    <w:tmpl w:val="11B83D14"/>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6"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27" w15:restartNumberingAfterBreak="0">
    <w:nsid w:val="3E4F2C8A"/>
    <w:multiLevelType w:val="hybridMultilevel"/>
    <w:tmpl w:val="D62A9756"/>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 w15:restartNumberingAfterBreak="0">
    <w:nsid w:val="49D9421A"/>
    <w:multiLevelType w:val="multilevel"/>
    <w:tmpl w:val="4FCEF7E0"/>
    <w:lvl w:ilvl="0">
      <w:start w:val="3"/>
      <w:numFmt w:val="decimal"/>
      <w:lvlText w:val="%1"/>
      <w:lvlJc w:val="left"/>
      <w:pPr>
        <w:ind w:left="552" w:hanging="552"/>
      </w:pPr>
      <w:rPr>
        <w:rFonts w:hint="default"/>
      </w:rPr>
    </w:lvl>
    <w:lvl w:ilvl="1">
      <w:start w:val="3"/>
      <w:numFmt w:val="decimal"/>
      <w:lvlText w:val="%1.%2"/>
      <w:lvlJc w:val="left"/>
      <w:pPr>
        <w:ind w:left="657" w:hanging="552"/>
      </w:pPr>
      <w:rPr>
        <w:rFonts w:hint="default"/>
      </w:rPr>
    </w:lvl>
    <w:lvl w:ilvl="2">
      <w:start w:val="44"/>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29" w15:restartNumberingAfterBreak="0">
    <w:nsid w:val="49EA6D33"/>
    <w:multiLevelType w:val="hybridMultilevel"/>
    <w:tmpl w:val="3AFA0E02"/>
    <w:lvl w:ilvl="0" w:tplc="F7840800">
      <w:numFmt w:val="bullet"/>
      <w:lvlText w:val="-"/>
      <w:lvlJc w:val="left"/>
      <w:pPr>
        <w:ind w:left="397" w:hanging="360"/>
      </w:pPr>
      <w:rPr>
        <w:rFonts w:ascii="Arial" w:eastAsia="Arial" w:hAnsi="Arial" w:cs="Aria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30"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31" w15:restartNumberingAfterBreak="0">
    <w:nsid w:val="4D242D55"/>
    <w:multiLevelType w:val="hybridMultilevel"/>
    <w:tmpl w:val="A7B42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877E9A"/>
    <w:multiLevelType w:val="hybridMultilevel"/>
    <w:tmpl w:val="824C066E"/>
    <w:lvl w:ilvl="0" w:tplc="53544FF2">
      <w:start w:val="1"/>
      <w:numFmt w:val="lowerRoman"/>
      <w:lvlText w:val="(%1)"/>
      <w:lvlJc w:val="left"/>
      <w:pPr>
        <w:ind w:left="759" w:hanging="360"/>
      </w:pPr>
      <w:rPr>
        <w:rFonts w:hint="default"/>
        <w:b/>
      </w:rPr>
    </w:lvl>
    <w:lvl w:ilvl="1" w:tplc="5CC09B8C">
      <w:start w:val="1"/>
      <w:numFmt w:val="lowerLetter"/>
      <w:lvlText w:val="%2)"/>
      <w:lvlJc w:val="left"/>
      <w:pPr>
        <w:ind w:left="1479" w:hanging="360"/>
      </w:pPr>
      <w:rPr>
        <w:rFonts w:hint="default"/>
      </w:r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56746A7D"/>
    <w:multiLevelType w:val="hybridMultilevel"/>
    <w:tmpl w:val="3B5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54F45"/>
    <w:multiLevelType w:val="hybridMultilevel"/>
    <w:tmpl w:val="85548AFA"/>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95057"/>
    <w:multiLevelType w:val="hybridMultilevel"/>
    <w:tmpl w:val="AF2C97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6437C8"/>
    <w:multiLevelType w:val="hybridMultilevel"/>
    <w:tmpl w:val="46D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025FD"/>
    <w:multiLevelType w:val="hybridMultilevel"/>
    <w:tmpl w:val="CFDA6D0C"/>
    <w:lvl w:ilvl="0" w:tplc="8BF00012">
      <w:start w:val="1"/>
      <w:numFmt w:val="bullet"/>
      <w:lvlText w:val=""/>
      <w:lvlJc w:val="left"/>
      <w:pPr>
        <w:ind w:left="277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96F24"/>
    <w:multiLevelType w:val="hybridMultilevel"/>
    <w:tmpl w:val="9CC8504C"/>
    <w:lvl w:ilvl="0" w:tplc="1AF224B6">
      <w:start w:val="6"/>
      <w:numFmt w:val="upperRoman"/>
      <w:lvlText w:val="%1."/>
      <w:lvlJc w:val="left"/>
      <w:pPr>
        <w:ind w:left="5940" w:hanging="72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9" w15:restartNumberingAfterBreak="0">
    <w:nsid w:val="743E39E0"/>
    <w:multiLevelType w:val="hybridMultilevel"/>
    <w:tmpl w:val="C44051EA"/>
    <w:lvl w:ilvl="0" w:tplc="FFF4EB9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52B65"/>
    <w:multiLevelType w:val="hybridMultilevel"/>
    <w:tmpl w:val="724E8B5A"/>
    <w:lvl w:ilvl="0" w:tplc="0409000D">
      <w:start w:val="1"/>
      <w:numFmt w:val="bullet"/>
      <w:lvlText w:val=""/>
      <w:lvlJc w:val="left"/>
      <w:pPr>
        <w:ind w:left="6881"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1" w15:restartNumberingAfterBreak="0">
    <w:nsid w:val="758E09F0"/>
    <w:multiLevelType w:val="hybridMultilevel"/>
    <w:tmpl w:val="F92A5A00"/>
    <w:lvl w:ilvl="0" w:tplc="53544FF2">
      <w:start w:val="1"/>
      <w:numFmt w:val="lowerRoman"/>
      <w:lvlText w:val="(%1)"/>
      <w:lvlJc w:val="left"/>
      <w:pPr>
        <w:ind w:left="399" w:hanging="360"/>
      </w:pPr>
      <w:rPr>
        <w:rFonts w:hint="default"/>
        <w:b/>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42" w15:restartNumberingAfterBreak="0">
    <w:nsid w:val="77083799"/>
    <w:multiLevelType w:val="hybridMultilevel"/>
    <w:tmpl w:val="D59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D0DDF"/>
    <w:multiLevelType w:val="multilevel"/>
    <w:tmpl w:val="13D430D8"/>
    <w:lvl w:ilvl="0">
      <w:start w:val="5"/>
      <w:numFmt w:val="decimal"/>
      <w:lvlText w:val="%1."/>
      <w:lvlJc w:val="left"/>
      <w:pPr>
        <w:ind w:left="396" w:hanging="396"/>
      </w:pPr>
      <w:rPr>
        <w:rFonts w:ascii="Calibri Light" w:eastAsia="Calibri" w:hAnsi="Calibri Light" w:cs="Calibri Light" w:hint="default"/>
        <w:i/>
        <w:color w:val="auto"/>
      </w:rPr>
    </w:lvl>
    <w:lvl w:ilvl="1">
      <w:start w:val="1"/>
      <w:numFmt w:val="decimal"/>
      <w:lvlText w:val="%1.%2."/>
      <w:lvlJc w:val="left"/>
      <w:pPr>
        <w:ind w:left="680" w:hanging="396"/>
      </w:pPr>
      <w:rPr>
        <w:rFonts w:ascii="Calibri Light" w:eastAsia="Calibri" w:hAnsi="Calibri Light" w:cs="Calibri Light" w:hint="default"/>
        <w:i w:val="0"/>
        <w:color w:val="00B0F0"/>
      </w:rPr>
    </w:lvl>
    <w:lvl w:ilvl="2">
      <w:start w:val="1"/>
      <w:numFmt w:val="decimal"/>
      <w:lvlText w:val="%1.%2.%3."/>
      <w:lvlJc w:val="left"/>
      <w:pPr>
        <w:ind w:left="720" w:hanging="720"/>
      </w:pPr>
      <w:rPr>
        <w:rFonts w:ascii="Calibri Light" w:eastAsia="Calibri" w:hAnsi="Calibri Light" w:cs="Calibri Light" w:hint="default"/>
        <w:i/>
        <w:color w:val="auto"/>
      </w:rPr>
    </w:lvl>
    <w:lvl w:ilvl="3">
      <w:start w:val="1"/>
      <w:numFmt w:val="decimal"/>
      <w:lvlText w:val="%1.%2.%3.%4."/>
      <w:lvlJc w:val="left"/>
      <w:pPr>
        <w:ind w:left="720" w:hanging="720"/>
      </w:pPr>
      <w:rPr>
        <w:rFonts w:ascii="Calibri Light" w:eastAsia="Calibri" w:hAnsi="Calibri Light" w:cs="Calibri Light" w:hint="default"/>
        <w:i/>
        <w:color w:val="auto"/>
      </w:rPr>
    </w:lvl>
    <w:lvl w:ilvl="4">
      <w:start w:val="1"/>
      <w:numFmt w:val="decimal"/>
      <w:lvlText w:val="%1.%2.%3.%4.%5."/>
      <w:lvlJc w:val="left"/>
      <w:pPr>
        <w:ind w:left="1080" w:hanging="1080"/>
      </w:pPr>
      <w:rPr>
        <w:rFonts w:ascii="Calibri Light" w:eastAsia="Calibri" w:hAnsi="Calibri Light" w:cs="Calibri Light" w:hint="default"/>
        <w:i/>
        <w:color w:val="auto"/>
      </w:rPr>
    </w:lvl>
    <w:lvl w:ilvl="5">
      <w:start w:val="1"/>
      <w:numFmt w:val="decimal"/>
      <w:lvlText w:val="%1.%2.%3.%4.%5.%6."/>
      <w:lvlJc w:val="left"/>
      <w:pPr>
        <w:ind w:left="1080" w:hanging="1080"/>
      </w:pPr>
      <w:rPr>
        <w:rFonts w:ascii="Calibri Light" w:eastAsia="Calibri" w:hAnsi="Calibri Light" w:cs="Calibri Light" w:hint="default"/>
        <w:i/>
        <w:color w:val="auto"/>
      </w:rPr>
    </w:lvl>
    <w:lvl w:ilvl="6">
      <w:start w:val="1"/>
      <w:numFmt w:val="decimal"/>
      <w:lvlText w:val="%1.%2.%3.%4.%5.%6.%7."/>
      <w:lvlJc w:val="left"/>
      <w:pPr>
        <w:ind w:left="1440" w:hanging="1440"/>
      </w:pPr>
      <w:rPr>
        <w:rFonts w:ascii="Calibri Light" w:eastAsia="Calibri" w:hAnsi="Calibri Light" w:cs="Calibri Light" w:hint="default"/>
        <w:i/>
        <w:color w:val="auto"/>
      </w:rPr>
    </w:lvl>
    <w:lvl w:ilvl="7">
      <w:start w:val="1"/>
      <w:numFmt w:val="decimal"/>
      <w:lvlText w:val="%1.%2.%3.%4.%5.%6.%7.%8."/>
      <w:lvlJc w:val="left"/>
      <w:pPr>
        <w:ind w:left="1440" w:hanging="1440"/>
      </w:pPr>
      <w:rPr>
        <w:rFonts w:ascii="Calibri Light" w:eastAsia="Calibri" w:hAnsi="Calibri Light" w:cs="Calibri Light" w:hint="default"/>
        <w:i/>
        <w:color w:val="auto"/>
      </w:rPr>
    </w:lvl>
    <w:lvl w:ilvl="8">
      <w:start w:val="1"/>
      <w:numFmt w:val="decimal"/>
      <w:lvlText w:val="%1.%2.%3.%4.%5.%6.%7.%8.%9."/>
      <w:lvlJc w:val="left"/>
      <w:pPr>
        <w:ind w:left="1800" w:hanging="1800"/>
      </w:pPr>
      <w:rPr>
        <w:rFonts w:ascii="Calibri Light" w:eastAsia="Calibri" w:hAnsi="Calibri Light" w:cs="Calibri Light" w:hint="default"/>
        <w:i/>
        <w:color w:val="auto"/>
      </w:rPr>
    </w:lvl>
  </w:abstractNum>
  <w:abstractNum w:abstractNumId="44" w15:restartNumberingAfterBreak="0">
    <w:nsid w:val="799B740E"/>
    <w:multiLevelType w:val="hybridMultilevel"/>
    <w:tmpl w:val="80B4E310"/>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45" w15:restartNumberingAfterBreak="0">
    <w:nsid w:val="7D7A7A77"/>
    <w:multiLevelType w:val="hybridMultilevel"/>
    <w:tmpl w:val="FAF05228"/>
    <w:lvl w:ilvl="0" w:tplc="53544FF2">
      <w:start w:val="1"/>
      <w:numFmt w:val="lowerRoman"/>
      <w:lvlText w:val="(%1)"/>
      <w:lvlJc w:val="left"/>
      <w:pPr>
        <w:ind w:left="759" w:hanging="360"/>
      </w:pPr>
      <w:rPr>
        <w:rFonts w:hint="default"/>
        <w:b/>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6" w15:restartNumberingAfterBreak="0">
    <w:nsid w:val="7F967D90"/>
    <w:multiLevelType w:val="hybridMultilevel"/>
    <w:tmpl w:val="23F255E2"/>
    <w:lvl w:ilvl="0" w:tplc="BA3ADBFE">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4"/>
  </w:num>
  <w:num w:numId="4">
    <w:abstractNumId w:val="16"/>
  </w:num>
  <w:num w:numId="5">
    <w:abstractNumId w:val="40"/>
  </w:num>
  <w:num w:numId="6">
    <w:abstractNumId w:val="39"/>
  </w:num>
  <w:num w:numId="7">
    <w:abstractNumId w:val="19"/>
  </w:num>
  <w:num w:numId="8">
    <w:abstractNumId w:val="2"/>
  </w:num>
  <w:num w:numId="9">
    <w:abstractNumId w:val="21"/>
  </w:num>
  <w:num w:numId="10">
    <w:abstractNumId w:val="41"/>
  </w:num>
  <w:num w:numId="11">
    <w:abstractNumId w:val="18"/>
  </w:num>
  <w:num w:numId="12">
    <w:abstractNumId w:val="1"/>
  </w:num>
  <w:num w:numId="13">
    <w:abstractNumId w:val="14"/>
  </w:num>
  <w:num w:numId="14">
    <w:abstractNumId w:val="25"/>
  </w:num>
  <w:num w:numId="15">
    <w:abstractNumId w:val="27"/>
  </w:num>
  <w:num w:numId="16">
    <w:abstractNumId w:val="45"/>
  </w:num>
  <w:num w:numId="17">
    <w:abstractNumId w:val="6"/>
  </w:num>
  <w:num w:numId="18">
    <w:abstractNumId w:val="32"/>
  </w:num>
  <w:num w:numId="19">
    <w:abstractNumId w:val="10"/>
  </w:num>
  <w:num w:numId="20">
    <w:abstractNumId w:val="23"/>
  </w:num>
  <w:num w:numId="21">
    <w:abstractNumId w:val="34"/>
  </w:num>
  <w:num w:numId="22">
    <w:abstractNumId w:val="22"/>
  </w:num>
  <w:num w:numId="23">
    <w:abstractNumId w:val="36"/>
  </w:num>
  <w:num w:numId="24">
    <w:abstractNumId w:val="33"/>
  </w:num>
  <w:num w:numId="25">
    <w:abstractNumId w:val="8"/>
  </w:num>
  <w:num w:numId="26">
    <w:abstractNumId w:val="12"/>
  </w:num>
  <w:num w:numId="27">
    <w:abstractNumId w:val="9"/>
  </w:num>
  <w:num w:numId="28">
    <w:abstractNumId w:val="15"/>
  </w:num>
  <w:num w:numId="29">
    <w:abstractNumId w:val="44"/>
  </w:num>
  <w:num w:numId="30">
    <w:abstractNumId w:val="28"/>
  </w:num>
  <w:num w:numId="31">
    <w:abstractNumId w:val="20"/>
  </w:num>
  <w:num w:numId="32">
    <w:abstractNumId w:val="37"/>
  </w:num>
  <w:num w:numId="33">
    <w:abstractNumId w:val="42"/>
  </w:num>
  <w:num w:numId="34">
    <w:abstractNumId w:val="24"/>
  </w:num>
  <w:num w:numId="35">
    <w:abstractNumId w:val="5"/>
  </w:num>
  <w:num w:numId="36">
    <w:abstractNumId w:val="11"/>
  </w:num>
  <w:num w:numId="37">
    <w:abstractNumId w:val="0"/>
  </w:num>
  <w:num w:numId="38">
    <w:abstractNumId w:val="17"/>
  </w:num>
  <w:num w:numId="39">
    <w:abstractNumId w:val="3"/>
  </w:num>
  <w:num w:numId="40">
    <w:abstractNumId w:val="43"/>
  </w:num>
  <w:num w:numId="41">
    <w:abstractNumId w:val="13"/>
  </w:num>
  <w:num w:numId="42">
    <w:abstractNumId w:val="31"/>
  </w:num>
  <w:num w:numId="43">
    <w:abstractNumId w:val="35"/>
  </w:num>
  <w:num w:numId="44">
    <w:abstractNumId w:val="29"/>
  </w:num>
  <w:num w:numId="45">
    <w:abstractNumId w:val="46"/>
  </w:num>
  <w:num w:numId="46">
    <w:abstractNumId w:val="38"/>
  </w:num>
  <w:num w:numId="4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03F2"/>
    <w:rsid w:val="000008CE"/>
    <w:rsid w:val="000008FD"/>
    <w:rsid w:val="000009CB"/>
    <w:rsid w:val="00002542"/>
    <w:rsid w:val="0000270A"/>
    <w:rsid w:val="000027C4"/>
    <w:rsid w:val="00002C48"/>
    <w:rsid w:val="00002F84"/>
    <w:rsid w:val="0000346F"/>
    <w:rsid w:val="00003A96"/>
    <w:rsid w:val="00003F28"/>
    <w:rsid w:val="00004A0A"/>
    <w:rsid w:val="00004B35"/>
    <w:rsid w:val="00004C09"/>
    <w:rsid w:val="00004CD1"/>
    <w:rsid w:val="00004D8A"/>
    <w:rsid w:val="00004FE7"/>
    <w:rsid w:val="0000576F"/>
    <w:rsid w:val="00005A5C"/>
    <w:rsid w:val="00005EC7"/>
    <w:rsid w:val="00005EEE"/>
    <w:rsid w:val="00006280"/>
    <w:rsid w:val="000062E1"/>
    <w:rsid w:val="000063B1"/>
    <w:rsid w:val="00006F14"/>
    <w:rsid w:val="000075F3"/>
    <w:rsid w:val="00007679"/>
    <w:rsid w:val="00007C8F"/>
    <w:rsid w:val="00007EAC"/>
    <w:rsid w:val="000105FE"/>
    <w:rsid w:val="00010A7A"/>
    <w:rsid w:val="00010B36"/>
    <w:rsid w:val="00010C62"/>
    <w:rsid w:val="000110AD"/>
    <w:rsid w:val="00011767"/>
    <w:rsid w:val="00011BBA"/>
    <w:rsid w:val="00012186"/>
    <w:rsid w:val="00012231"/>
    <w:rsid w:val="0001233A"/>
    <w:rsid w:val="000126AD"/>
    <w:rsid w:val="00012E23"/>
    <w:rsid w:val="00012E9B"/>
    <w:rsid w:val="000131DE"/>
    <w:rsid w:val="00013220"/>
    <w:rsid w:val="00013297"/>
    <w:rsid w:val="000134CA"/>
    <w:rsid w:val="00013D99"/>
    <w:rsid w:val="0001454D"/>
    <w:rsid w:val="00014863"/>
    <w:rsid w:val="00015100"/>
    <w:rsid w:val="0001529F"/>
    <w:rsid w:val="000157B4"/>
    <w:rsid w:val="00015CD7"/>
    <w:rsid w:val="0001603C"/>
    <w:rsid w:val="00016C38"/>
    <w:rsid w:val="0001704C"/>
    <w:rsid w:val="000175C2"/>
    <w:rsid w:val="00017BB2"/>
    <w:rsid w:val="00017EB2"/>
    <w:rsid w:val="00017F45"/>
    <w:rsid w:val="00020179"/>
    <w:rsid w:val="0002065F"/>
    <w:rsid w:val="0002068E"/>
    <w:rsid w:val="0002073F"/>
    <w:rsid w:val="00020B67"/>
    <w:rsid w:val="00021004"/>
    <w:rsid w:val="000210AF"/>
    <w:rsid w:val="000211C1"/>
    <w:rsid w:val="000214C6"/>
    <w:rsid w:val="0002177B"/>
    <w:rsid w:val="000218B8"/>
    <w:rsid w:val="00021B7A"/>
    <w:rsid w:val="00021C16"/>
    <w:rsid w:val="00021ECF"/>
    <w:rsid w:val="00022F50"/>
    <w:rsid w:val="000232B4"/>
    <w:rsid w:val="000237B8"/>
    <w:rsid w:val="00023B67"/>
    <w:rsid w:val="00023C8A"/>
    <w:rsid w:val="0002406B"/>
    <w:rsid w:val="0002411D"/>
    <w:rsid w:val="0002496E"/>
    <w:rsid w:val="00024FA8"/>
    <w:rsid w:val="0002591D"/>
    <w:rsid w:val="00025F1F"/>
    <w:rsid w:val="00026396"/>
    <w:rsid w:val="0002655F"/>
    <w:rsid w:val="00026785"/>
    <w:rsid w:val="000267E0"/>
    <w:rsid w:val="00026DC7"/>
    <w:rsid w:val="00026E53"/>
    <w:rsid w:val="0002708B"/>
    <w:rsid w:val="0002770C"/>
    <w:rsid w:val="00027A58"/>
    <w:rsid w:val="00027CF7"/>
    <w:rsid w:val="00030404"/>
    <w:rsid w:val="000304D3"/>
    <w:rsid w:val="00030932"/>
    <w:rsid w:val="00030982"/>
    <w:rsid w:val="0003245B"/>
    <w:rsid w:val="00032938"/>
    <w:rsid w:val="00032F32"/>
    <w:rsid w:val="00033055"/>
    <w:rsid w:val="000330F0"/>
    <w:rsid w:val="00033217"/>
    <w:rsid w:val="000335F5"/>
    <w:rsid w:val="0003379A"/>
    <w:rsid w:val="00033801"/>
    <w:rsid w:val="00034078"/>
    <w:rsid w:val="0003407F"/>
    <w:rsid w:val="00034348"/>
    <w:rsid w:val="000343B3"/>
    <w:rsid w:val="000343E7"/>
    <w:rsid w:val="00034577"/>
    <w:rsid w:val="00034C09"/>
    <w:rsid w:val="00034CD6"/>
    <w:rsid w:val="00034E33"/>
    <w:rsid w:val="00034FBA"/>
    <w:rsid w:val="000353A9"/>
    <w:rsid w:val="00035A54"/>
    <w:rsid w:val="000362BE"/>
    <w:rsid w:val="00036352"/>
    <w:rsid w:val="0003637E"/>
    <w:rsid w:val="0003668D"/>
    <w:rsid w:val="00036940"/>
    <w:rsid w:val="00036ABD"/>
    <w:rsid w:val="00036E89"/>
    <w:rsid w:val="00036EEB"/>
    <w:rsid w:val="000371CD"/>
    <w:rsid w:val="0003723E"/>
    <w:rsid w:val="00037259"/>
    <w:rsid w:val="000373D2"/>
    <w:rsid w:val="000375C5"/>
    <w:rsid w:val="00037624"/>
    <w:rsid w:val="0003785D"/>
    <w:rsid w:val="00037A2E"/>
    <w:rsid w:val="00037AFC"/>
    <w:rsid w:val="00037B4B"/>
    <w:rsid w:val="00037E52"/>
    <w:rsid w:val="00037E99"/>
    <w:rsid w:val="00037FC4"/>
    <w:rsid w:val="00040042"/>
    <w:rsid w:val="00040389"/>
    <w:rsid w:val="000405AE"/>
    <w:rsid w:val="000405D2"/>
    <w:rsid w:val="000407EF"/>
    <w:rsid w:val="00040CA7"/>
    <w:rsid w:val="000417D8"/>
    <w:rsid w:val="000420F9"/>
    <w:rsid w:val="000424B7"/>
    <w:rsid w:val="00042AE6"/>
    <w:rsid w:val="00042EB9"/>
    <w:rsid w:val="00043536"/>
    <w:rsid w:val="000437C3"/>
    <w:rsid w:val="00043872"/>
    <w:rsid w:val="00043924"/>
    <w:rsid w:val="00043B8D"/>
    <w:rsid w:val="000441BE"/>
    <w:rsid w:val="00044AC2"/>
    <w:rsid w:val="00044D4A"/>
    <w:rsid w:val="00044D80"/>
    <w:rsid w:val="00044E94"/>
    <w:rsid w:val="00045195"/>
    <w:rsid w:val="000454C4"/>
    <w:rsid w:val="00045553"/>
    <w:rsid w:val="0004572B"/>
    <w:rsid w:val="00045BF9"/>
    <w:rsid w:val="00045C67"/>
    <w:rsid w:val="00045D08"/>
    <w:rsid w:val="00045D66"/>
    <w:rsid w:val="00045E36"/>
    <w:rsid w:val="00046271"/>
    <w:rsid w:val="00046A58"/>
    <w:rsid w:val="00046D73"/>
    <w:rsid w:val="00046F58"/>
    <w:rsid w:val="000470C5"/>
    <w:rsid w:val="0004733D"/>
    <w:rsid w:val="000473E2"/>
    <w:rsid w:val="00047E1C"/>
    <w:rsid w:val="00047EB6"/>
    <w:rsid w:val="00050DB9"/>
    <w:rsid w:val="0005109A"/>
    <w:rsid w:val="000510B8"/>
    <w:rsid w:val="000519B7"/>
    <w:rsid w:val="00051BAB"/>
    <w:rsid w:val="00051EDF"/>
    <w:rsid w:val="00052403"/>
    <w:rsid w:val="00052974"/>
    <w:rsid w:val="00053200"/>
    <w:rsid w:val="00053EFF"/>
    <w:rsid w:val="00054CE8"/>
    <w:rsid w:val="00054FED"/>
    <w:rsid w:val="000551F5"/>
    <w:rsid w:val="000552BF"/>
    <w:rsid w:val="000558E2"/>
    <w:rsid w:val="00055F09"/>
    <w:rsid w:val="00056209"/>
    <w:rsid w:val="000564F7"/>
    <w:rsid w:val="0005660D"/>
    <w:rsid w:val="000568B5"/>
    <w:rsid w:val="00056936"/>
    <w:rsid w:val="0005757E"/>
    <w:rsid w:val="00057719"/>
    <w:rsid w:val="00057B72"/>
    <w:rsid w:val="00057DCA"/>
    <w:rsid w:val="00057E33"/>
    <w:rsid w:val="00057EF1"/>
    <w:rsid w:val="00057F2C"/>
    <w:rsid w:val="000601CB"/>
    <w:rsid w:val="0006038E"/>
    <w:rsid w:val="000604C8"/>
    <w:rsid w:val="00060ADE"/>
    <w:rsid w:val="0006101E"/>
    <w:rsid w:val="00061032"/>
    <w:rsid w:val="000610A1"/>
    <w:rsid w:val="00061116"/>
    <w:rsid w:val="000629A3"/>
    <w:rsid w:val="00062A8B"/>
    <w:rsid w:val="00062C84"/>
    <w:rsid w:val="00062E8D"/>
    <w:rsid w:val="0006338C"/>
    <w:rsid w:val="0006353B"/>
    <w:rsid w:val="00063CDF"/>
    <w:rsid w:val="00063D6E"/>
    <w:rsid w:val="00064053"/>
    <w:rsid w:val="000642DF"/>
    <w:rsid w:val="0006470E"/>
    <w:rsid w:val="000647FD"/>
    <w:rsid w:val="00064F24"/>
    <w:rsid w:val="00065075"/>
    <w:rsid w:val="00065DAF"/>
    <w:rsid w:val="00065DEB"/>
    <w:rsid w:val="00065E4F"/>
    <w:rsid w:val="00066B8D"/>
    <w:rsid w:val="000674EE"/>
    <w:rsid w:val="000675A7"/>
    <w:rsid w:val="00067AAE"/>
    <w:rsid w:val="00067BC2"/>
    <w:rsid w:val="00067ED2"/>
    <w:rsid w:val="0007087D"/>
    <w:rsid w:val="000709DE"/>
    <w:rsid w:val="00070B08"/>
    <w:rsid w:val="00070E1D"/>
    <w:rsid w:val="00070EFA"/>
    <w:rsid w:val="00070F7D"/>
    <w:rsid w:val="00070FD1"/>
    <w:rsid w:val="00070FDA"/>
    <w:rsid w:val="000713C8"/>
    <w:rsid w:val="000714E8"/>
    <w:rsid w:val="00071623"/>
    <w:rsid w:val="0007193F"/>
    <w:rsid w:val="00071D0E"/>
    <w:rsid w:val="00072550"/>
    <w:rsid w:val="00072823"/>
    <w:rsid w:val="000728C8"/>
    <w:rsid w:val="00072973"/>
    <w:rsid w:val="00072AC2"/>
    <w:rsid w:val="0007338A"/>
    <w:rsid w:val="0007393E"/>
    <w:rsid w:val="00073CA6"/>
    <w:rsid w:val="00073F4F"/>
    <w:rsid w:val="0007407E"/>
    <w:rsid w:val="00074426"/>
    <w:rsid w:val="0007487C"/>
    <w:rsid w:val="0007493F"/>
    <w:rsid w:val="00074947"/>
    <w:rsid w:val="00075058"/>
    <w:rsid w:val="0007564F"/>
    <w:rsid w:val="00075B2D"/>
    <w:rsid w:val="00076B43"/>
    <w:rsid w:val="000774D5"/>
    <w:rsid w:val="00077551"/>
    <w:rsid w:val="00077F16"/>
    <w:rsid w:val="000802DA"/>
    <w:rsid w:val="00080579"/>
    <w:rsid w:val="00080774"/>
    <w:rsid w:val="0008080C"/>
    <w:rsid w:val="00080C28"/>
    <w:rsid w:val="00080D09"/>
    <w:rsid w:val="00080F2D"/>
    <w:rsid w:val="0008140A"/>
    <w:rsid w:val="000814CD"/>
    <w:rsid w:val="000814E4"/>
    <w:rsid w:val="000817EF"/>
    <w:rsid w:val="00081847"/>
    <w:rsid w:val="00081D92"/>
    <w:rsid w:val="00081DF8"/>
    <w:rsid w:val="00081E6F"/>
    <w:rsid w:val="0008281F"/>
    <w:rsid w:val="00082B00"/>
    <w:rsid w:val="00082C13"/>
    <w:rsid w:val="00082D3A"/>
    <w:rsid w:val="00083078"/>
    <w:rsid w:val="00083176"/>
    <w:rsid w:val="0008344E"/>
    <w:rsid w:val="00083D35"/>
    <w:rsid w:val="000840A8"/>
    <w:rsid w:val="0008436E"/>
    <w:rsid w:val="00084688"/>
    <w:rsid w:val="00084869"/>
    <w:rsid w:val="000848CF"/>
    <w:rsid w:val="00084936"/>
    <w:rsid w:val="00084E03"/>
    <w:rsid w:val="00084FB0"/>
    <w:rsid w:val="00085128"/>
    <w:rsid w:val="000852BC"/>
    <w:rsid w:val="0008545A"/>
    <w:rsid w:val="0008579D"/>
    <w:rsid w:val="00085B5C"/>
    <w:rsid w:val="00086504"/>
    <w:rsid w:val="00086795"/>
    <w:rsid w:val="00086797"/>
    <w:rsid w:val="00086BB5"/>
    <w:rsid w:val="00087BA7"/>
    <w:rsid w:val="00087D79"/>
    <w:rsid w:val="00087ECC"/>
    <w:rsid w:val="00087ECD"/>
    <w:rsid w:val="00087F97"/>
    <w:rsid w:val="00090410"/>
    <w:rsid w:val="0009066A"/>
    <w:rsid w:val="00090899"/>
    <w:rsid w:val="00090E85"/>
    <w:rsid w:val="000912E1"/>
    <w:rsid w:val="0009147B"/>
    <w:rsid w:val="00091B8A"/>
    <w:rsid w:val="00091E16"/>
    <w:rsid w:val="00091F9E"/>
    <w:rsid w:val="00092067"/>
    <w:rsid w:val="00092A9C"/>
    <w:rsid w:val="00092F02"/>
    <w:rsid w:val="00092FD4"/>
    <w:rsid w:val="000930D7"/>
    <w:rsid w:val="00093376"/>
    <w:rsid w:val="0009372B"/>
    <w:rsid w:val="000938F5"/>
    <w:rsid w:val="000939F2"/>
    <w:rsid w:val="000943CD"/>
    <w:rsid w:val="0009448C"/>
    <w:rsid w:val="0009466E"/>
    <w:rsid w:val="00094C43"/>
    <w:rsid w:val="00094D6C"/>
    <w:rsid w:val="000951E2"/>
    <w:rsid w:val="00095290"/>
    <w:rsid w:val="00095A9E"/>
    <w:rsid w:val="00095C65"/>
    <w:rsid w:val="00095FFA"/>
    <w:rsid w:val="00096156"/>
    <w:rsid w:val="0009615E"/>
    <w:rsid w:val="00096684"/>
    <w:rsid w:val="00096FC2"/>
    <w:rsid w:val="000970AA"/>
    <w:rsid w:val="000971CD"/>
    <w:rsid w:val="00097370"/>
    <w:rsid w:val="00097435"/>
    <w:rsid w:val="00097507"/>
    <w:rsid w:val="000978A0"/>
    <w:rsid w:val="00097F8D"/>
    <w:rsid w:val="000A02C3"/>
    <w:rsid w:val="000A03A2"/>
    <w:rsid w:val="000A047F"/>
    <w:rsid w:val="000A085B"/>
    <w:rsid w:val="000A09D0"/>
    <w:rsid w:val="000A0CB9"/>
    <w:rsid w:val="000A0D2A"/>
    <w:rsid w:val="000A0D3E"/>
    <w:rsid w:val="000A0E65"/>
    <w:rsid w:val="000A1165"/>
    <w:rsid w:val="000A1C6B"/>
    <w:rsid w:val="000A1D68"/>
    <w:rsid w:val="000A1FB8"/>
    <w:rsid w:val="000A258A"/>
    <w:rsid w:val="000A259E"/>
    <w:rsid w:val="000A26EF"/>
    <w:rsid w:val="000A2B86"/>
    <w:rsid w:val="000A3294"/>
    <w:rsid w:val="000A32D2"/>
    <w:rsid w:val="000A3403"/>
    <w:rsid w:val="000A34A1"/>
    <w:rsid w:val="000A3A08"/>
    <w:rsid w:val="000A4CD7"/>
    <w:rsid w:val="000A4FBA"/>
    <w:rsid w:val="000A5165"/>
    <w:rsid w:val="000A5856"/>
    <w:rsid w:val="000A5C5C"/>
    <w:rsid w:val="000A6A41"/>
    <w:rsid w:val="000A6C7A"/>
    <w:rsid w:val="000A6D5A"/>
    <w:rsid w:val="000A754D"/>
    <w:rsid w:val="000A7634"/>
    <w:rsid w:val="000A7643"/>
    <w:rsid w:val="000A7CB7"/>
    <w:rsid w:val="000A7DF6"/>
    <w:rsid w:val="000B01BD"/>
    <w:rsid w:val="000B0355"/>
    <w:rsid w:val="000B070C"/>
    <w:rsid w:val="000B0710"/>
    <w:rsid w:val="000B09E5"/>
    <w:rsid w:val="000B0A02"/>
    <w:rsid w:val="000B0A97"/>
    <w:rsid w:val="000B0D2C"/>
    <w:rsid w:val="000B1E0E"/>
    <w:rsid w:val="000B1E1E"/>
    <w:rsid w:val="000B1ED8"/>
    <w:rsid w:val="000B1F87"/>
    <w:rsid w:val="000B2669"/>
    <w:rsid w:val="000B267B"/>
    <w:rsid w:val="000B26AA"/>
    <w:rsid w:val="000B2724"/>
    <w:rsid w:val="000B2E4A"/>
    <w:rsid w:val="000B2E87"/>
    <w:rsid w:val="000B40A6"/>
    <w:rsid w:val="000B4636"/>
    <w:rsid w:val="000B4672"/>
    <w:rsid w:val="000B46B5"/>
    <w:rsid w:val="000B46C5"/>
    <w:rsid w:val="000B474F"/>
    <w:rsid w:val="000B4789"/>
    <w:rsid w:val="000B4AA5"/>
    <w:rsid w:val="000B4DCF"/>
    <w:rsid w:val="000B4E84"/>
    <w:rsid w:val="000B6135"/>
    <w:rsid w:val="000B6192"/>
    <w:rsid w:val="000B62AC"/>
    <w:rsid w:val="000B6305"/>
    <w:rsid w:val="000B6490"/>
    <w:rsid w:val="000B6ECD"/>
    <w:rsid w:val="000B6F22"/>
    <w:rsid w:val="000B6F53"/>
    <w:rsid w:val="000B6F61"/>
    <w:rsid w:val="000B7052"/>
    <w:rsid w:val="000B7254"/>
    <w:rsid w:val="000B7458"/>
    <w:rsid w:val="000B7572"/>
    <w:rsid w:val="000B7E2A"/>
    <w:rsid w:val="000C030A"/>
    <w:rsid w:val="000C0A1D"/>
    <w:rsid w:val="000C10C6"/>
    <w:rsid w:val="000C110B"/>
    <w:rsid w:val="000C13FF"/>
    <w:rsid w:val="000C1583"/>
    <w:rsid w:val="000C15FC"/>
    <w:rsid w:val="000C1672"/>
    <w:rsid w:val="000C186A"/>
    <w:rsid w:val="000C1A48"/>
    <w:rsid w:val="000C1D37"/>
    <w:rsid w:val="000C2458"/>
    <w:rsid w:val="000C291E"/>
    <w:rsid w:val="000C2EB2"/>
    <w:rsid w:val="000C313E"/>
    <w:rsid w:val="000C3C44"/>
    <w:rsid w:val="000C4153"/>
    <w:rsid w:val="000C4758"/>
    <w:rsid w:val="000C47B5"/>
    <w:rsid w:val="000C4DC4"/>
    <w:rsid w:val="000C4DFF"/>
    <w:rsid w:val="000C4E9B"/>
    <w:rsid w:val="000C54D0"/>
    <w:rsid w:val="000C5953"/>
    <w:rsid w:val="000C598C"/>
    <w:rsid w:val="000C59FD"/>
    <w:rsid w:val="000C5B63"/>
    <w:rsid w:val="000C5EE4"/>
    <w:rsid w:val="000C633A"/>
    <w:rsid w:val="000C6560"/>
    <w:rsid w:val="000C662A"/>
    <w:rsid w:val="000C6694"/>
    <w:rsid w:val="000C68D0"/>
    <w:rsid w:val="000C6D8A"/>
    <w:rsid w:val="000C7882"/>
    <w:rsid w:val="000C7A81"/>
    <w:rsid w:val="000C7F74"/>
    <w:rsid w:val="000D01B1"/>
    <w:rsid w:val="000D0A27"/>
    <w:rsid w:val="000D0E7C"/>
    <w:rsid w:val="000D1078"/>
    <w:rsid w:val="000D111F"/>
    <w:rsid w:val="000D16D4"/>
    <w:rsid w:val="000D1925"/>
    <w:rsid w:val="000D1997"/>
    <w:rsid w:val="000D1DC8"/>
    <w:rsid w:val="000D1E26"/>
    <w:rsid w:val="000D1F02"/>
    <w:rsid w:val="000D2573"/>
    <w:rsid w:val="000D2CE7"/>
    <w:rsid w:val="000D2F0C"/>
    <w:rsid w:val="000D30CA"/>
    <w:rsid w:val="000D327A"/>
    <w:rsid w:val="000D3406"/>
    <w:rsid w:val="000D373F"/>
    <w:rsid w:val="000D39BF"/>
    <w:rsid w:val="000D3DC4"/>
    <w:rsid w:val="000D4037"/>
    <w:rsid w:val="000D41C9"/>
    <w:rsid w:val="000D4419"/>
    <w:rsid w:val="000D4509"/>
    <w:rsid w:val="000D4A9A"/>
    <w:rsid w:val="000D4B07"/>
    <w:rsid w:val="000D4B72"/>
    <w:rsid w:val="000D50FD"/>
    <w:rsid w:val="000D5B6B"/>
    <w:rsid w:val="000D6127"/>
    <w:rsid w:val="000D6206"/>
    <w:rsid w:val="000D63D2"/>
    <w:rsid w:val="000D6463"/>
    <w:rsid w:val="000D6957"/>
    <w:rsid w:val="000D6971"/>
    <w:rsid w:val="000D781B"/>
    <w:rsid w:val="000D792C"/>
    <w:rsid w:val="000D79A2"/>
    <w:rsid w:val="000E0580"/>
    <w:rsid w:val="000E06E3"/>
    <w:rsid w:val="000E078C"/>
    <w:rsid w:val="000E07A3"/>
    <w:rsid w:val="000E09A7"/>
    <w:rsid w:val="000E0B1E"/>
    <w:rsid w:val="000E0BA3"/>
    <w:rsid w:val="000E0FB1"/>
    <w:rsid w:val="000E10F0"/>
    <w:rsid w:val="000E1584"/>
    <w:rsid w:val="000E1C6C"/>
    <w:rsid w:val="000E1D02"/>
    <w:rsid w:val="000E1D98"/>
    <w:rsid w:val="000E25CB"/>
    <w:rsid w:val="000E2609"/>
    <w:rsid w:val="000E265A"/>
    <w:rsid w:val="000E273E"/>
    <w:rsid w:val="000E2B07"/>
    <w:rsid w:val="000E2B66"/>
    <w:rsid w:val="000E373B"/>
    <w:rsid w:val="000E3C2F"/>
    <w:rsid w:val="000E3CFD"/>
    <w:rsid w:val="000E3D17"/>
    <w:rsid w:val="000E40AB"/>
    <w:rsid w:val="000E45F9"/>
    <w:rsid w:val="000E4766"/>
    <w:rsid w:val="000E4969"/>
    <w:rsid w:val="000E4AE5"/>
    <w:rsid w:val="000E4B3E"/>
    <w:rsid w:val="000E4BC2"/>
    <w:rsid w:val="000E4C48"/>
    <w:rsid w:val="000E5171"/>
    <w:rsid w:val="000E5564"/>
    <w:rsid w:val="000E56BD"/>
    <w:rsid w:val="000E590B"/>
    <w:rsid w:val="000E616C"/>
    <w:rsid w:val="000E626A"/>
    <w:rsid w:val="000E67A6"/>
    <w:rsid w:val="000E75DF"/>
    <w:rsid w:val="000E7BF3"/>
    <w:rsid w:val="000E7E32"/>
    <w:rsid w:val="000F0574"/>
    <w:rsid w:val="000F0B71"/>
    <w:rsid w:val="000F0D4E"/>
    <w:rsid w:val="000F0ECE"/>
    <w:rsid w:val="000F0FE0"/>
    <w:rsid w:val="000F1186"/>
    <w:rsid w:val="000F1273"/>
    <w:rsid w:val="000F164B"/>
    <w:rsid w:val="000F186A"/>
    <w:rsid w:val="000F1AF6"/>
    <w:rsid w:val="000F1C70"/>
    <w:rsid w:val="000F23FF"/>
    <w:rsid w:val="000F24E7"/>
    <w:rsid w:val="000F27E1"/>
    <w:rsid w:val="000F2EAF"/>
    <w:rsid w:val="000F2F48"/>
    <w:rsid w:val="000F3589"/>
    <w:rsid w:val="000F35E4"/>
    <w:rsid w:val="000F3F33"/>
    <w:rsid w:val="000F459A"/>
    <w:rsid w:val="000F461D"/>
    <w:rsid w:val="000F4DFA"/>
    <w:rsid w:val="000F4F0A"/>
    <w:rsid w:val="000F50B2"/>
    <w:rsid w:val="000F52D1"/>
    <w:rsid w:val="000F5310"/>
    <w:rsid w:val="000F5548"/>
    <w:rsid w:val="000F5939"/>
    <w:rsid w:val="000F5A34"/>
    <w:rsid w:val="000F60CE"/>
    <w:rsid w:val="000F6766"/>
    <w:rsid w:val="000F69A6"/>
    <w:rsid w:val="000F69B9"/>
    <w:rsid w:val="000F6A9A"/>
    <w:rsid w:val="000F6BF0"/>
    <w:rsid w:val="000F76F9"/>
    <w:rsid w:val="000F7DBB"/>
    <w:rsid w:val="001002D1"/>
    <w:rsid w:val="0010082D"/>
    <w:rsid w:val="001008A6"/>
    <w:rsid w:val="00101500"/>
    <w:rsid w:val="00101735"/>
    <w:rsid w:val="00101965"/>
    <w:rsid w:val="00101AAE"/>
    <w:rsid w:val="00101C50"/>
    <w:rsid w:val="00102204"/>
    <w:rsid w:val="0010280C"/>
    <w:rsid w:val="00102A92"/>
    <w:rsid w:val="0010308E"/>
    <w:rsid w:val="001033E7"/>
    <w:rsid w:val="001034C5"/>
    <w:rsid w:val="00103795"/>
    <w:rsid w:val="0010393B"/>
    <w:rsid w:val="00103CF0"/>
    <w:rsid w:val="00103D09"/>
    <w:rsid w:val="0010439D"/>
    <w:rsid w:val="00104B96"/>
    <w:rsid w:val="00105742"/>
    <w:rsid w:val="0010640F"/>
    <w:rsid w:val="00106B42"/>
    <w:rsid w:val="001075A2"/>
    <w:rsid w:val="0010760D"/>
    <w:rsid w:val="001103DB"/>
    <w:rsid w:val="00110417"/>
    <w:rsid w:val="001104F5"/>
    <w:rsid w:val="001105C4"/>
    <w:rsid w:val="001108CA"/>
    <w:rsid w:val="00110AB8"/>
    <w:rsid w:val="00110B40"/>
    <w:rsid w:val="00111236"/>
    <w:rsid w:val="0011141A"/>
    <w:rsid w:val="00111654"/>
    <w:rsid w:val="0011184C"/>
    <w:rsid w:val="00111AE8"/>
    <w:rsid w:val="00111D30"/>
    <w:rsid w:val="001122D4"/>
    <w:rsid w:val="00112348"/>
    <w:rsid w:val="001123B0"/>
    <w:rsid w:val="00112729"/>
    <w:rsid w:val="001128D5"/>
    <w:rsid w:val="00112E9E"/>
    <w:rsid w:val="00113066"/>
    <w:rsid w:val="00113089"/>
    <w:rsid w:val="001131A3"/>
    <w:rsid w:val="0011387B"/>
    <w:rsid w:val="00113A5C"/>
    <w:rsid w:val="00113AE3"/>
    <w:rsid w:val="00113C15"/>
    <w:rsid w:val="00115339"/>
    <w:rsid w:val="001154FE"/>
    <w:rsid w:val="0011566B"/>
    <w:rsid w:val="0011597A"/>
    <w:rsid w:val="00115999"/>
    <w:rsid w:val="00115BBA"/>
    <w:rsid w:val="00115DA4"/>
    <w:rsid w:val="00116523"/>
    <w:rsid w:val="00116A0A"/>
    <w:rsid w:val="00116DC5"/>
    <w:rsid w:val="00116DE9"/>
    <w:rsid w:val="00116E3C"/>
    <w:rsid w:val="00116F85"/>
    <w:rsid w:val="00117AA6"/>
    <w:rsid w:val="0012087C"/>
    <w:rsid w:val="00120A4A"/>
    <w:rsid w:val="00120F86"/>
    <w:rsid w:val="00121502"/>
    <w:rsid w:val="0012158A"/>
    <w:rsid w:val="00121EAC"/>
    <w:rsid w:val="00122169"/>
    <w:rsid w:val="001226FE"/>
    <w:rsid w:val="0012279D"/>
    <w:rsid w:val="00122B72"/>
    <w:rsid w:val="00122C88"/>
    <w:rsid w:val="00122CF3"/>
    <w:rsid w:val="00122DC5"/>
    <w:rsid w:val="00122E97"/>
    <w:rsid w:val="00123560"/>
    <w:rsid w:val="00123782"/>
    <w:rsid w:val="00123CFF"/>
    <w:rsid w:val="00123F58"/>
    <w:rsid w:val="00124B44"/>
    <w:rsid w:val="00124CD4"/>
    <w:rsid w:val="00124D71"/>
    <w:rsid w:val="00124E00"/>
    <w:rsid w:val="00125303"/>
    <w:rsid w:val="00125759"/>
    <w:rsid w:val="00126216"/>
    <w:rsid w:val="001268E1"/>
    <w:rsid w:val="0012693A"/>
    <w:rsid w:val="00127184"/>
    <w:rsid w:val="001274DF"/>
    <w:rsid w:val="001276F4"/>
    <w:rsid w:val="00127E39"/>
    <w:rsid w:val="001302E5"/>
    <w:rsid w:val="0013048C"/>
    <w:rsid w:val="00130A6A"/>
    <w:rsid w:val="00130AB5"/>
    <w:rsid w:val="00130B94"/>
    <w:rsid w:val="00130C99"/>
    <w:rsid w:val="001311D1"/>
    <w:rsid w:val="001313E4"/>
    <w:rsid w:val="001317B1"/>
    <w:rsid w:val="00131E1F"/>
    <w:rsid w:val="001323D0"/>
    <w:rsid w:val="00132720"/>
    <w:rsid w:val="00132B5D"/>
    <w:rsid w:val="00132EB5"/>
    <w:rsid w:val="00133180"/>
    <w:rsid w:val="0013328A"/>
    <w:rsid w:val="0013345A"/>
    <w:rsid w:val="0013349F"/>
    <w:rsid w:val="001340AC"/>
    <w:rsid w:val="001340D3"/>
    <w:rsid w:val="0013434A"/>
    <w:rsid w:val="00134730"/>
    <w:rsid w:val="00134D1B"/>
    <w:rsid w:val="001352A6"/>
    <w:rsid w:val="00135AEF"/>
    <w:rsid w:val="00135C24"/>
    <w:rsid w:val="001361E4"/>
    <w:rsid w:val="00136749"/>
    <w:rsid w:val="00136924"/>
    <w:rsid w:val="00136B58"/>
    <w:rsid w:val="00136C4E"/>
    <w:rsid w:val="00136E1E"/>
    <w:rsid w:val="00136F09"/>
    <w:rsid w:val="00137CBC"/>
    <w:rsid w:val="001400FF"/>
    <w:rsid w:val="001406D7"/>
    <w:rsid w:val="0014112F"/>
    <w:rsid w:val="001412F6"/>
    <w:rsid w:val="001413A2"/>
    <w:rsid w:val="001415B6"/>
    <w:rsid w:val="00143161"/>
    <w:rsid w:val="00143272"/>
    <w:rsid w:val="001432CB"/>
    <w:rsid w:val="0014391E"/>
    <w:rsid w:val="00143BDF"/>
    <w:rsid w:val="0014416E"/>
    <w:rsid w:val="001442AA"/>
    <w:rsid w:val="001442F4"/>
    <w:rsid w:val="001445A2"/>
    <w:rsid w:val="00144CE0"/>
    <w:rsid w:val="0014578A"/>
    <w:rsid w:val="00145817"/>
    <w:rsid w:val="00145994"/>
    <w:rsid w:val="00145E74"/>
    <w:rsid w:val="00145E8E"/>
    <w:rsid w:val="00146566"/>
    <w:rsid w:val="00146777"/>
    <w:rsid w:val="00146A32"/>
    <w:rsid w:val="00146A3C"/>
    <w:rsid w:val="00146E55"/>
    <w:rsid w:val="00147009"/>
    <w:rsid w:val="0014742F"/>
    <w:rsid w:val="00147A73"/>
    <w:rsid w:val="00147C9A"/>
    <w:rsid w:val="00147DFA"/>
    <w:rsid w:val="00147F9C"/>
    <w:rsid w:val="00150377"/>
    <w:rsid w:val="001507E0"/>
    <w:rsid w:val="00150B1A"/>
    <w:rsid w:val="0015124B"/>
    <w:rsid w:val="0015132F"/>
    <w:rsid w:val="001515B5"/>
    <w:rsid w:val="00151AD2"/>
    <w:rsid w:val="00151AF0"/>
    <w:rsid w:val="0015279F"/>
    <w:rsid w:val="00152A5E"/>
    <w:rsid w:val="00152B31"/>
    <w:rsid w:val="001533DA"/>
    <w:rsid w:val="0015363E"/>
    <w:rsid w:val="001538C2"/>
    <w:rsid w:val="00153D1B"/>
    <w:rsid w:val="00153D55"/>
    <w:rsid w:val="00154232"/>
    <w:rsid w:val="00154790"/>
    <w:rsid w:val="00154A0C"/>
    <w:rsid w:val="001554B8"/>
    <w:rsid w:val="001555CB"/>
    <w:rsid w:val="001559B7"/>
    <w:rsid w:val="00155AAE"/>
    <w:rsid w:val="00156BD1"/>
    <w:rsid w:val="0015715A"/>
    <w:rsid w:val="00157210"/>
    <w:rsid w:val="00157ADF"/>
    <w:rsid w:val="001601CC"/>
    <w:rsid w:val="001604B2"/>
    <w:rsid w:val="001606A0"/>
    <w:rsid w:val="00160719"/>
    <w:rsid w:val="001608D8"/>
    <w:rsid w:val="00160D12"/>
    <w:rsid w:val="00161535"/>
    <w:rsid w:val="00161823"/>
    <w:rsid w:val="00161A80"/>
    <w:rsid w:val="00161AB1"/>
    <w:rsid w:val="00161D40"/>
    <w:rsid w:val="00161E39"/>
    <w:rsid w:val="00161F10"/>
    <w:rsid w:val="00161FCA"/>
    <w:rsid w:val="001624FE"/>
    <w:rsid w:val="001629E1"/>
    <w:rsid w:val="00162EF5"/>
    <w:rsid w:val="00163042"/>
    <w:rsid w:val="00163882"/>
    <w:rsid w:val="00163BF2"/>
    <w:rsid w:val="00164132"/>
    <w:rsid w:val="001646B9"/>
    <w:rsid w:val="00164888"/>
    <w:rsid w:val="001648BE"/>
    <w:rsid w:val="00164BB3"/>
    <w:rsid w:val="0016560A"/>
    <w:rsid w:val="00165714"/>
    <w:rsid w:val="00165A2D"/>
    <w:rsid w:val="00165B33"/>
    <w:rsid w:val="00165ED0"/>
    <w:rsid w:val="001661BA"/>
    <w:rsid w:val="00166471"/>
    <w:rsid w:val="001675D9"/>
    <w:rsid w:val="001676E6"/>
    <w:rsid w:val="00167BE1"/>
    <w:rsid w:val="00167F19"/>
    <w:rsid w:val="00170029"/>
    <w:rsid w:val="001703E1"/>
    <w:rsid w:val="0017045E"/>
    <w:rsid w:val="00170E67"/>
    <w:rsid w:val="00170F7D"/>
    <w:rsid w:val="00171148"/>
    <w:rsid w:val="00171249"/>
    <w:rsid w:val="00171BD8"/>
    <w:rsid w:val="00172396"/>
    <w:rsid w:val="0017249E"/>
    <w:rsid w:val="001724CC"/>
    <w:rsid w:val="00172723"/>
    <w:rsid w:val="00172B5B"/>
    <w:rsid w:val="00172E50"/>
    <w:rsid w:val="00172E91"/>
    <w:rsid w:val="00172F4E"/>
    <w:rsid w:val="00172F52"/>
    <w:rsid w:val="00173E95"/>
    <w:rsid w:val="00174122"/>
    <w:rsid w:val="00174A97"/>
    <w:rsid w:val="00174BC3"/>
    <w:rsid w:val="00174ECC"/>
    <w:rsid w:val="00174F0A"/>
    <w:rsid w:val="00175849"/>
    <w:rsid w:val="00175948"/>
    <w:rsid w:val="00175EE5"/>
    <w:rsid w:val="00176204"/>
    <w:rsid w:val="001769EC"/>
    <w:rsid w:val="00176AD9"/>
    <w:rsid w:val="00176D61"/>
    <w:rsid w:val="00177F3E"/>
    <w:rsid w:val="0018039A"/>
    <w:rsid w:val="001807E9"/>
    <w:rsid w:val="00180E19"/>
    <w:rsid w:val="00180EE7"/>
    <w:rsid w:val="00181D2C"/>
    <w:rsid w:val="00181E3B"/>
    <w:rsid w:val="0018239E"/>
    <w:rsid w:val="0018261C"/>
    <w:rsid w:val="001829B9"/>
    <w:rsid w:val="00182E12"/>
    <w:rsid w:val="00182ED8"/>
    <w:rsid w:val="0018309C"/>
    <w:rsid w:val="001830FA"/>
    <w:rsid w:val="001836EB"/>
    <w:rsid w:val="00183B7B"/>
    <w:rsid w:val="0018413A"/>
    <w:rsid w:val="001842FB"/>
    <w:rsid w:val="0018495C"/>
    <w:rsid w:val="00184A1A"/>
    <w:rsid w:val="00184A80"/>
    <w:rsid w:val="00184AE3"/>
    <w:rsid w:val="00184C72"/>
    <w:rsid w:val="00184CB6"/>
    <w:rsid w:val="00184EFC"/>
    <w:rsid w:val="00184FC1"/>
    <w:rsid w:val="001856F4"/>
    <w:rsid w:val="00185852"/>
    <w:rsid w:val="00185D95"/>
    <w:rsid w:val="00186599"/>
    <w:rsid w:val="001867B7"/>
    <w:rsid w:val="00186C84"/>
    <w:rsid w:val="001874D0"/>
    <w:rsid w:val="00187683"/>
    <w:rsid w:val="001878EB"/>
    <w:rsid w:val="00187AA8"/>
    <w:rsid w:val="00187B7C"/>
    <w:rsid w:val="00187BA5"/>
    <w:rsid w:val="00187F4D"/>
    <w:rsid w:val="00187FA9"/>
    <w:rsid w:val="00190A00"/>
    <w:rsid w:val="00190B1B"/>
    <w:rsid w:val="00190BC3"/>
    <w:rsid w:val="001916BF"/>
    <w:rsid w:val="00191947"/>
    <w:rsid w:val="00191FF0"/>
    <w:rsid w:val="0019205F"/>
    <w:rsid w:val="00192303"/>
    <w:rsid w:val="00192610"/>
    <w:rsid w:val="001932C7"/>
    <w:rsid w:val="001934B7"/>
    <w:rsid w:val="00193A11"/>
    <w:rsid w:val="00193A44"/>
    <w:rsid w:val="00193A73"/>
    <w:rsid w:val="0019427B"/>
    <w:rsid w:val="00194D0A"/>
    <w:rsid w:val="00194D61"/>
    <w:rsid w:val="00194E98"/>
    <w:rsid w:val="00194EC6"/>
    <w:rsid w:val="00195549"/>
    <w:rsid w:val="00195D37"/>
    <w:rsid w:val="00195E91"/>
    <w:rsid w:val="00196D4A"/>
    <w:rsid w:val="001971CD"/>
    <w:rsid w:val="001977A6"/>
    <w:rsid w:val="00197AED"/>
    <w:rsid w:val="00197BD2"/>
    <w:rsid w:val="001A027A"/>
    <w:rsid w:val="001A03FE"/>
    <w:rsid w:val="001A10D5"/>
    <w:rsid w:val="001A14BD"/>
    <w:rsid w:val="001A15F9"/>
    <w:rsid w:val="001A1C6C"/>
    <w:rsid w:val="001A1F43"/>
    <w:rsid w:val="001A2023"/>
    <w:rsid w:val="001A224F"/>
    <w:rsid w:val="001A263C"/>
    <w:rsid w:val="001A297F"/>
    <w:rsid w:val="001A2A26"/>
    <w:rsid w:val="001A2A2E"/>
    <w:rsid w:val="001A2C05"/>
    <w:rsid w:val="001A2D7C"/>
    <w:rsid w:val="001A33F9"/>
    <w:rsid w:val="001A34DF"/>
    <w:rsid w:val="001A3D7B"/>
    <w:rsid w:val="001A3F53"/>
    <w:rsid w:val="001A3FDC"/>
    <w:rsid w:val="001A4328"/>
    <w:rsid w:val="001A447D"/>
    <w:rsid w:val="001A4570"/>
    <w:rsid w:val="001A46BA"/>
    <w:rsid w:val="001A485B"/>
    <w:rsid w:val="001A4D05"/>
    <w:rsid w:val="001A4D16"/>
    <w:rsid w:val="001A503E"/>
    <w:rsid w:val="001A6166"/>
    <w:rsid w:val="001A704E"/>
    <w:rsid w:val="001A709A"/>
    <w:rsid w:val="001A745E"/>
    <w:rsid w:val="001B059B"/>
    <w:rsid w:val="001B0699"/>
    <w:rsid w:val="001B06B3"/>
    <w:rsid w:val="001B07B5"/>
    <w:rsid w:val="001B098D"/>
    <w:rsid w:val="001B0F22"/>
    <w:rsid w:val="001B1085"/>
    <w:rsid w:val="001B12AA"/>
    <w:rsid w:val="001B17FD"/>
    <w:rsid w:val="001B1B77"/>
    <w:rsid w:val="001B1D11"/>
    <w:rsid w:val="001B2135"/>
    <w:rsid w:val="001B24EC"/>
    <w:rsid w:val="001B279C"/>
    <w:rsid w:val="001B2B65"/>
    <w:rsid w:val="001B2D5D"/>
    <w:rsid w:val="001B2F4B"/>
    <w:rsid w:val="001B314D"/>
    <w:rsid w:val="001B359E"/>
    <w:rsid w:val="001B3CAF"/>
    <w:rsid w:val="001B3FA1"/>
    <w:rsid w:val="001B4749"/>
    <w:rsid w:val="001B4C53"/>
    <w:rsid w:val="001B4DBF"/>
    <w:rsid w:val="001B4E95"/>
    <w:rsid w:val="001B56F5"/>
    <w:rsid w:val="001B5A53"/>
    <w:rsid w:val="001B5D2E"/>
    <w:rsid w:val="001B6019"/>
    <w:rsid w:val="001B7240"/>
    <w:rsid w:val="001B7A67"/>
    <w:rsid w:val="001B7C3C"/>
    <w:rsid w:val="001B7D5A"/>
    <w:rsid w:val="001B7DC2"/>
    <w:rsid w:val="001C07EC"/>
    <w:rsid w:val="001C083D"/>
    <w:rsid w:val="001C0859"/>
    <w:rsid w:val="001C0E4A"/>
    <w:rsid w:val="001C105D"/>
    <w:rsid w:val="001C17B1"/>
    <w:rsid w:val="001C19CE"/>
    <w:rsid w:val="001C1A05"/>
    <w:rsid w:val="001C1A69"/>
    <w:rsid w:val="001C1BDD"/>
    <w:rsid w:val="001C1C56"/>
    <w:rsid w:val="001C1EDB"/>
    <w:rsid w:val="001C1F23"/>
    <w:rsid w:val="001C1FE7"/>
    <w:rsid w:val="001C2313"/>
    <w:rsid w:val="001C247D"/>
    <w:rsid w:val="001C28EB"/>
    <w:rsid w:val="001C2CE8"/>
    <w:rsid w:val="001C2D66"/>
    <w:rsid w:val="001C3D77"/>
    <w:rsid w:val="001C4065"/>
    <w:rsid w:val="001C443E"/>
    <w:rsid w:val="001C4614"/>
    <w:rsid w:val="001C4935"/>
    <w:rsid w:val="001C4D29"/>
    <w:rsid w:val="001C4D98"/>
    <w:rsid w:val="001C4F15"/>
    <w:rsid w:val="001C561C"/>
    <w:rsid w:val="001C58E4"/>
    <w:rsid w:val="001C5C98"/>
    <w:rsid w:val="001C6478"/>
    <w:rsid w:val="001C6513"/>
    <w:rsid w:val="001C671D"/>
    <w:rsid w:val="001C68CA"/>
    <w:rsid w:val="001C6A13"/>
    <w:rsid w:val="001C6A9E"/>
    <w:rsid w:val="001C6B34"/>
    <w:rsid w:val="001C6D41"/>
    <w:rsid w:val="001C6ECE"/>
    <w:rsid w:val="001C70BE"/>
    <w:rsid w:val="001C7130"/>
    <w:rsid w:val="001C7454"/>
    <w:rsid w:val="001C7E9D"/>
    <w:rsid w:val="001C7E9E"/>
    <w:rsid w:val="001D0473"/>
    <w:rsid w:val="001D0844"/>
    <w:rsid w:val="001D08BF"/>
    <w:rsid w:val="001D104A"/>
    <w:rsid w:val="001D1269"/>
    <w:rsid w:val="001D1B81"/>
    <w:rsid w:val="001D1D7E"/>
    <w:rsid w:val="001D1E77"/>
    <w:rsid w:val="001D3E10"/>
    <w:rsid w:val="001D415D"/>
    <w:rsid w:val="001D45B6"/>
    <w:rsid w:val="001D4D56"/>
    <w:rsid w:val="001D4D69"/>
    <w:rsid w:val="001D52F3"/>
    <w:rsid w:val="001D6043"/>
    <w:rsid w:val="001D6062"/>
    <w:rsid w:val="001D61C8"/>
    <w:rsid w:val="001D648B"/>
    <w:rsid w:val="001D64E8"/>
    <w:rsid w:val="001D69A8"/>
    <w:rsid w:val="001D6CD2"/>
    <w:rsid w:val="001D6FFE"/>
    <w:rsid w:val="001D763F"/>
    <w:rsid w:val="001D7F6F"/>
    <w:rsid w:val="001E0504"/>
    <w:rsid w:val="001E0C57"/>
    <w:rsid w:val="001E0C6C"/>
    <w:rsid w:val="001E0C88"/>
    <w:rsid w:val="001E0F0E"/>
    <w:rsid w:val="001E1075"/>
    <w:rsid w:val="001E1342"/>
    <w:rsid w:val="001E138C"/>
    <w:rsid w:val="001E13A6"/>
    <w:rsid w:val="001E13E5"/>
    <w:rsid w:val="001E1A82"/>
    <w:rsid w:val="001E202B"/>
    <w:rsid w:val="001E212B"/>
    <w:rsid w:val="001E22A8"/>
    <w:rsid w:val="001E25CA"/>
    <w:rsid w:val="001E293A"/>
    <w:rsid w:val="001E29FE"/>
    <w:rsid w:val="001E2AF3"/>
    <w:rsid w:val="001E2BB8"/>
    <w:rsid w:val="001E2BEF"/>
    <w:rsid w:val="001E344D"/>
    <w:rsid w:val="001E3925"/>
    <w:rsid w:val="001E3A57"/>
    <w:rsid w:val="001E3D64"/>
    <w:rsid w:val="001E4229"/>
    <w:rsid w:val="001E4B0A"/>
    <w:rsid w:val="001E4B79"/>
    <w:rsid w:val="001E4D70"/>
    <w:rsid w:val="001E516B"/>
    <w:rsid w:val="001E5202"/>
    <w:rsid w:val="001E547B"/>
    <w:rsid w:val="001E59D8"/>
    <w:rsid w:val="001E65DC"/>
    <w:rsid w:val="001E67EC"/>
    <w:rsid w:val="001E68D9"/>
    <w:rsid w:val="001E6C4F"/>
    <w:rsid w:val="001E6FF7"/>
    <w:rsid w:val="001E70F7"/>
    <w:rsid w:val="001E7381"/>
    <w:rsid w:val="001E73A8"/>
    <w:rsid w:val="001E775E"/>
    <w:rsid w:val="001E77CA"/>
    <w:rsid w:val="001E7B79"/>
    <w:rsid w:val="001F0334"/>
    <w:rsid w:val="001F03D7"/>
    <w:rsid w:val="001F05EA"/>
    <w:rsid w:val="001F08C4"/>
    <w:rsid w:val="001F1151"/>
    <w:rsid w:val="001F1179"/>
    <w:rsid w:val="001F1E5E"/>
    <w:rsid w:val="001F212E"/>
    <w:rsid w:val="001F2301"/>
    <w:rsid w:val="001F273E"/>
    <w:rsid w:val="001F2B9B"/>
    <w:rsid w:val="001F2E9B"/>
    <w:rsid w:val="001F32BC"/>
    <w:rsid w:val="001F33E2"/>
    <w:rsid w:val="001F3549"/>
    <w:rsid w:val="001F3817"/>
    <w:rsid w:val="001F3BA6"/>
    <w:rsid w:val="001F3C40"/>
    <w:rsid w:val="001F3C9A"/>
    <w:rsid w:val="001F4285"/>
    <w:rsid w:val="001F4976"/>
    <w:rsid w:val="001F4B97"/>
    <w:rsid w:val="001F5063"/>
    <w:rsid w:val="001F5222"/>
    <w:rsid w:val="001F542E"/>
    <w:rsid w:val="001F5E54"/>
    <w:rsid w:val="001F64C0"/>
    <w:rsid w:val="001F6592"/>
    <w:rsid w:val="001F6627"/>
    <w:rsid w:val="001F6C50"/>
    <w:rsid w:val="001F70FD"/>
    <w:rsid w:val="001F77D3"/>
    <w:rsid w:val="001F7C7F"/>
    <w:rsid w:val="00200661"/>
    <w:rsid w:val="002008EC"/>
    <w:rsid w:val="00200B9A"/>
    <w:rsid w:val="002012BA"/>
    <w:rsid w:val="00201355"/>
    <w:rsid w:val="0020151E"/>
    <w:rsid w:val="0020183C"/>
    <w:rsid w:val="0020188C"/>
    <w:rsid w:val="0020188F"/>
    <w:rsid w:val="00201D3F"/>
    <w:rsid w:val="002020C4"/>
    <w:rsid w:val="002022C6"/>
    <w:rsid w:val="00203336"/>
    <w:rsid w:val="0020367F"/>
    <w:rsid w:val="0020395B"/>
    <w:rsid w:val="0020423F"/>
    <w:rsid w:val="002046DD"/>
    <w:rsid w:val="002049FF"/>
    <w:rsid w:val="00204A2D"/>
    <w:rsid w:val="00204D3F"/>
    <w:rsid w:val="00205280"/>
    <w:rsid w:val="00205A4D"/>
    <w:rsid w:val="00205B29"/>
    <w:rsid w:val="00205D62"/>
    <w:rsid w:val="00205F15"/>
    <w:rsid w:val="00206308"/>
    <w:rsid w:val="00206400"/>
    <w:rsid w:val="00206552"/>
    <w:rsid w:val="0020670F"/>
    <w:rsid w:val="00206892"/>
    <w:rsid w:val="00206909"/>
    <w:rsid w:val="002069ED"/>
    <w:rsid w:val="00207107"/>
    <w:rsid w:val="0020720D"/>
    <w:rsid w:val="00210523"/>
    <w:rsid w:val="00210B84"/>
    <w:rsid w:val="00210D6F"/>
    <w:rsid w:val="00210E1A"/>
    <w:rsid w:val="002118B0"/>
    <w:rsid w:val="002119F0"/>
    <w:rsid w:val="00211A5D"/>
    <w:rsid w:val="00211CA8"/>
    <w:rsid w:val="00211CB4"/>
    <w:rsid w:val="00212101"/>
    <w:rsid w:val="00212579"/>
    <w:rsid w:val="00212795"/>
    <w:rsid w:val="00212D18"/>
    <w:rsid w:val="002130A1"/>
    <w:rsid w:val="002132EA"/>
    <w:rsid w:val="002135F2"/>
    <w:rsid w:val="00213AF2"/>
    <w:rsid w:val="00214127"/>
    <w:rsid w:val="0021425C"/>
    <w:rsid w:val="00214658"/>
    <w:rsid w:val="00214898"/>
    <w:rsid w:val="002150E0"/>
    <w:rsid w:val="00215172"/>
    <w:rsid w:val="00215915"/>
    <w:rsid w:val="0021592C"/>
    <w:rsid w:val="00215BF4"/>
    <w:rsid w:val="00215D1F"/>
    <w:rsid w:val="00216740"/>
    <w:rsid w:val="00216BA1"/>
    <w:rsid w:val="00217179"/>
    <w:rsid w:val="0021720B"/>
    <w:rsid w:val="002179E3"/>
    <w:rsid w:val="00217A53"/>
    <w:rsid w:val="00217AAB"/>
    <w:rsid w:val="00217B08"/>
    <w:rsid w:val="00217DF9"/>
    <w:rsid w:val="00220061"/>
    <w:rsid w:val="0022041A"/>
    <w:rsid w:val="0022086B"/>
    <w:rsid w:val="00220C4D"/>
    <w:rsid w:val="00220D45"/>
    <w:rsid w:val="00221915"/>
    <w:rsid w:val="002219EF"/>
    <w:rsid w:val="00221B8D"/>
    <w:rsid w:val="00221BF4"/>
    <w:rsid w:val="00221E83"/>
    <w:rsid w:val="00221FFD"/>
    <w:rsid w:val="00222B08"/>
    <w:rsid w:val="00222EB7"/>
    <w:rsid w:val="00223100"/>
    <w:rsid w:val="00223131"/>
    <w:rsid w:val="002232EE"/>
    <w:rsid w:val="0022364A"/>
    <w:rsid w:val="00223A53"/>
    <w:rsid w:val="00224085"/>
    <w:rsid w:val="002241D0"/>
    <w:rsid w:val="002242F9"/>
    <w:rsid w:val="0022463F"/>
    <w:rsid w:val="00224CCF"/>
    <w:rsid w:val="00225922"/>
    <w:rsid w:val="00225993"/>
    <w:rsid w:val="00225B04"/>
    <w:rsid w:val="00225E2F"/>
    <w:rsid w:val="00225EE6"/>
    <w:rsid w:val="002261D6"/>
    <w:rsid w:val="00226A7B"/>
    <w:rsid w:val="00226FE4"/>
    <w:rsid w:val="00227277"/>
    <w:rsid w:val="0022779D"/>
    <w:rsid w:val="00227A5D"/>
    <w:rsid w:val="00227EDC"/>
    <w:rsid w:val="00230167"/>
    <w:rsid w:val="0023018F"/>
    <w:rsid w:val="002303D9"/>
    <w:rsid w:val="002306C1"/>
    <w:rsid w:val="00230DBC"/>
    <w:rsid w:val="002311C6"/>
    <w:rsid w:val="0023151A"/>
    <w:rsid w:val="002316FA"/>
    <w:rsid w:val="00231DEF"/>
    <w:rsid w:val="002320E7"/>
    <w:rsid w:val="002322EE"/>
    <w:rsid w:val="00232632"/>
    <w:rsid w:val="002326F3"/>
    <w:rsid w:val="00232B34"/>
    <w:rsid w:val="00232EFD"/>
    <w:rsid w:val="002331EE"/>
    <w:rsid w:val="002331EF"/>
    <w:rsid w:val="002336F8"/>
    <w:rsid w:val="0023410A"/>
    <w:rsid w:val="00234240"/>
    <w:rsid w:val="0023433B"/>
    <w:rsid w:val="002344D3"/>
    <w:rsid w:val="00234DDB"/>
    <w:rsid w:val="002354AE"/>
    <w:rsid w:val="002354C5"/>
    <w:rsid w:val="00235501"/>
    <w:rsid w:val="00236026"/>
    <w:rsid w:val="0023609A"/>
    <w:rsid w:val="00236B8F"/>
    <w:rsid w:val="002379DD"/>
    <w:rsid w:val="00237D0B"/>
    <w:rsid w:val="00237F56"/>
    <w:rsid w:val="002400B0"/>
    <w:rsid w:val="00240157"/>
    <w:rsid w:val="002402AE"/>
    <w:rsid w:val="00240A5E"/>
    <w:rsid w:val="00240D7C"/>
    <w:rsid w:val="00240E5E"/>
    <w:rsid w:val="00240FBE"/>
    <w:rsid w:val="0024161E"/>
    <w:rsid w:val="00241B71"/>
    <w:rsid w:val="00241B84"/>
    <w:rsid w:val="00241F44"/>
    <w:rsid w:val="00242182"/>
    <w:rsid w:val="00242256"/>
    <w:rsid w:val="00242295"/>
    <w:rsid w:val="00242A39"/>
    <w:rsid w:val="00242ABC"/>
    <w:rsid w:val="00242CF1"/>
    <w:rsid w:val="00243718"/>
    <w:rsid w:val="00243820"/>
    <w:rsid w:val="00244166"/>
    <w:rsid w:val="002443EC"/>
    <w:rsid w:val="0024488E"/>
    <w:rsid w:val="002449E7"/>
    <w:rsid w:val="002449F8"/>
    <w:rsid w:val="00244AAB"/>
    <w:rsid w:val="00244D2C"/>
    <w:rsid w:val="00246347"/>
    <w:rsid w:val="0024639F"/>
    <w:rsid w:val="002463DE"/>
    <w:rsid w:val="002466BC"/>
    <w:rsid w:val="00246A36"/>
    <w:rsid w:val="00246E77"/>
    <w:rsid w:val="002471C4"/>
    <w:rsid w:val="00247393"/>
    <w:rsid w:val="0024759C"/>
    <w:rsid w:val="002476AF"/>
    <w:rsid w:val="002477A0"/>
    <w:rsid w:val="002503CD"/>
    <w:rsid w:val="0025066A"/>
    <w:rsid w:val="0025076D"/>
    <w:rsid w:val="002509AE"/>
    <w:rsid w:val="00250AFB"/>
    <w:rsid w:val="00250BDD"/>
    <w:rsid w:val="00250D6C"/>
    <w:rsid w:val="00250E5F"/>
    <w:rsid w:val="00250E61"/>
    <w:rsid w:val="00251041"/>
    <w:rsid w:val="00251205"/>
    <w:rsid w:val="00251797"/>
    <w:rsid w:val="00251D80"/>
    <w:rsid w:val="00252041"/>
    <w:rsid w:val="00252326"/>
    <w:rsid w:val="00252E25"/>
    <w:rsid w:val="002530BD"/>
    <w:rsid w:val="0025321A"/>
    <w:rsid w:val="002532B4"/>
    <w:rsid w:val="0025342F"/>
    <w:rsid w:val="0025402F"/>
    <w:rsid w:val="002541AA"/>
    <w:rsid w:val="0025441B"/>
    <w:rsid w:val="00254A3B"/>
    <w:rsid w:val="00254AFB"/>
    <w:rsid w:val="00254B6D"/>
    <w:rsid w:val="00254D02"/>
    <w:rsid w:val="002556A4"/>
    <w:rsid w:val="002557ED"/>
    <w:rsid w:val="00255E9C"/>
    <w:rsid w:val="00255FBE"/>
    <w:rsid w:val="002562C8"/>
    <w:rsid w:val="00256608"/>
    <w:rsid w:val="00256A6B"/>
    <w:rsid w:val="00256F41"/>
    <w:rsid w:val="00256F47"/>
    <w:rsid w:val="0025700F"/>
    <w:rsid w:val="002578B2"/>
    <w:rsid w:val="00257908"/>
    <w:rsid w:val="00257B22"/>
    <w:rsid w:val="00260129"/>
    <w:rsid w:val="002602AE"/>
    <w:rsid w:val="002608B8"/>
    <w:rsid w:val="00260A79"/>
    <w:rsid w:val="002615C8"/>
    <w:rsid w:val="00261DA1"/>
    <w:rsid w:val="00261FD3"/>
    <w:rsid w:val="002622AA"/>
    <w:rsid w:val="002623C6"/>
    <w:rsid w:val="002625EF"/>
    <w:rsid w:val="00262712"/>
    <w:rsid w:val="00263874"/>
    <w:rsid w:val="00263C19"/>
    <w:rsid w:val="00263F6C"/>
    <w:rsid w:val="00264602"/>
    <w:rsid w:val="00264B89"/>
    <w:rsid w:val="00264CFB"/>
    <w:rsid w:val="00265905"/>
    <w:rsid w:val="00265C1C"/>
    <w:rsid w:val="00266003"/>
    <w:rsid w:val="002666F7"/>
    <w:rsid w:val="0026698F"/>
    <w:rsid w:val="00266B54"/>
    <w:rsid w:val="00266C98"/>
    <w:rsid w:val="00266D23"/>
    <w:rsid w:val="00267477"/>
    <w:rsid w:val="00267518"/>
    <w:rsid w:val="00267588"/>
    <w:rsid w:val="00267978"/>
    <w:rsid w:val="00267F75"/>
    <w:rsid w:val="0027030A"/>
    <w:rsid w:val="002704BC"/>
    <w:rsid w:val="00270856"/>
    <w:rsid w:val="00270D50"/>
    <w:rsid w:val="00270D55"/>
    <w:rsid w:val="002714C1"/>
    <w:rsid w:val="002716A4"/>
    <w:rsid w:val="002716F0"/>
    <w:rsid w:val="00271761"/>
    <w:rsid w:val="002718E6"/>
    <w:rsid w:val="0027193D"/>
    <w:rsid w:val="00271A4F"/>
    <w:rsid w:val="00272083"/>
    <w:rsid w:val="0027291E"/>
    <w:rsid w:val="00272D23"/>
    <w:rsid w:val="00272F56"/>
    <w:rsid w:val="0027343B"/>
    <w:rsid w:val="00273662"/>
    <w:rsid w:val="0027390E"/>
    <w:rsid w:val="00273E53"/>
    <w:rsid w:val="00273F04"/>
    <w:rsid w:val="00273FF7"/>
    <w:rsid w:val="002743CD"/>
    <w:rsid w:val="00274423"/>
    <w:rsid w:val="002746A2"/>
    <w:rsid w:val="002748F2"/>
    <w:rsid w:val="00274E08"/>
    <w:rsid w:val="00274EC3"/>
    <w:rsid w:val="0027578E"/>
    <w:rsid w:val="002759EF"/>
    <w:rsid w:val="00275B64"/>
    <w:rsid w:val="00275D3C"/>
    <w:rsid w:val="00275E70"/>
    <w:rsid w:val="0027603F"/>
    <w:rsid w:val="002760F2"/>
    <w:rsid w:val="00276119"/>
    <w:rsid w:val="0027619B"/>
    <w:rsid w:val="002763C1"/>
    <w:rsid w:val="0027642B"/>
    <w:rsid w:val="00276667"/>
    <w:rsid w:val="0027683F"/>
    <w:rsid w:val="00276B90"/>
    <w:rsid w:val="00276CB4"/>
    <w:rsid w:val="002770E2"/>
    <w:rsid w:val="00277D74"/>
    <w:rsid w:val="00280383"/>
    <w:rsid w:val="002803D4"/>
    <w:rsid w:val="0028049E"/>
    <w:rsid w:val="002805E9"/>
    <w:rsid w:val="00280A3E"/>
    <w:rsid w:val="00280AE6"/>
    <w:rsid w:val="00280F15"/>
    <w:rsid w:val="00281018"/>
    <w:rsid w:val="0028154D"/>
    <w:rsid w:val="00281DA9"/>
    <w:rsid w:val="00282134"/>
    <w:rsid w:val="00282585"/>
    <w:rsid w:val="002825AC"/>
    <w:rsid w:val="00282C66"/>
    <w:rsid w:val="00283BD3"/>
    <w:rsid w:val="00284AC2"/>
    <w:rsid w:val="00284CDF"/>
    <w:rsid w:val="00284ED6"/>
    <w:rsid w:val="00284F46"/>
    <w:rsid w:val="0028550C"/>
    <w:rsid w:val="0028585E"/>
    <w:rsid w:val="00285AAF"/>
    <w:rsid w:val="00285F3D"/>
    <w:rsid w:val="0028618D"/>
    <w:rsid w:val="00286295"/>
    <w:rsid w:val="00286400"/>
    <w:rsid w:val="00286C7D"/>
    <w:rsid w:val="00286F1F"/>
    <w:rsid w:val="00286FE1"/>
    <w:rsid w:val="002871DF"/>
    <w:rsid w:val="002875AA"/>
    <w:rsid w:val="0028769E"/>
    <w:rsid w:val="0028776D"/>
    <w:rsid w:val="00287BED"/>
    <w:rsid w:val="00287D61"/>
    <w:rsid w:val="00287F2C"/>
    <w:rsid w:val="00290972"/>
    <w:rsid w:val="00290C6F"/>
    <w:rsid w:val="00290CEE"/>
    <w:rsid w:val="00291110"/>
    <w:rsid w:val="002911DF"/>
    <w:rsid w:val="00291494"/>
    <w:rsid w:val="002916BA"/>
    <w:rsid w:val="00291A24"/>
    <w:rsid w:val="00291A2F"/>
    <w:rsid w:val="00291BB2"/>
    <w:rsid w:val="00291CB6"/>
    <w:rsid w:val="00292775"/>
    <w:rsid w:val="00292986"/>
    <w:rsid w:val="00292AE2"/>
    <w:rsid w:val="00292C48"/>
    <w:rsid w:val="00292D68"/>
    <w:rsid w:val="00293340"/>
    <w:rsid w:val="00293450"/>
    <w:rsid w:val="00293499"/>
    <w:rsid w:val="00293BF4"/>
    <w:rsid w:val="00293C0E"/>
    <w:rsid w:val="00293D17"/>
    <w:rsid w:val="00293F58"/>
    <w:rsid w:val="0029407B"/>
    <w:rsid w:val="00294B1C"/>
    <w:rsid w:val="00294EB2"/>
    <w:rsid w:val="002952F7"/>
    <w:rsid w:val="002953D4"/>
    <w:rsid w:val="00295947"/>
    <w:rsid w:val="0029607E"/>
    <w:rsid w:val="00297090"/>
    <w:rsid w:val="00297184"/>
    <w:rsid w:val="00297716"/>
    <w:rsid w:val="0029790F"/>
    <w:rsid w:val="002A0455"/>
    <w:rsid w:val="002A079B"/>
    <w:rsid w:val="002A0A4E"/>
    <w:rsid w:val="002A0A8B"/>
    <w:rsid w:val="002A0DC8"/>
    <w:rsid w:val="002A1210"/>
    <w:rsid w:val="002A1382"/>
    <w:rsid w:val="002A182B"/>
    <w:rsid w:val="002A1AA5"/>
    <w:rsid w:val="002A1F4E"/>
    <w:rsid w:val="002A2642"/>
    <w:rsid w:val="002A2831"/>
    <w:rsid w:val="002A384E"/>
    <w:rsid w:val="002A396B"/>
    <w:rsid w:val="002A3BCF"/>
    <w:rsid w:val="002A3D81"/>
    <w:rsid w:val="002A3F5C"/>
    <w:rsid w:val="002A407D"/>
    <w:rsid w:val="002A44B6"/>
    <w:rsid w:val="002A5CB0"/>
    <w:rsid w:val="002A6544"/>
    <w:rsid w:val="002A6BE7"/>
    <w:rsid w:val="002A6CB0"/>
    <w:rsid w:val="002A6CDE"/>
    <w:rsid w:val="002A6F27"/>
    <w:rsid w:val="002A6F8B"/>
    <w:rsid w:val="002A6F90"/>
    <w:rsid w:val="002A71D2"/>
    <w:rsid w:val="002A7B02"/>
    <w:rsid w:val="002A7E86"/>
    <w:rsid w:val="002B02BA"/>
    <w:rsid w:val="002B0467"/>
    <w:rsid w:val="002B04B7"/>
    <w:rsid w:val="002B0C13"/>
    <w:rsid w:val="002B0CA6"/>
    <w:rsid w:val="002B0D7A"/>
    <w:rsid w:val="002B0EB5"/>
    <w:rsid w:val="002B1743"/>
    <w:rsid w:val="002B1890"/>
    <w:rsid w:val="002B18F1"/>
    <w:rsid w:val="002B1B39"/>
    <w:rsid w:val="002B1FC4"/>
    <w:rsid w:val="002B2160"/>
    <w:rsid w:val="002B2360"/>
    <w:rsid w:val="002B2A4C"/>
    <w:rsid w:val="002B2B32"/>
    <w:rsid w:val="002B2CAC"/>
    <w:rsid w:val="002B2DA8"/>
    <w:rsid w:val="002B2EE3"/>
    <w:rsid w:val="002B2F82"/>
    <w:rsid w:val="002B324E"/>
    <w:rsid w:val="002B3748"/>
    <w:rsid w:val="002B3C69"/>
    <w:rsid w:val="002B3E29"/>
    <w:rsid w:val="002B456B"/>
    <w:rsid w:val="002B4844"/>
    <w:rsid w:val="002B4CB2"/>
    <w:rsid w:val="002B4D41"/>
    <w:rsid w:val="002B4FA1"/>
    <w:rsid w:val="002B5064"/>
    <w:rsid w:val="002B50B4"/>
    <w:rsid w:val="002B519B"/>
    <w:rsid w:val="002B54A9"/>
    <w:rsid w:val="002B569F"/>
    <w:rsid w:val="002B5B83"/>
    <w:rsid w:val="002B5EC2"/>
    <w:rsid w:val="002B61B6"/>
    <w:rsid w:val="002B6221"/>
    <w:rsid w:val="002B6A60"/>
    <w:rsid w:val="002B6A66"/>
    <w:rsid w:val="002B6CA8"/>
    <w:rsid w:val="002B6D05"/>
    <w:rsid w:val="002B6E6F"/>
    <w:rsid w:val="002B6EB2"/>
    <w:rsid w:val="002B77AF"/>
    <w:rsid w:val="002B7CA3"/>
    <w:rsid w:val="002B7D4A"/>
    <w:rsid w:val="002B7E24"/>
    <w:rsid w:val="002C000A"/>
    <w:rsid w:val="002C0328"/>
    <w:rsid w:val="002C054D"/>
    <w:rsid w:val="002C0959"/>
    <w:rsid w:val="002C0B77"/>
    <w:rsid w:val="002C0F36"/>
    <w:rsid w:val="002C121C"/>
    <w:rsid w:val="002C16D7"/>
    <w:rsid w:val="002C189E"/>
    <w:rsid w:val="002C20A6"/>
    <w:rsid w:val="002C213E"/>
    <w:rsid w:val="002C21F1"/>
    <w:rsid w:val="002C25A0"/>
    <w:rsid w:val="002C2BE9"/>
    <w:rsid w:val="002C2D15"/>
    <w:rsid w:val="002C2FA9"/>
    <w:rsid w:val="002C3127"/>
    <w:rsid w:val="002C3213"/>
    <w:rsid w:val="002C35FC"/>
    <w:rsid w:val="002C3768"/>
    <w:rsid w:val="002C3879"/>
    <w:rsid w:val="002C4186"/>
    <w:rsid w:val="002C41CB"/>
    <w:rsid w:val="002C4321"/>
    <w:rsid w:val="002C4498"/>
    <w:rsid w:val="002C4FFE"/>
    <w:rsid w:val="002C501D"/>
    <w:rsid w:val="002C551B"/>
    <w:rsid w:val="002C56F7"/>
    <w:rsid w:val="002C634A"/>
    <w:rsid w:val="002C64B9"/>
    <w:rsid w:val="002C6660"/>
    <w:rsid w:val="002C7582"/>
    <w:rsid w:val="002C793C"/>
    <w:rsid w:val="002C7DA5"/>
    <w:rsid w:val="002C7EBD"/>
    <w:rsid w:val="002D01F4"/>
    <w:rsid w:val="002D03C2"/>
    <w:rsid w:val="002D0450"/>
    <w:rsid w:val="002D09FA"/>
    <w:rsid w:val="002D0A02"/>
    <w:rsid w:val="002D0AF5"/>
    <w:rsid w:val="002D0C8A"/>
    <w:rsid w:val="002D0E4F"/>
    <w:rsid w:val="002D1A84"/>
    <w:rsid w:val="002D1EBC"/>
    <w:rsid w:val="002D2302"/>
    <w:rsid w:val="002D24C4"/>
    <w:rsid w:val="002D2502"/>
    <w:rsid w:val="002D2DA8"/>
    <w:rsid w:val="002D2DD4"/>
    <w:rsid w:val="002D2EEF"/>
    <w:rsid w:val="002D2F94"/>
    <w:rsid w:val="002D36D8"/>
    <w:rsid w:val="002D3E92"/>
    <w:rsid w:val="002D3FFA"/>
    <w:rsid w:val="002D46CF"/>
    <w:rsid w:val="002D47C1"/>
    <w:rsid w:val="002D4DAC"/>
    <w:rsid w:val="002D5022"/>
    <w:rsid w:val="002D52F2"/>
    <w:rsid w:val="002D5A38"/>
    <w:rsid w:val="002D5B41"/>
    <w:rsid w:val="002D5B7B"/>
    <w:rsid w:val="002D5B90"/>
    <w:rsid w:val="002D5BF1"/>
    <w:rsid w:val="002D5D63"/>
    <w:rsid w:val="002D5E6E"/>
    <w:rsid w:val="002D5F41"/>
    <w:rsid w:val="002D638B"/>
    <w:rsid w:val="002D67DD"/>
    <w:rsid w:val="002D6836"/>
    <w:rsid w:val="002D6FD2"/>
    <w:rsid w:val="002D7001"/>
    <w:rsid w:val="002D711D"/>
    <w:rsid w:val="002D72DE"/>
    <w:rsid w:val="002D7536"/>
    <w:rsid w:val="002D7898"/>
    <w:rsid w:val="002E001E"/>
    <w:rsid w:val="002E0167"/>
    <w:rsid w:val="002E02BF"/>
    <w:rsid w:val="002E0359"/>
    <w:rsid w:val="002E0468"/>
    <w:rsid w:val="002E048F"/>
    <w:rsid w:val="002E0621"/>
    <w:rsid w:val="002E0A3A"/>
    <w:rsid w:val="002E0BE2"/>
    <w:rsid w:val="002E0F43"/>
    <w:rsid w:val="002E10A9"/>
    <w:rsid w:val="002E11C4"/>
    <w:rsid w:val="002E1932"/>
    <w:rsid w:val="002E2249"/>
    <w:rsid w:val="002E26DA"/>
    <w:rsid w:val="002E2A49"/>
    <w:rsid w:val="002E33A6"/>
    <w:rsid w:val="002E3522"/>
    <w:rsid w:val="002E3B7B"/>
    <w:rsid w:val="002E3C10"/>
    <w:rsid w:val="002E4230"/>
    <w:rsid w:val="002E4235"/>
    <w:rsid w:val="002E51B6"/>
    <w:rsid w:val="002E6540"/>
    <w:rsid w:val="002E6C13"/>
    <w:rsid w:val="002E6FB6"/>
    <w:rsid w:val="002E704B"/>
    <w:rsid w:val="002E7568"/>
    <w:rsid w:val="002E78C1"/>
    <w:rsid w:val="002E7BAB"/>
    <w:rsid w:val="002F006E"/>
    <w:rsid w:val="002F0626"/>
    <w:rsid w:val="002F1380"/>
    <w:rsid w:val="002F13DD"/>
    <w:rsid w:val="002F17C5"/>
    <w:rsid w:val="002F18CB"/>
    <w:rsid w:val="002F1A8F"/>
    <w:rsid w:val="002F279F"/>
    <w:rsid w:val="002F2965"/>
    <w:rsid w:val="002F2F89"/>
    <w:rsid w:val="002F3006"/>
    <w:rsid w:val="002F3070"/>
    <w:rsid w:val="002F3123"/>
    <w:rsid w:val="002F37AB"/>
    <w:rsid w:val="002F3A8D"/>
    <w:rsid w:val="002F3E87"/>
    <w:rsid w:val="002F4464"/>
    <w:rsid w:val="002F44D3"/>
    <w:rsid w:val="002F461A"/>
    <w:rsid w:val="002F46AC"/>
    <w:rsid w:val="002F4820"/>
    <w:rsid w:val="002F4DFB"/>
    <w:rsid w:val="002F5099"/>
    <w:rsid w:val="002F591C"/>
    <w:rsid w:val="002F5929"/>
    <w:rsid w:val="002F5955"/>
    <w:rsid w:val="002F5FDD"/>
    <w:rsid w:val="002F6044"/>
    <w:rsid w:val="002F6235"/>
    <w:rsid w:val="002F624B"/>
    <w:rsid w:val="002F6530"/>
    <w:rsid w:val="002F65D2"/>
    <w:rsid w:val="002F6C8E"/>
    <w:rsid w:val="002F6DC4"/>
    <w:rsid w:val="002F6DD3"/>
    <w:rsid w:val="002F7939"/>
    <w:rsid w:val="002F7B68"/>
    <w:rsid w:val="002F7CAB"/>
    <w:rsid w:val="002F7DDB"/>
    <w:rsid w:val="002F7EDD"/>
    <w:rsid w:val="0030008E"/>
    <w:rsid w:val="003000CA"/>
    <w:rsid w:val="003009FB"/>
    <w:rsid w:val="00300DC4"/>
    <w:rsid w:val="003014A5"/>
    <w:rsid w:val="00301B2E"/>
    <w:rsid w:val="00301F6C"/>
    <w:rsid w:val="0030218D"/>
    <w:rsid w:val="00302687"/>
    <w:rsid w:val="0030270A"/>
    <w:rsid w:val="00302971"/>
    <w:rsid w:val="00302A65"/>
    <w:rsid w:val="003030B0"/>
    <w:rsid w:val="003031B6"/>
    <w:rsid w:val="00303209"/>
    <w:rsid w:val="00303256"/>
    <w:rsid w:val="00303320"/>
    <w:rsid w:val="003035E3"/>
    <w:rsid w:val="003038C5"/>
    <w:rsid w:val="00303A23"/>
    <w:rsid w:val="00303FCA"/>
    <w:rsid w:val="003044D2"/>
    <w:rsid w:val="0030452C"/>
    <w:rsid w:val="003045B1"/>
    <w:rsid w:val="0030464D"/>
    <w:rsid w:val="003047F9"/>
    <w:rsid w:val="00304A49"/>
    <w:rsid w:val="00305295"/>
    <w:rsid w:val="00305E34"/>
    <w:rsid w:val="00306753"/>
    <w:rsid w:val="00306755"/>
    <w:rsid w:val="0030687E"/>
    <w:rsid w:val="00306E58"/>
    <w:rsid w:val="00307A8C"/>
    <w:rsid w:val="00310230"/>
    <w:rsid w:val="00310251"/>
    <w:rsid w:val="00310453"/>
    <w:rsid w:val="003104BB"/>
    <w:rsid w:val="00310688"/>
    <w:rsid w:val="003107D6"/>
    <w:rsid w:val="0031081E"/>
    <w:rsid w:val="003108D9"/>
    <w:rsid w:val="00311B03"/>
    <w:rsid w:val="00312162"/>
    <w:rsid w:val="00312387"/>
    <w:rsid w:val="003125BF"/>
    <w:rsid w:val="00312A72"/>
    <w:rsid w:val="00312AEE"/>
    <w:rsid w:val="00312B33"/>
    <w:rsid w:val="00312F9D"/>
    <w:rsid w:val="003134AE"/>
    <w:rsid w:val="003134F0"/>
    <w:rsid w:val="003135CE"/>
    <w:rsid w:val="003137B8"/>
    <w:rsid w:val="0031397F"/>
    <w:rsid w:val="00313B55"/>
    <w:rsid w:val="00313C25"/>
    <w:rsid w:val="00313D5B"/>
    <w:rsid w:val="00313D78"/>
    <w:rsid w:val="00313EA8"/>
    <w:rsid w:val="003140A0"/>
    <w:rsid w:val="003142FB"/>
    <w:rsid w:val="00314918"/>
    <w:rsid w:val="00314BF6"/>
    <w:rsid w:val="00314FF0"/>
    <w:rsid w:val="003150E2"/>
    <w:rsid w:val="00315308"/>
    <w:rsid w:val="0031530E"/>
    <w:rsid w:val="003158C3"/>
    <w:rsid w:val="003158EF"/>
    <w:rsid w:val="00315C95"/>
    <w:rsid w:val="00315D95"/>
    <w:rsid w:val="00315E72"/>
    <w:rsid w:val="003161A6"/>
    <w:rsid w:val="00316C1F"/>
    <w:rsid w:val="00316FEE"/>
    <w:rsid w:val="00317F91"/>
    <w:rsid w:val="003204B3"/>
    <w:rsid w:val="003206DC"/>
    <w:rsid w:val="00320DFC"/>
    <w:rsid w:val="003213F1"/>
    <w:rsid w:val="00321D3D"/>
    <w:rsid w:val="0032228D"/>
    <w:rsid w:val="003225DA"/>
    <w:rsid w:val="00322740"/>
    <w:rsid w:val="00322869"/>
    <w:rsid w:val="00322B1E"/>
    <w:rsid w:val="003235F2"/>
    <w:rsid w:val="00323947"/>
    <w:rsid w:val="0032398E"/>
    <w:rsid w:val="00323AEC"/>
    <w:rsid w:val="00323F83"/>
    <w:rsid w:val="00324419"/>
    <w:rsid w:val="00324A12"/>
    <w:rsid w:val="00324A98"/>
    <w:rsid w:val="00324BC5"/>
    <w:rsid w:val="00324CE8"/>
    <w:rsid w:val="00324D43"/>
    <w:rsid w:val="00325736"/>
    <w:rsid w:val="00325868"/>
    <w:rsid w:val="00325C6B"/>
    <w:rsid w:val="00325C79"/>
    <w:rsid w:val="00325EDF"/>
    <w:rsid w:val="003262D7"/>
    <w:rsid w:val="00326734"/>
    <w:rsid w:val="00326B8D"/>
    <w:rsid w:val="00326D4E"/>
    <w:rsid w:val="00326D6F"/>
    <w:rsid w:val="00326FA3"/>
    <w:rsid w:val="00327219"/>
    <w:rsid w:val="003272EE"/>
    <w:rsid w:val="0032747D"/>
    <w:rsid w:val="00327836"/>
    <w:rsid w:val="003279DE"/>
    <w:rsid w:val="00327D5D"/>
    <w:rsid w:val="00327E73"/>
    <w:rsid w:val="00327F47"/>
    <w:rsid w:val="00330486"/>
    <w:rsid w:val="003306A8"/>
    <w:rsid w:val="00330AAA"/>
    <w:rsid w:val="00330F28"/>
    <w:rsid w:val="003314C8"/>
    <w:rsid w:val="003315D5"/>
    <w:rsid w:val="00331DA8"/>
    <w:rsid w:val="00331FBD"/>
    <w:rsid w:val="00331FF0"/>
    <w:rsid w:val="00332060"/>
    <w:rsid w:val="0033286D"/>
    <w:rsid w:val="0033297A"/>
    <w:rsid w:val="00332B5E"/>
    <w:rsid w:val="00332F3E"/>
    <w:rsid w:val="003336C9"/>
    <w:rsid w:val="0033382F"/>
    <w:rsid w:val="00333CE4"/>
    <w:rsid w:val="00334F3B"/>
    <w:rsid w:val="0033580B"/>
    <w:rsid w:val="00335B10"/>
    <w:rsid w:val="00336342"/>
    <w:rsid w:val="003365D5"/>
    <w:rsid w:val="0033699E"/>
    <w:rsid w:val="00336FA8"/>
    <w:rsid w:val="00337242"/>
    <w:rsid w:val="00337369"/>
    <w:rsid w:val="00337585"/>
    <w:rsid w:val="00337B4D"/>
    <w:rsid w:val="00337B4F"/>
    <w:rsid w:val="00337D9A"/>
    <w:rsid w:val="00340066"/>
    <w:rsid w:val="00340586"/>
    <w:rsid w:val="00340964"/>
    <w:rsid w:val="003409D3"/>
    <w:rsid w:val="003412D5"/>
    <w:rsid w:val="003417FB"/>
    <w:rsid w:val="00341D18"/>
    <w:rsid w:val="00342B5B"/>
    <w:rsid w:val="00342EB2"/>
    <w:rsid w:val="00342F4A"/>
    <w:rsid w:val="003431FD"/>
    <w:rsid w:val="00343594"/>
    <w:rsid w:val="00343996"/>
    <w:rsid w:val="00343B77"/>
    <w:rsid w:val="00343D72"/>
    <w:rsid w:val="00344A74"/>
    <w:rsid w:val="00344BFF"/>
    <w:rsid w:val="00344C2B"/>
    <w:rsid w:val="00345026"/>
    <w:rsid w:val="0034503C"/>
    <w:rsid w:val="0034540B"/>
    <w:rsid w:val="00346434"/>
    <w:rsid w:val="003466C0"/>
    <w:rsid w:val="00346F09"/>
    <w:rsid w:val="00347237"/>
    <w:rsid w:val="00347585"/>
    <w:rsid w:val="0034767D"/>
    <w:rsid w:val="0034771F"/>
    <w:rsid w:val="0034780E"/>
    <w:rsid w:val="00347B9F"/>
    <w:rsid w:val="00347E83"/>
    <w:rsid w:val="00350665"/>
    <w:rsid w:val="00350B12"/>
    <w:rsid w:val="00351046"/>
    <w:rsid w:val="00351092"/>
    <w:rsid w:val="00351A0B"/>
    <w:rsid w:val="00351A40"/>
    <w:rsid w:val="00351AD9"/>
    <w:rsid w:val="00351B25"/>
    <w:rsid w:val="00351B81"/>
    <w:rsid w:val="00351F7D"/>
    <w:rsid w:val="0035212E"/>
    <w:rsid w:val="00353A18"/>
    <w:rsid w:val="00353DBE"/>
    <w:rsid w:val="003540DD"/>
    <w:rsid w:val="00354287"/>
    <w:rsid w:val="00354291"/>
    <w:rsid w:val="00354595"/>
    <w:rsid w:val="00354A0F"/>
    <w:rsid w:val="00354BEC"/>
    <w:rsid w:val="00355056"/>
    <w:rsid w:val="0035529C"/>
    <w:rsid w:val="0035564C"/>
    <w:rsid w:val="003558B2"/>
    <w:rsid w:val="003559B0"/>
    <w:rsid w:val="00355B2E"/>
    <w:rsid w:val="00355B91"/>
    <w:rsid w:val="003568F2"/>
    <w:rsid w:val="00356D1E"/>
    <w:rsid w:val="00357340"/>
    <w:rsid w:val="003574A5"/>
    <w:rsid w:val="00357A5A"/>
    <w:rsid w:val="00357D1D"/>
    <w:rsid w:val="00357D9A"/>
    <w:rsid w:val="00357E22"/>
    <w:rsid w:val="00357E3E"/>
    <w:rsid w:val="00357E73"/>
    <w:rsid w:val="0036077B"/>
    <w:rsid w:val="0036078E"/>
    <w:rsid w:val="00360ABA"/>
    <w:rsid w:val="00360B8F"/>
    <w:rsid w:val="00361032"/>
    <w:rsid w:val="00361326"/>
    <w:rsid w:val="00361374"/>
    <w:rsid w:val="00361413"/>
    <w:rsid w:val="003615EE"/>
    <w:rsid w:val="00361909"/>
    <w:rsid w:val="00361D57"/>
    <w:rsid w:val="003620C4"/>
    <w:rsid w:val="00362289"/>
    <w:rsid w:val="0036255F"/>
    <w:rsid w:val="003632CA"/>
    <w:rsid w:val="00363467"/>
    <w:rsid w:val="00363646"/>
    <w:rsid w:val="003637FC"/>
    <w:rsid w:val="003642DD"/>
    <w:rsid w:val="0036484F"/>
    <w:rsid w:val="00364A91"/>
    <w:rsid w:val="003650DA"/>
    <w:rsid w:val="00365786"/>
    <w:rsid w:val="0036597D"/>
    <w:rsid w:val="0036610E"/>
    <w:rsid w:val="00366345"/>
    <w:rsid w:val="00366732"/>
    <w:rsid w:val="00366B3E"/>
    <w:rsid w:val="003671E8"/>
    <w:rsid w:val="00367286"/>
    <w:rsid w:val="003676FD"/>
    <w:rsid w:val="0036773B"/>
    <w:rsid w:val="00367B2E"/>
    <w:rsid w:val="00367E5C"/>
    <w:rsid w:val="00370043"/>
    <w:rsid w:val="003701AE"/>
    <w:rsid w:val="00370416"/>
    <w:rsid w:val="00370694"/>
    <w:rsid w:val="00370918"/>
    <w:rsid w:val="00370C61"/>
    <w:rsid w:val="00370CAC"/>
    <w:rsid w:val="00371517"/>
    <w:rsid w:val="0037193F"/>
    <w:rsid w:val="00372382"/>
    <w:rsid w:val="00372612"/>
    <w:rsid w:val="00372A63"/>
    <w:rsid w:val="00372EAE"/>
    <w:rsid w:val="0037308D"/>
    <w:rsid w:val="00373B26"/>
    <w:rsid w:val="00373DBC"/>
    <w:rsid w:val="00373E3C"/>
    <w:rsid w:val="00373FC4"/>
    <w:rsid w:val="0037446D"/>
    <w:rsid w:val="003746DB"/>
    <w:rsid w:val="00375340"/>
    <w:rsid w:val="00375412"/>
    <w:rsid w:val="00375CBB"/>
    <w:rsid w:val="00376281"/>
    <w:rsid w:val="00376591"/>
    <w:rsid w:val="0037671B"/>
    <w:rsid w:val="00376EA7"/>
    <w:rsid w:val="003771D4"/>
    <w:rsid w:val="003773FD"/>
    <w:rsid w:val="0037763B"/>
    <w:rsid w:val="0037780D"/>
    <w:rsid w:val="0037791D"/>
    <w:rsid w:val="003779C6"/>
    <w:rsid w:val="00380197"/>
    <w:rsid w:val="00380A35"/>
    <w:rsid w:val="00380C90"/>
    <w:rsid w:val="00380DB1"/>
    <w:rsid w:val="00380E62"/>
    <w:rsid w:val="003816AC"/>
    <w:rsid w:val="003820EB"/>
    <w:rsid w:val="003820F7"/>
    <w:rsid w:val="00382392"/>
    <w:rsid w:val="003824BD"/>
    <w:rsid w:val="00382860"/>
    <w:rsid w:val="00382A67"/>
    <w:rsid w:val="00382D18"/>
    <w:rsid w:val="00382D5A"/>
    <w:rsid w:val="003833CD"/>
    <w:rsid w:val="00383802"/>
    <w:rsid w:val="0038381A"/>
    <w:rsid w:val="00383A66"/>
    <w:rsid w:val="00383C44"/>
    <w:rsid w:val="00383EA1"/>
    <w:rsid w:val="00384238"/>
    <w:rsid w:val="003845BF"/>
    <w:rsid w:val="00384EF8"/>
    <w:rsid w:val="00384F13"/>
    <w:rsid w:val="0038512F"/>
    <w:rsid w:val="003853FA"/>
    <w:rsid w:val="00385413"/>
    <w:rsid w:val="00385831"/>
    <w:rsid w:val="003858B1"/>
    <w:rsid w:val="00386A21"/>
    <w:rsid w:val="00386A22"/>
    <w:rsid w:val="00386C1D"/>
    <w:rsid w:val="00386E51"/>
    <w:rsid w:val="0039062D"/>
    <w:rsid w:val="0039123E"/>
    <w:rsid w:val="003912F6"/>
    <w:rsid w:val="0039138D"/>
    <w:rsid w:val="0039157A"/>
    <w:rsid w:val="00391646"/>
    <w:rsid w:val="00391FC7"/>
    <w:rsid w:val="00392671"/>
    <w:rsid w:val="0039273E"/>
    <w:rsid w:val="003927AD"/>
    <w:rsid w:val="00392844"/>
    <w:rsid w:val="0039298E"/>
    <w:rsid w:val="00392C97"/>
    <w:rsid w:val="00393275"/>
    <w:rsid w:val="003938D6"/>
    <w:rsid w:val="00393A45"/>
    <w:rsid w:val="00393AB4"/>
    <w:rsid w:val="00393B5C"/>
    <w:rsid w:val="003941C8"/>
    <w:rsid w:val="0039420F"/>
    <w:rsid w:val="00394370"/>
    <w:rsid w:val="0039484C"/>
    <w:rsid w:val="0039553E"/>
    <w:rsid w:val="0039593C"/>
    <w:rsid w:val="00395E65"/>
    <w:rsid w:val="00395E80"/>
    <w:rsid w:val="00396435"/>
    <w:rsid w:val="00396472"/>
    <w:rsid w:val="003964C7"/>
    <w:rsid w:val="0039693D"/>
    <w:rsid w:val="00396B75"/>
    <w:rsid w:val="0039700E"/>
    <w:rsid w:val="003977D0"/>
    <w:rsid w:val="00397C52"/>
    <w:rsid w:val="003A091F"/>
    <w:rsid w:val="003A0E37"/>
    <w:rsid w:val="003A0F6F"/>
    <w:rsid w:val="003A10E2"/>
    <w:rsid w:val="003A1193"/>
    <w:rsid w:val="003A1530"/>
    <w:rsid w:val="003A165D"/>
    <w:rsid w:val="003A17C3"/>
    <w:rsid w:val="003A1E90"/>
    <w:rsid w:val="003A2385"/>
    <w:rsid w:val="003A23C2"/>
    <w:rsid w:val="003A2D71"/>
    <w:rsid w:val="003A34D0"/>
    <w:rsid w:val="003A38D3"/>
    <w:rsid w:val="003A3C92"/>
    <w:rsid w:val="003A40C2"/>
    <w:rsid w:val="003A4186"/>
    <w:rsid w:val="003A41E0"/>
    <w:rsid w:val="003A4494"/>
    <w:rsid w:val="003A4848"/>
    <w:rsid w:val="003A4B5E"/>
    <w:rsid w:val="003A4D43"/>
    <w:rsid w:val="003A4F19"/>
    <w:rsid w:val="003A50BF"/>
    <w:rsid w:val="003A559A"/>
    <w:rsid w:val="003A5DDF"/>
    <w:rsid w:val="003A60EB"/>
    <w:rsid w:val="003A6251"/>
    <w:rsid w:val="003A64B1"/>
    <w:rsid w:val="003A6582"/>
    <w:rsid w:val="003A65A9"/>
    <w:rsid w:val="003A693B"/>
    <w:rsid w:val="003A6EAC"/>
    <w:rsid w:val="003A78E6"/>
    <w:rsid w:val="003A7B99"/>
    <w:rsid w:val="003A7C0C"/>
    <w:rsid w:val="003A7C74"/>
    <w:rsid w:val="003A7F7F"/>
    <w:rsid w:val="003B0235"/>
    <w:rsid w:val="003B0674"/>
    <w:rsid w:val="003B09FC"/>
    <w:rsid w:val="003B0CF8"/>
    <w:rsid w:val="003B117C"/>
    <w:rsid w:val="003B1430"/>
    <w:rsid w:val="003B1D93"/>
    <w:rsid w:val="003B2355"/>
    <w:rsid w:val="003B27D3"/>
    <w:rsid w:val="003B2ADF"/>
    <w:rsid w:val="003B2DBD"/>
    <w:rsid w:val="003B3057"/>
    <w:rsid w:val="003B322B"/>
    <w:rsid w:val="003B3673"/>
    <w:rsid w:val="003B3B52"/>
    <w:rsid w:val="003B3BAC"/>
    <w:rsid w:val="003B4070"/>
    <w:rsid w:val="003B42E0"/>
    <w:rsid w:val="003B4571"/>
    <w:rsid w:val="003B470E"/>
    <w:rsid w:val="003B5036"/>
    <w:rsid w:val="003B50BA"/>
    <w:rsid w:val="003B5807"/>
    <w:rsid w:val="003B592B"/>
    <w:rsid w:val="003B59C0"/>
    <w:rsid w:val="003B5B6F"/>
    <w:rsid w:val="003B61D5"/>
    <w:rsid w:val="003B6522"/>
    <w:rsid w:val="003B663B"/>
    <w:rsid w:val="003B6E18"/>
    <w:rsid w:val="003B72BD"/>
    <w:rsid w:val="003B762F"/>
    <w:rsid w:val="003B7714"/>
    <w:rsid w:val="003B7838"/>
    <w:rsid w:val="003C00C3"/>
    <w:rsid w:val="003C012D"/>
    <w:rsid w:val="003C05B0"/>
    <w:rsid w:val="003C0A4B"/>
    <w:rsid w:val="003C0E05"/>
    <w:rsid w:val="003C1867"/>
    <w:rsid w:val="003C1C0D"/>
    <w:rsid w:val="003C1FDD"/>
    <w:rsid w:val="003C2807"/>
    <w:rsid w:val="003C2C54"/>
    <w:rsid w:val="003C3460"/>
    <w:rsid w:val="003C3520"/>
    <w:rsid w:val="003C3AC0"/>
    <w:rsid w:val="003C4182"/>
    <w:rsid w:val="003C4294"/>
    <w:rsid w:val="003C44AC"/>
    <w:rsid w:val="003C5363"/>
    <w:rsid w:val="003C53F5"/>
    <w:rsid w:val="003C5835"/>
    <w:rsid w:val="003C5C32"/>
    <w:rsid w:val="003C5E7A"/>
    <w:rsid w:val="003C5E7E"/>
    <w:rsid w:val="003C6146"/>
    <w:rsid w:val="003C6230"/>
    <w:rsid w:val="003C6483"/>
    <w:rsid w:val="003C64C7"/>
    <w:rsid w:val="003C65E6"/>
    <w:rsid w:val="003C6680"/>
    <w:rsid w:val="003C6941"/>
    <w:rsid w:val="003C6C77"/>
    <w:rsid w:val="003C6EB4"/>
    <w:rsid w:val="003C7049"/>
    <w:rsid w:val="003C70DA"/>
    <w:rsid w:val="003C7488"/>
    <w:rsid w:val="003C7866"/>
    <w:rsid w:val="003C7BCA"/>
    <w:rsid w:val="003D02AA"/>
    <w:rsid w:val="003D03BE"/>
    <w:rsid w:val="003D07AC"/>
    <w:rsid w:val="003D07B7"/>
    <w:rsid w:val="003D0CD5"/>
    <w:rsid w:val="003D117C"/>
    <w:rsid w:val="003D1378"/>
    <w:rsid w:val="003D18D5"/>
    <w:rsid w:val="003D1D23"/>
    <w:rsid w:val="003D20EB"/>
    <w:rsid w:val="003D27C7"/>
    <w:rsid w:val="003D27FB"/>
    <w:rsid w:val="003D2939"/>
    <w:rsid w:val="003D2A34"/>
    <w:rsid w:val="003D2E53"/>
    <w:rsid w:val="003D381A"/>
    <w:rsid w:val="003D3D98"/>
    <w:rsid w:val="003D3F06"/>
    <w:rsid w:val="003D41A8"/>
    <w:rsid w:val="003D4731"/>
    <w:rsid w:val="003D4815"/>
    <w:rsid w:val="003D484D"/>
    <w:rsid w:val="003D4A34"/>
    <w:rsid w:val="003D56F0"/>
    <w:rsid w:val="003D59C8"/>
    <w:rsid w:val="003D59D8"/>
    <w:rsid w:val="003D5B52"/>
    <w:rsid w:val="003D6163"/>
    <w:rsid w:val="003D6442"/>
    <w:rsid w:val="003D6939"/>
    <w:rsid w:val="003D6A0D"/>
    <w:rsid w:val="003D6BC3"/>
    <w:rsid w:val="003D7013"/>
    <w:rsid w:val="003D7E20"/>
    <w:rsid w:val="003E0ABF"/>
    <w:rsid w:val="003E0B03"/>
    <w:rsid w:val="003E0C22"/>
    <w:rsid w:val="003E18E6"/>
    <w:rsid w:val="003E1B62"/>
    <w:rsid w:val="003E1FDE"/>
    <w:rsid w:val="003E2121"/>
    <w:rsid w:val="003E2539"/>
    <w:rsid w:val="003E270E"/>
    <w:rsid w:val="003E271E"/>
    <w:rsid w:val="003E2A82"/>
    <w:rsid w:val="003E2BE9"/>
    <w:rsid w:val="003E3CD7"/>
    <w:rsid w:val="003E4269"/>
    <w:rsid w:val="003E43D1"/>
    <w:rsid w:val="003E4A4C"/>
    <w:rsid w:val="003E4AEC"/>
    <w:rsid w:val="003E4B35"/>
    <w:rsid w:val="003E4D95"/>
    <w:rsid w:val="003E4FCD"/>
    <w:rsid w:val="003E52E4"/>
    <w:rsid w:val="003E5343"/>
    <w:rsid w:val="003E554F"/>
    <w:rsid w:val="003E5A0A"/>
    <w:rsid w:val="003E5C44"/>
    <w:rsid w:val="003E5CBB"/>
    <w:rsid w:val="003E5D85"/>
    <w:rsid w:val="003E6004"/>
    <w:rsid w:val="003E6150"/>
    <w:rsid w:val="003E6669"/>
    <w:rsid w:val="003E6815"/>
    <w:rsid w:val="003E6914"/>
    <w:rsid w:val="003E69FE"/>
    <w:rsid w:val="003E6A8C"/>
    <w:rsid w:val="003E6BBB"/>
    <w:rsid w:val="003E6E93"/>
    <w:rsid w:val="003E7077"/>
    <w:rsid w:val="003E793C"/>
    <w:rsid w:val="003E795B"/>
    <w:rsid w:val="003E7A1A"/>
    <w:rsid w:val="003E7C82"/>
    <w:rsid w:val="003E7DF4"/>
    <w:rsid w:val="003E7F73"/>
    <w:rsid w:val="003E7FEC"/>
    <w:rsid w:val="003F013C"/>
    <w:rsid w:val="003F064C"/>
    <w:rsid w:val="003F069D"/>
    <w:rsid w:val="003F083A"/>
    <w:rsid w:val="003F08B0"/>
    <w:rsid w:val="003F0F53"/>
    <w:rsid w:val="003F1227"/>
    <w:rsid w:val="003F1268"/>
    <w:rsid w:val="003F1362"/>
    <w:rsid w:val="003F20A6"/>
    <w:rsid w:val="003F21D0"/>
    <w:rsid w:val="003F23C5"/>
    <w:rsid w:val="003F24FC"/>
    <w:rsid w:val="003F2CAF"/>
    <w:rsid w:val="003F2CCB"/>
    <w:rsid w:val="003F2E09"/>
    <w:rsid w:val="003F2EAF"/>
    <w:rsid w:val="003F2F02"/>
    <w:rsid w:val="003F3696"/>
    <w:rsid w:val="003F371F"/>
    <w:rsid w:val="003F3792"/>
    <w:rsid w:val="003F387A"/>
    <w:rsid w:val="003F3930"/>
    <w:rsid w:val="003F39D3"/>
    <w:rsid w:val="003F41D4"/>
    <w:rsid w:val="003F502A"/>
    <w:rsid w:val="003F5081"/>
    <w:rsid w:val="003F524D"/>
    <w:rsid w:val="003F53F7"/>
    <w:rsid w:val="003F5595"/>
    <w:rsid w:val="003F5659"/>
    <w:rsid w:val="003F57BA"/>
    <w:rsid w:val="003F59B2"/>
    <w:rsid w:val="003F5D08"/>
    <w:rsid w:val="003F6438"/>
    <w:rsid w:val="003F66B3"/>
    <w:rsid w:val="003F674C"/>
    <w:rsid w:val="003F70A8"/>
    <w:rsid w:val="003F7D8E"/>
    <w:rsid w:val="0040037F"/>
    <w:rsid w:val="004003BD"/>
    <w:rsid w:val="00400662"/>
    <w:rsid w:val="00400796"/>
    <w:rsid w:val="00400A64"/>
    <w:rsid w:val="00400BC5"/>
    <w:rsid w:val="00400C2B"/>
    <w:rsid w:val="00400D89"/>
    <w:rsid w:val="004013B1"/>
    <w:rsid w:val="00401BAB"/>
    <w:rsid w:val="00401CA8"/>
    <w:rsid w:val="00401D80"/>
    <w:rsid w:val="0040251C"/>
    <w:rsid w:val="004028BA"/>
    <w:rsid w:val="004029EC"/>
    <w:rsid w:val="00402BEF"/>
    <w:rsid w:val="0040337D"/>
    <w:rsid w:val="00403FB6"/>
    <w:rsid w:val="0040498A"/>
    <w:rsid w:val="00404ACE"/>
    <w:rsid w:val="00405445"/>
    <w:rsid w:val="00405472"/>
    <w:rsid w:val="004054A2"/>
    <w:rsid w:val="0040579C"/>
    <w:rsid w:val="00406132"/>
    <w:rsid w:val="00406336"/>
    <w:rsid w:val="0040640D"/>
    <w:rsid w:val="00406A11"/>
    <w:rsid w:val="00406A5B"/>
    <w:rsid w:val="00406B59"/>
    <w:rsid w:val="00407D3C"/>
    <w:rsid w:val="00407E95"/>
    <w:rsid w:val="0041018F"/>
    <w:rsid w:val="004109A8"/>
    <w:rsid w:val="00411141"/>
    <w:rsid w:val="004117FE"/>
    <w:rsid w:val="0041191E"/>
    <w:rsid w:val="00411A4D"/>
    <w:rsid w:val="00411A8B"/>
    <w:rsid w:val="00411C6C"/>
    <w:rsid w:val="0041230D"/>
    <w:rsid w:val="0041275E"/>
    <w:rsid w:val="00413475"/>
    <w:rsid w:val="004138D6"/>
    <w:rsid w:val="00414283"/>
    <w:rsid w:val="00414347"/>
    <w:rsid w:val="004143D2"/>
    <w:rsid w:val="00414419"/>
    <w:rsid w:val="00414E61"/>
    <w:rsid w:val="00415325"/>
    <w:rsid w:val="004153A9"/>
    <w:rsid w:val="00415799"/>
    <w:rsid w:val="004157E7"/>
    <w:rsid w:val="00415F48"/>
    <w:rsid w:val="0041659A"/>
    <w:rsid w:val="00416B7A"/>
    <w:rsid w:val="004173D6"/>
    <w:rsid w:val="00417A3F"/>
    <w:rsid w:val="00417A45"/>
    <w:rsid w:val="00417A4F"/>
    <w:rsid w:val="00417B33"/>
    <w:rsid w:val="00420DB9"/>
    <w:rsid w:val="00420E69"/>
    <w:rsid w:val="00420ED1"/>
    <w:rsid w:val="0042112E"/>
    <w:rsid w:val="00421159"/>
    <w:rsid w:val="00421252"/>
    <w:rsid w:val="0042166A"/>
    <w:rsid w:val="00421B72"/>
    <w:rsid w:val="004221C6"/>
    <w:rsid w:val="00422663"/>
    <w:rsid w:val="00422B70"/>
    <w:rsid w:val="00422F68"/>
    <w:rsid w:val="004230DF"/>
    <w:rsid w:val="004235CE"/>
    <w:rsid w:val="00423786"/>
    <w:rsid w:val="00423A4D"/>
    <w:rsid w:val="00423CEE"/>
    <w:rsid w:val="00423D99"/>
    <w:rsid w:val="00423EAD"/>
    <w:rsid w:val="00424122"/>
    <w:rsid w:val="004245FA"/>
    <w:rsid w:val="004247FE"/>
    <w:rsid w:val="00424888"/>
    <w:rsid w:val="00424BBF"/>
    <w:rsid w:val="00424D39"/>
    <w:rsid w:val="00425564"/>
    <w:rsid w:val="00425C17"/>
    <w:rsid w:val="0042634F"/>
    <w:rsid w:val="00426C28"/>
    <w:rsid w:val="00426CB4"/>
    <w:rsid w:val="00427E38"/>
    <w:rsid w:val="0043067D"/>
    <w:rsid w:val="00430ADF"/>
    <w:rsid w:val="00430C52"/>
    <w:rsid w:val="00430D23"/>
    <w:rsid w:val="00430EBD"/>
    <w:rsid w:val="004310C9"/>
    <w:rsid w:val="00431161"/>
    <w:rsid w:val="004311D0"/>
    <w:rsid w:val="00431207"/>
    <w:rsid w:val="00431873"/>
    <w:rsid w:val="00431D00"/>
    <w:rsid w:val="004320E1"/>
    <w:rsid w:val="004321CB"/>
    <w:rsid w:val="0043227F"/>
    <w:rsid w:val="00432583"/>
    <w:rsid w:val="004325F1"/>
    <w:rsid w:val="0043264B"/>
    <w:rsid w:val="0043264F"/>
    <w:rsid w:val="00432BFF"/>
    <w:rsid w:val="004333D1"/>
    <w:rsid w:val="00433959"/>
    <w:rsid w:val="00433991"/>
    <w:rsid w:val="00433D01"/>
    <w:rsid w:val="00433FC4"/>
    <w:rsid w:val="004342C5"/>
    <w:rsid w:val="0043460F"/>
    <w:rsid w:val="00434795"/>
    <w:rsid w:val="00434A6A"/>
    <w:rsid w:val="00434A8F"/>
    <w:rsid w:val="00434ABD"/>
    <w:rsid w:val="00434CBA"/>
    <w:rsid w:val="004350DB"/>
    <w:rsid w:val="00435462"/>
    <w:rsid w:val="004359B9"/>
    <w:rsid w:val="00435DB1"/>
    <w:rsid w:val="0043640C"/>
    <w:rsid w:val="00436A77"/>
    <w:rsid w:val="004378FE"/>
    <w:rsid w:val="00437BE2"/>
    <w:rsid w:val="00440408"/>
    <w:rsid w:val="004409B2"/>
    <w:rsid w:val="00440C65"/>
    <w:rsid w:val="004411BB"/>
    <w:rsid w:val="00441DE8"/>
    <w:rsid w:val="004420F9"/>
    <w:rsid w:val="00442143"/>
    <w:rsid w:val="004421F6"/>
    <w:rsid w:val="004429A7"/>
    <w:rsid w:val="00442B72"/>
    <w:rsid w:val="00442CD3"/>
    <w:rsid w:val="00443359"/>
    <w:rsid w:val="00443D2E"/>
    <w:rsid w:val="00443DDD"/>
    <w:rsid w:val="0044409B"/>
    <w:rsid w:val="00444489"/>
    <w:rsid w:val="004447A9"/>
    <w:rsid w:val="00444FD6"/>
    <w:rsid w:val="0044580B"/>
    <w:rsid w:val="00445BFB"/>
    <w:rsid w:val="00445E48"/>
    <w:rsid w:val="0044600E"/>
    <w:rsid w:val="00446061"/>
    <w:rsid w:val="0044616E"/>
    <w:rsid w:val="0044642B"/>
    <w:rsid w:val="0044678E"/>
    <w:rsid w:val="0044682C"/>
    <w:rsid w:val="00446979"/>
    <w:rsid w:val="004474C2"/>
    <w:rsid w:val="00447541"/>
    <w:rsid w:val="00447642"/>
    <w:rsid w:val="00447C2D"/>
    <w:rsid w:val="00447CE4"/>
    <w:rsid w:val="00447FA8"/>
    <w:rsid w:val="0045001A"/>
    <w:rsid w:val="00450228"/>
    <w:rsid w:val="00450A6D"/>
    <w:rsid w:val="00450E9A"/>
    <w:rsid w:val="00451008"/>
    <w:rsid w:val="00451549"/>
    <w:rsid w:val="00452235"/>
    <w:rsid w:val="00452251"/>
    <w:rsid w:val="0045225F"/>
    <w:rsid w:val="00452A1E"/>
    <w:rsid w:val="00452AB6"/>
    <w:rsid w:val="00452BB2"/>
    <w:rsid w:val="00452E84"/>
    <w:rsid w:val="00453004"/>
    <w:rsid w:val="0045310B"/>
    <w:rsid w:val="00453299"/>
    <w:rsid w:val="00453364"/>
    <w:rsid w:val="00453432"/>
    <w:rsid w:val="00453627"/>
    <w:rsid w:val="00453FA3"/>
    <w:rsid w:val="0045428C"/>
    <w:rsid w:val="004542AE"/>
    <w:rsid w:val="00454836"/>
    <w:rsid w:val="00454CC5"/>
    <w:rsid w:val="0045544E"/>
    <w:rsid w:val="0045569D"/>
    <w:rsid w:val="00455D0C"/>
    <w:rsid w:val="00456AC8"/>
    <w:rsid w:val="00456EF2"/>
    <w:rsid w:val="00456F2E"/>
    <w:rsid w:val="004577BF"/>
    <w:rsid w:val="004578CB"/>
    <w:rsid w:val="00457957"/>
    <w:rsid w:val="00457ACB"/>
    <w:rsid w:val="00457D37"/>
    <w:rsid w:val="00457DB2"/>
    <w:rsid w:val="00457FE1"/>
    <w:rsid w:val="004600B0"/>
    <w:rsid w:val="00460138"/>
    <w:rsid w:val="004602D6"/>
    <w:rsid w:val="004605E3"/>
    <w:rsid w:val="00461028"/>
    <w:rsid w:val="00461073"/>
    <w:rsid w:val="004610C5"/>
    <w:rsid w:val="004611D9"/>
    <w:rsid w:val="00461930"/>
    <w:rsid w:val="00461A42"/>
    <w:rsid w:val="00461A81"/>
    <w:rsid w:val="00461CCF"/>
    <w:rsid w:val="004620BE"/>
    <w:rsid w:val="00462611"/>
    <w:rsid w:val="0046292B"/>
    <w:rsid w:val="00462B65"/>
    <w:rsid w:val="00463CE2"/>
    <w:rsid w:val="00463ED7"/>
    <w:rsid w:val="004646B5"/>
    <w:rsid w:val="0046476A"/>
    <w:rsid w:val="004649F3"/>
    <w:rsid w:val="00464C69"/>
    <w:rsid w:val="00464DC3"/>
    <w:rsid w:val="004659E3"/>
    <w:rsid w:val="00465B42"/>
    <w:rsid w:val="00465FA0"/>
    <w:rsid w:val="004661A4"/>
    <w:rsid w:val="00466936"/>
    <w:rsid w:val="00466E31"/>
    <w:rsid w:val="00467019"/>
    <w:rsid w:val="00467BA7"/>
    <w:rsid w:val="00467FC8"/>
    <w:rsid w:val="004704A7"/>
    <w:rsid w:val="0047058F"/>
    <w:rsid w:val="00470D14"/>
    <w:rsid w:val="004712DD"/>
    <w:rsid w:val="004713BE"/>
    <w:rsid w:val="00471A30"/>
    <w:rsid w:val="00472026"/>
    <w:rsid w:val="004729C1"/>
    <w:rsid w:val="00472A24"/>
    <w:rsid w:val="00472A2B"/>
    <w:rsid w:val="00472A50"/>
    <w:rsid w:val="00472CA2"/>
    <w:rsid w:val="00472CF2"/>
    <w:rsid w:val="00472D33"/>
    <w:rsid w:val="00472F05"/>
    <w:rsid w:val="0047343B"/>
    <w:rsid w:val="004735EF"/>
    <w:rsid w:val="00473981"/>
    <w:rsid w:val="004739DC"/>
    <w:rsid w:val="00473A21"/>
    <w:rsid w:val="00473D86"/>
    <w:rsid w:val="00473F06"/>
    <w:rsid w:val="00474425"/>
    <w:rsid w:val="00474478"/>
    <w:rsid w:val="004745AA"/>
    <w:rsid w:val="00474608"/>
    <w:rsid w:val="00474864"/>
    <w:rsid w:val="00474A5D"/>
    <w:rsid w:val="0047590D"/>
    <w:rsid w:val="00475A7C"/>
    <w:rsid w:val="00475D9E"/>
    <w:rsid w:val="004761E9"/>
    <w:rsid w:val="00476390"/>
    <w:rsid w:val="00476B3F"/>
    <w:rsid w:val="00476DE0"/>
    <w:rsid w:val="00476FF1"/>
    <w:rsid w:val="00477380"/>
    <w:rsid w:val="004773A2"/>
    <w:rsid w:val="00477A89"/>
    <w:rsid w:val="00477C95"/>
    <w:rsid w:val="00477CE3"/>
    <w:rsid w:val="00477E5C"/>
    <w:rsid w:val="004803E0"/>
    <w:rsid w:val="00480598"/>
    <w:rsid w:val="0048094D"/>
    <w:rsid w:val="00480A78"/>
    <w:rsid w:val="00480F7A"/>
    <w:rsid w:val="00480FFC"/>
    <w:rsid w:val="00481143"/>
    <w:rsid w:val="0048124D"/>
    <w:rsid w:val="00481A01"/>
    <w:rsid w:val="00481F32"/>
    <w:rsid w:val="00482495"/>
    <w:rsid w:val="00482871"/>
    <w:rsid w:val="004829D2"/>
    <w:rsid w:val="00482EED"/>
    <w:rsid w:val="004832ED"/>
    <w:rsid w:val="00483319"/>
    <w:rsid w:val="00483B03"/>
    <w:rsid w:val="0048424A"/>
    <w:rsid w:val="004848B6"/>
    <w:rsid w:val="004849C1"/>
    <w:rsid w:val="00485914"/>
    <w:rsid w:val="00485CFF"/>
    <w:rsid w:val="0048615E"/>
    <w:rsid w:val="0048634B"/>
    <w:rsid w:val="0048660B"/>
    <w:rsid w:val="00486CB0"/>
    <w:rsid w:val="004879BC"/>
    <w:rsid w:val="0049015D"/>
    <w:rsid w:val="00490389"/>
    <w:rsid w:val="0049058C"/>
    <w:rsid w:val="00490766"/>
    <w:rsid w:val="00491350"/>
    <w:rsid w:val="0049171C"/>
    <w:rsid w:val="0049193A"/>
    <w:rsid w:val="00491EAF"/>
    <w:rsid w:val="004925D9"/>
    <w:rsid w:val="004929AC"/>
    <w:rsid w:val="00492A39"/>
    <w:rsid w:val="0049344B"/>
    <w:rsid w:val="004934C9"/>
    <w:rsid w:val="00493DF1"/>
    <w:rsid w:val="00493EC2"/>
    <w:rsid w:val="0049434A"/>
    <w:rsid w:val="004946BA"/>
    <w:rsid w:val="0049476B"/>
    <w:rsid w:val="00494E5B"/>
    <w:rsid w:val="0049502C"/>
    <w:rsid w:val="004951F8"/>
    <w:rsid w:val="004955B1"/>
    <w:rsid w:val="00495DBA"/>
    <w:rsid w:val="00495DE7"/>
    <w:rsid w:val="00496173"/>
    <w:rsid w:val="0049649E"/>
    <w:rsid w:val="004969BD"/>
    <w:rsid w:val="00496B26"/>
    <w:rsid w:val="00496DF6"/>
    <w:rsid w:val="004973F7"/>
    <w:rsid w:val="004977F5"/>
    <w:rsid w:val="00497857"/>
    <w:rsid w:val="00497995"/>
    <w:rsid w:val="00497BD3"/>
    <w:rsid w:val="00497CB4"/>
    <w:rsid w:val="00497CCA"/>
    <w:rsid w:val="00497D4D"/>
    <w:rsid w:val="00497F22"/>
    <w:rsid w:val="004A017C"/>
    <w:rsid w:val="004A01EA"/>
    <w:rsid w:val="004A0304"/>
    <w:rsid w:val="004A04F8"/>
    <w:rsid w:val="004A06BD"/>
    <w:rsid w:val="004A080C"/>
    <w:rsid w:val="004A09D9"/>
    <w:rsid w:val="004A1533"/>
    <w:rsid w:val="004A252F"/>
    <w:rsid w:val="004A2CCA"/>
    <w:rsid w:val="004A328D"/>
    <w:rsid w:val="004A342D"/>
    <w:rsid w:val="004A3BFE"/>
    <w:rsid w:val="004A3D91"/>
    <w:rsid w:val="004A3E14"/>
    <w:rsid w:val="004A4155"/>
    <w:rsid w:val="004A41CA"/>
    <w:rsid w:val="004A44A2"/>
    <w:rsid w:val="004A4637"/>
    <w:rsid w:val="004A51A1"/>
    <w:rsid w:val="004A53AC"/>
    <w:rsid w:val="004A54A4"/>
    <w:rsid w:val="004A5800"/>
    <w:rsid w:val="004A5F21"/>
    <w:rsid w:val="004A61E8"/>
    <w:rsid w:val="004A625B"/>
    <w:rsid w:val="004A62B2"/>
    <w:rsid w:val="004A6616"/>
    <w:rsid w:val="004A662E"/>
    <w:rsid w:val="004A6817"/>
    <w:rsid w:val="004A6B0E"/>
    <w:rsid w:val="004A7233"/>
    <w:rsid w:val="004A7C50"/>
    <w:rsid w:val="004B02CE"/>
    <w:rsid w:val="004B03C2"/>
    <w:rsid w:val="004B0523"/>
    <w:rsid w:val="004B0641"/>
    <w:rsid w:val="004B064D"/>
    <w:rsid w:val="004B07F0"/>
    <w:rsid w:val="004B0B4F"/>
    <w:rsid w:val="004B0FF3"/>
    <w:rsid w:val="004B17AB"/>
    <w:rsid w:val="004B1BF7"/>
    <w:rsid w:val="004B1C99"/>
    <w:rsid w:val="004B1D25"/>
    <w:rsid w:val="004B22F8"/>
    <w:rsid w:val="004B304E"/>
    <w:rsid w:val="004B351C"/>
    <w:rsid w:val="004B373E"/>
    <w:rsid w:val="004B38B0"/>
    <w:rsid w:val="004B38D3"/>
    <w:rsid w:val="004B3995"/>
    <w:rsid w:val="004B3F5E"/>
    <w:rsid w:val="004B43E5"/>
    <w:rsid w:val="004B469D"/>
    <w:rsid w:val="004B52B9"/>
    <w:rsid w:val="004B5937"/>
    <w:rsid w:val="004B5CE5"/>
    <w:rsid w:val="004B5ECC"/>
    <w:rsid w:val="004B623A"/>
    <w:rsid w:val="004B628F"/>
    <w:rsid w:val="004B638B"/>
    <w:rsid w:val="004B639B"/>
    <w:rsid w:val="004B6616"/>
    <w:rsid w:val="004B68D9"/>
    <w:rsid w:val="004B68F0"/>
    <w:rsid w:val="004B6E41"/>
    <w:rsid w:val="004B7234"/>
    <w:rsid w:val="004B74DB"/>
    <w:rsid w:val="004B76D2"/>
    <w:rsid w:val="004B7BA1"/>
    <w:rsid w:val="004B7E25"/>
    <w:rsid w:val="004B7FB3"/>
    <w:rsid w:val="004C0006"/>
    <w:rsid w:val="004C072F"/>
    <w:rsid w:val="004C0C24"/>
    <w:rsid w:val="004C10A5"/>
    <w:rsid w:val="004C12F8"/>
    <w:rsid w:val="004C1EF3"/>
    <w:rsid w:val="004C1F36"/>
    <w:rsid w:val="004C2077"/>
    <w:rsid w:val="004C2176"/>
    <w:rsid w:val="004C2220"/>
    <w:rsid w:val="004C22A5"/>
    <w:rsid w:val="004C2F19"/>
    <w:rsid w:val="004C37B7"/>
    <w:rsid w:val="004C437A"/>
    <w:rsid w:val="004C4FD6"/>
    <w:rsid w:val="004C51C6"/>
    <w:rsid w:val="004C55B4"/>
    <w:rsid w:val="004C56C6"/>
    <w:rsid w:val="004C57D7"/>
    <w:rsid w:val="004C5AE7"/>
    <w:rsid w:val="004C5E6C"/>
    <w:rsid w:val="004C6157"/>
    <w:rsid w:val="004C61D3"/>
    <w:rsid w:val="004C677A"/>
    <w:rsid w:val="004C6857"/>
    <w:rsid w:val="004C69E1"/>
    <w:rsid w:val="004C6B5F"/>
    <w:rsid w:val="004C6BAD"/>
    <w:rsid w:val="004C6CDB"/>
    <w:rsid w:val="004C6F5B"/>
    <w:rsid w:val="004C7583"/>
    <w:rsid w:val="004C7819"/>
    <w:rsid w:val="004C7B1F"/>
    <w:rsid w:val="004D0718"/>
    <w:rsid w:val="004D0A3D"/>
    <w:rsid w:val="004D0C96"/>
    <w:rsid w:val="004D0CEE"/>
    <w:rsid w:val="004D152B"/>
    <w:rsid w:val="004D1C01"/>
    <w:rsid w:val="004D1D15"/>
    <w:rsid w:val="004D229A"/>
    <w:rsid w:val="004D23DD"/>
    <w:rsid w:val="004D2521"/>
    <w:rsid w:val="004D2CB4"/>
    <w:rsid w:val="004D2E0C"/>
    <w:rsid w:val="004D2FF9"/>
    <w:rsid w:val="004D34A8"/>
    <w:rsid w:val="004D363F"/>
    <w:rsid w:val="004D3643"/>
    <w:rsid w:val="004D4248"/>
    <w:rsid w:val="004D496F"/>
    <w:rsid w:val="004D49D4"/>
    <w:rsid w:val="004D4AE4"/>
    <w:rsid w:val="004D4B7A"/>
    <w:rsid w:val="004D5323"/>
    <w:rsid w:val="004D54C0"/>
    <w:rsid w:val="004D55AA"/>
    <w:rsid w:val="004D5916"/>
    <w:rsid w:val="004D5E27"/>
    <w:rsid w:val="004D63D6"/>
    <w:rsid w:val="004D67A1"/>
    <w:rsid w:val="004D6E51"/>
    <w:rsid w:val="004D72C4"/>
    <w:rsid w:val="004D74EA"/>
    <w:rsid w:val="004D7775"/>
    <w:rsid w:val="004D7B35"/>
    <w:rsid w:val="004D7D2B"/>
    <w:rsid w:val="004D7FA8"/>
    <w:rsid w:val="004E0BFD"/>
    <w:rsid w:val="004E198F"/>
    <w:rsid w:val="004E1D49"/>
    <w:rsid w:val="004E2836"/>
    <w:rsid w:val="004E2BDF"/>
    <w:rsid w:val="004E30F5"/>
    <w:rsid w:val="004E34C1"/>
    <w:rsid w:val="004E3BA9"/>
    <w:rsid w:val="004E3C8B"/>
    <w:rsid w:val="004E3C9A"/>
    <w:rsid w:val="004E4616"/>
    <w:rsid w:val="004E4903"/>
    <w:rsid w:val="004E4F65"/>
    <w:rsid w:val="004E5162"/>
    <w:rsid w:val="004E53A1"/>
    <w:rsid w:val="004E5686"/>
    <w:rsid w:val="004E57D2"/>
    <w:rsid w:val="004E5FE0"/>
    <w:rsid w:val="004E6CAA"/>
    <w:rsid w:val="004E752B"/>
    <w:rsid w:val="004E77FA"/>
    <w:rsid w:val="004E7F9F"/>
    <w:rsid w:val="004F00C9"/>
    <w:rsid w:val="004F04C2"/>
    <w:rsid w:val="004F0A32"/>
    <w:rsid w:val="004F0C57"/>
    <w:rsid w:val="004F0C89"/>
    <w:rsid w:val="004F0CC6"/>
    <w:rsid w:val="004F0D30"/>
    <w:rsid w:val="004F0F1D"/>
    <w:rsid w:val="004F1036"/>
    <w:rsid w:val="004F191E"/>
    <w:rsid w:val="004F1C61"/>
    <w:rsid w:val="004F2A4C"/>
    <w:rsid w:val="004F38B6"/>
    <w:rsid w:val="004F3EDB"/>
    <w:rsid w:val="004F40C5"/>
    <w:rsid w:val="004F470E"/>
    <w:rsid w:val="004F4742"/>
    <w:rsid w:val="004F4B77"/>
    <w:rsid w:val="004F52EC"/>
    <w:rsid w:val="004F57A7"/>
    <w:rsid w:val="004F5988"/>
    <w:rsid w:val="004F5BBA"/>
    <w:rsid w:val="004F5E20"/>
    <w:rsid w:val="004F5EEE"/>
    <w:rsid w:val="004F64C2"/>
    <w:rsid w:val="004F661F"/>
    <w:rsid w:val="004F6AA5"/>
    <w:rsid w:val="004F6C03"/>
    <w:rsid w:val="004F7126"/>
    <w:rsid w:val="004F73DD"/>
    <w:rsid w:val="004F74E6"/>
    <w:rsid w:val="004F760E"/>
    <w:rsid w:val="004F784E"/>
    <w:rsid w:val="004F7EFE"/>
    <w:rsid w:val="005003F4"/>
    <w:rsid w:val="00500514"/>
    <w:rsid w:val="00500545"/>
    <w:rsid w:val="0050096D"/>
    <w:rsid w:val="00500A26"/>
    <w:rsid w:val="00500D56"/>
    <w:rsid w:val="005010AF"/>
    <w:rsid w:val="005013A2"/>
    <w:rsid w:val="00501509"/>
    <w:rsid w:val="005015CB"/>
    <w:rsid w:val="00501FB7"/>
    <w:rsid w:val="005023D1"/>
    <w:rsid w:val="00502B98"/>
    <w:rsid w:val="00502F0F"/>
    <w:rsid w:val="00503405"/>
    <w:rsid w:val="0050371A"/>
    <w:rsid w:val="00503A87"/>
    <w:rsid w:val="00503C17"/>
    <w:rsid w:val="00503FE7"/>
    <w:rsid w:val="00504126"/>
    <w:rsid w:val="0050440B"/>
    <w:rsid w:val="00504C00"/>
    <w:rsid w:val="0050516E"/>
    <w:rsid w:val="00506287"/>
    <w:rsid w:val="00506919"/>
    <w:rsid w:val="00506FCB"/>
    <w:rsid w:val="005072B1"/>
    <w:rsid w:val="00507425"/>
    <w:rsid w:val="0050782F"/>
    <w:rsid w:val="00507AA0"/>
    <w:rsid w:val="00507DEA"/>
    <w:rsid w:val="00507E3E"/>
    <w:rsid w:val="005106DB"/>
    <w:rsid w:val="00510E2F"/>
    <w:rsid w:val="00510FBA"/>
    <w:rsid w:val="005111D5"/>
    <w:rsid w:val="005112F7"/>
    <w:rsid w:val="00511366"/>
    <w:rsid w:val="00511516"/>
    <w:rsid w:val="00512028"/>
    <w:rsid w:val="0051218B"/>
    <w:rsid w:val="0051218D"/>
    <w:rsid w:val="00512735"/>
    <w:rsid w:val="00512790"/>
    <w:rsid w:val="005127CA"/>
    <w:rsid w:val="005129B8"/>
    <w:rsid w:val="005129EA"/>
    <w:rsid w:val="00512AA1"/>
    <w:rsid w:val="005137A8"/>
    <w:rsid w:val="00513ACB"/>
    <w:rsid w:val="00513BB5"/>
    <w:rsid w:val="00513BEA"/>
    <w:rsid w:val="00513C1D"/>
    <w:rsid w:val="00513D10"/>
    <w:rsid w:val="005147D9"/>
    <w:rsid w:val="005148BC"/>
    <w:rsid w:val="00514B21"/>
    <w:rsid w:val="00514DCA"/>
    <w:rsid w:val="00514F0A"/>
    <w:rsid w:val="00515299"/>
    <w:rsid w:val="0051567A"/>
    <w:rsid w:val="00515B79"/>
    <w:rsid w:val="00516C1B"/>
    <w:rsid w:val="00516C27"/>
    <w:rsid w:val="00516C6C"/>
    <w:rsid w:val="005176E8"/>
    <w:rsid w:val="00517868"/>
    <w:rsid w:val="00517AEC"/>
    <w:rsid w:val="005203FB"/>
    <w:rsid w:val="005205E3"/>
    <w:rsid w:val="005208EF"/>
    <w:rsid w:val="0052094E"/>
    <w:rsid w:val="00520DAC"/>
    <w:rsid w:val="00521149"/>
    <w:rsid w:val="005214C8"/>
    <w:rsid w:val="0052167D"/>
    <w:rsid w:val="0052182A"/>
    <w:rsid w:val="00521A08"/>
    <w:rsid w:val="00521A1A"/>
    <w:rsid w:val="005220A2"/>
    <w:rsid w:val="005225B5"/>
    <w:rsid w:val="00522768"/>
    <w:rsid w:val="00522D50"/>
    <w:rsid w:val="00522EDB"/>
    <w:rsid w:val="00523BA2"/>
    <w:rsid w:val="0052401F"/>
    <w:rsid w:val="005242DF"/>
    <w:rsid w:val="00524511"/>
    <w:rsid w:val="00524D1A"/>
    <w:rsid w:val="0052513C"/>
    <w:rsid w:val="00525523"/>
    <w:rsid w:val="00525572"/>
    <w:rsid w:val="00525802"/>
    <w:rsid w:val="00525A62"/>
    <w:rsid w:val="00525B52"/>
    <w:rsid w:val="00526137"/>
    <w:rsid w:val="00526416"/>
    <w:rsid w:val="00526639"/>
    <w:rsid w:val="00526752"/>
    <w:rsid w:val="0052677B"/>
    <w:rsid w:val="005269C3"/>
    <w:rsid w:val="005269CC"/>
    <w:rsid w:val="00526E1E"/>
    <w:rsid w:val="00527A24"/>
    <w:rsid w:val="00527C0A"/>
    <w:rsid w:val="005301AD"/>
    <w:rsid w:val="00530681"/>
    <w:rsid w:val="00530801"/>
    <w:rsid w:val="00530A2E"/>
    <w:rsid w:val="00530E13"/>
    <w:rsid w:val="005313A4"/>
    <w:rsid w:val="005317E5"/>
    <w:rsid w:val="00531AA1"/>
    <w:rsid w:val="005324EC"/>
    <w:rsid w:val="00532588"/>
    <w:rsid w:val="00532FF1"/>
    <w:rsid w:val="00533368"/>
    <w:rsid w:val="00533386"/>
    <w:rsid w:val="00533B68"/>
    <w:rsid w:val="00534332"/>
    <w:rsid w:val="00534A74"/>
    <w:rsid w:val="00535005"/>
    <w:rsid w:val="00535D23"/>
    <w:rsid w:val="00536053"/>
    <w:rsid w:val="0053627C"/>
    <w:rsid w:val="005364CF"/>
    <w:rsid w:val="005368A0"/>
    <w:rsid w:val="00536932"/>
    <w:rsid w:val="00536AAC"/>
    <w:rsid w:val="00536DD1"/>
    <w:rsid w:val="00536FDC"/>
    <w:rsid w:val="005372A9"/>
    <w:rsid w:val="00537914"/>
    <w:rsid w:val="00537BD6"/>
    <w:rsid w:val="00537D71"/>
    <w:rsid w:val="00537EF4"/>
    <w:rsid w:val="00540204"/>
    <w:rsid w:val="00540686"/>
    <w:rsid w:val="0054078B"/>
    <w:rsid w:val="0054107F"/>
    <w:rsid w:val="00541379"/>
    <w:rsid w:val="00541471"/>
    <w:rsid w:val="005414EC"/>
    <w:rsid w:val="0054157C"/>
    <w:rsid w:val="00541766"/>
    <w:rsid w:val="00541987"/>
    <w:rsid w:val="00541AF7"/>
    <w:rsid w:val="00541D54"/>
    <w:rsid w:val="00542008"/>
    <w:rsid w:val="00543106"/>
    <w:rsid w:val="00543376"/>
    <w:rsid w:val="0054375D"/>
    <w:rsid w:val="00543D69"/>
    <w:rsid w:val="00543E99"/>
    <w:rsid w:val="005440F2"/>
    <w:rsid w:val="00544180"/>
    <w:rsid w:val="00544298"/>
    <w:rsid w:val="00544502"/>
    <w:rsid w:val="00544515"/>
    <w:rsid w:val="00544571"/>
    <w:rsid w:val="00544650"/>
    <w:rsid w:val="005447F1"/>
    <w:rsid w:val="00545330"/>
    <w:rsid w:val="00545432"/>
    <w:rsid w:val="0054547F"/>
    <w:rsid w:val="00545573"/>
    <w:rsid w:val="00545A0B"/>
    <w:rsid w:val="00545E95"/>
    <w:rsid w:val="00545F96"/>
    <w:rsid w:val="005460D5"/>
    <w:rsid w:val="005468A2"/>
    <w:rsid w:val="00546AEA"/>
    <w:rsid w:val="00547B90"/>
    <w:rsid w:val="00547D5E"/>
    <w:rsid w:val="00550762"/>
    <w:rsid w:val="00550965"/>
    <w:rsid w:val="00550A3C"/>
    <w:rsid w:val="00550B64"/>
    <w:rsid w:val="00551072"/>
    <w:rsid w:val="005517E9"/>
    <w:rsid w:val="00551879"/>
    <w:rsid w:val="00551D00"/>
    <w:rsid w:val="00551D43"/>
    <w:rsid w:val="00551D81"/>
    <w:rsid w:val="00552107"/>
    <w:rsid w:val="00552881"/>
    <w:rsid w:val="00552A7F"/>
    <w:rsid w:val="00552C14"/>
    <w:rsid w:val="00552DF8"/>
    <w:rsid w:val="0055307C"/>
    <w:rsid w:val="00553631"/>
    <w:rsid w:val="00553716"/>
    <w:rsid w:val="00554062"/>
    <w:rsid w:val="00554A1C"/>
    <w:rsid w:val="00554B86"/>
    <w:rsid w:val="00554BE1"/>
    <w:rsid w:val="00555AF2"/>
    <w:rsid w:val="00555C9D"/>
    <w:rsid w:val="005565CF"/>
    <w:rsid w:val="00556845"/>
    <w:rsid w:val="0055691A"/>
    <w:rsid w:val="00556E85"/>
    <w:rsid w:val="00557012"/>
    <w:rsid w:val="005570D7"/>
    <w:rsid w:val="00557548"/>
    <w:rsid w:val="00557AAC"/>
    <w:rsid w:val="00557F3E"/>
    <w:rsid w:val="005606DC"/>
    <w:rsid w:val="005606F1"/>
    <w:rsid w:val="005608B8"/>
    <w:rsid w:val="005609F5"/>
    <w:rsid w:val="005617CF"/>
    <w:rsid w:val="005618EC"/>
    <w:rsid w:val="00561926"/>
    <w:rsid w:val="00561990"/>
    <w:rsid w:val="0056258F"/>
    <w:rsid w:val="00562C6F"/>
    <w:rsid w:val="00563164"/>
    <w:rsid w:val="005632E6"/>
    <w:rsid w:val="005637A3"/>
    <w:rsid w:val="005638F6"/>
    <w:rsid w:val="00564202"/>
    <w:rsid w:val="005647E7"/>
    <w:rsid w:val="00564B43"/>
    <w:rsid w:val="00564D46"/>
    <w:rsid w:val="00564DD0"/>
    <w:rsid w:val="00564F75"/>
    <w:rsid w:val="005650BC"/>
    <w:rsid w:val="005651D6"/>
    <w:rsid w:val="00565453"/>
    <w:rsid w:val="005655E0"/>
    <w:rsid w:val="0056580B"/>
    <w:rsid w:val="00565DF7"/>
    <w:rsid w:val="00565E46"/>
    <w:rsid w:val="005663DF"/>
    <w:rsid w:val="005665C0"/>
    <w:rsid w:val="00566901"/>
    <w:rsid w:val="00566D2C"/>
    <w:rsid w:val="00566F3B"/>
    <w:rsid w:val="005677D0"/>
    <w:rsid w:val="005677FE"/>
    <w:rsid w:val="00567959"/>
    <w:rsid w:val="00567E3C"/>
    <w:rsid w:val="00570167"/>
    <w:rsid w:val="00570480"/>
    <w:rsid w:val="005707C4"/>
    <w:rsid w:val="0057124D"/>
    <w:rsid w:val="005713AD"/>
    <w:rsid w:val="00571A18"/>
    <w:rsid w:val="00572428"/>
    <w:rsid w:val="005736D7"/>
    <w:rsid w:val="005736E8"/>
    <w:rsid w:val="00573B73"/>
    <w:rsid w:val="00573F10"/>
    <w:rsid w:val="0057401B"/>
    <w:rsid w:val="005740C2"/>
    <w:rsid w:val="0057418E"/>
    <w:rsid w:val="005747FB"/>
    <w:rsid w:val="005749D5"/>
    <w:rsid w:val="005750EB"/>
    <w:rsid w:val="00576074"/>
    <w:rsid w:val="0057640A"/>
    <w:rsid w:val="005765B6"/>
    <w:rsid w:val="00576714"/>
    <w:rsid w:val="0057682F"/>
    <w:rsid w:val="0057713D"/>
    <w:rsid w:val="0057793A"/>
    <w:rsid w:val="00577BDF"/>
    <w:rsid w:val="00580072"/>
    <w:rsid w:val="005805B8"/>
    <w:rsid w:val="00580851"/>
    <w:rsid w:val="00580BF1"/>
    <w:rsid w:val="00580E29"/>
    <w:rsid w:val="00581D41"/>
    <w:rsid w:val="00581DB3"/>
    <w:rsid w:val="00581DEC"/>
    <w:rsid w:val="00581FCD"/>
    <w:rsid w:val="005822D7"/>
    <w:rsid w:val="00582375"/>
    <w:rsid w:val="005825EA"/>
    <w:rsid w:val="0058273C"/>
    <w:rsid w:val="005829F5"/>
    <w:rsid w:val="00582A10"/>
    <w:rsid w:val="00582BF2"/>
    <w:rsid w:val="00583210"/>
    <w:rsid w:val="00583212"/>
    <w:rsid w:val="00583BB1"/>
    <w:rsid w:val="00583EBD"/>
    <w:rsid w:val="00583F84"/>
    <w:rsid w:val="005842E7"/>
    <w:rsid w:val="005846C2"/>
    <w:rsid w:val="00585054"/>
    <w:rsid w:val="005853A3"/>
    <w:rsid w:val="005854EB"/>
    <w:rsid w:val="00585C8A"/>
    <w:rsid w:val="005867F8"/>
    <w:rsid w:val="00586D92"/>
    <w:rsid w:val="00586E2B"/>
    <w:rsid w:val="00587B79"/>
    <w:rsid w:val="005901CB"/>
    <w:rsid w:val="005903D5"/>
    <w:rsid w:val="00590603"/>
    <w:rsid w:val="005906B8"/>
    <w:rsid w:val="005908B1"/>
    <w:rsid w:val="00590945"/>
    <w:rsid w:val="00590AFD"/>
    <w:rsid w:val="00591089"/>
    <w:rsid w:val="00591226"/>
    <w:rsid w:val="005914A9"/>
    <w:rsid w:val="00591802"/>
    <w:rsid w:val="00591909"/>
    <w:rsid w:val="0059209A"/>
    <w:rsid w:val="0059216B"/>
    <w:rsid w:val="005923AE"/>
    <w:rsid w:val="00592675"/>
    <w:rsid w:val="005927FB"/>
    <w:rsid w:val="0059292D"/>
    <w:rsid w:val="00593358"/>
    <w:rsid w:val="00593AF0"/>
    <w:rsid w:val="00593E1A"/>
    <w:rsid w:val="00593E4B"/>
    <w:rsid w:val="005942E7"/>
    <w:rsid w:val="005946B0"/>
    <w:rsid w:val="00594ACC"/>
    <w:rsid w:val="0059502E"/>
    <w:rsid w:val="00595216"/>
    <w:rsid w:val="005953EE"/>
    <w:rsid w:val="00595729"/>
    <w:rsid w:val="00595752"/>
    <w:rsid w:val="00595809"/>
    <w:rsid w:val="00596780"/>
    <w:rsid w:val="005967B0"/>
    <w:rsid w:val="00596916"/>
    <w:rsid w:val="005969C0"/>
    <w:rsid w:val="0059706B"/>
    <w:rsid w:val="00597105"/>
    <w:rsid w:val="00597327"/>
    <w:rsid w:val="00597503"/>
    <w:rsid w:val="005975B4"/>
    <w:rsid w:val="00597873"/>
    <w:rsid w:val="00597AA0"/>
    <w:rsid w:val="005A014C"/>
    <w:rsid w:val="005A0536"/>
    <w:rsid w:val="005A0670"/>
    <w:rsid w:val="005A0937"/>
    <w:rsid w:val="005A0A49"/>
    <w:rsid w:val="005A0CE3"/>
    <w:rsid w:val="005A12BF"/>
    <w:rsid w:val="005A1934"/>
    <w:rsid w:val="005A193E"/>
    <w:rsid w:val="005A1A95"/>
    <w:rsid w:val="005A1DB6"/>
    <w:rsid w:val="005A1E40"/>
    <w:rsid w:val="005A1FA4"/>
    <w:rsid w:val="005A224C"/>
    <w:rsid w:val="005A22E6"/>
    <w:rsid w:val="005A2902"/>
    <w:rsid w:val="005A2910"/>
    <w:rsid w:val="005A2A68"/>
    <w:rsid w:val="005A2BB3"/>
    <w:rsid w:val="005A2DBC"/>
    <w:rsid w:val="005A37F5"/>
    <w:rsid w:val="005A3A0A"/>
    <w:rsid w:val="005A431D"/>
    <w:rsid w:val="005A44FB"/>
    <w:rsid w:val="005A462A"/>
    <w:rsid w:val="005A486E"/>
    <w:rsid w:val="005A4DB9"/>
    <w:rsid w:val="005A543F"/>
    <w:rsid w:val="005A57F2"/>
    <w:rsid w:val="005A582B"/>
    <w:rsid w:val="005A587B"/>
    <w:rsid w:val="005A6209"/>
    <w:rsid w:val="005A64B5"/>
    <w:rsid w:val="005A65B8"/>
    <w:rsid w:val="005A6D0F"/>
    <w:rsid w:val="005A6F12"/>
    <w:rsid w:val="005A6F4A"/>
    <w:rsid w:val="005A6FF6"/>
    <w:rsid w:val="005A7C9B"/>
    <w:rsid w:val="005A7F60"/>
    <w:rsid w:val="005B0694"/>
    <w:rsid w:val="005B077B"/>
    <w:rsid w:val="005B07CB"/>
    <w:rsid w:val="005B0812"/>
    <w:rsid w:val="005B08D0"/>
    <w:rsid w:val="005B0F65"/>
    <w:rsid w:val="005B111A"/>
    <w:rsid w:val="005B1687"/>
    <w:rsid w:val="005B1CCA"/>
    <w:rsid w:val="005B1D29"/>
    <w:rsid w:val="005B1F85"/>
    <w:rsid w:val="005B22F1"/>
    <w:rsid w:val="005B2AA4"/>
    <w:rsid w:val="005B2B04"/>
    <w:rsid w:val="005B2E95"/>
    <w:rsid w:val="005B338E"/>
    <w:rsid w:val="005B3496"/>
    <w:rsid w:val="005B3AB4"/>
    <w:rsid w:val="005B3C47"/>
    <w:rsid w:val="005B3DF5"/>
    <w:rsid w:val="005B457F"/>
    <w:rsid w:val="005B48C7"/>
    <w:rsid w:val="005B4C6B"/>
    <w:rsid w:val="005B4CC9"/>
    <w:rsid w:val="005B4DDA"/>
    <w:rsid w:val="005B55E4"/>
    <w:rsid w:val="005B5898"/>
    <w:rsid w:val="005B5F0B"/>
    <w:rsid w:val="005B6325"/>
    <w:rsid w:val="005B67CA"/>
    <w:rsid w:val="005B6A34"/>
    <w:rsid w:val="005B6B48"/>
    <w:rsid w:val="005B6BF1"/>
    <w:rsid w:val="005B6C72"/>
    <w:rsid w:val="005B6D30"/>
    <w:rsid w:val="005B71E1"/>
    <w:rsid w:val="005B72EB"/>
    <w:rsid w:val="005B7400"/>
    <w:rsid w:val="005B78AE"/>
    <w:rsid w:val="005B797F"/>
    <w:rsid w:val="005B7C01"/>
    <w:rsid w:val="005B7E73"/>
    <w:rsid w:val="005B7F6E"/>
    <w:rsid w:val="005C050E"/>
    <w:rsid w:val="005C0515"/>
    <w:rsid w:val="005C084B"/>
    <w:rsid w:val="005C0B1F"/>
    <w:rsid w:val="005C0C7E"/>
    <w:rsid w:val="005C14A9"/>
    <w:rsid w:val="005C1793"/>
    <w:rsid w:val="005C1C17"/>
    <w:rsid w:val="005C2259"/>
    <w:rsid w:val="005C2888"/>
    <w:rsid w:val="005C3342"/>
    <w:rsid w:val="005C3A19"/>
    <w:rsid w:val="005C4032"/>
    <w:rsid w:val="005C4073"/>
    <w:rsid w:val="005C44B1"/>
    <w:rsid w:val="005C4BA6"/>
    <w:rsid w:val="005C4E11"/>
    <w:rsid w:val="005C5022"/>
    <w:rsid w:val="005C50F0"/>
    <w:rsid w:val="005C5375"/>
    <w:rsid w:val="005C5377"/>
    <w:rsid w:val="005C5759"/>
    <w:rsid w:val="005C57A3"/>
    <w:rsid w:val="005C5A47"/>
    <w:rsid w:val="005C5ACD"/>
    <w:rsid w:val="005C640E"/>
    <w:rsid w:val="005C6573"/>
    <w:rsid w:val="005C6663"/>
    <w:rsid w:val="005C6819"/>
    <w:rsid w:val="005C6E07"/>
    <w:rsid w:val="005C7BDF"/>
    <w:rsid w:val="005C7F67"/>
    <w:rsid w:val="005D075D"/>
    <w:rsid w:val="005D0C94"/>
    <w:rsid w:val="005D0D27"/>
    <w:rsid w:val="005D1355"/>
    <w:rsid w:val="005D13C1"/>
    <w:rsid w:val="005D1436"/>
    <w:rsid w:val="005D1774"/>
    <w:rsid w:val="005D19AD"/>
    <w:rsid w:val="005D1B20"/>
    <w:rsid w:val="005D202D"/>
    <w:rsid w:val="005D212E"/>
    <w:rsid w:val="005D2152"/>
    <w:rsid w:val="005D2A5B"/>
    <w:rsid w:val="005D3065"/>
    <w:rsid w:val="005D3435"/>
    <w:rsid w:val="005D34EE"/>
    <w:rsid w:val="005D388F"/>
    <w:rsid w:val="005D3B02"/>
    <w:rsid w:val="005D3BBF"/>
    <w:rsid w:val="005D3DCD"/>
    <w:rsid w:val="005D41D8"/>
    <w:rsid w:val="005D4633"/>
    <w:rsid w:val="005D4866"/>
    <w:rsid w:val="005D4EDA"/>
    <w:rsid w:val="005D52D7"/>
    <w:rsid w:val="005D532E"/>
    <w:rsid w:val="005D5C1E"/>
    <w:rsid w:val="005D5DD5"/>
    <w:rsid w:val="005D5F5C"/>
    <w:rsid w:val="005D6717"/>
    <w:rsid w:val="005D688F"/>
    <w:rsid w:val="005D7127"/>
    <w:rsid w:val="005D75EF"/>
    <w:rsid w:val="005D7B53"/>
    <w:rsid w:val="005E0055"/>
    <w:rsid w:val="005E0289"/>
    <w:rsid w:val="005E0539"/>
    <w:rsid w:val="005E0546"/>
    <w:rsid w:val="005E08DD"/>
    <w:rsid w:val="005E1753"/>
    <w:rsid w:val="005E193F"/>
    <w:rsid w:val="005E19CE"/>
    <w:rsid w:val="005E1A4F"/>
    <w:rsid w:val="005E225B"/>
    <w:rsid w:val="005E268A"/>
    <w:rsid w:val="005E29F3"/>
    <w:rsid w:val="005E3C85"/>
    <w:rsid w:val="005E4027"/>
    <w:rsid w:val="005E41B6"/>
    <w:rsid w:val="005E43A3"/>
    <w:rsid w:val="005E443A"/>
    <w:rsid w:val="005E462C"/>
    <w:rsid w:val="005E4781"/>
    <w:rsid w:val="005E4DCA"/>
    <w:rsid w:val="005E4FDB"/>
    <w:rsid w:val="005E54C5"/>
    <w:rsid w:val="005E582B"/>
    <w:rsid w:val="005E5BBE"/>
    <w:rsid w:val="005E5C2A"/>
    <w:rsid w:val="005E5CA1"/>
    <w:rsid w:val="005E5D0E"/>
    <w:rsid w:val="005E6775"/>
    <w:rsid w:val="005E6F69"/>
    <w:rsid w:val="005E72F9"/>
    <w:rsid w:val="005E78E5"/>
    <w:rsid w:val="005E7A45"/>
    <w:rsid w:val="005E7C80"/>
    <w:rsid w:val="005F002D"/>
    <w:rsid w:val="005F0049"/>
    <w:rsid w:val="005F012E"/>
    <w:rsid w:val="005F05C0"/>
    <w:rsid w:val="005F0E69"/>
    <w:rsid w:val="005F0EB7"/>
    <w:rsid w:val="005F1250"/>
    <w:rsid w:val="005F1A55"/>
    <w:rsid w:val="005F1D04"/>
    <w:rsid w:val="005F1DFA"/>
    <w:rsid w:val="005F2311"/>
    <w:rsid w:val="005F2332"/>
    <w:rsid w:val="005F242F"/>
    <w:rsid w:val="005F26BC"/>
    <w:rsid w:val="005F2736"/>
    <w:rsid w:val="005F2F8A"/>
    <w:rsid w:val="005F3187"/>
    <w:rsid w:val="005F3416"/>
    <w:rsid w:val="005F37E4"/>
    <w:rsid w:val="005F3957"/>
    <w:rsid w:val="005F3A6F"/>
    <w:rsid w:val="005F3AF9"/>
    <w:rsid w:val="005F3EF6"/>
    <w:rsid w:val="005F4279"/>
    <w:rsid w:val="005F42FC"/>
    <w:rsid w:val="005F473D"/>
    <w:rsid w:val="005F48DB"/>
    <w:rsid w:val="005F5512"/>
    <w:rsid w:val="005F57EE"/>
    <w:rsid w:val="005F5BE3"/>
    <w:rsid w:val="005F6704"/>
    <w:rsid w:val="005F671E"/>
    <w:rsid w:val="005F777B"/>
    <w:rsid w:val="005F7C9C"/>
    <w:rsid w:val="006010CD"/>
    <w:rsid w:val="006011ED"/>
    <w:rsid w:val="006012E5"/>
    <w:rsid w:val="006012F3"/>
    <w:rsid w:val="006014C7"/>
    <w:rsid w:val="0060175C"/>
    <w:rsid w:val="006019AE"/>
    <w:rsid w:val="00601A1B"/>
    <w:rsid w:val="00601AD1"/>
    <w:rsid w:val="00601AE5"/>
    <w:rsid w:val="00601B5C"/>
    <w:rsid w:val="00601BB0"/>
    <w:rsid w:val="00601CAF"/>
    <w:rsid w:val="006024FF"/>
    <w:rsid w:val="006027B2"/>
    <w:rsid w:val="00602AE7"/>
    <w:rsid w:val="00602B9C"/>
    <w:rsid w:val="00602C65"/>
    <w:rsid w:val="00602F88"/>
    <w:rsid w:val="006032C8"/>
    <w:rsid w:val="006035E2"/>
    <w:rsid w:val="006037D0"/>
    <w:rsid w:val="00603857"/>
    <w:rsid w:val="006038C4"/>
    <w:rsid w:val="00603B29"/>
    <w:rsid w:val="00603B34"/>
    <w:rsid w:val="00603C01"/>
    <w:rsid w:val="00603C33"/>
    <w:rsid w:val="00603FFC"/>
    <w:rsid w:val="00604048"/>
    <w:rsid w:val="006043DE"/>
    <w:rsid w:val="00604502"/>
    <w:rsid w:val="00604518"/>
    <w:rsid w:val="0060499F"/>
    <w:rsid w:val="006049D8"/>
    <w:rsid w:val="00604E40"/>
    <w:rsid w:val="00605246"/>
    <w:rsid w:val="006058A7"/>
    <w:rsid w:val="00605C79"/>
    <w:rsid w:val="00606E35"/>
    <w:rsid w:val="00607010"/>
    <w:rsid w:val="006073C8"/>
    <w:rsid w:val="006077E8"/>
    <w:rsid w:val="00607B2D"/>
    <w:rsid w:val="00607CD4"/>
    <w:rsid w:val="00607FBC"/>
    <w:rsid w:val="0061005A"/>
    <w:rsid w:val="0061062D"/>
    <w:rsid w:val="00610770"/>
    <w:rsid w:val="00610EEF"/>
    <w:rsid w:val="006116C4"/>
    <w:rsid w:val="00611D59"/>
    <w:rsid w:val="00612299"/>
    <w:rsid w:val="006126CA"/>
    <w:rsid w:val="00612D84"/>
    <w:rsid w:val="0061342D"/>
    <w:rsid w:val="00614170"/>
    <w:rsid w:val="00614788"/>
    <w:rsid w:val="00614F51"/>
    <w:rsid w:val="006151F0"/>
    <w:rsid w:val="0061537B"/>
    <w:rsid w:val="00615405"/>
    <w:rsid w:val="006154F2"/>
    <w:rsid w:val="00615534"/>
    <w:rsid w:val="00616505"/>
    <w:rsid w:val="006165AC"/>
    <w:rsid w:val="00616663"/>
    <w:rsid w:val="006168C1"/>
    <w:rsid w:val="00616B5B"/>
    <w:rsid w:val="00616D2F"/>
    <w:rsid w:val="006171A3"/>
    <w:rsid w:val="00617217"/>
    <w:rsid w:val="00617257"/>
    <w:rsid w:val="00617278"/>
    <w:rsid w:val="00617628"/>
    <w:rsid w:val="00617AA1"/>
    <w:rsid w:val="00620371"/>
    <w:rsid w:val="00620DA8"/>
    <w:rsid w:val="00620DC0"/>
    <w:rsid w:val="00620F9B"/>
    <w:rsid w:val="006212F1"/>
    <w:rsid w:val="006217DF"/>
    <w:rsid w:val="00621A3D"/>
    <w:rsid w:val="00622013"/>
    <w:rsid w:val="00622672"/>
    <w:rsid w:val="006226F6"/>
    <w:rsid w:val="00622C2B"/>
    <w:rsid w:val="0062327C"/>
    <w:rsid w:val="0062343B"/>
    <w:rsid w:val="00623CEC"/>
    <w:rsid w:val="00623F83"/>
    <w:rsid w:val="0062404C"/>
    <w:rsid w:val="006241EC"/>
    <w:rsid w:val="006243C6"/>
    <w:rsid w:val="00624589"/>
    <w:rsid w:val="006247CF"/>
    <w:rsid w:val="00624939"/>
    <w:rsid w:val="0062496A"/>
    <w:rsid w:val="006255D5"/>
    <w:rsid w:val="0062563A"/>
    <w:rsid w:val="00625D28"/>
    <w:rsid w:val="00625DA1"/>
    <w:rsid w:val="006261BB"/>
    <w:rsid w:val="00626AA4"/>
    <w:rsid w:val="00626D6B"/>
    <w:rsid w:val="0062734D"/>
    <w:rsid w:val="00627405"/>
    <w:rsid w:val="0062749B"/>
    <w:rsid w:val="006276A6"/>
    <w:rsid w:val="00630198"/>
    <w:rsid w:val="0063019E"/>
    <w:rsid w:val="006304C1"/>
    <w:rsid w:val="00630570"/>
    <w:rsid w:val="006306A7"/>
    <w:rsid w:val="006306B7"/>
    <w:rsid w:val="00630A59"/>
    <w:rsid w:val="00630C09"/>
    <w:rsid w:val="00631C3E"/>
    <w:rsid w:val="00631D8B"/>
    <w:rsid w:val="00632678"/>
    <w:rsid w:val="00634038"/>
    <w:rsid w:val="006340A6"/>
    <w:rsid w:val="006342D7"/>
    <w:rsid w:val="006342D8"/>
    <w:rsid w:val="0063472D"/>
    <w:rsid w:val="006349BF"/>
    <w:rsid w:val="006351AA"/>
    <w:rsid w:val="006351ED"/>
    <w:rsid w:val="006359C1"/>
    <w:rsid w:val="00635B05"/>
    <w:rsid w:val="00635CB3"/>
    <w:rsid w:val="006365D8"/>
    <w:rsid w:val="006368CE"/>
    <w:rsid w:val="00636AB3"/>
    <w:rsid w:val="00636C1A"/>
    <w:rsid w:val="00636F90"/>
    <w:rsid w:val="00637194"/>
    <w:rsid w:val="00637EC4"/>
    <w:rsid w:val="006401C1"/>
    <w:rsid w:val="00640404"/>
    <w:rsid w:val="006405F0"/>
    <w:rsid w:val="006406FC"/>
    <w:rsid w:val="00640746"/>
    <w:rsid w:val="00640A23"/>
    <w:rsid w:val="00640A78"/>
    <w:rsid w:val="00640AE8"/>
    <w:rsid w:val="00640DD3"/>
    <w:rsid w:val="00641175"/>
    <w:rsid w:val="00641536"/>
    <w:rsid w:val="00641654"/>
    <w:rsid w:val="0064192C"/>
    <w:rsid w:val="00641D85"/>
    <w:rsid w:val="00641F7C"/>
    <w:rsid w:val="00642441"/>
    <w:rsid w:val="00642593"/>
    <w:rsid w:val="0064261A"/>
    <w:rsid w:val="006429ED"/>
    <w:rsid w:val="006429F2"/>
    <w:rsid w:val="00642CB3"/>
    <w:rsid w:val="0064301E"/>
    <w:rsid w:val="00643021"/>
    <w:rsid w:val="006430C8"/>
    <w:rsid w:val="00643461"/>
    <w:rsid w:val="006437CB"/>
    <w:rsid w:val="00644218"/>
    <w:rsid w:val="00644833"/>
    <w:rsid w:val="00644835"/>
    <w:rsid w:val="006451FD"/>
    <w:rsid w:val="006452EE"/>
    <w:rsid w:val="00645534"/>
    <w:rsid w:val="006459EB"/>
    <w:rsid w:val="0064644A"/>
    <w:rsid w:val="00646881"/>
    <w:rsid w:val="006468DF"/>
    <w:rsid w:val="00646F5A"/>
    <w:rsid w:val="006478EE"/>
    <w:rsid w:val="00647A42"/>
    <w:rsid w:val="00647D93"/>
    <w:rsid w:val="00647F6A"/>
    <w:rsid w:val="00647F87"/>
    <w:rsid w:val="00650516"/>
    <w:rsid w:val="0065067B"/>
    <w:rsid w:val="0065082A"/>
    <w:rsid w:val="00650865"/>
    <w:rsid w:val="00650F4A"/>
    <w:rsid w:val="00651458"/>
    <w:rsid w:val="006514CA"/>
    <w:rsid w:val="00651A93"/>
    <w:rsid w:val="00651C0D"/>
    <w:rsid w:val="00651D15"/>
    <w:rsid w:val="00651DF3"/>
    <w:rsid w:val="006520B3"/>
    <w:rsid w:val="00652409"/>
    <w:rsid w:val="0065249E"/>
    <w:rsid w:val="00652C60"/>
    <w:rsid w:val="0065319A"/>
    <w:rsid w:val="00653302"/>
    <w:rsid w:val="00653580"/>
    <w:rsid w:val="00653B2D"/>
    <w:rsid w:val="00653DC5"/>
    <w:rsid w:val="006549BC"/>
    <w:rsid w:val="00654D74"/>
    <w:rsid w:val="00654E44"/>
    <w:rsid w:val="00655034"/>
    <w:rsid w:val="006550DF"/>
    <w:rsid w:val="00655C95"/>
    <w:rsid w:val="00656500"/>
    <w:rsid w:val="00656781"/>
    <w:rsid w:val="00656A13"/>
    <w:rsid w:val="00656ABD"/>
    <w:rsid w:val="00656F40"/>
    <w:rsid w:val="00657039"/>
    <w:rsid w:val="006577C5"/>
    <w:rsid w:val="0065793D"/>
    <w:rsid w:val="0065798E"/>
    <w:rsid w:val="00657B52"/>
    <w:rsid w:val="006608E4"/>
    <w:rsid w:val="00660964"/>
    <w:rsid w:val="006609DC"/>
    <w:rsid w:val="00660B32"/>
    <w:rsid w:val="00661037"/>
    <w:rsid w:val="00661429"/>
    <w:rsid w:val="00662927"/>
    <w:rsid w:val="00662C0A"/>
    <w:rsid w:val="00662DC1"/>
    <w:rsid w:val="00662F68"/>
    <w:rsid w:val="00663184"/>
    <w:rsid w:val="0066352E"/>
    <w:rsid w:val="006638BF"/>
    <w:rsid w:val="00663B9E"/>
    <w:rsid w:val="00664072"/>
    <w:rsid w:val="0066408B"/>
    <w:rsid w:val="00664112"/>
    <w:rsid w:val="00664764"/>
    <w:rsid w:val="0066494A"/>
    <w:rsid w:val="00664E49"/>
    <w:rsid w:val="0066530C"/>
    <w:rsid w:val="00665719"/>
    <w:rsid w:val="006658D5"/>
    <w:rsid w:val="00665ABA"/>
    <w:rsid w:val="00665B3E"/>
    <w:rsid w:val="0066624C"/>
    <w:rsid w:val="006665EC"/>
    <w:rsid w:val="0066697B"/>
    <w:rsid w:val="00667005"/>
    <w:rsid w:val="00667006"/>
    <w:rsid w:val="00667253"/>
    <w:rsid w:val="00667557"/>
    <w:rsid w:val="006677E3"/>
    <w:rsid w:val="00667840"/>
    <w:rsid w:val="00667B69"/>
    <w:rsid w:val="00667D8D"/>
    <w:rsid w:val="006701ED"/>
    <w:rsid w:val="0067044B"/>
    <w:rsid w:val="00670A71"/>
    <w:rsid w:val="00670B7E"/>
    <w:rsid w:val="00670E6D"/>
    <w:rsid w:val="0067181F"/>
    <w:rsid w:val="00671964"/>
    <w:rsid w:val="00672561"/>
    <w:rsid w:val="006725A3"/>
    <w:rsid w:val="00672697"/>
    <w:rsid w:val="00672723"/>
    <w:rsid w:val="00672C20"/>
    <w:rsid w:val="00672C76"/>
    <w:rsid w:val="00672CD6"/>
    <w:rsid w:val="00673008"/>
    <w:rsid w:val="00673421"/>
    <w:rsid w:val="00673A0C"/>
    <w:rsid w:val="00673B05"/>
    <w:rsid w:val="00673C9E"/>
    <w:rsid w:val="00673D81"/>
    <w:rsid w:val="006741B0"/>
    <w:rsid w:val="00674B07"/>
    <w:rsid w:val="00674B7B"/>
    <w:rsid w:val="0067522F"/>
    <w:rsid w:val="0067523F"/>
    <w:rsid w:val="006752CA"/>
    <w:rsid w:val="006759D0"/>
    <w:rsid w:val="00675D6E"/>
    <w:rsid w:val="006761AC"/>
    <w:rsid w:val="006766DC"/>
    <w:rsid w:val="006769A0"/>
    <w:rsid w:val="00676E16"/>
    <w:rsid w:val="006770AC"/>
    <w:rsid w:val="00677845"/>
    <w:rsid w:val="00677C98"/>
    <w:rsid w:val="00677F39"/>
    <w:rsid w:val="006800B7"/>
    <w:rsid w:val="00680E51"/>
    <w:rsid w:val="00681229"/>
    <w:rsid w:val="006814C7"/>
    <w:rsid w:val="00681BBE"/>
    <w:rsid w:val="006824AC"/>
    <w:rsid w:val="00682866"/>
    <w:rsid w:val="0068299C"/>
    <w:rsid w:val="00683013"/>
    <w:rsid w:val="00683122"/>
    <w:rsid w:val="00683328"/>
    <w:rsid w:val="0068344F"/>
    <w:rsid w:val="00683514"/>
    <w:rsid w:val="0068352D"/>
    <w:rsid w:val="0068402E"/>
    <w:rsid w:val="00684070"/>
    <w:rsid w:val="00684A35"/>
    <w:rsid w:val="00684BED"/>
    <w:rsid w:val="00684C87"/>
    <w:rsid w:val="00685243"/>
    <w:rsid w:val="0068528E"/>
    <w:rsid w:val="00685350"/>
    <w:rsid w:val="0068541A"/>
    <w:rsid w:val="00686348"/>
    <w:rsid w:val="00686E0A"/>
    <w:rsid w:val="006874B5"/>
    <w:rsid w:val="00687BC6"/>
    <w:rsid w:val="006900F4"/>
    <w:rsid w:val="00690567"/>
    <w:rsid w:val="00690697"/>
    <w:rsid w:val="00690D30"/>
    <w:rsid w:val="006912F6"/>
    <w:rsid w:val="0069193C"/>
    <w:rsid w:val="00691994"/>
    <w:rsid w:val="00691C08"/>
    <w:rsid w:val="00691D4F"/>
    <w:rsid w:val="00692B8A"/>
    <w:rsid w:val="00692CDF"/>
    <w:rsid w:val="00692D6F"/>
    <w:rsid w:val="006931B5"/>
    <w:rsid w:val="00693220"/>
    <w:rsid w:val="00693238"/>
    <w:rsid w:val="00693319"/>
    <w:rsid w:val="00693E81"/>
    <w:rsid w:val="00694210"/>
    <w:rsid w:val="0069427C"/>
    <w:rsid w:val="0069428F"/>
    <w:rsid w:val="006942F9"/>
    <w:rsid w:val="006956E8"/>
    <w:rsid w:val="00695DCD"/>
    <w:rsid w:val="00695FD0"/>
    <w:rsid w:val="00696E1A"/>
    <w:rsid w:val="006973A5"/>
    <w:rsid w:val="00697998"/>
    <w:rsid w:val="00697B2D"/>
    <w:rsid w:val="00697BE8"/>
    <w:rsid w:val="006A0062"/>
    <w:rsid w:val="006A0085"/>
    <w:rsid w:val="006A0EE9"/>
    <w:rsid w:val="006A0F6A"/>
    <w:rsid w:val="006A12D1"/>
    <w:rsid w:val="006A1604"/>
    <w:rsid w:val="006A1755"/>
    <w:rsid w:val="006A17BA"/>
    <w:rsid w:val="006A1829"/>
    <w:rsid w:val="006A1B4D"/>
    <w:rsid w:val="006A243D"/>
    <w:rsid w:val="006A266A"/>
    <w:rsid w:val="006A28E8"/>
    <w:rsid w:val="006A2D69"/>
    <w:rsid w:val="006A3772"/>
    <w:rsid w:val="006A39E0"/>
    <w:rsid w:val="006A5259"/>
    <w:rsid w:val="006A5585"/>
    <w:rsid w:val="006A57FA"/>
    <w:rsid w:val="006A59CE"/>
    <w:rsid w:val="006A5EAE"/>
    <w:rsid w:val="006A6045"/>
    <w:rsid w:val="006A644E"/>
    <w:rsid w:val="006A65FB"/>
    <w:rsid w:val="006A6995"/>
    <w:rsid w:val="006A6BE1"/>
    <w:rsid w:val="006A6D52"/>
    <w:rsid w:val="006A74FA"/>
    <w:rsid w:val="006A755B"/>
    <w:rsid w:val="006A7811"/>
    <w:rsid w:val="006A78BE"/>
    <w:rsid w:val="006A7BE6"/>
    <w:rsid w:val="006A7D91"/>
    <w:rsid w:val="006A7F82"/>
    <w:rsid w:val="006B06D9"/>
    <w:rsid w:val="006B0776"/>
    <w:rsid w:val="006B090B"/>
    <w:rsid w:val="006B0BA4"/>
    <w:rsid w:val="006B0CFE"/>
    <w:rsid w:val="006B0D0D"/>
    <w:rsid w:val="006B0DCB"/>
    <w:rsid w:val="006B1158"/>
    <w:rsid w:val="006B1290"/>
    <w:rsid w:val="006B12FE"/>
    <w:rsid w:val="006B14AF"/>
    <w:rsid w:val="006B15FB"/>
    <w:rsid w:val="006B19F5"/>
    <w:rsid w:val="006B1AC9"/>
    <w:rsid w:val="006B1ACF"/>
    <w:rsid w:val="006B1F72"/>
    <w:rsid w:val="006B2156"/>
    <w:rsid w:val="006B2159"/>
    <w:rsid w:val="006B22CE"/>
    <w:rsid w:val="006B2849"/>
    <w:rsid w:val="006B3050"/>
    <w:rsid w:val="006B35DD"/>
    <w:rsid w:val="006B38D6"/>
    <w:rsid w:val="006B425F"/>
    <w:rsid w:val="006B4472"/>
    <w:rsid w:val="006B46EA"/>
    <w:rsid w:val="006B4742"/>
    <w:rsid w:val="006B47A5"/>
    <w:rsid w:val="006B508B"/>
    <w:rsid w:val="006B528B"/>
    <w:rsid w:val="006B543F"/>
    <w:rsid w:val="006B574D"/>
    <w:rsid w:val="006B5786"/>
    <w:rsid w:val="006B5CD8"/>
    <w:rsid w:val="006B638A"/>
    <w:rsid w:val="006B6B10"/>
    <w:rsid w:val="006B6DB4"/>
    <w:rsid w:val="006B7CEA"/>
    <w:rsid w:val="006C02BC"/>
    <w:rsid w:val="006C0402"/>
    <w:rsid w:val="006C0972"/>
    <w:rsid w:val="006C0982"/>
    <w:rsid w:val="006C1309"/>
    <w:rsid w:val="006C14BC"/>
    <w:rsid w:val="006C1C80"/>
    <w:rsid w:val="006C2D28"/>
    <w:rsid w:val="006C2E60"/>
    <w:rsid w:val="006C2E9E"/>
    <w:rsid w:val="006C3D18"/>
    <w:rsid w:val="006C3D5E"/>
    <w:rsid w:val="006C463E"/>
    <w:rsid w:val="006C4B23"/>
    <w:rsid w:val="006C4DA8"/>
    <w:rsid w:val="006C4F0E"/>
    <w:rsid w:val="006C5FB3"/>
    <w:rsid w:val="006C64F6"/>
    <w:rsid w:val="006C6912"/>
    <w:rsid w:val="006C6AF2"/>
    <w:rsid w:val="006C6E2C"/>
    <w:rsid w:val="006C7028"/>
    <w:rsid w:val="006C72D9"/>
    <w:rsid w:val="006C79F0"/>
    <w:rsid w:val="006C7AE8"/>
    <w:rsid w:val="006D0188"/>
    <w:rsid w:val="006D0714"/>
    <w:rsid w:val="006D0739"/>
    <w:rsid w:val="006D083A"/>
    <w:rsid w:val="006D0C8D"/>
    <w:rsid w:val="006D0CC2"/>
    <w:rsid w:val="006D1A8F"/>
    <w:rsid w:val="006D1B40"/>
    <w:rsid w:val="006D1C0E"/>
    <w:rsid w:val="006D289D"/>
    <w:rsid w:val="006D2982"/>
    <w:rsid w:val="006D2B18"/>
    <w:rsid w:val="006D2BB1"/>
    <w:rsid w:val="006D2F3C"/>
    <w:rsid w:val="006D322B"/>
    <w:rsid w:val="006D3CB8"/>
    <w:rsid w:val="006D3DE4"/>
    <w:rsid w:val="006D3EFA"/>
    <w:rsid w:val="006D3F11"/>
    <w:rsid w:val="006D40F4"/>
    <w:rsid w:val="006D42D1"/>
    <w:rsid w:val="006D4367"/>
    <w:rsid w:val="006D44D5"/>
    <w:rsid w:val="006D47C0"/>
    <w:rsid w:val="006D4E28"/>
    <w:rsid w:val="006D50EC"/>
    <w:rsid w:val="006D52E1"/>
    <w:rsid w:val="006D54B7"/>
    <w:rsid w:val="006D55A4"/>
    <w:rsid w:val="006D6020"/>
    <w:rsid w:val="006D67F4"/>
    <w:rsid w:val="006D6B29"/>
    <w:rsid w:val="006D7E19"/>
    <w:rsid w:val="006E0534"/>
    <w:rsid w:val="006E093F"/>
    <w:rsid w:val="006E0E31"/>
    <w:rsid w:val="006E1919"/>
    <w:rsid w:val="006E1AF3"/>
    <w:rsid w:val="006E1E7D"/>
    <w:rsid w:val="006E1F4D"/>
    <w:rsid w:val="006E25CC"/>
    <w:rsid w:val="006E269E"/>
    <w:rsid w:val="006E2FD2"/>
    <w:rsid w:val="006E3181"/>
    <w:rsid w:val="006E39B1"/>
    <w:rsid w:val="006E3C24"/>
    <w:rsid w:val="006E452C"/>
    <w:rsid w:val="006E4628"/>
    <w:rsid w:val="006E4D28"/>
    <w:rsid w:val="006E4FEA"/>
    <w:rsid w:val="006E55FF"/>
    <w:rsid w:val="006E5905"/>
    <w:rsid w:val="006E5C8C"/>
    <w:rsid w:val="006E5F02"/>
    <w:rsid w:val="006E6AB3"/>
    <w:rsid w:val="006E6E6E"/>
    <w:rsid w:val="006E7180"/>
    <w:rsid w:val="006E76C3"/>
    <w:rsid w:val="006F0164"/>
    <w:rsid w:val="006F03D3"/>
    <w:rsid w:val="006F0826"/>
    <w:rsid w:val="006F086F"/>
    <w:rsid w:val="006F10AE"/>
    <w:rsid w:val="006F12DF"/>
    <w:rsid w:val="006F1586"/>
    <w:rsid w:val="006F17FE"/>
    <w:rsid w:val="006F1935"/>
    <w:rsid w:val="006F1A99"/>
    <w:rsid w:val="006F2546"/>
    <w:rsid w:val="006F25F4"/>
    <w:rsid w:val="006F2B55"/>
    <w:rsid w:val="006F2F23"/>
    <w:rsid w:val="006F3508"/>
    <w:rsid w:val="006F37A9"/>
    <w:rsid w:val="006F3A4B"/>
    <w:rsid w:val="006F3C13"/>
    <w:rsid w:val="006F3E07"/>
    <w:rsid w:val="006F416D"/>
    <w:rsid w:val="006F418C"/>
    <w:rsid w:val="006F44D3"/>
    <w:rsid w:val="006F4537"/>
    <w:rsid w:val="006F514F"/>
    <w:rsid w:val="006F5825"/>
    <w:rsid w:val="006F5982"/>
    <w:rsid w:val="006F5CA7"/>
    <w:rsid w:val="006F656B"/>
    <w:rsid w:val="006F6658"/>
    <w:rsid w:val="006F67B0"/>
    <w:rsid w:val="006F67E8"/>
    <w:rsid w:val="006F6ABB"/>
    <w:rsid w:val="006F760A"/>
    <w:rsid w:val="007000F3"/>
    <w:rsid w:val="007008DC"/>
    <w:rsid w:val="00700B65"/>
    <w:rsid w:val="00700DAE"/>
    <w:rsid w:val="00700E81"/>
    <w:rsid w:val="0070114C"/>
    <w:rsid w:val="00701334"/>
    <w:rsid w:val="00701AA9"/>
    <w:rsid w:val="00701CA2"/>
    <w:rsid w:val="00701FA4"/>
    <w:rsid w:val="007023E8"/>
    <w:rsid w:val="0070347B"/>
    <w:rsid w:val="00703578"/>
    <w:rsid w:val="00703C78"/>
    <w:rsid w:val="007042CD"/>
    <w:rsid w:val="0070456F"/>
    <w:rsid w:val="007049E3"/>
    <w:rsid w:val="00704C83"/>
    <w:rsid w:val="00704D94"/>
    <w:rsid w:val="00705241"/>
    <w:rsid w:val="0070525C"/>
    <w:rsid w:val="00705408"/>
    <w:rsid w:val="00705619"/>
    <w:rsid w:val="0070581A"/>
    <w:rsid w:val="00705DEA"/>
    <w:rsid w:val="0070663B"/>
    <w:rsid w:val="0070689D"/>
    <w:rsid w:val="007068BD"/>
    <w:rsid w:val="007069A0"/>
    <w:rsid w:val="00706AE7"/>
    <w:rsid w:val="00706D6A"/>
    <w:rsid w:val="00706E6C"/>
    <w:rsid w:val="00706F40"/>
    <w:rsid w:val="00706FF2"/>
    <w:rsid w:val="0070732D"/>
    <w:rsid w:val="00707408"/>
    <w:rsid w:val="007079CE"/>
    <w:rsid w:val="00707CBB"/>
    <w:rsid w:val="00707D26"/>
    <w:rsid w:val="00707E6D"/>
    <w:rsid w:val="00710411"/>
    <w:rsid w:val="00710470"/>
    <w:rsid w:val="0071067A"/>
    <w:rsid w:val="00710779"/>
    <w:rsid w:val="00710800"/>
    <w:rsid w:val="00710B6D"/>
    <w:rsid w:val="00710C06"/>
    <w:rsid w:val="00710F3F"/>
    <w:rsid w:val="007110BF"/>
    <w:rsid w:val="0071119E"/>
    <w:rsid w:val="007111E3"/>
    <w:rsid w:val="007114F9"/>
    <w:rsid w:val="00712261"/>
    <w:rsid w:val="00712815"/>
    <w:rsid w:val="00712F3A"/>
    <w:rsid w:val="007131C4"/>
    <w:rsid w:val="00713209"/>
    <w:rsid w:val="0071345E"/>
    <w:rsid w:val="007139F3"/>
    <w:rsid w:val="00713AFF"/>
    <w:rsid w:val="00714C96"/>
    <w:rsid w:val="00714DDF"/>
    <w:rsid w:val="007150C6"/>
    <w:rsid w:val="007152A4"/>
    <w:rsid w:val="007155E6"/>
    <w:rsid w:val="00715880"/>
    <w:rsid w:val="0071627F"/>
    <w:rsid w:val="00716F8D"/>
    <w:rsid w:val="00717516"/>
    <w:rsid w:val="0072014D"/>
    <w:rsid w:val="00720748"/>
    <w:rsid w:val="00720AC1"/>
    <w:rsid w:val="007213FC"/>
    <w:rsid w:val="00721618"/>
    <w:rsid w:val="00721986"/>
    <w:rsid w:val="00721B6F"/>
    <w:rsid w:val="00722218"/>
    <w:rsid w:val="0072246A"/>
    <w:rsid w:val="007226DE"/>
    <w:rsid w:val="00722796"/>
    <w:rsid w:val="007227EC"/>
    <w:rsid w:val="00722957"/>
    <w:rsid w:val="00722A58"/>
    <w:rsid w:val="00722AD2"/>
    <w:rsid w:val="00722F2A"/>
    <w:rsid w:val="00722F4B"/>
    <w:rsid w:val="007230B2"/>
    <w:rsid w:val="0072320B"/>
    <w:rsid w:val="00723590"/>
    <w:rsid w:val="007239DD"/>
    <w:rsid w:val="00723ABC"/>
    <w:rsid w:val="007249C2"/>
    <w:rsid w:val="007250DB"/>
    <w:rsid w:val="00725474"/>
    <w:rsid w:val="007260F1"/>
    <w:rsid w:val="0072610C"/>
    <w:rsid w:val="007269CC"/>
    <w:rsid w:val="00726AB3"/>
    <w:rsid w:val="00726CFC"/>
    <w:rsid w:val="00727D9E"/>
    <w:rsid w:val="007300A6"/>
    <w:rsid w:val="007300DA"/>
    <w:rsid w:val="0073014B"/>
    <w:rsid w:val="007308ED"/>
    <w:rsid w:val="00730C16"/>
    <w:rsid w:val="00730F7E"/>
    <w:rsid w:val="0073110C"/>
    <w:rsid w:val="0073131E"/>
    <w:rsid w:val="0073134A"/>
    <w:rsid w:val="007313CA"/>
    <w:rsid w:val="007314CC"/>
    <w:rsid w:val="007315D0"/>
    <w:rsid w:val="007317F3"/>
    <w:rsid w:val="00731CD0"/>
    <w:rsid w:val="00732122"/>
    <w:rsid w:val="0073225D"/>
    <w:rsid w:val="00732460"/>
    <w:rsid w:val="007324EC"/>
    <w:rsid w:val="00732607"/>
    <w:rsid w:val="00732648"/>
    <w:rsid w:val="00732946"/>
    <w:rsid w:val="00732A1A"/>
    <w:rsid w:val="00732B40"/>
    <w:rsid w:val="00732C65"/>
    <w:rsid w:val="00732F5E"/>
    <w:rsid w:val="00733164"/>
    <w:rsid w:val="00733507"/>
    <w:rsid w:val="0073357B"/>
    <w:rsid w:val="0073360A"/>
    <w:rsid w:val="00733829"/>
    <w:rsid w:val="00733C26"/>
    <w:rsid w:val="00733CC0"/>
    <w:rsid w:val="00733E43"/>
    <w:rsid w:val="00734058"/>
    <w:rsid w:val="00734345"/>
    <w:rsid w:val="00734481"/>
    <w:rsid w:val="00734550"/>
    <w:rsid w:val="00734855"/>
    <w:rsid w:val="007348AC"/>
    <w:rsid w:val="00735277"/>
    <w:rsid w:val="007354DF"/>
    <w:rsid w:val="007355FB"/>
    <w:rsid w:val="007359B9"/>
    <w:rsid w:val="00735EBE"/>
    <w:rsid w:val="00736586"/>
    <w:rsid w:val="00736B3B"/>
    <w:rsid w:val="007370F0"/>
    <w:rsid w:val="00737120"/>
    <w:rsid w:val="00737192"/>
    <w:rsid w:val="00740164"/>
    <w:rsid w:val="0074046B"/>
    <w:rsid w:val="00740883"/>
    <w:rsid w:val="00740A01"/>
    <w:rsid w:val="00740D36"/>
    <w:rsid w:val="00741185"/>
    <w:rsid w:val="007411BE"/>
    <w:rsid w:val="007415B2"/>
    <w:rsid w:val="007417C7"/>
    <w:rsid w:val="00741A8D"/>
    <w:rsid w:val="00741CF8"/>
    <w:rsid w:val="00741D52"/>
    <w:rsid w:val="0074256B"/>
    <w:rsid w:val="0074265C"/>
    <w:rsid w:val="00742955"/>
    <w:rsid w:val="00742BAF"/>
    <w:rsid w:val="00742C94"/>
    <w:rsid w:val="00742F09"/>
    <w:rsid w:val="00743165"/>
    <w:rsid w:val="007436FD"/>
    <w:rsid w:val="00743866"/>
    <w:rsid w:val="00743A19"/>
    <w:rsid w:val="00743A8B"/>
    <w:rsid w:val="0074413F"/>
    <w:rsid w:val="00744419"/>
    <w:rsid w:val="0074446A"/>
    <w:rsid w:val="00744D34"/>
    <w:rsid w:val="0074503B"/>
    <w:rsid w:val="00745069"/>
    <w:rsid w:val="007451D3"/>
    <w:rsid w:val="007457AC"/>
    <w:rsid w:val="007458DB"/>
    <w:rsid w:val="007459A5"/>
    <w:rsid w:val="00745A46"/>
    <w:rsid w:val="00745D7B"/>
    <w:rsid w:val="007462FA"/>
    <w:rsid w:val="00746669"/>
    <w:rsid w:val="00746824"/>
    <w:rsid w:val="00746AD6"/>
    <w:rsid w:val="00747223"/>
    <w:rsid w:val="007473DE"/>
    <w:rsid w:val="00747916"/>
    <w:rsid w:val="00747A06"/>
    <w:rsid w:val="00747DAF"/>
    <w:rsid w:val="00747E1D"/>
    <w:rsid w:val="00747F07"/>
    <w:rsid w:val="0075069F"/>
    <w:rsid w:val="00750CB4"/>
    <w:rsid w:val="00751FF4"/>
    <w:rsid w:val="0075266C"/>
    <w:rsid w:val="007527E1"/>
    <w:rsid w:val="00752913"/>
    <w:rsid w:val="00752AC2"/>
    <w:rsid w:val="00752BB9"/>
    <w:rsid w:val="007533B3"/>
    <w:rsid w:val="0075384D"/>
    <w:rsid w:val="007538B7"/>
    <w:rsid w:val="00753A83"/>
    <w:rsid w:val="00754374"/>
    <w:rsid w:val="0075448F"/>
    <w:rsid w:val="007546FA"/>
    <w:rsid w:val="007550F5"/>
    <w:rsid w:val="007551A5"/>
    <w:rsid w:val="007552B9"/>
    <w:rsid w:val="007559E5"/>
    <w:rsid w:val="00755A3F"/>
    <w:rsid w:val="00756576"/>
    <w:rsid w:val="007565AE"/>
    <w:rsid w:val="00756ABC"/>
    <w:rsid w:val="00756C9F"/>
    <w:rsid w:val="00757579"/>
    <w:rsid w:val="00757850"/>
    <w:rsid w:val="00757FBB"/>
    <w:rsid w:val="007602BA"/>
    <w:rsid w:val="007605C3"/>
    <w:rsid w:val="00760766"/>
    <w:rsid w:val="0076084B"/>
    <w:rsid w:val="007609DB"/>
    <w:rsid w:val="00760C52"/>
    <w:rsid w:val="00760CB8"/>
    <w:rsid w:val="00760DE6"/>
    <w:rsid w:val="007614EC"/>
    <w:rsid w:val="00761799"/>
    <w:rsid w:val="00761F89"/>
    <w:rsid w:val="0076265B"/>
    <w:rsid w:val="007628DE"/>
    <w:rsid w:val="00762945"/>
    <w:rsid w:val="0076352B"/>
    <w:rsid w:val="0076363D"/>
    <w:rsid w:val="00764A11"/>
    <w:rsid w:val="00764B66"/>
    <w:rsid w:val="00764C39"/>
    <w:rsid w:val="00764D6D"/>
    <w:rsid w:val="00764D7C"/>
    <w:rsid w:val="00764F89"/>
    <w:rsid w:val="007650EB"/>
    <w:rsid w:val="007654EF"/>
    <w:rsid w:val="00765C35"/>
    <w:rsid w:val="00765D47"/>
    <w:rsid w:val="00765D6B"/>
    <w:rsid w:val="00765D77"/>
    <w:rsid w:val="00765D92"/>
    <w:rsid w:val="007661B2"/>
    <w:rsid w:val="007667F3"/>
    <w:rsid w:val="00766821"/>
    <w:rsid w:val="00766877"/>
    <w:rsid w:val="00766AD7"/>
    <w:rsid w:val="00766D9B"/>
    <w:rsid w:val="00766F92"/>
    <w:rsid w:val="0076716F"/>
    <w:rsid w:val="007672DD"/>
    <w:rsid w:val="00767C65"/>
    <w:rsid w:val="00767CA3"/>
    <w:rsid w:val="00767DFC"/>
    <w:rsid w:val="00767EFE"/>
    <w:rsid w:val="00770273"/>
    <w:rsid w:val="0077027C"/>
    <w:rsid w:val="007703E9"/>
    <w:rsid w:val="007708DA"/>
    <w:rsid w:val="00770F1E"/>
    <w:rsid w:val="00770FCD"/>
    <w:rsid w:val="0077105F"/>
    <w:rsid w:val="00771767"/>
    <w:rsid w:val="00771B91"/>
    <w:rsid w:val="007726C5"/>
    <w:rsid w:val="00772809"/>
    <w:rsid w:val="00773AFB"/>
    <w:rsid w:val="007744CC"/>
    <w:rsid w:val="0077450B"/>
    <w:rsid w:val="007748F1"/>
    <w:rsid w:val="00774C84"/>
    <w:rsid w:val="00775576"/>
    <w:rsid w:val="00775A79"/>
    <w:rsid w:val="00775BE6"/>
    <w:rsid w:val="00775EEC"/>
    <w:rsid w:val="00775F67"/>
    <w:rsid w:val="00776930"/>
    <w:rsid w:val="00776E79"/>
    <w:rsid w:val="00777128"/>
    <w:rsid w:val="00777772"/>
    <w:rsid w:val="00777D8E"/>
    <w:rsid w:val="00777FC4"/>
    <w:rsid w:val="0078015F"/>
    <w:rsid w:val="0078037E"/>
    <w:rsid w:val="0078039C"/>
    <w:rsid w:val="007803C2"/>
    <w:rsid w:val="007805DB"/>
    <w:rsid w:val="00780619"/>
    <w:rsid w:val="0078077C"/>
    <w:rsid w:val="00780A1C"/>
    <w:rsid w:val="00780CEF"/>
    <w:rsid w:val="00780CF2"/>
    <w:rsid w:val="00780E94"/>
    <w:rsid w:val="00781255"/>
    <w:rsid w:val="007812E4"/>
    <w:rsid w:val="00781610"/>
    <w:rsid w:val="0078166F"/>
    <w:rsid w:val="007816D6"/>
    <w:rsid w:val="00781A26"/>
    <w:rsid w:val="00781D90"/>
    <w:rsid w:val="007826E4"/>
    <w:rsid w:val="00782A89"/>
    <w:rsid w:val="00782C58"/>
    <w:rsid w:val="00783A5E"/>
    <w:rsid w:val="00783DDF"/>
    <w:rsid w:val="00783FFC"/>
    <w:rsid w:val="007840AD"/>
    <w:rsid w:val="00784140"/>
    <w:rsid w:val="00784486"/>
    <w:rsid w:val="00784E7A"/>
    <w:rsid w:val="00784EC9"/>
    <w:rsid w:val="00785299"/>
    <w:rsid w:val="007854F0"/>
    <w:rsid w:val="00785588"/>
    <w:rsid w:val="007855CC"/>
    <w:rsid w:val="007863A4"/>
    <w:rsid w:val="00786C64"/>
    <w:rsid w:val="00787191"/>
    <w:rsid w:val="00787987"/>
    <w:rsid w:val="00787A41"/>
    <w:rsid w:val="00787ED1"/>
    <w:rsid w:val="00787EDE"/>
    <w:rsid w:val="00790516"/>
    <w:rsid w:val="00790761"/>
    <w:rsid w:val="00790810"/>
    <w:rsid w:val="00790A18"/>
    <w:rsid w:val="00790E39"/>
    <w:rsid w:val="007911AF"/>
    <w:rsid w:val="007913A6"/>
    <w:rsid w:val="007913DF"/>
    <w:rsid w:val="007914AB"/>
    <w:rsid w:val="007916D9"/>
    <w:rsid w:val="007917DD"/>
    <w:rsid w:val="00791B22"/>
    <w:rsid w:val="00791EB2"/>
    <w:rsid w:val="00791EF7"/>
    <w:rsid w:val="00792823"/>
    <w:rsid w:val="00792CEA"/>
    <w:rsid w:val="007934D1"/>
    <w:rsid w:val="007935D8"/>
    <w:rsid w:val="00793B12"/>
    <w:rsid w:val="00793E3D"/>
    <w:rsid w:val="00793F89"/>
    <w:rsid w:val="0079432D"/>
    <w:rsid w:val="007946BE"/>
    <w:rsid w:val="00794774"/>
    <w:rsid w:val="007948B5"/>
    <w:rsid w:val="00794F04"/>
    <w:rsid w:val="0079564C"/>
    <w:rsid w:val="00795960"/>
    <w:rsid w:val="007959A7"/>
    <w:rsid w:val="00796342"/>
    <w:rsid w:val="00796A68"/>
    <w:rsid w:val="00796BEF"/>
    <w:rsid w:val="00796CE2"/>
    <w:rsid w:val="00796F0E"/>
    <w:rsid w:val="00797352"/>
    <w:rsid w:val="0079774A"/>
    <w:rsid w:val="007A032D"/>
    <w:rsid w:val="007A04FB"/>
    <w:rsid w:val="007A080F"/>
    <w:rsid w:val="007A0933"/>
    <w:rsid w:val="007A0E82"/>
    <w:rsid w:val="007A0F99"/>
    <w:rsid w:val="007A16DC"/>
    <w:rsid w:val="007A1737"/>
    <w:rsid w:val="007A1C9C"/>
    <w:rsid w:val="007A205E"/>
    <w:rsid w:val="007A20C9"/>
    <w:rsid w:val="007A24CF"/>
    <w:rsid w:val="007A283F"/>
    <w:rsid w:val="007A2DAD"/>
    <w:rsid w:val="007A30D9"/>
    <w:rsid w:val="007A3907"/>
    <w:rsid w:val="007A39B6"/>
    <w:rsid w:val="007A3DBA"/>
    <w:rsid w:val="007A44BA"/>
    <w:rsid w:val="007A4D14"/>
    <w:rsid w:val="007A513B"/>
    <w:rsid w:val="007A5334"/>
    <w:rsid w:val="007A5342"/>
    <w:rsid w:val="007A5A63"/>
    <w:rsid w:val="007A5AF3"/>
    <w:rsid w:val="007A64EA"/>
    <w:rsid w:val="007A66EB"/>
    <w:rsid w:val="007A6A7C"/>
    <w:rsid w:val="007A6F7B"/>
    <w:rsid w:val="007A7087"/>
    <w:rsid w:val="007A7370"/>
    <w:rsid w:val="007A741D"/>
    <w:rsid w:val="007A760C"/>
    <w:rsid w:val="007A7C23"/>
    <w:rsid w:val="007B017D"/>
    <w:rsid w:val="007B0ADB"/>
    <w:rsid w:val="007B0B87"/>
    <w:rsid w:val="007B0C9E"/>
    <w:rsid w:val="007B0EDF"/>
    <w:rsid w:val="007B104B"/>
    <w:rsid w:val="007B15A1"/>
    <w:rsid w:val="007B175E"/>
    <w:rsid w:val="007B1AF8"/>
    <w:rsid w:val="007B1D9C"/>
    <w:rsid w:val="007B1EC6"/>
    <w:rsid w:val="007B1F30"/>
    <w:rsid w:val="007B2562"/>
    <w:rsid w:val="007B27CE"/>
    <w:rsid w:val="007B2ED0"/>
    <w:rsid w:val="007B3155"/>
    <w:rsid w:val="007B3171"/>
    <w:rsid w:val="007B3399"/>
    <w:rsid w:val="007B3A97"/>
    <w:rsid w:val="007B3E93"/>
    <w:rsid w:val="007B3EC4"/>
    <w:rsid w:val="007B3F5F"/>
    <w:rsid w:val="007B403E"/>
    <w:rsid w:val="007B440D"/>
    <w:rsid w:val="007B4803"/>
    <w:rsid w:val="007B4A27"/>
    <w:rsid w:val="007B4AF5"/>
    <w:rsid w:val="007B4BAE"/>
    <w:rsid w:val="007B4FF1"/>
    <w:rsid w:val="007B507C"/>
    <w:rsid w:val="007B53A8"/>
    <w:rsid w:val="007B55EB"/>
    <w:rsid w:val="007B5BA2"/>
    <w:rsid w:val="007B6B9A"/>
    <w:rsid w:val="007B6EE2"/>
    <w:rsid w:val="007B6FA5"/>
    <w:rsid w:val="007B721C"/>
    <w:rsid w:val="007B74A6"/>
    <w:rsid w:val="007B7C6D"/>
    <w:rsid w:val="007B7F03"/>
    <w:rsid w:val="007C0187"/>
    <w:rsid w:val="007C0394"/>
    <w:rsid w:val="007C0B85"/>
    <w:rsid w:val="007C1079"/>
    <w:rsid w:val="007C14DA"/>
    <w:rsid w:val="007C1CA9"/>
    <w:rsid w:val="007C2053"/>
    <w:rsid w:val="007C244B"/>
    <w:rsid w:val="007C2B40"/>
    <w:rsid w:val="007C2DEB"/>
    <w:rsid w:val="007C31A1"/>
    <w:rsid w:val="007C324F"/>
    <w:rsid w:val="007C3404"/>
    <w:rsid w:val="007C3E40"/>
    <w:rsid w:val="007C4060"/>
    <w:rsid w:val="007C4093"/>
    <w:rsid w:val="007C414F"/>
    <w:rsid w:val="007C41D9"/>
    <w:rsid w:val="007C4723"/>
    <w:rsid w:val="007C480F"/>
    <w:rsid w:val="007C57FC"/>
    <w:rsid w:val="007C5836"/>
    <w:rsid w:val="007C5B17"/>
    <w:rsid w:val="007C5E56"/>
    <w:rsid w:val="007C63EB"/>
    <w:rsid w:val="007C6489"/>
    <w:rsid w:val="007C74AC"/>
    <w:rsid w:val="007D002B"/>
    <w:rsid w:val="007D008F"/>
    <w:rsid w:val="007D05B4"/>
    <w:rsid w:val="007D075B"/>
    <w:rsid w:val="007D0823"/>
    <w:rsid w:val="007D10F6"/>
    <w:rsid w:val="007D11C1"/>
    <w:rsid w:val="007D1443"/>
    <w:rsid w:val="007D14C9"/>
    <w:rsid w:val="007D1589"/>
    <w:rsid w:val="007D1E43"/>
    <w:rsid w:val="007D1F4B"/>
    <w:rsid w:val="007D20C2"/>
    <w:rsid w:val="007D20CF"/>
    <w:rsid w:val="007D2C6C"/>
    <w:rsid w:val="007D2FA2"/>
    <w:rsid w:val="007D3719"/>
    <w:rsid w:val="007D38F2"/>
    <w:rsid w:val="007D39D5"/>
    <w:rsid w:val="007D3F07"/>
    <w:rsid w:val="007D424D"/>
    <w:rsid w:val="007D46B7"/>
    <w:rsid w:val="007D4DBD"/>
    <w:rsid w:val="007D4E98"/>
    <w:rsid w:val="007D55CE"/>
    <w:rsid w:val="007D59A1"/>
    <w:rsid w:val="007D5BBC"/>
    <w:rsid w:val="007D6057"/>
    <w:rsid w:val="007D67A8"/>
    <w:rsid w:val="007D687A"/>
    <w:rsid w:val="007D784A"/>
    <w:rsid w:val="007D7B01"/>
    <w:rsid w:val="007D7C32"/>
    <w:rsid w:val="007E002D"/>
    <w:rsid w:val="007E01CE"/>
    <w:rsid w:val="007E07F6"/>
    <w:rsid w:val="007E0932"/>
    <w:rsid w:val="007E0976"/>
    <w:rsid w:val="007E14B4"/>
    <w:rsid w:val="007E1733"/>
    <w:rsid w:val="007E1ED8"/>
    <w:rsid w:val="007E236D"/>
    <w:rsid w:val="007E3230"/>
    <w:rsid w:val="007E36EB"/>
    <w:rsid w:val="007E37A2"/>
    <w:rsid w:val="007E381B"/>
    <w:rsid w:val="007E3B79"/>
    <w:rsid w:val="007E4780"/>
    <w:rsid w:val="007E4921"/>
    <w:rsid w:val="007E4AC2"/>
    <w:rsid w:val="007E4CEC"/>
    <w:rsid w:val="007E5D80"/>
    <w:rsid w:val="007E6C2B"/>
    <w:rsid w:val="007E7069"/>
    <w:rsid w:val="007E72FA"/>
    <w:rsid w:val="007E7A53"/>
    <w:rsid w:val="007F03CC"/>
    <w:rsid w:val="007F04A8"/>
    <w:rsid w:val="007F080A"/>
    <w:rsid w:val="007F0A6A"/>
    <w:rsid w:val="007F0CCB"/>
    <w:rsid w:val="007F124D"/>
    <w:rsid w:val="007F1422"/>
    <w:rsid w:val="007F1660"/>
    <w:rsid w:val="007F1922"/>
    <w:rsid w:val="007F1D57"/>
    <w:rsid w:val="007F1D9A"/>
    <w:rsid w:val="007F1E17"/>
    <w:rsid w:val="007F2935"/>
    <w:rsid w:val="007F2950"/>
    <w:rsid w:val="007F2997"/>
    <w:rsid w:val="007F2DE8"/>
    <w:rsid w:val="007F2E8B"/>
    <w:rsid w:val="007F2F75"/>
    <w:rsid w:val="007F34C7"/>
    <w:rsid w:val="007F3C33"/>
    <w:rsid w:val="007F44C8"/>
    <w:rsid w:val="007F4BC6"/>
    <w:rsid w:val="007F4CE7"/>
    <w:rsid w:val="007F5600"/>
    <w:rsid w:val="007F58E3"/>
    <w:rsid w:val="007F5A7A"/>
    <w:rsid w:val="007F5D6D"/>
    <w:rsid w:val="007F6171"/>
    <w:rsid w:val="007F6374"/>
    <w:rsid w:val="007F66B4"/>
    <w:rsid w:val="007F67F0"/>
    <w:rsid w:val="007F69B5"/>
    <w:rsid w:val="007F6B3A"/>
    <w:rsid w:val="007F7170"/>
    <w:rsid w:val="007F71AB"/>
    <w:rsid w:val="007F7250"/>
    <w:rsid w:val="00800450"/>
    <w:rsid w:val="00800775"/>
    <w:rsid w:val="00801359"/>
    <w:rsid w:val="00801B43"/>
    <w:rsid w:val="00801C8A"/>
    <w:rsid w:val="008023E0"/>
    <w:rsid w:val="00802734"/>
    <w:rsid w:val="00802E26"/>
    <w:rsid w:val="00802EA6"/>
    <w:rsid w:val="00802F05"/>
    <w:rsid w:val="00802F5D"/>
    <w:rsid w:val="00803718"/>
    <w:rsid w:val="0080396E"/>
    <w:rsid w:val="00803B6B"/>
    <w:rsid w:val="00803BD0"/>
    <w:rsid w:val="00803D20"/>
    <w:rsid w:val="00803EA8"/>
    <w:rsid w:val="00803F48"/>
    <w:rsid w:val="00803F7E"/>
    <w:rsid w:val="00804535"/>
    <w:rsid w:val="008045B5"/>
    <w:rsid w:val="0080493F"/>
    <w:rsid w:val="00804949"/>
    <w:rsid w:val="00804E59"/>
    <w:rsid w:val="00804FC0"/>
    <w:rsid w:val="00805266"/>
    <w:rsid w:val="00805749"/>
    <w:rsid w:val="00805D48"/>
    <w:rsid w:val="00805E22"/>
    <w:rsid w:val="008067E4"/>
    <w:rsid w:val="008068D7"/>
    <w:rsid w:val="008069E3"/>
    <w:rsid w:val="00806C23"/>
    <w:rsid w:val="00807740"/>
    <w:rsid w:val="00807D32"/>
    <w:rsid w:val="00807D93"/>
    <w:rsid w:val="00807FCD"/>
    <w:rsid w:val="00810087"/>
    <w:rsid w:val="0081021B"/>
    <w:rsid w:val="008102E8"/>
    <w:rsid w:val="00810CCA"/>
    <w:rsid w:val="008113E9"/>
    <w:rsid w:val="0081146C"/>
    <w:rsid w:val="008114F5"/>
    <w:rsid w:val="008118BE"/>
    <w:rsid w:val="00811EB1"/>
    <w:rsid w:val="008128B5"/>
    <w:rsid w:val="008128D8"/>
    <w:rsid w:val="0081338D"/>
    <w:rsid w:val="00813B6E"/>
    <w:rsid w:val="00813EAB"/>
    <w:rsid w:val="00813F32"/>
    <w:rsid w:val="00814354"/>
    <w:rsid w:val="0081437E"/>
    <w:rsid w:val="00815318"/>
    <w:rsid w:val="00815756"/>
    <w:rsid w:val="00815B21"/>
    <w:rsid w:val="00815CC2"/>
    <w:rsid w:val="00816757"/>
    <w:rsid w:val="00816AF5"/>
    <w:rsid w:val="0081769E"/>
    <w:rsid w:val="008179D6"/>
    <w:rsid w:val="008201E8"/>
    <w:rsid w:val="0082062B"/>
    <w:rsid w:val="00820736"/>
    <w:rsid w:val="00820C57"/>
    <w:rsid w:val="00820F9B"/>
    <w:rsid w:val="00821390"/>
    <w:rsid w:val="00821E42"/>
    <w:rsid w:val="0082208F"/>
    <w:rsid w:val="008222A3"/>
    <w:rsid w:val="00822685"/>
    <w:rsid w:val="00822709"/>
    <w:rsid w:val="00822B42"/>
    <w:rsid w:val="00822BF5"/>
    <w:rsid w:val="00823352"/>
    <w:rsid w:val="00823743"/>
    <w:rsid w:val="008239F1"/>
    <w:rsid w:val="00823DA0"/>
    <w:rsid w:val="008244D5"/>
    <w:rsid w:val="00824CB1"/>
    <w:rsid w:val="0082530F"/>
    <w:rsid w:val="008255FE"/>
    <w:rsid w:val="00825D42"/>
    <w:rsid w:val="00826AB3"/>
    <w:rsid w:val="00826C79"/>
    <w:rsid w:val="00826DA0"/>
    <w:rsid w:val="00826F1B"/>
    <w:rsid w:val="008273F7"/>
    <w:rsid w:val="00827B63"/>
    <w:rsid w:val="00827E15"/>
    <w:rsid w:val="008300F2"/>
    <w:rsid w:val="0083056E"/>
    <w:rsid w:val="00830E2B"/>
    <w:rsid w:val="00830E3B"/>
    <w:rsid w:val="00831AD5"/>
    <w:rsid w:val="00831D91"/>
    <w:rsid w:val="00831ECA"/>
    <w:rsid w:val="0083212D"/>
    <w:rsid w:val="008321D8"/>
    <w:rsid w:val="0083240C"/>
    <w:rsid w:val="00832430"/>
    <w:rsid w:val="0083260B"/>
    <w:rsid w:val="00832721"/>
    <w:rsid w:val="00832839"/>
    <w:rsid w:val="00832954"/>
    <w:rsid w:val="00832AC2"/>
    <w:rsid w:val="00833824"/>
    <w:rsid w:val="00833A61"/>
    <w:rsid w:val="00833E8F"/>
    <w:rsid w:val="00833F36"/>
    <w:rsid w:val="00834F91"/>
    <w:rsid w:val="00835673"/>
    <w:rsid w:val="00835722"/>
    <w:rsid w:val="00835F03"/>
    <w:rsid w:val="0083634C"/>
    <w:rsid w:val="008368B5"/>
    <w:rsid w:val="00836B41"/>
    <w:rsid w:val="008371E1"/>
    <w:rsid w:val="00837246"/>
    <w:rsid w:val="00837E0C"/>
    <w:rsid w:val="008404A0"/>
    <w:rsid w:val="0084061B"/>
    <w:rsid w:val="0084113C"/>
    <w:rsid w:val="00841596"/>
    <w:rsid w:val="00841FAD"/>
    <w:rsid w:val="008420E9"/>
    <w:rsid w:val="00842234"/>
    <w:rsid w:val="008422B5"/>
    <w:rsid w:val="00842741"/>
    <w:rsid w:val="00842B59"/>
    <w:rsid w:val="0084303B"/>
    <w:rsid w:val="008437A3"/>
    <w:rsid w:val="00843C9B"/>
    <w:rsid w:val="00843CF1"/>
    <w:rsid w:val="00844CED"/>
    <w:rsid w:val="00845584"/>
    <w:rsid w:val="00845AB3"/>
    <w:rsid w:val="00845E92"/>
    <w:rsid w:val="008460C0"/>
    <w:rsid w:val="008461FA"/>
    <w:rsid w:val="00846428"/>
    <w:rsid w:val="0084658B"/>
    <w:rsid w:val="008465B9"/>
    <w:rsid w:val="0084661D"/>
    <w:rsid w:val="00846669"/>
    <w:rsid w:val="00846780"/>
    <w:rsid w:val="0084692D"/>
    <w:rsid w:val="008469F1"/>
    <w:rsid w:val="00846B02"/>
    <w:rsid w:val="00846CB8"/>
    <w:rsid w:val="00846DA1"/>
    <w:rsid w:val="00847100"/>
    <w:rsid w:val="008471C1"/>
    <w:rsid w:val="008476E2"/>
    <w:rsid w:val="00847D8A"/>
    <w:rsid w:val="00847DA1"/>
    <w:rsid w:val="00847E3C"/>
    <w:rsid w:val="008501E9"/>
    <w:rsid w:val="00850311"/>
    <w:rsid w:val="008509AF"/>
    <w:rsid w:val="00851659"/>
    <w:rsid w:val="00851AC5"/>
    <w:rsid w:val="00851EB9"/>
    <w:rsid w:val="00852080"/>
    <w:rsid w:val="00852867"/>
    <w:rsid w:val="00852A10"/>
    <w:rsid w:val="0085321C"/>
    <w:rsid w:val="008533F7"/>
    <w:rsid w:val="00853819"/>
    <w:rsid w:val="00853C0B"/>
    <w:rsid w:val="008540B6"/>
    <w:rsid w:val="0085441C"/>
    <w:rsid w:val="00854428"/>
    <w:rsid w:val="00854AB5"/>
    <w:rsid w:val="0085506F"/>
    <w:rsid w:val="0085513B"/>
    <w:rsid w:val="00856040"/>
    <w:rsid w:val="00856523"/>
    <w:rsid w:val="008565C5"/>
    <w:rsid w:val="00856A3D"/>
    <w:rsid w:val="008573A8"/>
    <w:rsid w:val="00857B93"/>
    <w:rsid w:val="00857BEA"/>
    <w:rsid w:val="00857EC3"/>
    <w:rsid w:val="008601DF"/>
    <w:rsid w:val="008602B6"/>
    <w:rsid w:val="00860D23"/>
    <w:rsid w:val="00860E2F"/>
    <w:rsid w:val="00861344"/>
    <w:rsid w:val="00861431"/>
    <w:rsid w:val="00861872"/>
    <w:rsid w:val="0086218D"/>
    <w:rsid w:val="008621FF"/>
    <w:rsid w:val="00862202"/>
    <w:rsid w:val="00862312"/>
    <w:rsid w:val="0086252C"/>
    <w:rsid w:val="008627F1"/>
    <w:rsid w:val="008629BD"/>
    <w:rsid w:val="00863272"/>
    <w:rsid w:val="0086375C"/>
    <w:rsid w:val="008639F2"/>
    <w:rsid w:val="00864410"/>
    <w:rsid w:val="008646E9"/>
    <w:rsid w:val="00864BA4"/>
    <w:rsid w:val="008651D0"/>
    <w:rsid w:val="008656E4"/>
    <w:rsid w:val="0086584F"/>
    <w:rsid w:val="00865975"/>
    <w:rsid w:val="00865A89"/>
    <w:rsid w:val="00865F79"/>
    <w:rsid w:val="00866264"/>
    <w:rsid w:val="00866325"/>
    <w:rsid w:val="0086689B"/>
    <w:rsid w:val="008668F1"/>
    <w:rsid w:val="008676B5"/>
    <w:rsid w:val="00867900"/>
    <w:rsid w:val="008679FE"/>
    <w:rsid w:val="00867F53"/>
    <w:rsid w:val="00870523"/>
    <w:rsid w:val="00870C96"/>
    <w:rsid w:val="00871016"/>
    <w:rsid w:val="00871192"/>
    <w:rsid w:val="00871C0A"/>
    <w:rsid w:val="00871E03"/>
    <w:rsid w:val="00871EE9"/>
    <w:rsid w:val="0087244A"/>
    <w:rsid w:val="00872D15"/>
    <w:rsid w:val="00873105"/>
    <w:rsid w:val="00873398"/>
    <w:rsid w:val="0087390C"/>
    <w:rsid w:val="00873DB8"/>
    <w:rsid w:val="008752D3"/>
    <w:rsid w:val="00875445"/>
    <w:rsid w:val="0087579B"/>
    <w:rsid w:val="00875D12"/>
    <w:rsid w:val="008760B6"/>
    <w:rsid w:val="008762EB"/>
    <w:rsid w:val="00876708"/>
    <w:rsid w:val="00876797"/>
    <w:rsid w:val="00877081"/>
    <w:rsid w:val="0087737B"/>
    <w:rsid w:val="008776D2"/>
    <w:rsid w:val="00877EA4"/>
    <w:rsid w:val="00880102"/>
    <w:rsid w:val="00880644"/>
    <w:rsid w:val="008807C5"/>
    <w:rsid w:val="00880B00"/>
    <w:rsid w:val="00880B7F"/>
    <w:rsid w:val="00880EDD"/>
    <w:rsid w:val="00880FEA"/>
    <w:rsid w:val="0088126C"/>
    <w:rsid w:val="0088184D"/>
    <w:rsid w:val="00881A5F"/>
    <w:rsid w:val="00882246"/>
    <w:rsid w:val="00882771"/>
    <w:rsid w:val="00882989"/>
    <w:rsid w:val="00882FB1"/>
    <w:rsid w:val="00882FE7"/>
    <w:rsid w:val="00883491"/>
    <w:rsid w:val="00883ACF"/>
    <w:rsid w:val="00883BD0"/>
    <w:rsid w:val="008844C7"/>
    <w:rsid w:val="008846C7"/>
    <w:rsid w:val="008849B1"/>
    <w:rsid w:val="008851E4"/>
    <w:rsid w:val="00885B16"/>
    <w:rsid w:val="00885D4D"/>
    <w:rsid w:val="00885EDB"/>
    <w:rsid w:val="00886582"/>
    <w:rsid w:val="00886968"/>
    <w:rsid w:val="00886A7F"/>
    <w:rsid w:val="00887038"/>
    <w:rsid w:val="008871C5"/>
    <w:rsid w:val="008879E3"/>
    <w:rsid w:val="00887ECC"/>
    <w:rsid w:val="008904A2"/>
    <w:rsid w:val="008906E0"/>
    <w:rsid w:val="00890B7C"/>
    <w:rsid w:val="0089113F"/>
    <w:rsid w:val="0089150D"/>
    <w:rsid w:val="008916FB"/>
    <w:rsid w:val="008918A1"/>
    <w:rsid w:val="008918F7"/>
    <w:rsid w:val="0089248E"/>
    <w:rsid w:val="00892A87"/>
    <w:rsid w:val="00892DC2"/>
    <w:rsid w:val="00892EFC"/>
    <w:rsid w:val="0089346E"/>
    <w:rsid w:val="00893633"/>
    <w:rsid w:val="0089371C"/>
    <w:rsid w:val="0089374F"/>
    <w:rsid w:val="00893769"/>
    <w:rsid w:val="00893B95"/>
    <w:rsid w:val="00893EBE"/>
    <w:rsid w:val="00894035"/>
    <w:rsid w:val="008941D6"/>
    <w:rsid w:val="00894751"/>
    <w:rsid w:val="008947F1"/>
    <w:rsid w:val="00895241"/>
    <w:rsid w:val="00895589"/>
    <w:rsid w:val="00895CFC"/>
    <w:rsid w:val="00895DFC"/>
    <w:rsid w:val="0089617E"/>
    <w:rsid w:val="0089663A"/>
    <w:rsid w:val="00896740"/>
    <w:rsid w:val="008967D4"/>
    <w:rsid w:val="00897671"/>
    <w:rsid w:val="008976B4"/>
    <w:rsid w:val="0089788B"/>
    <w:rsid w:val="00897AE8"/>
    <w:rsid w:val="00897E30"/>
    <w:rsid w:val="008A04FB"/>
    <w:rsid w:val="008A07FE"/>
    <w:rsid w:val="008A0DDB"/>
    <w:rsid w:val="008A0E2A"/>
    <w:rsid w:val="008A1A12"/>
    <w:rsid w:val="008A1C13"/>
    <w:rsid w:val="008A27D5"/>
    <w:rsid w:val="008A2982"/>
    <w:rsid w:val="008A29C8"/>
    <w:rsid w:val="008A2A52"/>
    <w:rsid w:val="008A2AB7"/>
    <w:rsid w:val="008A3AC7"/>
    <w:rsid w:val="008A3ACB"/>
    <w:rsid w:val="008A3EBC"/>
    <w:rsid w:val="008A400A"/>
    <w:rsid w:val="008A4517"/>
    <w:rsid w:val="008A45AC"/>
    <w:rsid w:val="008A472C"/>
    <w:rsid w:val="008A4F7E"/>
    <w:rsid w:val="008A526D"/>
    <w:rsid w:val="008A590C"/>
    <w:rsid w:val="008A5A01"/>
    <w:rsid w:val="008A5B41"/>
    <w:rsid w:val="008A5D8A"/>
    <w:rsid w:val="008A622D"/>
    <w:rsid w:val="008A62E8"/>
    <w:rsid w:val="008A67E4"/>
    <w:rsid w:val="008A6834"/>
    <w:rsid w:val="008A6E6C"/>
    <w:rsid w:val="008A6F58"/>
    <w:rsid w:val="008A7348"/>
    <w:rsid w:val="008A7D6E"/>
    <w:rsid w:val="008B0067"/>
    <w:rsid w:val="008B01CA"/>
    <w:rsid w:val="008B04C1"/>
    <w:rsid w:val="008B076E"/>
    <w:rsid w:val="008B09CB"/>
    <w:rsid w:val="008B0F2A"/>
    <w:rsid w:val="008B1639"/>
    <w:rsid w:val="008B2639"/>
    <w:rsid w:val="008B2B8D"/>
    <w:rsid w:val="008B306D"/>
    <w:rsid w:val="008B3ABA"/>
    <w:rsid w:val="008B3C93"/>
    <w:rsid w:val="008B3CA7"/>
    <w:rsid w:val="008B3CF4"/>
    <w:rsid w:val="008B3F7A"/>
    <w:rsid w:val="008B3FA3"/>
    <w:rsid w:val="008B469A"/>
    <w:rsid w:val="008B46E7"/>
    <w:rsid w:val="008B4A2B"/>
    <w:rsid w:val="008B51A7"/>
    <w:rsid w:val="008B5B45"/>
    <w:rsid w:val="008B5D44"/>
    <w:rsid w:val="008B6A52"/>
    <w:rsid w:val="008B6E27"/>
    <w:rsid w:val="008B7636"/>
    <w:rsid w:val="008B76AB"/>
    <w:rsid w:val="008B7A44"/>
    <w:rsid w:val="008B7DC9"/>
    <w:rsid w:val="008B7EEB"/>
    <w:rsid w:val="008C06C2"/>
    <w:rsid w:val="008C09C5"/>
    <w:rsid w:val="008C0A70"/>
    <w:rsid w:val="008C154A"/>
    <w:rsid w:val="008C17FA"/>
    <w:rsid w:val="008C1930"/>
    <w:rsid w:val="008C1ED7"/>
    <w:rsid w:val="008C32CC"/>
    <w:rsid w:val="008C34EF"/>
    <w:rsid w:val="008C3960"/>
    <w:rsid w:val="008C4501"/>
    <w:rsid w:val="008C462B"/>
    <w:rsid w:val="008C48DD"/>
    <w:rsid w:val="008C4C16"/>
    <w:rsid w:val="008C4C1D"/>
    <w:rsid w:val="008C4DF0"/>
    <w:rsid w:val="008C4E19"/>
    <w:rsid w:val="008C51B5"/>
    <w:rsid w:val="008C559E"/>
    <w:rsid w:val="008C56F0"/>
    <w:rsid w:val="008C5874"/>
    <w:rsid w:val="008C5994"/>
    <w:rsid w:val="008C5BC4"/>
    <w:rsid w:val="008C5E51"/>
    <w:rsid w:val="008C61D8"/>
    <w:rsid w:val="008C63F8"/>
    <w:rsid w:val="008C696B"/>
    <w:rsid w:val="008C6D20"/>
    <w:rsid w:val="008C73B7"/>
    <w:rsid w:val="008C755B"/>
    <w:rsid w:val="008C77D7"/>
    <w:rsid w:val="008C78B8"/>
    <w:rsid w:val="008C798C"/>
    <w:rsid w:val="008C7B72"/>
    <w:rsid w:val="008C7CE2"/>
    <w:rsid w:val="008D064E"/>
    <w:rsid w:val="008D1119"/>
    <w:rsid w:val="008D1402"/>
    <w:rsid w:val="008D173A"/>
    <w:rsid w:val="008D1972"/>
    <w:rsid w:val="008D19F6"/>
    <w:rsid w:val="008D21BD"/>
    <w:rsid w:val="008D2D1A"/>
    <w:rsid w:val="008D31A4"/>
    <w:rsid w:val="008D3332"/>
    <w:rsid w:val="008D3957"/>
    <w:rsid w:val="008D4748"/>
    <w:rsid w:val="008D474F"/>
    <w:rsid w:val="008D4967"/>
    <w:rsid w:val="008D49DC"/>
    <w:rsid w:val="008D4BC5"/>
    <w:rsid w:val="008D4F68"/>
    <w:rsid w:val="008D56BD"/>
    <w:rsid w:val="008D63BA"/>
    <w:rsid w:val="008D63DB"/>
    <w:rsid w:val="008D693C"/>
    <w:rsid w:val="008D69F2"/>
    <w:rsid w:val="008D6A32"/>
    <w:rsid w:val="008D6B9F"/>
    <w:rsid w:val="008D70B0"/>
    <w:rsid w:val="008D711C"/>
    <w:rsid w:val="008D7756"/>
    <w:rsid w:val="008D7D02"/>
    <w:rsid w:val="008D7DBA"/>
    <w:rsid w:val="008E016E"/>
    <w:rsid w:val="008E097A"/>
    <w:rsid w:val="008E0DE2"/>
    <w:rsid w:val="008E0EB3"/>
    <w:rsid w:val="008E1146"/>
    <w:rsid w:val="008E11FB"/>
    <w:rsid w:val="008E1910"/>
    <w:rsid w:val="008E1A2F"/>
    <w:rsid w:val="008E1DF6"/>
    <w:rsid w:val="008E20CA"/>
    <w:rsid w:val="008E25AC"/>
    <w:rsid w:val="008E2752"/>
    <w:rsid w:val="008E2824"/>
    <w:rsid w:val="008E2E6C"/>
    <w:rsid w:val="008E33A8"/>
    <w:rsid w:val="008E34C3"/>
    <w:rsid w:val="008E34F9"/>
    <w:rsid w:val="008E35C1"/>
    <w:rsid w:val="008E378D"/>
    <w:rsid w:val="008E3B8F"/>
    <w:rsid w:val="008E3E2E"/>
    <w:rsid w:val="008E4081"/>
    <w:rsid w:val="008E4612"/>
    <w:rsid w:val="008E53CE"/>
    <w:rsid w:val="008E543B"/>
    <w:rsid w:val="008E55D5"/>
    <w:rsid w:val="008E57D3"/>
    <w:rsid w:val="008E5A48"/>
    <w:rsid w:val="008E5ED6"/>
    <w:rsid w:val="008E60B2"/>
    <w:rsid w:val="008E6148"/>
    <w:rsid w:val="008E6408"/>
    <w:rsid w:val="008E6412"/>
    <w:rsid w:val="008E64D8"/>
    <w:rsid w:val="008E652E"/>
    <w:rsid w:val="008E65DE"/>
    <w:rsid w:val="008E67BF"/>
    <w:rsid w:val="008E698F"/>
    <w:rsid w:val="008E6CA1"/>
    <w:rsid w:val="008E7762"/>
    <w:rsid w:val="008E78E1"/>
    <w:rsid w:val="008E7C9C"/>
    <w:rsid w:val="008F0264"/>
    <w:rsid w:val="008F05C5"/>
    <w:rsid w:val="008F0C92"/>
    <w:rsid w:val="008F0D8C"/>
    <w:rsid w:val="008F0EBA"/>
    <w:rsid w:val="008F1410"/>
    <w:rsid w:val="008F178B"/>
    <w:rsid w:val="008F18E4"/>
    <w:rsid w:val="008F1A6E"/>
    <w:rsid w:val="008F1A83"/>
    <w:rsid w:val="008F2235"/>
    <w:rsid w:val="008F2354"/>
    <w:rsid w:val="008F2700"/>
    <w:rsid w:val="008F2F2E"/>
    <w:rsid w:val="008F302C"/>
    <w:rsid w:val="008F32FE"/>
    <w:rsid w:val="008F3A2D"/>
    <w:rsid w:val="008F3B95"/>
    <w:rsid w:val="008F3CC4"/>
    <w:rsid w:val="008F3EAD"/>
    <w:rsid w:val="008F4004"/>
    <w:rsid w:val="008F4487"/>
    <w:rsid w:val="008F457B"/>
    <w:rsid w:val="008F4BD7"/>
    <w:rsid w:val="008F4DE7"/>
    <w:rsid w:val="008F4E89"/>
    <w:rsid w:val="008F55DD"/>
    <w:rsid w:val="008F56A0"/>
    <w:rsid w:val="008F5922"/>
    <w:rsid w:val="008F5C10"/>
    <w:rsid w:val="008F5FCE"/>
    <w:rsid w:val="008F6514"/>
    <w:rsid w:val="008F65E3"/>
    <w:rsid w:val="008F69C3"/>
    <w:rsid w:val="008F6B70"/>
    <w:rsid w:val="008F71A1"/>
    <w:rsid w:val="008F74ED"/>
    <w:rsid w:val="008F75A6"/>
    <w:rsid w:val="008F7762"/>
    <w:rsid w:val="008F7CD6"/>
    <w:rsid w:val="00900428"/>
    <w:rsid w:val="00900B0C"/>
    <w:rsid w:val="00900B14"/>
    <w:rsid w:val="00900F0A"/>
    <w:rsid w:val="0090196F"/>
    <w:rsid w:val="009022A1"/>
    <w:rsid w:val="0090296B"/>
    <w:rsid w:val="00902BB6"/>
    <w:rsid w:val="00902C0E"/>
    <w:rsid w:val="00902C1F"/>
    <w:rsid w:val="00902E74"/>
    <w:rsid w:val="00902F47"/>
    <w:rsid w:val="00903360"/>
    <w:rsid w:val="00903836"/>
    <w:rsid w:val="00903B96"/>
    <w:rsid w:val="00903C50"/>
    <w:rsid w:val="00903D5C"/>
    <w:rsid w:val="00903D92"/>
    <w:rsid w:val="0090411E"/>
    <w:rsid w:val="00904892"/>
    <w:rsid w:val="00905D51"/>
    <w:rsid w:val="00906126"/>
    <w:rsid w:val="009061CD"/>
    <w:rsid w:val="009064D9"/>
    <w:rsid w:val="009065F1"/>
    <w:rsid w:val="009068C5"/>
    <w:rsid w:val="00906A56"/>
    <w:rsid w:val="00906CB8"/>
    <w:rsid w:val="00906D75"/>
    <w:rsid w:val="00906D9D"/>
    <w:rsid w:val="00906DD0"/>
    <w:rsid w:val="00906EF5"/>
    <w:rsid w:val="009071A4"/>
    <w:rsid w:val="0090771B"/>
    <w:rsid w:val="00907EF8"/>
    <w:rsid w:val="00907F10"/>
    <w:rsid w:val="009100FB"/>
    <w:rsid w:val="009106FA"/>
    <w:rsid w:val="00910CA9"/>
    <w:rsid w:val="00911039"/>
    <w:rsid w:val="009115C2"/>
    <w:rsid w:val="00911792"/>
    <w:rsid w:val="00911E11"/>
    <w:rsid w:val="00911FD9"/>
    <w:rsid w:val="00911FE0"/>
    <w:rsid w:val="009120B7"/>
    <w:rsid w:val="00912A95"/>
    <w:rsid w:val="00912BB6"/>
    <w:rsid w:val="00912FB3"/>
    <w:rsid w:val="00913031"/>
    <w:rsid w:val="00913348"/>
    <w:rsid w:val="00913944"/>
    <w:rsid w:val="00913E57"/>
    <w:rsid w:val="00914321"/>
    <w:rsid w:val="00914357"/>
    <w:rsid w:val="009144BD"/>
    <w:rsid w:val="009146CF"/>
    <w:rsid w:val="0091480E"/>
    <w:rsid w:val="009149BF"/>
    <w:rsid w:val="00914DD7"/>
    <w:rsid w:val="00915564"/>
    <w:rsid w:val="009158DD"/>
    <w:rsid w:val="00915D51"/>
    <w:rsid w:val="0091638F"/>
    <w:rsid w:val="00916599"/>
    <w:rsid w:val="00916CF4"/>
    <w:rsid w:val="00916F3B"/>
    <w:rsid w:val="00917493"/>
    <w:rsid w:val="009177FC"/>
    <w:rsid w:val="00917E65"/>
    <w:rsid w:val="0092086A"/>
    <w:rsid w:val="00920AE2"/>
    <w:rsid w:val="00920DFB"/>
    <w:rsid w:val="00920E2A"/>
    <w:rsid w:val="00920FD0"/>
    <w:rsid w:val="009216D9"/>
    <w:rsid w:val="00921753"/>
    <w:rsid w:val="00921B44"/>
    <w:rsid w:val="00921CFA"/>
    <w:rsid w:val="00922351"/>
    <w:rsid w:val="00922538"/>
    <w:rsid w:val="009228C4"/>
    <w:rsid w:val="0092297D"/>
    <w:rsid w:val="00922B5D"/>
    <w:rsid w:val="00922C60"/>
    <w:rsid w:val="00923C0F"/>
    <w:rsid w:val="0092408C"/>
    <w:rsid w:val="00924205"/>
    <w:rsid w:val="0092473F"/>
    <w:rsid w:val="009247C2"/>
    <w:rsid w:val="00924EDD"/>
    <w:rsid w:val="0092523B"/>
    <w:rsid w:val="009252FB"/>
    <w:rsid w:val="0092571D"/>
    <w:rsid w:val="0092666A"/>
    <w:rsid w:val="009267B8"/>
    <w:rsid w:val="00926A07"/>
    <w:rsid w:val="00926B75"/>
    <w:rsid w:val="00926D07"/>
    <w:rsid w:val="00926DF1"/>
    <w:rsid w:val="00926EE1"/>
    <w:rsid w:val="009278E5"/>
    <w:rsid w:val="009278EE"/>
    <w:rsid w:val="00927C64"/>
    <w:rsid w:val="00927DB9"/>
    <w:rsid w:val="00930051"/>
    <w:rsid w:val="009302C9"/>
    <w:rsid w:val="009304CE"/>
    <w:rsid w:val="0093065E"/>
    <w:rsid w:val="00930AB4"/>
    <w:rsid w:val="00930D9A"/>
    <w:rsid w:val="00930DE9"/>
    <w:rsid w:val="00931043"/>
    <w:rsid w:val="0093112C"/>
    <w:rsid w:val="00931325"/>
    <w:rsid w:val="009313BF"/>
    <w:rsid w:val="00931623"/>
    <w:rsid w:val="00931818"/>
    <w:rsid w:val="00931998"/>
    <w:rsid w:val="00931A46"/>
    <w:rsid w:val="00931C8B"/>
    <w:rsid w:val="00931D88"/>
    <w:rsid w:val="00931DB9"/>
    <w:rsid w:val="00931DEB"/>
    <w:rsid w:val="00932248"/>
    <w:rsid w:val="009326B9"/>
    <w:rsid w:val="0093278F"/>
    <w:rsid w:val="00933196"/>
    <w:rsid w:val="0093354E"/>
    <w:rsid w:val="0093356E"/>
    <w:rsid w:val="00933B9C"/>
    <w:rsid w:val="00933CDA"/>
    <w:rsid w:val="00933F90"/>
    <w:rsid w:val="009344D1"/>
    <w:rsid w:val="00935525"/>
    <w:rsid w:val="00935A76"/>
    <w:rsid w:val="009367A0"/>
    <w:rsid w:val="009368B4"/>
    <w:rsid w:val="009368FF"/>
    <w:rsid w:val="00936AF4"/>
    <w:rsid w:val="00936B40"/>
    <w:rsid w:val="00936BBF"/>
    <w:rsid w:val="00936CE4"/>
    <w:rsid w:val="00937254"/>
    <w:rsid w:val="00937704"/>
    <w:rsid w:val="00937A74"/>
    <w:rsid w:val="00937CA1"/>
    <w:rsid w:val="00937D82"/>
    <w:rsid w:val="00937DF6"/>
    <w:rsid w:val="00940C3C"/>
    <w:rsid w:val="00941192"/>
    <w:rsid w:val="00941193"/>
    <w:rsid w:val="0094125B"/>
    <w:rsid w:val="00941487"/>
    <w:rsid w:val="0094172E"/>
    <w:rsid w:val="00941A43"/>
    <w:rsid w:val="00942103"/>
    <w:rsid w:val="00942190"/>
    <w:rsid w:val="009421A6"/>
    <w:rsid w:val="009426C4"/>
    <w:rsid w:val="0094279C"/>
    <w:rsid w:val="009429EF"/>
    <w:rsid w:val="00942BFB"/>
    <w:rsid w:val="00943242"/>
    <w:rsid w:val="00943F62"/>
    <w:rsid w:val="00943F6C"/>
    <w:rsid w:val="00944047"/>
    <w:rsid w:val="009440DC"/>
    <w:rsid w:val="00944250"/>
    <w:rsid w:val="009442E6"/>
    <w:rsid w:val="009448AD"/>
    <w:rsid w:val="00944909"/>
    <w:rsid w:val="009449E4"/>
    <w:rsid w:val="0094536A"/>
    <w:rsid w:val="00945A28"/>
    <w:rsid w:val="00945C06"/>
    <w:rsid w:val="00945D3E"/>
    <w:rsid w:val="00945DC8"/>
    <w:rsid w:val="009461EC"/>
    <w:rsid w:val="009462DA"/>
    <w:rsid w:val="0094645B"/>
    <w:rsid w:val="00946662"/>
    <w:rsid w:val="009467A3"/>
    <w:rsid w:val="009468E1"/>
    <w:rsid w:val="00946927"/>
    <w:rsid w:val="00946CA8"/>
    <w:rsid w:val="009471F5"/>
    <w:rsid w:val="00947B32"/>
    <w:rsid w:val="00947BA1"/>
    <w:rsid w:val="00950B25"/>
    <w:rsid w:val="00950B38"/>
    <w:rsid w:val="00950DC1"/>
    <w:rsid w:val="0095103B"/>
    <w:rsid w:val="0095125A"/>
    <w:rsid w:val="009514EB"/>
    <w:rsid w:val="00951A4F"/>
    <w:rsid w:val="00952109"/>
    <w:rsid w:val="00952342"/>
    <w:rsid w:val="009525C8"/>
    <w:rsid w:val="00952980"/>
    <w:rsid w:val="00952A8F"/>
    <w:rsid w:val="00952CD8"/>
    <w:rsid w:val="0095302F"/>
    <w:rsid w:val="009530E7"/>
    <w:rsid w:val="0095320D"/>
    <w:rsid w:val="0095325C"/>
    <w:rsid w:val="0095331A"/>
    <w:rsid w:val="0095352B"/>
    <w:rsid w:val="00953769"/>
    <w:rsid w:val="00953BE2"/>
    <w:rsid w:val="009542E5"/>
    <w:rsid w:val="00954F16"/>
    <w:rsid w:val="00955235"/>
    <w:rsid w:val="009553B3"/>
    <w:rsid w:val="0095543D"/>
    <w:rsid w:val="009559B6"/>
    <w:rsid w:val="00955C45"/>
    <w:rsid w:val="00955F00"/>
    <w:rsid w:val="009560F9"/>
    <w:rsid w:val="0095634B"/>
    <w:rsid w:val="0095685F"/>
    <w:rsid w:val="00956922"/>
    <w:rsid w:val="00956A67"/>
    <w:rsid w:val="00956B2C"/>
    <w:rsid w:val="00956B32"/>
    <w:rsid w:val="00957FA1"/>
    <w:rsid w:val="009601A3"/>
    <w:rsid w:val="009601AE"/>
    <w:rsid w:val="009609C1"/>
    <w:rsid w:val="00960B10"/>
    <w:rsid w:val="00960B5E"/>
    <w:rsid w:val="009611F5"/>
    <w:rsid w:val="0096160C"/>
    <w:rsid w:val="00961728"/>
    <w:rsid w:val="00961805"/>
    <w:rsid w:val="00961C7A"/>
    <w:rsid w:val="00961FFE"/>
    <w:rsid w:val="0096224E"/>
    <w:rsid w:val="009624AC"/>
    <w:rsid w:val="00962A34"/>
    <w:rsid w:val="00962F34"/>
    <w:rsid w:val="009633A8"/>
    <w:rsid w:val="009633F5"/>
    <w:rsid w:val="009635FB"/>
    <w:rsid w:val="0096372D"/>
    <w:rsid w:val="00963D63"/>
    <w:rsid w:val="00963E0B"/>
    <w:rsid w:val="009640AA"/>
    <w:rsid w:val="009640E0"/>
    <w:rsid w:val="0096454B"/>
    <w:rsid w:val="00965073"/>
    <w:rsid w:val="009654AC"/>
    <w:rsid w:val="00965C76"/>
    <w:rsid w:val="00966279"/>
    <w:rsid w:val="00966504"/>
    <w:rsid w:val="0096652A"/>
    <w:rsid w:val="0096668A"/>
    <w:rsid w:val="00966CF7"/>
    <w:rsid w:val="0096719C"/>
    <w:rsid w:val="00967458"/>
    <w:rsid w:val="009675DF"/>
    <w:rsid w:val="0096792C"/>
    <w:rsid w:val="00967EEE"/>
    <w:rsid w:val="0097048D"/>
    <w:rsid w:val="009708EC"/>
    <w:rsid w:val="00970C2C"/>
    <w:rsid w:val="0097102C"/>
    <w:rsid w:val="00971147"/>
    <w:rsid w:val="009711BF"/>
    <w:rsid w:val="009714F0"/>
    <w:rsid w:val="0097186D"/>
    <w:rsid w:val="00971F06"/>
    <w:rsid w:val="00971FEF"/>
    <w:rsid w:val="009721DB"/>
    <w:rsid w:val="009722C5"/>
    <w:rsid w:val="009724E7"/>
    <w:rsid w:val="009728A5"/>
    <w:rsid w:val="009728B7"/>
    <w:rsid w:val="00972A33"/>
    <w:rsid w:val="00972E21"/>
    <w:rsid w:val="00973114"/>
    <w:rsid w:val="0097324A"/>
    <w:rsid w:val="009736AB"/>
    <w:rsid w:val="00973769"/>
    <w:rsid w:val="009737D8"/>
    <w:rsid w:val="00973A2E"/>
    <w:rsid w:val="00974017"/>
    <w:rsid w:val="009743D3"/>
    <w:rsid w:val="009744EC"/>
    <w:rsid w:val="00974884"/>
    <w:rsid w:val="00974B09"/>
    <w:rsid w:val="00975536"/>
    <w:rsid w:val="0097592D"/>
    <w:rsid w:val="00975F97"/>
    <w:rsid w:val="009766EB"/>
    <w:rsid w:val="00976C22"/>
    <w:rsid w:val="0097767B"/>
    <w:rsid w:val="00977CA5"/>
    <w:rsid w:val="00977D07"/>
    <w:rsid w:val="00977D98"/>
    <w:rsid w:val="00980225"/>
    <w:rsid w:val="00980522"/>
    <w:rsid w:val="0098062A"/>
    <w:rsid w:val="00980683"/>
    <w:rsid w:val="009806E1"/>
    <w:rsid w:val="0098079D"/>
    <w:rsid w:val="009808FB"/>
    <w:rsid w:val="009809D8"/>
    <w:rsid w:val="009814E4"/>
    <w:rsid w:val="009814F2"/>
    <w:rsid w:val="00981EA2"/>
    <w:rsid w:val="00981F40"/>
    <w:rsid w:val="00981FDD"/>
    <w:rsid w:val="0098209C"/>
    <w:rsid w:val="00982163"/>
    <w:rsid w:val="009821ED"/>
    <w:rsid w:val="0098320F"/>
    <w:rsid w:val="009836F3"/>
    <w:rsid w:val="009839C2"/>
    <w:rsid w:val="0098479B"/>
    <w:rsid w:val="009849B1"/>
    <w:rsid w:val="00984A7C"/>
    <w:rsid w:val="00984CE0"/>
    <w:rsid w:val="00985090"/>
    <w:rsid w:val="00985276"/>
    <w:rsid w:val="00985423"/>
    <w:rsid w:val="009857F3"/>
    <w:rsid w:val="00985A61"/>
    <w:rsid w:val="00985C7F"/>
    <w:rsid w:val="0098600B"/>
    <w:rsid w:val="009866DC"/>
    <w:rsid w:val="009879CD"/>
    <w:rsid w:val="00987BF4"/>
    <w:rsid w:val="00987DE7"/>
    <w:rsid w:val="009901E6"/>
    <w:rsid w:val="0099042F"/>
    <w:rsid w:val="009909EB"/>
    <w:rsid w:val="00990A04"/>
    <w:rsid w:val="00990B0E"/>
    <w:rsid w:val="00990B7E"/>
    <w:rsid w:val="00990C55"/>
    <w:rsid w:val="00991017"/>
    <w:rsid w:val="0099109F"/>
    <w:rsid w:val="009912F8"/>
    <w:rsid w:val="00991D18"/>
    <w:rsid w:val="00991D7F"/>
    <w:rsid w:val="0099213A"/>
    <w:rsid w:val="0099294F"/>
    <w:rsid w:val="00992962"/>
    <w:rsid w:val="009929FB"/>
    <w:rsid w:val="00992E04"/>
    <w:rsid w:val="00993169"/>
    <w:rsid w:val="009932A6"/>
    <w:rsid w:val="0099352D"/>
    <w:rsid w:val="00993614"/>
    <w:rsid w:val="00993835"/>
    <w:rsid w:val="00993AB0"/>
    <w:rsid w:val="00993F73"/>
    <w:rsid w:val="00994317"/>
    <w:rsid w:val="0099471A"/>
    <w:rsid w:val="00994AAE"/>
    <w:rsid w:val="00994B27"/>
    <w:rsid w:val="00994BE0"/>
    <w:rsid w:val="009955A0"/>
    <w:rsid w:val="00995DB2"/>
    <w:rsid w:val="00995FD0"/>
    <w:rsid w:val="009961BA"/>
    <w:rsid w:val="00996757"/>
    <w:rsid w:val="009967D8"/>
    <w:rsid w:val="00996D0C"/>
    <w:rsid w:val="00996E7A"/>
    <w:rsid w:val="00997000"/>
    <w:rsid w:val="00997154"/>
    <w:rsid w:val="009974FC"/>
    <w:rsid w:val="00997537"/>
    <w:rsid w:val="0099757D"/>
    <w:rsid w:val="0099772F"/>
    <w:rsid w:val="00997B67"/>
    <w:rsid w:val="00997C6E"/>
    <w:rsid w:val="009A008B"/>
    <w:rsid w:val="009A014D"/>
    <w:rsid w:val="009A0769"/>
    <w:rsid w:val="009A07C7"/>
    <w:rsid w:val="009A09A6"/>
    <w:rsid w:val="009A09D1"/>
    <w:rsid w:val="009A09FA"/>
    <w:rsid w:val="009A1211"/>
    <w:rsid w:val="009A1737"/>
    <w:rsid w:val="009A1B76"/>
    <w:rsid w:val="009A1E8D"/>
    <w:rsid w:val="009A2398"/>
    <w:rsid w:val="009A24C7"/>
    <w:rsid w:val="009A2A3C"/>
    <w:rsid w:val="009A2AD2"/>
    <w:rsid w:val="009A2FCE"/>
    <w:rsid w:val="009A326A"/>
    <w:rsid w:val="009A42C5"/>
    <w:rsid w:val="009A4A2E"/>
    <w:rsid w:val="009A4AAF"/>
    <w:rsid w:val="009A4BF8"/>
    <w:rsid w:val="009A5344"/>
    <w:rsid w:val="009A5402"/>
    <w:rsid w:val="009A55E0"/>
    <w:rsid w:val="009A5882"/>
    <w:rsid w:val="009A5B06"/>
    <w:rsid w:val="009A6317"/>
    <w:rsid w:val="009A65AF"/>
    <w:rsid w:val="009A66CE"/>
    <w:rsid w:val="009A6880"/>
    <w:rsid w:val="009A68B2"/>
    <w:rsid w:val="009A6A67"/>
    <w:rsid w:val="009A6D90"/>
    <w:rsid w:val="009A6F7E"/>
    <w:rsid w:val="009A7B98"/>
    <w:rsid w:val="009A7E82"/>
    <w:rsid w:val="009B0024"/>
    <w:rsid w:val="009B0226"/>
    <w:rsid w:val="009B0279"/>
    <w:rsid w:val="009B0C64"/>
    <w:rsid w:val="009B109C"/>
    <w:rsid w:val="009B1422"/>
    <w:rsid w:val="009B1697"/>
    <w:rsid w:val="009B1BD2"/>
    <w:rsid w:val="009B2697"/>
    <w:rsid w:val="009B26FC"/>
    <w:rsid w:val="009B2750"/>
    <w:rsid w:val="009B2D5A"/>
    <w:rsid w:val="009B39C3"/>
    <w:rsid w:val="009B41FC"/>
    <w:rsid w:val="009B4478"/>
    <w:rsid w:val="009B557C"/>
    <w:rsid w:val="009B5710"/>
    <w:rsid w:val="009B585B"/>
    <w:rsid w:val="009B58F3"/>
    <w:rsid w:val="009B656A"/>
    <w:rsid w:val="009B689A"/>
    <w:rsid w:val="009B6BA8"/>
    <w:rsid w:val="009B7187"/>
    <w:rsid w:val="009B74AC"/>
    <w:rsid w:val="009B7837"/>
    <w:rsid w:val="009C0854"/>
    <w:rsid w:val="009C0AAE"/>
    <w:rsid w:val="009C0DED"/>
    <w:rsid w:val="009C248E"/>
    <w:rsid w:val="009C3510"/>
    <w:rsid w:val="009C380B"/>
    <w:rsid w:val="009C3A86"/>
    <w:rsid w:val="009C3B83"/>
    <w:rsid w:val="009C3C2D"/>
    <w:rsid w:val="009C4061"/>
    <w:rsid w:val="009C4080"/>
    <w:rsid w:val="009C42AB"/>
    <w:rsid w:val="009C4C2A"/>
    <w:rsid w:val="009C4F26"/>
    <w:rsid w:val="009C4FFB"/>
    <w:rsid w:val="009C4FFD"/>
    <w:rsid w:val="009C51B2"/>
    <w:rsid w:val="009C562E"/>
    <w:rsid w:val="009C5708"/>
    <w:rsid w:val="009C5C00"/>
    <w:rsid w:val="009C5F96"/>
    <w:rsid w:val="009C60D9"/>
    <w:rsid w:val="009C6164"/>
    <w:rsid w:val="009C65D7"/>
    <w:rsid w:val="009C6895"/>
    <w:rsid w:val="009C6B73"/>
    <w:rsid w:val="009C6C61"/>
    <w:rsid w:val="009C6F6C"/>
    <w:rsid w:val="009C705E"/>
    <w:rsid w:val="009C721F"/>
    <w:rsid w:val="009C72C9"/>
    <w:rsid w:val="009C77D6"/>
    <w:rsid w:val="009D0517"/>
    <w:rsid w:val="009D081A"/>
    <w:rsid w:val="009D09DE"/>
    <w:rsid w:val="009D0CB9"/>
    <w:rsid w:val="009D0FD8"/>
    <w:rsid w:val="009D12DF"/>
    <w:rsid w:val="009D19FE"/>
    <w:rsid w:val="009D1A4E"/>
    <w:rsid w:val="009D1BBB"/>
    <w:rsid w:val="009D1D93"/>
    <w:rsid w:val="009D218B"/>
    <w:rsid w:val="009D24E2"/>
    <w:rsid w:val="009D265E"/>
    <w:rsid w:val="009D26AE"/>
    <w:rsid w:val="009D27E7"/>
    <w:rsid w:val="009D2887"/>
    <w:rsid w:val="009D2A8B"/>
    <w:rsid w:val="009D2B29"/>
    <w:rsid w:val="009D34BB"/>
    <w:rsid w:val="009D370B"/>
    <w:rsid w:val="009D3AA7"/>
    <w:rsid w:val="009D3EA1"/>
    <w:rsid w:val="009D43DB"/>
    <w:rsid w:val="009D4C64"/>
    <w:rsid w:val="009D4CE5"/>
    <w:rsid w:val="009D5037"/>
    <w:rsid w:val="009D54B5"/>
    <w:rsid w:val="009D572D"/>
    <w:rsid w:val="009D5816"/>
    <w:rsid w:val="009D61A2"/>
    <w:rsid w:val="009D6F5D"/>
    <w:rsid w:val="009D6FDA"/>
    <w:rsid w:val="009D727A"/>
    <w:rsid w:val="009D72C2"/>
    <w:rsid w:val="009D7416"/>
    <w:rsid w:val="009D74D8"/>
    <w:rsid w:val="009D7C2A"/>
    <w:rsid w:val="009D7F47"/>
    <w:rsid w:val="009E114C"/>
    <w:rsid w:val="009E130C"/>
    <w:rsid w:val="009E1602"/>
    <w:rsid w:val="009E2F22"/>
    <w:rsid w:val="009E3350"/>
    <w:rsid w:val="009E3566"/>
    <w:rsid w:val="009E35A0"/>
    <w:rsid w:val="009E378B"/>
    <w:rsid w:val="009E3B24"/>
    <w:rsid w:val="009E3EB1"/>
    <w:rsid w:val="009E3F13"/>
    <w:rsid w:val="009E40FA"/>
    <w:rsid w:val="009E4B56"/>
    <w:rsid w:val="009E4CA1"/>
    <w:rsid w:val="009E4D9C"/>
    <w:rsid w:val="009E57EE"/>
    <w:rsid w:val="009E5926"/>
    <w:rsid w:val="009E5A14"/>
    <w:rsid w:val="009E5D4B"/>
    <w:rsid w:val="009E6081"/>
    <w:rsid w:val="009E6D9D"/>
    <w:rsid w:val="009E6E87"/>
    <w:rsid w:val="009E70EF"/>
    <w:rsid w:val="009E72D9"/>
    <w:rsid w:val="009E7323"/>
    <w:rsid w:val="009E7984"/>
    <w:rsid w:val="009E7B2D"/>
    <w:rsid w:val="009E7B59"/>
    <w:rsid w:val="009F074A"/>
    <w:rsid w:val="009F077C"/>
    <w:rsid w:val="009F0C48"/>
    <w:rsid w:val="009F0CD6"/>
    <w:rsid w:val="009F0DFC"/>
    <w:rsid w:val="009F1EB6"/>
    <w:rsid w:val="009F22EC"/>
    <w:rsid w:val="009F2507"/>
    <w:rsid w:val="009F299B"/>
    <w:rsid w:val="009F29CC"/>
    <w:rsid w:val="009F2BA7"/>
    <w:rsid w:val="009F31F6"/>
    <w:rsid w:val="009F38C9"/>
    <w:rsid w:val="009F4372"/>
    <w:rsid w:val="009F44FA"/>
    <w:rsid w:val="009F492C"/>
    <w:rsid w:val="009F4D01"/>
    <w:rsid w:val="009F4E17"/>
    <w:rsid w:val="009F5062"/>
    <w:rsid w:val="009F51B1"/>
    <w:rsid w:val="009F525C"/>
    <w:rsid w:val="009F5467"/>
    <w:rsid w:val="009F576E"/>
    <w:rsid w:val="009F5B85"/>
    <w:rsid w:val="009F5FA3"/>
    <w:rsid w:val="009F612C"/>
    <w:rsid w:val="009F61E6"/>
    <w:rsid w:val="009F63F9"/>
    <w:rsid w:val="009F6469"/>
    <w:rsid w:val="009F6746"/>
    <w:rsid w:val="009F6979"/>
    <w:rsid w:val="009F6A6D"/>
    <w:rsid w:val="009F6AE4"/>
    <w:rsid w:val="009F6D0C"/>
    <w:rsid w:val="009F6E56"/>
    <w:rsid w:val="009F7242"/>
    <w:rsid w:val="009F78A3"/>
    <w:rsid w:val="009F79AF"/>
    <w:rsid w:val="009F7BD8"/>
    <w:rsid w:val="00A002ED"/>
    <w:rsid w:val="00A0061A"/>
    <w:rsid w:val="00A0062D"/>
    <w:rsid w:val="00A00C9B"/>
    <w:rsid w:val="00A00CAE"/>
    <w:rsid w:val="00A00D13"/>
    <w:rsid w:val="00A01108"/>
    <w:rsid w:val="00A0123D"/>
    <w:rsid w:val="00A015C9"/>
    <w:rsid w:val="00A01A30"/>
    <w:rsid w:val="00A01CBA"/>
    <w:rsid w:val="00A01D23"/>
    <w:rsid w:val="00A01E56"/>
    <w:rsid w:val="00A01EDF"/>
    <w:rsid w:val="00A02406"/>
    <w:rsid w:val="00A02905"/>
    <w:rsid w:val="00A02B7D"/>
    <w:rsid w:val="00A02C6C"/>
    <w:rsid w:val="00A02C93"/>
    <w:rsid w:val="00A03038"/>
    <w:rsid w:val="00A03065"/>
    <w:rsid w:val="00A032FC"/>
    <w:rsid w:val="00A033BF"/>
    <w:rsid w:val="00A03767"/>
    <w:rsid w:val="00A03AC0"/>
    <w:rsid w:val="00A03F31"/>
    <w:rsid w:val="00A04111"/>
    <w:rsid w:val="00A04215"/>
    <w:rsid w:val="00A042C5"/>
    <w:rsid w:val="00A042F6"/>
    <w:rsid w:val="00A044E4"/>
    <w:rsid w:val="00A04B22"/>
    <w:rsid w:val="00A04C26"/>
    <w:rsid w:val="00A04DDB"/>
    <w:rsid w:val="00A05474"/>
    <w:rsid w:val="00A05492"/>
    <w:rsid w:val="00A05AA8"/>
    <w:rsid w:val="00A05C66"/>
    <w:rsid w:val="00A05EA8"/>
    <w:rsid w:val="00A062F2"/>
    <w:rsid w:val="00A064D3"/>
    <w:rsid w:val="00A06C3B"/>
    <w:rsid w:val="00A07ADB"/>
    <w:rsid w:val="00A07C71"/>
    <w:rsid w:val="00A100A2"/>
    <w:rsid w:val="00A10677"/>
    <w:rsid w:val="00A10CEB"/>
    <w:rsid w:val="00A10DB8"/>
    <w:rsid w:val="00A111FE"/>
    <w:rsid w:val="00A11B68"/>
    <w:rsid w:val="00A11EA8"/>
    <w:rsid w:val="00A11F8D"/>
    <w:rsid w:val="00A1208C"/>
    <w:rsid w:val="00A129DE"/>
    <w:rsid w:val="00A12A56"/>
    <w:rsid w:val="00A12CFF"/>
    <w:rsid w:val="00A12F78"/>
    <w:rsid w:val="00A12F83"/>
    <w:rsid w:val="00A13064"/>
    <w:rsid w:val="00A13314"/>
    <w:rsid w:val="00A134D5"/>
    <w:rsid w:val="00A13641"/>
    <w:rsid w:val="00A13674"/>
    <w:rsid w:val="00A13926"/>
    <w:rsid w:val="00A13A4F"/>
    <w:rsid w:val="00A141C7"/>
    <w:rsid w:val="00A146FB"/>
    <w:rsid w:val="00A14795"/>
    <w:rsid w:val="00A15140"/>
    <w:rsid w:val="00A15176"/>
    <w:rsid w:val="00A151B5"/>
    <w:rsid w:val="00A15933"/>
    <w:rsid w:val="00A15EE2"/>
    <w:rsid w:val="00A1604C"/>
    <w:rsid w:val="00A16270"/>
    <w:rsid w:val="00A16399"/>
    <w:rsid w:val="00A16843"/>
    <w:rsid w:val="00A16BF2"/>
    <w:rsid w:val="00A16D99"/>
    <w:rsid w:val="00A16FAD"/>
    <w:rsid w:val="00A172D3"/>
    <w:rsid w:val="00A201B2"/>
    <w:rsid w:val="00A2020E"/>
    <w:rsid w:val="00A2035D"/>
    <w:rsid w:val="00A207AF"/>
    <w:rsid w:val="00A211C3"/>
    <w:rsid w:val="00A228FF"/>
    <w:rsid w:val="00A22CAF"/>
    <w:rsid w:val="00A2328D"/>
    <w:rsid w:val="00A2347C"/>
    <w:rsid w:val="00A23B5A"/>
    <w:rsid w:val="00A23EAB"/>
    <w:rsid w:val="00A24061"/>
    <w:rsid w:val="00A2406E"/>
    <w:rsid w:val="00A24A27"/>
    <w:rsid w:val="00A25071"/>
    <w:rsid w:val="00A25286"/>
    <w:rsid w:val="00A255D6"/>
    <w:rsid w:val="00A258E1"/>
    <w:rsid w:val="00A26109"/>
    <w:rsid w:val="00A26D24"/>
    <w:rsid w:val="00A26F30"/>
    <w:rsid w:val="00A2706B"/>
    <w:rsid w:val="00A27664"/>
    <w:rsid w:val="00A276AA"/>
    <w:rsid w:val="00A27C03"/>
    <w:rsid w:val="00A300DB"/>
    <w:rsid w:val="00A302F2"/>
    <w:rsid w:val="00A303FD"/>
    <w:rsid w:val="00A30935"/>
    <w:rsid w:val="00A30981"/>
    <w:rsid w:val="00A30B4A"/>
    <w:rsid w:val="00A3173A"/>
    <w:rsid w:val="00A31786"/>
    <w:rsid w:val="00A317EE"/>
    <w:rsid w:val="00A319F0"/>
    <w:rsid w:val="00A31AC1"/>
    <w:rsid w:val="00A31C95"/>
    <w:rsid w:val="00A31D22"/>
    <w:rsid w:val="00A31EF1"/>
    <w:rsid w:val="00A3224D"/>
    <w:rsid w:val="00A32A47"/>
    <w:rsid w:val="00A32ACA"/>
    <w:rsid w:val="00A32BAD"/>
    <w:rsid w:val="00A32DBD"/>
    <w:rsid w:val="00A32F5A"/>
    <w:rsid w:val="00A33497"/>
    <w:rsid w:val="00A33AB7"/>
    <w:rsid w:val="00A33D0E"/>
    <w:rsid w:val="00A346A3"/>
    <w:rsid w:val="00A34735"/>
    <w:rsid w:val="00A348B7"/>
    <w:rsid w:val="00A348C9"/>
    <w:rsid w:val="00A3492D"/>
    <w:rsid w:val="00A34B19"/>
    <w:rsid w:val="00A34EA1"/>
    <w:rsid w:val="00A352EE"/>
    <w:rsid w:val="00A3533A"/>
    <w:rsid w:val="00A355C5"/>
    <w:rsid w:val="00A35E0C"/>
    <w:rsid w:val="00A36595"/>
    <w:rsid w:val="00A3670B"/>
    <w:rsid w:val="00A36713"/>
    <w:rsid w:val="00A3694F"/>
    <w:rsid w:val="00A36B78"/>
    <w:rsid w:val="00A36BA1"/>
    <w:rsid w:val="00A37036"/>
    <w:rsid w:val="00A37D53"/>
    <w:rsid w:val="00A400B4"/>
    <w:rsid w:val="00A40230"/>
    <w:rsid w:val="00A402D6"/>
    <w:rsid w:val="00A40479"/>
    <w:rsid w:val="00A4110B"/>
    <w:rsid w:val="00A41457"/>
    <w:rsid w:val="00A4190F"/>
    <w:rsid w:val="00A42118"/>
    <w:rsid w:val="00A42205"/>
    <w:rsid w:val="00A4239B"/>
    <w:rsid w:val="00A42416"/>
    <w:rsid w:val="00A424A7"/>
    <w:rsid w:val="00A42A41"/>
    <w:rsid w:val="00A42D47"/>
    <w:rsid w:val="00A42E50"/>
    <w:rsid w:val="00A42EFA"/>
    <w:rsid w:val="00A43084"/>
    <w:rsid w:val="00A43546"/>
    <w:rsid w:val="00A435CB"/>
    <w:rsid w:val="00A43849"/>
    <w:rsid w:val="00A43A9C"/>
    <w:rsid w:val="00A43D85"/>
    <w:rsid w:val="00A43F89"/>
    <w:rsid w:val="00A44329"/>
    <w:rsid w:val="00A444C1"/>
    <w:rsid w:val="00A45266"/>
    <w:rsid w:val="00A45952"/>
    <w:rsid w:val="00A459CF"/>
    <w:rsid w:val="00A45CBD"/>
    <w:rsid w:val="00A45D6D"/>
    <w:rsid w:val="00A470A8"/>
    <w:rsid w:val="00A475B1"/>
    <w:rsid w:val="00A4782D"/>
    <w:rsid w:val="00A5036F"/>
    <w:rsid w:val="00A503F3"/>
    <w:rsid w:val="00A50CA1"/>
    <w:rsid w:val="00A5110F"/>
    <w:rsid w:val="00A511CC"/>
    <w:rsid w:val="00A5140C"/>
    <w:rsid w:val="00A5144B"/>
    <w:rsid w:val="00A51DFD"/>
    <w:rsid w:val="00A51EF2"/>
    <w:rsid w:val="00A526E8"/>
    <w:rsid w:val="00A52864"/>
    <w:rsid w:val="00A52933"/>
    <w:rsid w:val="00A52C24"/>
    <w:rsid w:val="00A535C6"/>
    <w:rsid w:val="00A53664"/>
    <w:rsid w:val="00A540D2"/>
    <w:rsid w:val="00A5445F"/>
    <w:rsid w:val="00A55814"/>
    <w:rsid w:val="00A55EB1"/>
    <w:rsid w:val="00A56740"/>
    <w:rsid w:val="00A567AE"/>
    <w:rsid w:val="00A56933"/>
    <w:rsid w:val="00A570F5"/>
    <w:rsid w:val="00A571B0"/>
    <w:rsid w:val="00A57FA5"/>
    <w:rsid w:val="00A60D21"/>
    <w:rsid w:val="00A612B6"/>
    <w:rsid w:val="00A618D7"/>
    <w:rsid w:val="00A61B89"/>
    <w:rsid w:val="00A61BEF"/>
    <w:rsid w:val="00A61C9A"/>
    <w:rsid w:val="00A62084"/>
    <w:rsid w:val="00A628BC"/>
    <w:rsid w:val="00A62A7D"/>
    <w:rsid w:val="00A62A97"/>
    <w:rsid w:val="00A62DA0"/>
    <w:rsid w:val="00A62DD4"/>
    <w:rsid w:val="00A63490"/>
    <w:rsid w:val="00A636BE"/>
    <w:rsid w:val="00A63901"/>
    <w:rsid w:val="00A63924"/>
    <w:rsid w:val="00A63D67"/>
    <w:rsid w:val="00A63EBE"/>
    <w:rsid w:val="00A63F3F"/>
    <w:rsid w:val="00A640F6"/>
    <w:rsid w:val="00A64819"/>
    <w:rsid w:val="00A64A80"/>
    <w:rsid w:val="00A64E3C"/>
    <w:rsid w:val="00A65111"/>
    <w:rsid w:val="00A6552D"/>
    <w:rsid w:val="00A65CFD"/>
    <w:rsid w:val="00A65F96"/>
    <w:rsid w:val="00A66431"/>
    <w:rsid w:val="00A6650E"/>
    <w:rsid w:val="00A66A10"/>
    <w:rsid w:val="00A66D3C"/>
    <w:rsid w:val="00A66FE8"/>
    <w:rsid w:val="00A678E6"/>
    <w:rsid w:val="00A67B11"/>
    <w:rsid w:val="00A67F90"/>
    <w:rsid w:val="00A70823"/>
    <w:rsid w:val="00A70C48"/>
    <w:rsid w:val="00A7149A"/>
    <w:rsid w:val="00A71680"/>
    <w:rsid w:val="00A71905"/>
    <w:rsid w:val="00A71A79"/>
    <w:rsid w:val="00A72665"/>
    <w:rsid w:val="00A72BD9"/>
    <w:rsid w:val="00A72D2B"/>
    <w:rsid w:val="00A72D71"/>
    <w:rsid w:val="00A7315D"/>
    <w:rsid w:val="00A73430"/>
    <w:rsid w:val="00A73657"/>
    <w:rsid w:val="00A739A0"/>
    <w:rsid w:val="00A73D70"/>
    <w:rsid w:val="00A74435"/>
    <w:rsid w:val="00A747A3"/>
    <w:rsid w:val="00A7487D"/>
    <w:rsid w:val="00A74A64"/>
    <w:rsid w:val="00A74AFE"/>
    <w:rsid w:val="00A756F1"/>
    <w:rsid w:val="00A7598C"/>
    <w:rsid w:val="00A75E5B"/>
    <w:rsid w:val="00A76037"/>
    <w:rsid w:val="00A76643"/>
    <w:rsid w:val="00A76EDA"/>
    <w:rsid w:val="00A77BEB"/>
    <w:rsid w:val="00A802DF"/>
    <w:rsid w:val="00A80AE8"/>
    <w:rsid w:val="00A80C68"/>
    <w:rsid w:val="00A81235"/>
    <w:rsid w:val="00A814AF"/>
    <w:rsid w:val="00A81DA4"/>
    <w:rsid w:val="00A82491"/>
    <w:rsid w:val="00A82526"/>
    <w:rsid w:val="00A82647"/>
    <w:rsid w:val="00A82B5E"/>
    <w:rsid w:val="00A83020"/>
    <w:rsid w:val="00A8314E"/>
    <w:rsid w:val="00A83318"/>
    <w:rsid w:val="00A842AD"/>
    <w:rsid w:val="00A844C6"/>
    <w:rsid w:val="00A849B9"/>
    <w:rsid w:val="00A859AA"/>
    <w:rsid w:val="00A85EBB"/>
    <w:rsid w:val="00A860BE"/>
    <w:rsid w:val="00A86157"/>
    <w:rsid w:val="00A868D6"/>
    <w:rsid w:val="00A86C1E"/>
    <w:rsid w:val="00A86EBE"/>
    <w:rsid w:val="00A86F13"/>
    <w:rsid w:val="00A8743B"/>
    <w:rsid w:val="00A87706"/>
    <w:rsid w:val="00A8772F"/>
    <w:rsid w:val="00A87A91"/>
    <w:rsid w:val="00A87CE4"/>
    <w:rsid w:val="00A90561"/>
    <w:rsid w:val="00A90B82"/>
    <w:rsid w:val="00A90D5D"/>
    <w:rsid w:val="00A90F30"/>
    <w:rsid w:val="00A90F9D"/>
    <w:rsid w:val="00A91020"/>
    <w:rsid w:val="00A912E2"/>
    <w:rsid w:val="00A916FE"/>
    <w:rsid w:val="00A920D4"/>
    <w:rsid w:val="00A9242C"/>
    <w:rsid w:val="00A92516"/>
    <w:rsid w:val="00A9297C"/>
    <w:rsid w:val="00A92B0E"/>
    <w:rsid w:val="00A92B93"/>
    <w:rsid w:val="00A92E71"/>
    <w:rsid w:val="00A9302F"/>
    <w:rsid w:val="00A93B40"/>
    <w:rsid w:val="00A945DC"/>
    <w:rsid w:val="00A94693"/>
    <w:rsid w:val="00A947A5"/>
    <w:rsid w:val="00A959FB"/>
    <w:rsid w:val="00A960CF"/>
    <w:rsid w:val="00A96276"/>
    <w:rsid w:val="00A96689"/>
    <w:rsid w:val="00A96BB9"/>
    <w:rsid w:val="00A96DA1"/>
    <w:rsid w:val="00A979AF"/>
    <w:rsid w:val="00A97C6C"/>
    <w:rsid w:val="00A97C75"/>
    <w:rsid w:val="00A97CCA"/>
    <w:rsid w:val="00A97D65"/>
    <w:rsid w:val="00AA024A"/>
    <w:rsid w:val="00AA04CA"/>
    <w:rsid w:val="00AA0947"/>
    <w:rsid w:val="00AA0C6B"/>
    <w:rsid w:val="00AA0D0F"/>
    <w:rsid w:val="00AA0FC0"/>
    <w:rsid w:val="00AA1136"/>
    <w:rsid w:val="00AA159D"/>
    <w:rsid w:val="00AA21C2"/>
    <w:rsid w:val="00AA2831"/>
    <w:rsid w:val="00AA2C09"/>
    <w:rsid w:val="00AA3A4A"/>
    <w:rsid w:val="00AA3B21"/>
    <w:rsid w:val="00AA4169"/>
    <w:rsid w:val="00AA4188"/>
    <w:rsid w:val="00AA428F"/>
    <w:rsid w:val="00AA4775"/>
    <w:rsid w:val="00AA5128"/>
    <w:rsid w:val="00AA593C"/>
    <w:rsid w:val="00AA5CA9"/>
    <w:rsid w:val="00AA5F29"/>
    <w:rsid w:val="00AA6142"/>
    <w:rsid w:val="00AA6769"/>
    <w:rsid w:val="00AA68DA"/>
    <w:rsid w:val="00AA6D35"/>
    <w:rsid w:val="00AA6EFA"/>
    <w:rsid w:val="00AA7415"/>
    <w:rsid w:val="00AA794B"/>
    <w:rsid w:val="00AB01B5"/>
    <w:rsid w:val="00AB0283"/>
    <w:rsid w:val="00AB02B0"/>
    <w:rsid w:val="00AB03AB"/>
    <w:rsid w:val="00AB0AF2"/>
    <w:rsid w:val="00AB11CB"/>
    <w:rsid w:val="00AB1B7F"/>
    <w:rsid w:val="00AB1E80"/>
    <w:rsid w:val="00AB226C"/>
    <w:rsid w:val="00AB24A9"/>
    <w:rsid w:val="00AB2D5E"/>
    <w:rsid w:val="00AB2DE1"/>
    <w:rsid w:val="00AB325C"/>
    <w:rsid w:val="00AB328F"/>
    <w:rsid w:val="00AB35AB"/>
    <w:rsid w:val="00AB35FA"/>
    <w:rsid w:val="00AB393B"/>
    <w:rsid w:val="00AB3EDA"/>
    <w:rsid w:val="00AB408F"/>
    <w:rsid w:val="00AB4290"/>
    <w:rsid w:val="00AB43D6"/>
    <w:rsid w:val="00AB4A05"/>
    <w:rsid w:val="00AB4BE7"/>
    <w:rsid w:val="00AB4C13"/>
    <w:rsid w:val="00AB4F9A"/>
    <w:rsid w:val="00AB5064"/>
    <w:rsid w:val="00AB51D2"/>
    <w:rsid w:val="00AB52D8"/>
    <w:rsid w:val="00AB54A3"/>
    <w:rsid w:val="00AB5529"/>
    <w:rsid w:val="00AB590A"/>
    <w:rsid w:val="00AB59AD"/>
    <w:rsid w:val="00AB5AD3"/>
    <w:rsid w:val="00AB5B44"/>
    <w:rsid w:val="00AB5FC6"/>
    <w:rsid w:val="00AB6293"/>
    <w:rsid w:val="00AB631E"/>
    <w:rsid w:val="00AB677A"/>
    <w:rsid w:val="00AB68BE"/>
    <w:rsid w:val="00AB6910"/>
    <w:rsid w:val="00AB710F"/>
    <w:rsid w:val="00AC0110"/>
    <w:rsid w:val="00AC0112"/>
    <w:rsid w:val="00AC11E1"/>
    <w:rsid w:val="00AC134F"/>
    <w:rsid w:val="00AC25EC"/>
    <w:rsid w:val="00AC26A6"/>
    <w:rsid w:val="00AC308F"/>
    <w:rsid w:val="00AC3318"/>
    <w:rsid w:val="00AC35C1"/>
    <w:rsid w:val="00AC397B"/>
    <w:rsid w:val="00AC40DB"/>
    <w:rsid w:val="00AC4587"/>
    <w:rsid w:val="00AC4871"/>
    <w:rsid w:val="00AC4990"/>
    <w:rsid w:val="00AC4DBB"/>
    <w:rsid w:val="00AC550E"/>
    <w:rsid w:val="00AC57C9"/>
    <w:rsid w:val="00AC59C6"/>
    <w:rsid w:val="00AC5AE0"/>
    <w:rsid w:val="00AC5C7E"/>
    <w:rsid w:val="00AC5FB1"/>
    <w:rsid w:val="00AC66AF"/>
    <w:rsid w:val="00AC6A8D"/>
    <w:rsid w:val="00AC6CFD"/>
    <w:rsid w:val="00AC6D5F"/>
    <w:rsid w:val="00AC78F3"/>
    <w:rsid w:val="00AC79B3"/>
    <w:rsid w:val="00AC7C2A"/>
    <w:rsid w:val="00AD0524"/>
    <w:rsid w:val="00AD056B"/>
    <w:rsid w:val="00AD0785"/>
    <w:rsid w:val="00AD07B8"/>
    <w:rsid w:val="00AD0A7B"/>
    <w:rsid w:val="00AD0DFB"/>
    <w:rsid w:val="00AD1028"/>
    <w:rsid w:val="00AD1199"/>
    <w:rsid w:val="00AD1737"/>
    <w:rsid w:val="00AD1817"/>
    <w:rsid w:val="00AD1C01"/>
    <w:rsid w:val="00AD201A"/>
    <w:rsid w:val="00AD252C"/>
    <w:rsid w:val="00AD25D3"/>
    <w:rsid w:val="00AD2A69"/>
    <w:rsid w:val="00AD2DC7"/>
    <w:rsid w:val="00AD2F86"/>
    <w:rsid w:val="00AD3026"/>
    <w:rsid w:val="00AD308B"/>
    <w:rsid w:val="00AD3B33"/>
    <w:rsid w:val="00AD44D4"/>
    <w:rsid w:val="00AD4550"/>
    <w:rsid w:val="00AD4780"/>
    <w:rsid w:val="00AD50BD"/>
    <w:rsid w:val="00AD5842"/>
    <w:rsid w:val="00AD5847"/>
    <w:rsid w:val="00AD5B1D"/>
    <w:rsid w:val="00AD5B71"/>
    <w:rsid w:val="00AD6608"/>
    <w:rsid w:val="00AD6AE3"/>
    <w:rsid w:val="00AD6D29"/>
    <w:rsid w:val="00AD7FAA"/>
    <w:rsid w:val="00AE008D"/>
    <w:rsid w:val="00AE0486"/>
    <w:rsid w:val="00AE08A8"/>
    <w:rsid w:val="00AE1335"/>
    <w:rsid w:val="00AE152D"/>
    <w:rsid w:val="00AE1543"/>
    <w:rsid w:val="00AE164D"/>
    <w:rsid w:val="00AE1805"/>
    <w:rsid w:val="00AE2121"/>
    <w:rsid w:val="00AE216C"/>
    <w:rsid w:val="00AE21D1"/>
    <w:rsid w:val="00AE278B"/>
    <w:rsid w:val="00AE2DD8"/>
    <w:rsid w:val="00AE2DF9"/>
    <w:rsid w:val="00AE2E9A"/>
    <w:rsid w:val="00AE2EFC"/>
    <w:rsid w:val="00AE344E"/>
    <w:rsid w:val="00AE3956"/>
    <w:rsid w:val="00AE3B8A"/>
    <w:rsid w:val="00AE3CC3"/>
    <w:rsid w:val="00AE403E"/>
    <w:rsid w:val="00AE4193"/>
    <w:rsid w:val="00AE4620"/>
    <w:rsid w:val="00AE477C"/>
    <w:rsid w:val="00AE48F4"/>
    <w:rsid w:val="00AE4DEE"/>
    <w:rsid w:val="00AE58EF"/>
    <w:rsid w:val="00AE6A69"/>
    <w:rsid w:val="00AE7D69"/>
    <w:rsid w:val="00AF0457"/>
    <w:rsid w:val="00AF0775"/>
    <w:rsid w:val="00AF0BC3"/>
    <w:rsid w:val="00AF0CEE"/>
    <w:rsid w:val="00AF0EA1"/>
    <w:rsid w:val="00AF1322"/>
    <w:rsid w:val="00AF15D4"/>
    <w:rsid w:val="00AF169E"/>
    <w:rsid w:val="00AF1B5D"/>
    <w:rsid w:val="00AF1B92"/>
    <w:rsid w:val="00AF1D59"/>
    <w:rsid w:val="00AF1DA4"/>
    <w:rsid w:val="00AF2501"/>
    <w:rsid w:val="00AF29FD"/>
    <w:rsid w:val="00AF2D83"/>
    <w:rsid w:val="00AF2FA6"/>
    <w:rsid w:val="00AF4217"/>
    <w:rsid w:val="00AF4235"/>
    <w:rsid w:val="00AF44F1"/>
    <w:rsid w:val="00AF4D80"/>
    <w:rsid w:val="00AF53E7"/>
    <w:rsid w:val="00AF555C"/>
    <w:rsid w:val="00AF5781"/>
    <w:rsid w:val="00AF5AEB"/>
    <w:rsid w:val="00AF5BAB"/>
    <w:rsid w:val="00AF5D9E"/>
    <w:rsid w:val="00AF62AA"/>
    <w:rsid w:val="00AF7278"/>
    <w:rsid w:val="00AF77FA"/>
    <w:rsid w:val="00AF7832"/>
    <w:rsid w:val="00AF78AF"/>
    <w:rsid w:val="00AF7B55"/>
    <w:rsid w:val="00B0072B"/>
    <w:rsid w:val="00B00CE1"/>
    <w:rsid w:val="00B01057"/>
    <w:rsid w:val="00B0130B"/>
    <w:rsid w:val="00B01386"/>
    <w:rsid w:val="00B016E7"/>
    <w:rsid w:val="00B016F3"/>
    <w:rsid w:val="00B017FF"/>
    <w:rsid w:val="00B01A1A"/>
    <w:rsid w:val="00B01C20"/>
    <w:rsid w:val="00B01F6A"/>
    <w:rsid w:val="00B02417"/>
    <w:rsid w:val="00B02AEE"/>
    <w:rsid w:val="00B02E02"/>
    <w:rsid w:val="00B0345B"/>
    <w:rsid w:val="00B03686"/>
    <w:rsid w:val="00B039BD"/>
    <w:rsid w:val="00B03B7E"/>
    <w:rsid w:val="00B04077"/>
    <w:rsid w:val="00B04A0C"/>
    <w:rsid w:val="00B054EF"/>
    <w:rsid w:val="00B0563B"/>
    <w:rsid w:val="00B059C0"/>
    <w:rsid w:val="00B05BB2"/>
    <w:rsid w:val="00B05BBE"/>
    <w:rsid w:val="00B066AE"/>
    <w:rsid w:val="00B06811"/>
    <w:rsid w:val="00B07B45"/>
    <w:rsid w:val="00B07D71"/>
    <w:rsid w:val="00B10311"/>
    <w:rsid w:val="00B10A4E"/>
    <w:rsid w:val="00B10A6E"/>
    <w:rsid w:val="00B10D49"/>
    <w:rsid w:val="00B10FBD"/>
    <w:rsid w:val="00B1138C"/>
    <w:rsid w:val="00B118D7"/>
    <w:rsid w:val="00B1191D"/>
    <w:rsid w:val="00B11967"/>
    <w:rsid w:val="00B11A4B"/>
    <w:rsid w:val="00B11B72"/>
    <w:rsid w:val="00B11BB5"/>
    <w:rsid w:val="00B12004"/>
    <w:rsid w:val="00B12061"/>
    <w:rsid w:val="00B128AD"/>
    <w:rsid w:val="00B12B1D"/>
    <w:rsid w:val="00B12D9F"/>
    <w:rsid w:val="00B12DB2"/>
    <w:rsid w:val="00B13002"/>
    <w:rsid w:val="00B1301E"/>
    <w:rsid w:val="00B13719"/>
    <w:rsid w:val="00B14047"/>
    <w:rsid w:val="00B1409F"/>
    <w:rsid w:val="00B143A9"/>
    <w:rsid w:val="00B14820"/>
    <w:rsid w:val="00B14890"/>
    <w:rsid w:val="00B14C5F"/>
    <w:rsid w:val="00B14F41"/>
    <w:rsid w:val="00B151ED"/>
    <w:rsid w:val="00B15230"/>
    <w:rsid w:val="00B15E83"/>
    <w:rsid w:val="00B16841"/>
    <w:rsid w:val="00B16BAB"/>
    <w:rsid w:val="00B16DB8"/>
    <w:rsid w:val="00B2048A"/>
    <w:rsid w:val="00B20960"/>
    <w:rsid w:val="00B20FC0"/>
    <w:rsid w:val="00B2117E"/>
    <w:rsid w:val="00B2151C"/>
    <w:rsid w:val="00B21AA9"/>
    <w:rsid w:val="00B22088"/>
    <w:rsid w:val="00B222C2"/>
    <w:rsid w:val="00B2235B"/>
    <w:rsid w:val="00B22621"/>
    <w:rsid w:val="00B227CB"/>
    <w:rsid w:val="00B228C3"/>
    <w:rsid w:val="00B22C49"/>
    <w:rsid w:val="00B22D5C"/>
    <w:rsid w:val="00B2355D"/>
    <w:rsid w:val="00B23EBC"/>
    <w:rsid w:val="00B24273"/>
    <w:rsid w:val="00B2452E"/>
    <w:rsid w:val="00B24773"/>
    <w:rsid w:val="00B247F8"/>
    <w:rsid w:val="00B24D05"/>
    <w:rsid w:val="00B24DEC"/>
    <w:rsid w:val="00B24DF9"/>
    <w:rsid w:val="00B252E9"/>
    <w:rsid w:val="00B2546C"/>
    <w:rsid w:val="00B25733"/>
    <w:rsid w:val="00B258F4"/>
    <w:rsid w:val="00B25934"/>
    <w:rsid w:val="00B25F16"/>
    <w:rsid w:val="00B2645F"/>
    <w:rsid w:val="00B271FD"/>
    <w:rsid w:val="00B2732A"/>
    <w:rsid w:val="00B2743D"/>
    <w:rsid w:val="00B2798F"/>
    <w:rsid w:val="00B27992"/>
    <w:rsid w:val="00B27DA2"/>
    <w:rsid w:val="00B305F5"/>
    <w:rsid w:val="00B3072E"/>
    <w:rsid w:val="00B30C9B"/>
    <w:rsid w:val="00B30DC7"/>
    <w:rsid w:val="00B31290"/>
    <w:rsid w:val="00B31334"/>
    <w:rsid w:val="00B31489"/>
    <w:rsid w:val="00B31AC0"/>
    <w:rsid w:val="00B31B63"/>
    <w:rsid w:val="00B31E4B"/>
    <w:rsid w:val="00B320CD"/>
    <w:rsid w:val="00B32160"/>
    <w:rsid w:val="00B3283F"/>
    <w:rsid w:val="00B32AC8"/>
    <w:rsid w:val="00B32B21"/>
    <w:rsid w:val="00B32D5B"/>
    <w:rsid w:val="00B33752"/>
    <w:rsid w:val="00B33830"/>
    <w:rsid w:val="00B339CC"/>
    <w:rsid w:val="00B347B2"/>
    <w:rsid w:val="00B34FBF"/>
    <w:rsid w:val="00B3563D"/>
    <w:rsid w:val="00B35739"/>
    <w:rsid w:val="00B358D3"/>
    <w:rsid w:val="00B35ACF"/>
    <w:rsid w:val="00B35D95"/>
    <w:rsid w:val="00B36253"/>
    <w:rsid w:val="00B366CC"/>
    <w:rsid w:val="00B36873"/>
    <w:rsid w:val="00B369F3"/>
    <w:rsid w:val="00B36ADF"/>
    <w:rsid w:val="00B36DBB"/>
    <w:rsid w:val="00B370CD"/>
    <w:rsid w:val="00B3738F"/>
    <w:rsid w:val="00B374E0"/>
    <w:rsid w:val="00B377A2"/>
    <w:rsid w:val="00B4042F"/>
    <w:rsid w:val="00B4061A"/>
    <w:rsid w:val="00B408A4"/>
    <w:rsid w:val="00B40969"/>
    <w:rsid w:val="00B409D8"/>
    <w:rsid w:val="00B40B65"/>
    <w:rsid w:val="00B40D03"/>
    <w:rsid w:val="00B41142"/>
    <w:rsid w:val="00B411E3"/>
    <w:rsid w:val="00B41261"/>
    <w:rsid w:val="00B4156F"/>
    <w:rsid w:val="00B41C4C"/>
    <w:rsid w:val="00B41D53"/>
    <w:rsid w:val="00B4204E"/>
    <w:rsid w:val="00B42244"/>
    <w:rsid w:val="00B42663"/>
    <w:rsid w:val="00B4288C"/>
    <w:rsid w:val="00B431DA"/>
    <w:rsid w:val="00B43210"/>
    <w:rsid w:val="00B434A5"/>
    <w:rsid w:val="00B43C37"/>
    <w:rsid w:val="00B440A9"/>
    <w:rsid w:val="00B445D5"/>
    <w:rsid w:val="00B4464A"/>
    <w:rsid w:val="00B44A38"/>
    <w:rsid w:val="00B44EDA"/>
    <w:rsid w:val="00B452AC"/>
    <w:rsid w:val="00B452B8"/>
    <w:rsid w:val="00B4555A"/>
    <w:rsid w:val="00B4589A"/>
    <w:rsid w:val="00B45A21"/>
    <w:rsid w:val="00B45C21"/>
    <w:rsid w:val="00B45E1C"/>
    <w:rsid w:val="00B46172"/>
    <w:rsid w:val="00B46219"/>
    <w:rsid w:val="00B46356"/>
    <w:rsid w:val="00B46475"/>
    <w:rsid w:val="00B46702"/>
    <w:rsid w:val="00B468F7"/>
    <w:rsid w:val="00B46C35"/>
    <w:rsid w:val="00B4741B"/>
    <w:rsid w:val="00B4756B"/>
    <w:rsid w:val="00B47934"/>
    <w:rsid w:val="00B47A7A"/>
    <w:rsid w:val="00B5053D"/>
    <w:rsid w:val="00B50543"/>
    <w:rsid w:val="00B506C0"/>
    <w:rsid w:val="00B50996"/>
    <w:rsid w:val="00B50C5E"/>
    <w:rsid w:val="00B5114F"/>
    <w:rsid w:val="00B515A2"/>
    <w:rsid w:val="00B51A0A"/>
    <w:rsid w:val="00B52738"/>
    <w:rsid w:val="00B52780"/>
    <w:rsid w:val="00B52E2B"/>
    <w:rsid w:val="00B52EC6"/>
    <w:rsid w:val="00B53072"/>
    <w:rsid w:val="00B536D0"/>
    <w:rsid w:val="00B5388F"/>
    <w:rsid w:val="00B54611"/>
    <w:rsid w:val="00B548D2"/>
    <w:rsid w:val="00B54B58"/>
    <w:rsid w:val="00B54F54"/>
    <w:rsid w:val="00B54FEA"/>
    <w:rsid w:val="00B5545E"/>
    <w:rsid w:val="00B557B5"/>
    <w:rsid w:val="00B557B6"/>
    <w:rsid w:val="00B56147"/>
    <w:rsid w:val="00B561C1"/>
    <w:rsid w:val="00B56763"/>
    <w:rsid w:val="00B5691A"/>
    <w:rsid w:val="00B5699A"/>
    <w:rsid w:val="00B56D1B"/>
    <w:rsid w:val="00B56FD2"/>
    <w:rsid w:val="00B5763D"/>
    <w:rsid w:val="00B579AC"/>
    <w:rsid w:val="00B60BFE"/>
    <w:rsid w:val="00B61353"/>
    <w:rsid w:val="00B61386"/>
    <w:rsid w:val="00B61C0A"/>
    <w:rsid w:val="00B61CE1"/>
    <w:rsid w:val="00B6201E"/>
    <w:rsid w:val="00B632AE"/>
    <w:rsid w:val="00B6371C"/>
    <w:rsid w:val="00B63745"/>
    <w:rsid w:val="00B6390F"/>
    <w:rsid w:val="00B63993"/>
    <w:rsid w:val="00B63BC3"/>
    <w:rsid w:val="00B63D89"/>
    <w:rsid w:val="00B63EFD"/>
    <w:rsid w:val="00B64053"/>
    <w:rsid w:val="00B643D2"/>
    <w:rsid w:val="00B64480"/>
    <w:rsid w:val="00B646BE"/>
    <w:rsid w:val="00B648D7"/>
    <w:rsid w:val="00B64D6D"/>
    <w:rsid w:val="00B65330"/>
    <w:rsid w:val="00B65541"/>
    <w:rsid w:val="00B655E3"/>
    <w:rsid w:val="00B6574A"/>
    <w:rsid w:val="00B65D3B"/>
    <w:rsid w:val="00B65DBB"/>
    <w:rsid w:val="00B65F34"/>
    <w:rsid w:val="00B65FEC"/>
    <w:rsid w:val="00B66522"/>
    <w:rsid w:val="00B66C15"/>
    <w:rsid w:val="00B66E98"/>
    <w:rsid w:val="00B66FFA"/>
    <w:rsid w:val="00B67536"/>
    <w:rsid w:val="00B676B3"/>
    <w:rsid w:val="00B676EA"/>
    <w:rsid w:val="00B67B25"/>
    <w:rsid w:val="00B67C2F"/>
    <w:rsid w:val="00B67CB2"/>
    <w:rsid w:val="00B67FEA"/>
    <w:rsid w:val="00B70203"/>
    <w:rsid w:val="00B702C0"/>
    <w:rsid w:val="00B70484"/>
    <w:rsid w:val="00B706C0"/>
    <w:rsid w:val="00B706E1"/>
    <w:rsid w:val="00B70D26"/>
    <w:rsid w:val="00B70FF1"/>
    <w:rsid w:val="00B713A4"/>
    <w:rsid w:val="00B714DA"/>
    <w:rsid w:val="00B71548"/>
    <w:rsid w:val="00B719C9"/>
    <w:rsid w:val="00B71A90"/>
    <w:rsid w:val="00B71D07"/>
    <w:rsid w:val="00B72115"/>
    <w:rsid w:val="00B725F2"/>
    <w:rsid w:val="00B726B9"/>
    <w:rsid w:val="00B72AD3"/>
    <w:rsid w:val="00B72BFB"/>
    <w:rsid w:val="00B72D07"/>
    <w:rsid w:val="00B73074"/>
    <w:rsid w:val="00B73793"/>
    <w:rsid w:val="00B7390C"/>
    <w:rsid w:val="00B73BBF"/>
    <w:rsid w:val="00B741A3"/>
    <w:rsid w:val="00B742C5"/>
    <w:rsid w:val="00B747CA"/>
    <w:rsid w:val="00B74E2C"/>
    <w:rsid w:val="00B74F85"/>
    <w:rsid w:val="00B74FFF"/>
    <w:rsid w:val="00B75650"/>
    <w:rsid w:val="00B760ED"/>
    <w:rsid w:val="00B76673"/>
    <w:rsid w:val="00B766C7"/>
    <w:rsid w:val="00B768F6"/>
    <w:rsid w:val="00B76BDA"/>
    <w:rsid w:val="00B77162"/>
    <w:rsid w:val="00B7720F"/>
    <w:rsid w:val="00B777C5"/>
    <w:rsid w:val="00B77B50"/>
    <w:rsid w:val="00B77C81"/>
    <w:rsid w:val="00B802A3"/>
    <w:rsid w:val="00B8036F"/>
    <w:rsid w:val="00B8047C"/>
    <w:rsid w:val="00B80996"/>
    <w:rsid w:val="00B80BBA"/>
    <w:rsid w:val="00B80D05"/>
    <w:rsid w:val="00B818F3"/>
    <w:rsid w:val="00B81D4D"/>
    <w:rsid w:val="00B81F95"/>
    <w:rsid w:val="00B82431"/>
    <w:rsid w:val="00B82436"/>
    <w:rsid w:val="00B82695"/>
    <w:rsid w:val="00B826D3"/>
    <w:rsid w:val="00B82710"/>
    <w:rsid w:val="00B827D4"/>
    <w:rsid w:val="00B827DA"/>
    <w:rsid w:val="00B82DB3"/>
    <w:rsid w:val="00B82EFB"/>
    <w:rsid w:val="00B831AB"/>
    <w:rsid w:val="00B83BA8"/>
    <w:rsid w:val="00B83CF2"/>
    <w:rsid w:val="00B83DF3"/>
    <w:rsid w:val="00B83E82"/>
    <w:rsid w:val="00B849F5"/>
    <w:rsid w:val="00B84F3A"/>
    <w:rsid w:val="00B853CE"/>
    <w:rsid w:val="00B858C9"/>
    <w:rsid w:val="00B8608A"/>
    <w:rsid w:val="00B8615A"/>
    <w:rsid w:val="00B861B0"/>
    <w:rsid w:val="00B865A0"/>
    <w:rsid w:val="00B867EF"/>
    <w:rsid w:val="00B86D91"/>
    <w:rsid w:val="00B86E0F"/>
    <w:rsid w:val="00B86E51"/>
    <w:rsid w:val="00B87350"/>
    <w:rsid w:val="00B902EF"/>
    <w:rsid w:val="00B90586"/>
    <w:rsid w:val="00B90CEB"/>
    <w:rsid w:val="00B90D6F"/>
    <w:rsid w:val="00B90FC3"/>
    <w:rsid w:val="00B91041"/>
    <w:rsid w:val="00B9175D"/>
    <w:rsid w:val="00B917CB"/>
    <w:rsid w:val="00B91802"/>
    <w:rsid w:val="00B91A40"/>
    <w:rsid w:val="00B91EF1"/>
    <w:rsid w:val="00B920CB"/>
    <w:rsid w:val="00B920DC"/>
    <w:rsid w:val="00B92282"/>
    <w:rsid w:val="00B93346"/>
    <w:rsid w:val="00B93483"/>
    <w:rsid w:val="00B935F6"/>
    <w:rsid w:val="00B94473"/>
    <w:rsid w:val="00B94877"/>
    <w:rsid w:val="00B94F02"/>
    <w:rsid w:val="00B95CF6"/>
    <w:rsid w:val="00B9648B"/>
    <w:rsid w:val="00B96543"/>
    <w:rsid w:val="00B965FF"/>
    <w:rsid w:val="00B96C52"/>
    <w:rsid w:val="00B96D6B"/>
    <w:rsid w:val="00B97047"/>
    <w:rsid w:val="00B971BC"/>
    <w:rsid w:val="00B9722E"/>
    <w:rsid w:val="00B97E59"/>
    <w:rsid w:val="00BA005D"/>
    <w:rsid w:val="00BA00BA"/>
    <w:rsid w:val="00BA01F2"/>
    <w:rsid w:val="00BA042F"/>
    <w:rsid w:val="00BA07B1"/>
    <w:rsid w:val="00BA0833"/>
    <w:rsid w:val="00BA084D"/>
    <w:rsid w:val="00BA094B"/>
    <w:rsid w:val="00BA0ABE"/>
    <w:rsid w:val="00BA0EA2"/>
    <w:rsid w:val="00BA17BE"/>
    <w:rsid w:val="00BA19BF"/>
    <w:rsid w:val="00BA22D2"/>
    <w:rsid w:val="00BA22EF"/>
    <w:rsid w:val="00BA234A"/>
    <w:rsid w:val="00BA238A"/>
    <w:rsid w:val="00BA23C9"/>
    <w:rsid w:val="00BA38C7"/>
    <w:rsid w:val="00BA39A9"/>
    <w:rsid w:val="00BA39E7"/>
    <w:rsid w:val="00BA3E4C"/>
    <w:rsid w:val="00BA3FE9"/>
    <w:rsid w:val="00BA4282"/>
    <w:rsid w:val="00BA5309"/>
    <w:rsid w:val="00BA5346"/>
    <w:rsid w:val="00BA5885"/>
    <w:rsid w:val="00BA5D59"/>
    <w:rsid w:val="00BA5ECB"/>
    <w:rsid w:val="00BA5F46"/>
    <w:rsid w:val="00BA5F7D"/>
    <w:rsid w:val="00BA62E9"/>
    <w:rsid w:val="00BA6F78"/>
    <w:rsid w:val="00BA71BC"/>
    <w:rsid w:val="00BA7731"/>
    <w:rsid w:val="00BA7B5E"/>
    <w:rsid w:val="00BA7BA9"/>
    <w:rsid w:val="00BA7C1D"/>
    <w:rsid w:val="00BB04BE"/>
    <w:rsid w:val="00BB0B64"/>
    <w:rsid w:val="00BB0E15"/>
    <w:rsid w:val="00BB0F00"/>
    <w:rsid w:val="00BB0F7E"/>
    <w:rsid w:val="00BB12DC"/>
    <w:rsid w:val="00BB1391"/>
    <w:rsid w:val="00BB19C6"/>
    <w:rsid w:val="00BB1E68"/>
    <w:rsid w:val="00BB233A"/>
    <w:rsid w:val="00BB23BA"/>
    <w:rsid w:val="00BB26E8"/>
    <w:rsid w:val="00BB2834"/>
    <w:rsid w:val="00BB29EB"/>
    <w:rsid w:val="00BB2A7C"/>
    <w:rsid w:val="00BB312B"/>
    <w:rsid w:val="00BB31E5"/>
    <w:rsid w:val="00BB34F6"/>
    <w:rsid w:val="00BB394D"/>
    <w:rsid w:val="00BB3C93"/>
    <w:rsid w:val="00BB3DAE"/>
    <w:rsid w:val="00BB3DD4"/>
    <w:rsid w:val="00BB4892"/>
    <w:rsid w:val="00BB55B3"/>
    <w:rsid w:val="00BB55CE"/>
    <w:rsid w:val="00BB57D0"/>
    <w:rsid w:val="00BB5D05"/>
    <w:rsid w:val="00BB5F57"/>
    <w:rsid w:val="00BB66D9"/>
    <w:rsid w:val="00BB67BD"/>
    <w:rsid w:val="00BB6B46"/>
    <w:rsid w:val="00BB6CC5"/>
    <w:rsid w:val="00BB6CFE"/>
    <w:rsid w:val="00BB7152"/>
    <w:rsid w:val="00BB71A6"/>
    <w:rsid w:val="00BB736E"/>
    <w:rsid w:val="00BB7612"/>
    <w:rsid w:val="00BB7693"/>
    <w:rsid w:val="00BB785D"/>
    <w:rsid w:val="00BB7D45"/>
    <w:rsid w:val="00BB7DC6"/>
    <w:rsid w:val="00BB7E84"/>
    <w:rsid w:val="00BC0A95"/>
    <w:rsid w:val="00BC0BA5"/>
    <w:rsid w:val="00BC0E8D"/>
    <w:rsid w:val="00BC1027"/>
    <w:rsid w:val="00BC14D9"/>
    <w:rsid w:val="00BC1776"/>
    <w:rsid w:val="00BC1849"/>
    <w:rsid w:val="00BC1A5C"/>
    <w:rsid w:val="00BC272C"/>
    <w:rsid w:val="00BC3134"/>
    <w:rsid w:val="00BC3161"/>
    <w:rsid w:val="00BC3252"/>
    <w:rsid w:val="00BC32C7"/>
    <w:rsid w:val="00BC33C2"/>
    <w:rsid w:val="00BC35E4"/>
    <w:rsid w:val="00BC3724"/>
    <w:rsid w:val="00BC3E7F"/>
    <w:rsid w:val="00BC40BA"/>
    <w:rsid w:val="00BC42A7"/>
    <w:rsid w:val="00BC4728"/>
    <w:rsid w:val="00BC47E9"/>
    <w:rsid w:val="00BC4A07"/>
    <w:rsid w:val="00BC4BED"/>
    <w:rsid w:val="00BC4CB6"/>
    <w:rsid w:val="00BC4E5B"/>
    <w:rsid w:val="00BC569C"/>
    <w:rsid w:val="00BC56B4"/>
    <w:rsid w:val="00BC5904"/>
    <w:rsid w:val="00BC5958"/>
    <w:rsid w:val="00BC5F20"/>
    <w:rsid w:val="00BC6841"/>
    <w:rsid w:val="00BC6910"/>
    <w:rsid w:val="00BC6B1E"/>
    <w:rsid w:val="00BC6B36"/>
    <w:rsid w:val="00BC6FB7"/>
    <w:rsid w:val="00BC70D1"/>
    <w:rsid w:val="00BC71C1"/>
    <w:rsid w:val="00BC7B6F"/>
    <w:rsid w:val="00BC7C49"/>
    <w:rsid w:val="00BC7E0D"/>
    <w:rsid w:val="00BC7FEB"/>
    <w:rsid w:val="00BD0407"/>
    <w:rsid w:val="00BD08D7"/>
    <w:rsid w:val="00BD092F"/>
    <w:rsid w:val="00BD0A32"/>
    <w:rsid w:val="00BD0A3E"/>
    <w:rsid w:val="00BD0B77"/>
    <w:rsid w:val="00BD0B95"/>
    <w:rsid w:val="00BD0DA7"/>
    <w:rsid w:val="00BD0F1D"/>
    <w:rsid w:val="00BD1605"/>
    <w:rsid w:val="00BD1B24"/>
    <w:rsid w:val="00BD1D60"/>
    <w:rsid w:val="00BD20B4"/>
    <w:rsid w:val="00BD2467"/>
    <w:rsid w:val="00BD282D"/>
    <w:rsid w:val="00BD28C4"/>
    <w:rsid w:val="00BD29FE"/>
    <w:rsid w:val="00BD2CBE"/>
    <w:rsid w:val="00BD2CC0"/>
    <w:rsid w:val="00BD306D"/>
    <w:rsid w:val="00BD33AC"/>
    <w:rsid w:val="00BD340B"/>
    <w:rsid w:val="00BD3F14"/>
    <w:rsid w:val="00BD3FBD"/>
    <w:rsid w:val="00BD4910"/>
    <w:rsid w:val="00BD4A2A"/>
    <w:rsid w:val="00BD4A2B"/>
    <w:rsid w:val="00BD4E5B"/>
    <w:rsid w:val="00BD5152"/>
    <w:rsid w:val="00BD51D5"/>
    <w:rsid w:val="00BD563F"/>
    <w:rsid w:val="00BD5965"/>
    <w:rsid w:val="00BD5B70"/>
    <w:rsid w:val="00BD5C8E"/>
    <w:rsid w:val="00BD6179"/>
    <w:rsid w:val="00BD63CE"/>
    <w:rsid w:val="00BD675C"/>
    <w:rsid w:val="00BD683B"/>
    <w:rsid w:val="00BD6C34"/>
    <w:rsid w:val="00BD7014"/>
    <w:rsid w:val="00BD70FC"/>
    <w:rsid w:val="00BD7177"/>
    <w:rsid w:val="00BD73CC"/>
    <w:rsid w:val="00BD75FC"/>
    <w:rsid w:val="00BD76A3"/>
    <w:rsid w:val="00BD770F"/>
    <w:rsid w:val="00BD7CC6"/>
    <w:rsid w:val="00BD7F21"/>
    <w:rsid w:val="00BE01C0"/>
    <w:rsid w:val="00BE0316"/>
    <w:rsid w:val="00BE0445"/>
    <w:rsid w:val="00BE04CE"/>
    <w:rsid w:val="00BE08CD"/>
    <w:rsid w:val="00BE0FFA"/>
    <w:rsid w:val="00BE10A5"/>
    <w:rsid w:val="00BE11D8"/>
    <w:rsid w:val="00BE130B"/>
    <w:rsid w:val="00BE163B"/>
    <w:rsid w:val="00BE189F"/>
    <w:rsid w:val="00BE1AE4"/>
    <w:rsid w:val="00BE1CE3"/>
    <w:rsid w:val="00BE1D1A"/>
    <w:rsid w:val="00BE24A1"/>
    <w:rsid w:val="00BE2E36"/>
    <w:rsid w:val="00BE2E4B"/>
    <w:rsid w:val="00BE3104"/>
    <w:rsid w:val="00BE3543"/>
    <w:rsid w:val="00BE40E3"/>
    <w:rsid w:val="00BE43D1"/>
    <w:rsid w:val="00BE4431"/>
    <w:rsid w:val="00BE4A7D"/>
    <w:rsid w:val="00BE4ADC"/>
    <w:rsid w:val="00BE4F26"/>
    <w:rsid w:val="00BE536D"/>
    <w:rsid w:val="00BE53DF"/>
    <w:rsid w:val="00BE5D06"/>
    <w:rsid w:val="00BE5E1A"/>
    <w:rsid w:val="00BE65EF"/>
    <w:rsid w:val="00BE66C2"/>
    <w:rsid w:val="00BE6960"/>
    <w:rsid w:val="00BE705B"/>
    <w:rsid w:val="00BE730E"/>
    <w:rsid w:val="00BE7327"/>
    <w:rsid w:val="00BE75F7"/>
    <w:rsid w:val="00BE77CB"/>
    <w:rsid w:val="00BE7B1B"/>
    <w:rsid w:val="00BF00CB"/>
    <w:rsid w:val="00BF049C"/>
    <w:rsid w:val="00BF056F"/>
    <w:rsid w:val="00BF0D76"/>
    <w:rsid w:val="00BF1320"/>
    <w:rsid w:val="00BF1341"/>
    <w:rsid w:val="00BF1688"/>
    <w:rsid w:val="00BF175C"/>
    <w:rsid w:val="00BF176C"/>
    <w:rsid w:val="00BF1A30"/>
    <w:rsid w:val="00BF1D9D"/>
    <w:rsid w:val="00BF1F3F"/>
    <w:rsid w:val="00BF219D"/>
    <w:rsid w:val="00BF21D4"/>
    <w:rsid w:val="00BF241E"/>
    <w:rsid w:val="00BF2544"/>
    <w:rsid w:val="00BF29D9"/>
    <w:rsid w:val="00BF2A64"/>
    <w:rsid w:val="00BF30B2"/>
    <w:rsid w:val="00BF30B7"/>
    <w:rsid w:val="00BF3256"/>
    <w:rsid w:val="00BF3624"/>
    <w:rsid w:val="00BF379B"/>
    <w:rsid w:val="00BF38E1"/>
    <w:rsid w:val="00BF3ADD"/>
    <w:rsid w:val="00BF3B73"/>
    <w:rsid w:val="00BF3E7B"/>
    <w:rsid w:val="00BF3EEA"/>
    <w:rsid w:val="00BF4276"/>
    <w:rsid w:val="00BF434D"/>
    <w:rsid w:val="00BF460F"/>
    <w:rsid w:val="00BF47D1"/>
    <w:rsid w:val="00BF480D"/>
    <w:rsid w:val="00BF4BBD"/>
    <w:rsid w:val="00BF4DF6"/>
    <w:rsid w:val="00BF4EB2"/>
    <w:rsid w:val="00BF4F53"/>
    <w:rsid w:val="00BF4FBB"/>
    <w:rsid w:val="00BF5194"/>
    <w:rsid w:val="00BF5426"/>
    <w:rsid w:val="00BF587F"/>
    <w:rsid w:val="00BF63EE"/>
    <w:rsid w:val="00BF6449"/>
    <w:rsid w:val="00BF6ED7"/>
    <w:rsid w:val="00BF75AA"/>
    <w:rsid w:val="00BF784F"/>
    <w:rsid w:val="00BF7CDA"/>
    <w:rsid w:val="00BF7D7C"/>
    <w:rsid w:val="00BF7DD3"/>
    <w:rsid w:val="00C00AF6"/>
    <w:rsid w:val="00C00C33"/>
    <w:rsid w:val="00C015FC"/>
    <w:rsid w:val="00C0186D"/>
    <w:rsid w:val="00C01A32"/>
    <w:rsid w:val="00C01F57"/>
    <w:rsid w:val="00C02146"/>
    <w:rsid w:val="00C022CF"/>
    <w:rsid w:val="00C024FE"/>
    <w:rsid w:val="00C027CD"/>
    <w:rsid w:val="00C0298F"/>
    <w:rsid w:val="00C02D4B"/>
    <w:rsid w:val="00C02DCF"/>
    <w:rsid w:val="00C03CC9"/>
    <w:rsid w:val="00C0483C"/>
    <w:rsid w:val="00C04AB7"/>
    <w:rsid w:val="00C04E58"/>
    <w:rsid w:val="00C053B3"/>
    <w:rsid w:val="00C055E6"/>
    <w:rsid w:val="00C05689"/>
    <w:rsid w:val="00C059FA"/>
    <w:rsid w:val="00C0606F"/>
    <w:rsid w:val="00C061E6"/>
    <w:rsid w:val="00C06248"/>
    <w:rsid w:val="00C065D9"/>
    <w:rsid w:val="00C06C1D"/>
    <w:rsid w:val="00C0708B"/>
    <w:rsid w:val="00C07722"/>
    <w:rsid w:val="00C07881"/>
    <w:rsid w:val="00C07A5D"/>
    <w:rsid w:val="00C1012B"/>
    <w:rsid w:val="00C107F6"/>
    <w:rsid w:val="00C10B78"/>
    <w:rsid w:val="00C10BD4"/>
    <w:rsid w:val="00C10CB2"/>
    <w:rsid w:val="00C10D93"/>
    <w:rsid w:val="00C10FBB"/>
    <w:rsid w:val="00C113B8"/>
    <w:rsid w:val="00C11674"/>
    <w:rsid w:val="00C12007"/>
    <w:rsid w:val="00C127AC"/>
    <w:rsid w:val="00C127B5"/>
    <w:rsid w:val="00C12E16"/>
    <w:rsid w:val="00C1347E"/>
    <w:rsid w:val="00C135CE"/>
    <w:rsid w:val="00C13C03"/>
    <w:rsid w:val="00C13D7F"/>
    <w:rsid w:val="00C13E1F"/>
    <w:rsid w:val="00C143D1"/>
    <w:rsid w:val="00C14724"/>
    <w:rsid w:val="00C14D1A"/>
    <w:rsid w:val="00C14D49"/>
    <w:rsid w:val="00C15FE0"/>
    <w:rsid w:val="00C16580"/>
    <w:rsid w:val="00C16A3B"/>
    <w:rsid w:val="00C16B8C"/>
    <w:rsid w:val="00C17943"/>
    <w:rsid w:val="00C200B7"/>
    <w:rsid w:val="00C2074B"/>
    <w:rsid w:val="00C20DF4"/>
    <w:rsid w:val="00C20FEA"/>
    <w:rsid w:val="00C21705"/>
    <w:rsid w:val="00C21A76"/>
    <w:rsid w:val="00C21DE5"/>
    <w:rsid w:val="00C221FE"/>
    <w:rsid w:val="00C223FD"/>
    <w:rsid w:val="00C22A82"/>
    <w:rsid w:val="00C22E0B"/>
    <w:rsid w:val="00C22EBE"/>
    <w:rsid w:val="00C2307D"/>
    <w:rsid w:val="00C231AA"/>
    <w:rsid w:val="00C2351F"/>
    <w:rsid w:val="00C238B3"/>
    <w:rsid w:val="00C238D6"/>
    <w:rsid w:val="00C240C9"/>
    <w:rsid w:val="00C24345"/>
    <w:rsid w:val="00C246D7"/>
    <w:rsid w:val="00C24963"/>
    <w:rsid w:val="00C24AE4"/>
    <w:rsid w:val="00C24E6E"/>
    <w:rsid w:val="00C25B23"/>
    <w:rsid w:val="00C25C66"/>
    <w:rsid w:val="00C25D3B"/>
    <w:rsid w:val="00C25D62"/>
    <w:rsid w:val="00C2606C"/>
    <w:rsid w:val="00C26454"/>
    <w:rsid w:val="00C26499"/>
    <w:rsid w:val="00C2657C"/>
    <w:rsid w:val="00C2661E"/>
    <w:rsid w:val="00C26856"/>
    <w:rsid w:val="00C26FE3"/>
    <w:rsid w:val="00C27680"/>
    <w:rsid w:val="00C276D5"/>
    <w:rsid w:val="00C277EB"/>
    <w:rsid w:val="00C303E9"/>
    <w:rsid w:val="00C30562"/>
    <w:rsid w:val="00C30A67"/>
    <w:rsid w:val="00C30B1D"/>
    <w:rsid w:val="00C30DDF"/>
    <w:rsid w:val="00C30FAA"/>
    <w:rsid w:val="00C31080"/>
    <w:rsid w:val="00C31163"/>
    <w:rsid w:val="00C31307"/>
    <w:rsid w:val="00C31452"/>
    <w:rsid w:val="00C318AF"/>
    <w:rsid w:val="00C3202F"/>
    <w:rsid w:val="00C32366"/>
    <w:rsid w:val="00C32A05"/>
    <w:rsid w:val="00C32A30"/>
    <w:rsid w:val="00C32CB0"/>
    <w:rsid w:val="00C3369E"/>
    <w:rsid w:val="00C33C12"/>
    <w:rsid w:val="00C33FED"/>
    <w:rsid w:val="00C3449C"/>
    <w:rsid w:val="00C358F6"/>
    <w:rsid w:val="00C35BCC"/>
    <w:rsid w:val="00C35C3A"/>
    <w:rsid w:val="00C35C78"/>
    <w:rsid w:val="00C36899"/>
    <w:rsid w:val="00C36B90"/>
    <w:rsid w:val="00C36C6F"/>
    <w:rsid w:val="00C36DC1"/>
    <w:rsid w:val="00C37149"/>
    <w:rsid w:val="00C3727D"/>
    <w:rsid w:val="00C40622"/>
    <w:rsid w:val="00C406FD"/>
    <w:rsid w:val="00C40756"/>
    <w:rsid w:val="00C408FA"/>
    <w:rsid w:val="00C40C10"/>
    <w:rsid w:val="00C413AB"/>
    <w:rsid w:val="00C4167B"/>
    <w:rsid w:val="00C4195C"/>
    <w:rsid w:val="00C41A19"/>
    <w:rsid w:val="00C41AA6"/>
    <w:rsid w:val="00C41D1C"/>
    <w:rsid w:val="00C41E8A"/>
    <w:rsid w:val="00C42085"/>
    <w:rsid w:val="00C420E3"/>
    <w:rsid w:val="00C423B6"/>
    <w:rsid w:val="00C4285D"/>
    <w:rsid w:val="00C42910"/>
    <w:rsid w:val="00C42ABA"/>
    <w:rsid w:val="00C42F28"/>
    <w:rsid w:val="00C438B3"/>
    <w:rsid w:val="00C43A3C"/>
    <w:rsid w:val="00C43C57"/>
    <w:rsid w:val="00C4406E"/>
    <w:rsid w:val="00C44A5E"/>
    <w:rsid w:val="00C44B4A"/>
    <w:rsid w:val="00C44D62"/>
    <w:rsid w:val="00C450DF"/>
    <w:rsid w:val="00C458AD"/>
    <w:rsid w:val="00C45A89"/>
    <w:rsid w:val="00C45A97"/>
    <w:rsid w:val="00C45ABA"/>
    <w:rsid w:val="00C45CDC"/>
    <w:rsid w:val="00C46015"/>
    <w:rsid w:val="00C46928"/>
    <w:rsid w:val="00C46C1A"/>
    <w:rsid w:val="00C47227"/>
    <w:rsid w:val="00C473B8"/>
    <w:rsid w:val="00C47477"/>
    <w:rsid w:val="00C475FD"/>
    <w:rsid w:val="00C47C98"/>
    <w:rsid w:val="00C50118"/>
    <w:rsid w:val="00C50342"/>
    <w:rsid w:val="00C50D44"/>
    <w:rsid w:val="00C51028"/>
    <w:rsid w:val="00C52145"/>
    <w:rsid w:val="00C527B4"/>
    <w:rsid w:val="00C5297B"/>
    <w:rsid w:val="00C52CBE"/>
    <w:rsid w:val="00C52D24"/>
    <w:rsid w:val="00C52F92"/>
    <w:rsid w:val="00C534D1"/>
    <w:rsid w:val="00C539F0"/>
    <w:rsid w:val="00C53FF8"/>
    <w:rsid w:val="00C542D0"/>
    <w:rsid w:val="00C5444D"/>
    <w:rsid w:val="00C54490"/>
    <w:rsid w:val="00C544ED"/>
    <w:rsid w:val="00C54843"/>
    <w:rsid w:val="00C54878"/>
    <w:rsid w:val="00C54DD0"/>
    <w:rsid w:val="00C5557E"/>
    <w:rsid w:val="00C55794"/>
    <w:rsid w:val="00C55DB7"/>
    <w:rsid w:val="00C56691"/>
    <w:rsid w:val="00C56A6C"/>
    <w:rsid w:val="00C56D26"/>
    <w:rsid w:val="00C56D3A"/>
    <w:rsid w:val="00C57657"/>
    <w:rsid w:val="00C57670"/>
    <w:rsid w:val="00C5775E"/>
    <w:rsid w:val="00C577FD"/>
    <w:rsid w:val="00C60EFB"/>
    <w:rsid w:val="00C60EFF"/>
    <w:rsid w:val="00C60F44"/>
    <w:rsid w:val="00C60FC5"/>
    <w:rsid w:val="00C61202"/>
    <w:rsid w:val="00C61250"/>
    <w:rsid w:val="00C61315"/>
    <w:rsid w:val="00C613A5"/>
    <w:rsid w:val="00C61455"/>
    <w:rsid w:val="00C61679"/>
    <w:rsid w:val="00C61A91"/>
    <w:rsid w:val="00C61FEA"/>
    <w:rsid w:val="00C62058"/>
    <w:rsid w:val="00C6266B"/>
    <w:rsid w:val="00C62722"/>
    <w:rsid w:val="00C62E85"/>
    <w:rsid w:val="00C63320"/>
    <w:rsid w:val="00C633D3"/>
    <w:rsid w:val="00C634ED"/>
    <w:rsid w:val="00C6396E"/>
    <w:rsid w:val="00C63D04"/>
    <w:rsid w:val="00C640AE"/>
    <w:rsid w:val="00C642FD"/>
    <w:rsid w:val="00C64362"/>
    <w:rsid w:val="00C644C5"/>
    <w:rsid w:val="00C64E24"/>
    <w:rsid w:val="00C64EF3"/>
    <w:rsid w:val="00C64FB9"/>
    <w:rsid w:val="00C652E2"/>
    <w:rsid w:val="00C65497"/>
    <w:rsid w:val="00C6595C"/>
    <w:rsid w:val="00C659FB"/>
    <w:rsid w:val="00C66063"/>
    <w:rsid w:val="00C66297"/>
    <w:rsid w:val="00C663B3"/>
    <w:rsid w:val="00C6651E"/>
    <w:rsid w:val="00C66909"/>
    <w:rsid w:val="00C66A8B"/>
    <w:rsid w:val="00C66AAA"/>
    <w:rsid w:val="00C66E51"/>
    <w:rsid w:val="00C674AC"/>
    <w:rsid w:val="00C674DC"/>
    <w:rsid w:val="00C67518"/>
    <w:rsid w:val="00C678D6"/>
    <w:rsid w:val="00C67E97"/>
    <w:rsid w:val="00C70200"/>
    <w:rsid w:val="00C706BB"/>
    <w:rsid w:val="00C70B8E"/>
    <w:rsid w:val="00C71296"/>
    <w:rsid w:val="00C71C65"/>
    <w:rsid w:val="00C71D7F"/>
    <w:rsid w:val="00C71FA7"/>
    <w:rsid w:val="00C720C7"/>
    <w:rsid w:val="00C725E4"/>
    <w:rsid w:val="00C72BB5"/>
    <w:rsid w:val="00C72BDF"/>
    <w:rsid w:val="00C72CF9"/>
    <w:rsid w:val="00C73147"/>
    <w:rsid w:val="00C734C9"/>
    <w:rsid w:val="00C737F3"/>
    <w:rsid w:val="00C73E41"/>
    <w:rsid w:val="00C73EFB"/>
    <w:rsid w:val="00C73F7B"/>
    <w:rsid w:val="00C744B9"/>
    <w:rsid w:val="00C74781"/>
    <w:rsid w:val="00C74BA9"/>
    <w:rsid w:val="00C74F71"/>
    <w:rsid w:val="00C75207"/>
    <w:rsid w:val="00C75689"/>
    <w:rsid w:val="00C7569E"/>
    <w:rsid w:val="00C75A5E"/>
    <w:rsid w:val="00C76144"/>
    <w:rsid w:val="00C76182"/>
    <w:rsid w:val="00C7657B"/>
    <w:rsid w:val="00C76CC7"/>
    <w:rsid w:val="00C76E88"/>
    <w:rsid w:val="00C770C0"/>
    <w:rsid w:val="00C77109"/>
    <w:rsid w:val="00C7732C"/>
    <w:rsid w:val="00C7790C"/>
    <w:rsid w:val="00C77F11"/>
    <w:rsid w:val="00C800F2"/>
    <w:rsid w:val="00C801A7"/>
    <w:rsid w:val="00C803DA"/>
    <w:rsid w:val="00C8054D"/>
    <w:rsid w:val="00C8068A"/>
    <w:rsid w:val="00C8128F"/>
    <w:rsid w:val="00C81569"/>
    <w:rsid w:val="00C81D6A"/>
    <w:rsid w:val="00C81DDA"/>
    <w:rsid w:val="00C81FA1"/>
    <w:rsid w:val="00C821C5"/>
    <w:rsid w:val="00C825ED"/>
    <w:rsid w:val="00C8284F"/>
    <w:rsid w:val="00C828AE"/>
    <w:rsid w:val="00C828F5"/>
    <w:rsid w:val="00C82A33"/>
    <w:rsid w:val="00C82EF0"/>
    <w:rsid w:val="00C8307C"/>
    <w:rsid w:val="00C83123"/>
    <w:rsid w:val="00C83395"/>
    <w:rsid w:val="00C833AA"/>
    <w:rsid w:val="00C83752"/>
    <w:rsid w:val="00C83AEE"/>
    <w:rsid w:val="00C83C3B"/>
    <w:rsid w:val="00C84729"/>
    <w:rsid w:val="00C84E49"/>
    <w:rsid w:val="00C85559"/>
    <w:rsid w:val="00C85569"/>
    <w:rsid w:val="00C85839"/>
    <w:rsid w:val="00C85B5D"/>
    <w:rsid w:val="00C8652C"/>
    <w:rsid w:val="00C8688B"/>
    <w:rsid w:val="00C87139"/>
    <w:rsid w:val="00C873C9"/>
    <w:rsid w:val="00C87630"/>
    <w:rsid w:val="00C87666"/>
    <w:rsid w:val="00C878DD"/>
    <w:rsid w:val="00C87E39"/>
    <w:rsid w:val="00C900BA"/>
    <w:rsid w:val="00C901D0"/>
    <w:rsid w:val="00C90792"/>
    <w:rsid w:val="00C90A99"/>
    <w:rsid w:val="00C90B87"/>
    <w:rsid w:val="00C90D1B"/>
    <w:rsid w:val="00C90DC6"/>
    <w:rsid w:val="00C9142D"/>
    <w:rsid w:val="00C91B3C"/>
    <w:rsid w:val="00C92126"/>
    <w:rsid w:val="00C92135"/>
    <w:rsid w:val="00C9227B"/>
    <w:rsid w:val="00C924C6"/>
    <w:rsid w:val="00C9282F"/>
    <w:rsid w:val="00C928BB"/>
    <w:rsid w:val="00C92918"/>
    <w:rsid w:val="00C92C6C"/>
    <w:rsid w:val="00C93669"/>
    <w:rsid w:val="00C93E78"/>
    <w:rsid w:val="00C93EE5"/>
    <w:rsid w:val="00C93FF9"/>
    <w:rsid w:val="00C9454C"/>
    <w:rsid w:val="00C94A8D"/>
    <w:rsid w:val="00C94AB4"/>
    <w:rsid w:val="00C950A6"/>
    <w:rsid w:val="00C9536A"/>
    <w:rsid w:val="00C9585B"/>
    <w:rsid w:val="00C958C5"/>
    <w:rsid w:val="00C95B09"/>
    <w:rsid w:val="00C95B8C"/>
    <w:rsid w:val="00C969E7"/>
    <w:rsid w:val="00C96A52"/>
    <w:rsid w:val="00C96FAF"/>
    <w:rsid w:val="00C97354"/>
    <w:rsid w:val="00C97AF9"/>
    <w:rsid w:val="00CA03A0"/>
    <w:rsid w:val="00CA0778"/>
    <w:rsid w:val="00CA1FD4"/>
    <w:rsid w:val="00CA22BC"/>
    <w:rsid w:val="00CA2B61"/>
    <w:rsid w:val="00CA3120"/>
    <w:rsid w:val="00CA373B"/>
    <w:rsid w:val="00CA3A59"/>
    <w:rsid w:val="00CA3A85"/>
    <w:rsid w:val="00CA3AD1"/>
    <w:rsid w:val="00CA43C6"/>
    <w:rsid w:val="00CA446B"/>
    <w:rsid w:val="00CA4BD2"/>
    <w:rsid w:val="00CA4ED1"/>
    <w:rsid w:val="00CA59CD"/>
    <w:rsid w:val="00CA5EC2"/>
    <w:rsid w:val="00CA6064"/>
    <w:rsid w:val="00CA6233"/>
    <w:rsid w:val="00CA68B0"/>
    <w:rsid w:val="00CA69F9"/>
    <w:rsid w:val="00CA6BDE"/>
    <w:rsid w:val="00CA6CCB"/>
    <w:rsid w:val="00CA6DC6"/>
    <w:rsid w:val="00CA6E6C"/>
    <w:rsid w:val="00CA6EC6"/>
    <w:rsid w:val="00CA7498"/>
    <w:rsid w:val="00CA75EB"/>
    <w:rsid w:val="00CA7830"/>
    <w:rsid w:val="00CB0013"/>
    <w:rsid w:val="00CB0436"/>
    <w:rsid w:val="00CB0853"/>
    <w:rsid w:val="00CB0ABE"/>
    <w:rsid w:val="00CB0DA3"/>
    <w:rsid w:val="00CB0DD5"/>
    <w:rsid w:val="00CB1390"/>
    <w:rsid w:val="00CB1469"/>
    <w:rsid w:val="00CB15B1"/>
    <w:rsid w:val="00CB1639"/>
    <w:rsid w:val="00CB17F1"/>
    <w:rsid w:val="00CB2840"/>
    <w:rsid w:val="00CB2A3A"/>
    <w:rsid w:val="00CB2BDE"/>
    <w:rsid w:val="00CB2E05"/>
    <w:rsid w:val="00CB3B79"/>
    <w:rsid w:val="00CB3BC1"/>
    <w:rsid w:val="00CB3DB9"/>
    <w:rsid w:val="00CB3E1F"/>
    <w:rsid w:val="00CB3F0F"/>
    <w:rsid w:val="00CB411B"/>
    <w:rsid w:val="00CB4BE8"/>
    <w:rsid w:val="00CB53FA"/>
    <w:rsid w:val="00CB546B"/>
    <w:rsid w:val="00CB56A8"/>
    <w:rsid w:val="00CB6606"/>
    <w:rsid w:val="00CB680F"/>
    <w:rsid w:val="00CB6E2E"/>
    <w:rsid w:val="00CB6E94"/>
    <w:rsid w:val="00CB74CA"/>
    <w:rsid w:val="00CB750B"/>
    <w:rsid w:val="00CB7691"/>
    <w:rsid w:val="00CB7A8B"/>
    <w:rsid w:val="00CC02FA"/>
    <w:rsid w:val="00CC07A1"/>
    <w:rsid w:val="00CC09A0"/>
    <w:rsid w:val="00CC09E9"/>
    <w:rsid w:val="00CC1136"/>
    <w:rsid w:val="00CC15BE"/>
    <w:rsid w:val="00CC1880"/>
    <w:rsid w:val="00CC1957"/>
    <w:rsid w:val="00CC1FF9"/>
    <w:rsid w:val="00CC248B"/>
    <w:rsid w:val="00CC24E9"/>
    <w:rsid w:val="00CC2728"/>
    <w:rsid w:val="00CC29CA"/>
    <w:rsid w:val="00CC2A54"/>
    <w:rsid w:val="00CC2C6B"/>
    <w:rsid w:val="00CC311C"/>
    <w:rsid w:val="00CC38C4"/>
    <w:rsid w:val="00CC3A26"/>
    <w:rsid w:val="00CC3FCC"/>
    <w:rsid w:val="00CC46AC"/>
    <w:rsid w:val="00CC4A7E"/>
    <w:rsid w:val="00CC4B64"/>
    <w:rsid w:val="00CC5C00"/>
    <w:rsid w:val="00CC5FC9"/>
    <w:rsid w:val="00CC7C9A"/>
    <w:rsid w:val="00CC7D61"/>
    <w:rsid w:val="00CC7D73"/>
    <w:rsid w:val="00CC7D80"/>
    <w:rsid w:val="00CC7DEE"/>
    <w:rsid w:val="00CC7E00"/>
    <w:rsid w:val="00CC7FD6"/>
    <w:rsid w:val="00CD02BD"/>
    <w:rsid w:val="00CD0643"/>
    <w:rsid w:val="00CD10CD"/>
    <w:rsid w:val="00CD13D6"/>
    <w:rsid w:val="00CD14E5"/>
    <w:rsid w:val="00CD169C"/>
    <w:rsid w:val="00CD1AE5"/>
    <w:rsid w:val="00CD1E4E"/>
    <w:rsid w:val="00CD1EDD"/>
    <w:rsid w:val="00CD2030"/>
    <w:rsid w:val="00CD222D"/>
    <w:rsid w:val="00CD22AC"/>
    <w:rsid w:val="00CD264A"/>
    <w:rsid w:val="00CD2755"/>
    <w:rsid w:val="00CD28F5"/>
    <w:rsid w:val="00CD301F"/>
    <w:rsid w:val="00CD3148"/>
    <w:rsid w:val="00CD32E9"/>
    <w:rsid w:val="00CD33F1"/>
    <w:rsid w:val="00CD3457"/>
    <w:rsid w:val="00CD3C4C"/>
    <w:rsid w:val="00CD4178"/>
    <w:rsid w:val="00CD433F"/>
    <w:rsid w:val="00CD5321"/>
    <w:rsid w:val="00CD5BFE"/>
    <w:rsid w:val="00CD5CA6"/>
    <w:rsid w:val="00CD5D27"/>
    <w:rsid w:val="00CD644E"/>
    <w:rsid w:val="00CD66B6"/>
    <w:rsid w:val="00CD69DC"/>
    <w:rsid w:val="00CD6D3F"/>
    <w:rsid w:val="00CD6FED"/>
    <w:rsid w:val="00CD711C"/>
    <w:rsid w:val="00CD749B"/>
    <w:rsid w:val="00CD75AF"/>
    <w:rsid w:val="00CD75E6"/>
    <w:rsid w:val="00CD76EF"/>
    <w:rsid w:val="00CD7858"/>
    <w:rsid w:val="00CD7F07"/>
    <w:rsid w:val="00CE06BB"/>
    <w:rsid w:val="00CE07DC"/>
    <w:rsid w:val="00CE0866"/>
    <w:rsid w:val="00CE08C6"/>
    <w:rsid w:val="00CE15BF"/>
    <w:rsid w:val="00CE18E4"/>
    <w:rsid w:val="00CE1A76"/>
    <w:rsid w:val="00CE201B"/>
    <w:rsid w:val="00CE22A2"/>
    <w:rsid w:val="00CE233D"/>
    <w:rsid w:val="00CE2375"/>
    <w:rsid w:val="00CE26F4"/>
    <w:rsid w:val="00CE2880"/>
    <w:rsid w:val="00CE28C4"/>
    <w:rsid w:val="00CE2CC6"/>
    <w:rsid w:val="00CE39E1"/>
    <w:rsid w:val="00CE4015"/>
    <w:rsid w:val="00CE404D"/>
    <w:rsid w:val="00CE43F0"/>
    <w:rsid w:val="00CE4CA4"/>
    <w:rsid w:val="00CE4EB5"/>
    <w:rsid w:val="00CE50C5"/>
    <w:rsid w:val="00CE5141"/>
    <w:rsid w:val="00CE541D"/>
    <w:rsid w:val="00CE5741"/>
    <w:rsid w:val="00CE58EC"/>
    <w:rsid w:val="00CE5B99"/>
    <w:rsid w:val="00CE5C20"/>
    <w:rsid w:val="00CE60BD"/>
    <w:rsid w:val="00CE6115"/>
    <w:rsid w:val="00CE64F8"/>
    <w:rsid w:val="00CE651A"/>
    <w:rsid w:val="00CE6AE6"/>
    <w:rsid w:val="00CE72D1"/>
    <w:rsid w:val="00CE79A7"/>
    <w:rsid w:val="00CF01A9"/>
    <w:rsid w:val="00CF0475"/>
    <w:rsid w:val="00CF0759"/>
    <w:rsid w:val="00CF07B4"/>
    <w:rsid w:val="00CF0B0D"/>
    <w:rsid w:val="00CF0D2C"/>
    <w:rsid w:val="00CF1276"/>
    <w:rsid w:val="00CF1399"/>
    <w:rsid w:val="00CF13B3"/>
    <w:rsid w:val="00CF1D03"/>
    <w:rsid w:val="00CF2694"/>
    <w:rsid w:val="00CF290E"/>
    <w:rsid w:val="00CF332E"/>
    <w:rsid w:val="00CF33B4"/>
    <w:rsid w:val="00CF3CB2"/>
    <w:rsid w:val="00CF40E2"/>
    <w:rsid w:val="00CF436A"/>
    <w:rsid w:val="00CF44F9"/>
    <w:rsid w:val="00CF48CD"/>
    <w:rsid w:val="00CF5212"/>
    <w:rsid w:val="00CF5E59"/>
    <w:rsid w:val="00CF6135"/>
    <w:rsid w:val="00CF61A4"/>
    <w:rsid w:val="00CF6CB4"/>
    <w:rsid w:val="00CF75B7"/>
    <w:rsid w:val="00CF77C7"/>
    <w:rsid w:val="00CF7859"/>
    <w:rsid w:val="00CF7918"/>
    <w:rsid w:val="00CF7BB5"/>
    <w:rsid w:val="00CF7FAC"/>
    <w:rsid w:val="00D002CA"/>
    <w:rsid w:val="00D00632"/>
    <w:rsid w:val="00D0064F"/>
    <w:rsid w:val="00D00C74"/>
    <w:rsid w:val="00D00D85"/>
    <w:rsid w:val="00D00E26"/>
    <w:rsid w:val="00D01408"/>
    <w:rsid w:val="00D01AD0"/>
    <w:rsid w:val="00D01E32"/>
    <w:rsid w:val="00D02163"/>
    <w:rsid w:val="00D0259F"/>
    <w:rsid w:val="00D02911"/>
    <w:rsid w:val="00D02986"/>
    <w:rsid w:val="00D0300E"/>
    <w:rsid w:val="00D030CE"/>
    <w:rsid w:val="00D031BB"/>
    <w:rsid w:val="00D03343"/>
    <w:rsid w:val="00D03344"/>
    <w:rsid w:val="00D03382"/>
    <w:rsid w:val="00D03540"/>
    <w:rsid w:val="00D036E4"/>
    <w:rsid w:val="00D03FC0"/>
    <w:rsid w:val="00D04035"/>
    <w:rsid w:val="00D0597E"/>
    <w:rsid w:val="00D059BF"/>
    <w:rsid w:val="00D06125"/>
    <w:rsid w:val="00D063E9"/>
    <w:rsid w:val="00D06598"/>
    <w:rsid w:val="00D06846"/>
    <w:rsid w:val="00D06A72"/>
    <w:rsid w:val="00D06BAB"/>
    <w:rsid w:val="00D0775F"/>
    <w:rsid w:val="00D07C51"/>
    <w:rsid w:val="00D10E52"/>
    <w:rsid w:val="00D111A0"/>
    <w:rsid w:val="00D11487"/>
    <w:rsid w:val="00D11502"/>
    <w:rsid w:val="00D11783"/>
    <w:rsid w:val="00D117D1"/>
    <w:rsid w:val="00D11F75"/>
    <w:rsid w:val="00D123B3"/>
    <w:rsid w:val="00D1249D"/>
    <w:rsid w:val="00D127CD"/>
    <w:rsid w:val="00D127E0"/>
    <w:rsid w:val="00D12FDA"/>
    <w:rsid w:val="00D1301C"/>
    <w:rsid w:val="00D13755"/>
    <w:rsid w:val="00D139D6"/>
    <w:rsid w:val="00D13A57"/>
    <w:rsid w:val="00D13DA4"/>
    <w:rsid w:val="00D1487F"/>
    <w:rsid w:val="00D14C7D"/>
    <w:rsid w:val="00D150EC"/>
    <w:rsid w:val="00D151C2"/>
    <w:rsid w:val="00D155B9"/>
    <w:rsid w:val="00D15614"/>
    <w:rsid w:val="00D15625"/>
    <w:rsid w:val="00D1656E"/>
    <w:rsid w:val="00D16B30"/>
    <w:rsid w:val="00D16CD1"/>
    <w:rsid w:val="00D16E4F"/>
    <w:rsid w:val="00D16FA5"/>
    <w:rsid w:val="00D179BC"/>
    <w:rsid w:val="00D17A39"/>
    <w:rsid w:val="00D17E1D"/>
    <w:rsid w:val="00D20217"/>
    <w:rsid w:val="00D20414"/>
    <w:rsid w:val="00D204C6"/>
    <w:rsid w:val="00D20954"/>
    <w:rsid w:val="00D20CCA"/>
    <w:rsid w:val="00D20D22"/>
    <w:rsid w:val="00D212A9"/>
    <w:rsid w:val="00D21750"/>
    <w:rsid w:val="00D21876"/>
    <w:rsid w:val="00D219A4"/>
    <w:rsid w:val="00D21CCB"/>
    <w:rsid w:val="00D2202D"/>
    <w:rsid w:val="00D226D8"/>
    <w:rsid w:val="00D22A3C"/>
    <w:rsid w:val="00D22D4E"/>
    <w:rsid w:val="00D2363C"/>
    <w:rsid w:val="00D2369C"/>
    <w:rsid w:val="00D238D0"/>
    <w:rsid w:val="00D23916"/>
    <w:rsid w:val="00D24269"/>
    <w:rsid w:val="00D24825"/>
    <w:rsid w:val="00D24970"/>
    <w:rsid w:val="00D24F0C"/>
    <w:rsid w:val="00D25ACA"/>
    <w:rsid w:val="00D262CC"/>
    <w:rsid w:val="00D26BA7"/>
    <w:rsid w:val="00D26E90"/>
    <w:rsid w:val="00D26F94"/>
    <w:rsid w:val="00D27210"/>
    <w:rsid w:val="00D2729F"/>
    <w:rsid w:val="00D274E2"/>
    <w:rsid w:val="00D277C3"/>
    <w:rsid w:val="00D278EA"/>
    <w:rsid w:val="00D27B0F"/>
    <w:rsid w:val="00D27B8C"/>
    <w:rsid w:val="00D27B8E"/>
    <w:rsid w:val="00D27CBE"/>
    <w:rsid w:val="00D306B5"/>
    <w:rsid w:val="00D307BE"/>
    <w:rsid w:val="00D30863"/>
    <w:rsid w:val="00D30C04"/>
    <w:rsid w:val="00D30D44"/>
    <w:rsid w:val="00D31043"/>
    <w:rsid w:val="00D3120F"/>
    <w:rsid w:val="00D31223"/>
    <w:rsid w:val="00D315F2"/>
    <w:rsid w:val="00D31671"/>
    <w:rsid w:val="00D31A80"/>
    <w:rsid w:val="00D31AC1"/>
    <w:rsid w:val="00D32164"/>
    <w:rsid w:val="00D32896"/>
    <w:rsid w:val="00D3292B"/>
    <w:rsid w:val="00D32991"/>
    <w:rsid w:val="00D32CAC"/>
    <w:rsid w:val="00D32E12"/>
    <w:rsid w:val="00D32EB4"/>
    <w:rsid w:val="00D333F6"/>
    <w:rsid w:val="00D336A0"/>
    <w:rsid w:val="00D33A0D"/>
    <w:rsid w:val="00D33A36"/>
    <w:rsid w:val="00D33B4A"/>
    <w:rsid w:val="00D33B62"/>
    <w:rsid w:val="00D33C8D"/>
    <w:rsid w:val="00D33E2D"/>
    <w:rsid w:val="00D34074"/>
    <w:rsid w:val="00D344CD"/>
    <w:rsid w:val="00D34770"/>
    <w:rsid w:val="00D34D4E"/>
    <w:rsid w:val="00D35138"/>
    <w:rsid w:val="00D35492"/>
    <w:rsid w:val="00D35665"/>
    <w:rsid w:val="00D357AE"/>
    <w:rsid w:val="00D35F14"/>
    <w:rsid w:val="00D3669E"/>
    <w:rsid w:val="00D36AEA"/>
    <w:rsid w:val="00D36B7E"/>
    <w:rsid w:val="00D36D1C"/>
    <w:rsid w:val="00D37373"/>
    <w:rsid w:val="00D37556"/>
    <w:rsid w:val="00D37964"/>
    <w:rsid w:val="00D37AD3"/>
    <w:rsid w:val="00D37CA1"/>
    <w:rsid w:val="00D37CAC"/>
    <w:rsid w:val="00D4024C"/>
    <w:rsid w:val="00D4038B"/>
    <w:rsid w:val="00D4039C"/>
    <w:rsid w:val="00D405B6"/>
    <w:rsid w:val="00D40E27"/>
    <w:rsid w:val="00D411DE"/>
    <w:rsid w:val="00D4178C"/>
    <w:rsid w:val="00D41A21"/>
    <w:rsid w:val="00D41DAC"/>
    <w:rsid w:val="00D41E79"/>
    <w:rsid w:val="00D421B3"/>
    <w:rsid w:val="00D42452"/>
    <w:rsid w:val="00D42605"/>
    <w:rsid w:val="00D42650"/>
    <w:rsid w:val="00D42D9B"/>
    <w:rsid w:val="00D4371C"/>
    <w:rsid w:val="00D43F7E"/>
    <w:rsid w:val="00D44159"/>
    <w:rsid w:val="00D44433"/>
    <w:rsid w:val="00D447B6"/>
    <w:rsid w:val="00D44A34"/>
    <w:rsid w:val="00D44F3F"/>
    <w:rsid w:val="00D44F7A"/>
    <w:rsid w:val="00D45697"/>
    <w:rsid w:val="00D45BA8"/>
    <w:rsid w:val="00D46ABB"/>
    <w:rsid w:val="00D46B4E"/>
    <w:rsid w:val="00D46B58"/>
    <w:rsid w:val="00D46DA2"/>
    <w:rsid w:val="00D46DB0"/>
    <w:rsid w:val="00D474A7"/>
    <w:rsid w:val="00D476EF"/>
    <w:rsid w:val="00D4775D"/>
    <w:rsid w:val="00D47A00"/>
    <w:rsid w:val="00D501B7"/>
    <w:rsid w:val="00D50785"/>
    <w:rsid w:val="00D50809"/>
    <w:rsid w:val="00D50844"/>
    <w:rsid w:val="00D50845"/>
    <w:rsid w:val="00D50AC4"/>
    <w:rsid w:val="00D51A37"/>
    <w:rsid w:val="00D51CDC"/>
    <w:rsid w:val="00D520CC"/>
    <w:rsid w:val="00D52E33"/>
    <w:rsid w:val="00D52F9F"/>
    <w:rsid w:val="00D53608"/>
    <w:rsid w:val="00D53C1D"/>
    <w:rsid w:val="00D53E87"/>
    <w:rsid w:val="00D53F8B"/>
    <w:rsid w:val="00D54252"/>
    <w:rsid w:val="00D54572"/>
    <w:rsid w:val="00D54627"/>
    <w:rsid w:val="00D5482A"/>
    <w:rsid w:val="00D54A9F"/>
    <w:rsid w:val="00D54CF0"/>
    <w:rsid w:val="00D54E1A"/>
    <w:rsid w:val="00D55019"/>
    <w:rsid w:val="00D551E7"/>
    <w:rsid w:val="00D5549D"/>
    <w:rsid w:val="00D556FF"/>
    <w:rsid w:val="00D5579B"/>
    <w:rsid w:val="00D55B2C"/>
    <w:rsid w:val="00D55B65"/>
    <w:rsid w:val="00D55E1E"/>
    <w:rsid w:val="00D560CD"/>
    <w:rsid w:val="00D562A4"/>
    <w:rsid w:val="00D5631D"/>
    <w:rsid w:val="00D56325"/>
    <w:rsid w:val="00D563B6"/>
    <w:rsid w:val="00D56426"/>
    <w:rsid w:val="00D566D8"/>
    <w:rsid w:val="00D56F2B"/>
    <w:rsid w:val="00D56FBB"/>
    <w:rsid w:val="00D570CE"/>
    <w:rsid w:val="00D574AE"/>
    <w:rsid w:val="00D5799F"/>
    <w:rsid w:val="00D600BD"/>
    <w:rsid w:val="00D60739"/>
    <w:rsid w:val="00D60CF5"/>
    <w:rsid w:val="00D60CF6"/>
    <w:rsid w:val="00D61848"/>
    <w:rsid w:val="00D6198A"/>
    <w:rsid w:val="00D619C5"/>
    <w:rsid w:val="00D61CDC"/>
    <w:rsid w:val="00D61D3D"/>
    <w:rsid w:val="00D62388"/>
    <w:rsid w:val="00D6238F"/>
    <w:rsid w:val="00D62530"/>
    <w:rsid w:val="00D62572"/>
    <w:rsid w:val="00D62D1C"/>
    <w:rsid w:val="00D62E0D"/>
    <w:rsid w:val="00D6301C"/>
    <w:rsid w:val="00D6335D"/>
    <w:rsid w:val="00D63595"/>
    <w:rsid w:val="00D63AC2"/>
    <w:rsid w:val="00D63DAA"/>
    <w:rsid w:val="00D63DEC"/>
    <w:rsid w:val="00D63E62"/>
    <w:rsid w:val="00D63F24"/>
    <w:rsid w:val="00D640F9"/>
    <w:rsid w:val="00D648A9"/>
    <w:rsid w:val="00D64DC8"/>
    <w:rsid w:val="00D64F0B"/>
    <w:rsid w:val="00D65530"/>
    <w:rsid w:val="00D65BD0"/>
    <w:rsid w:val="00D65DB8"/>
    <w:rsid w:val="00D65E25"/>
    <w:rsid w:val="00D664C1"/>
    <w:rsid w:val="00D665AC"/>
    <w:rsid w:val="00D66753"/>
    <w:rsid w:val="00D669B2"/>
    <w:rsid w:val="00D66D0F"/>
    <w:rsid w:val="00D66E23"/>
    <w:rsid w:val="00D66FD9"/>
    <w:rsid w:val="00D67646"/>
    <w:rsid w:val="00D6776B"/>
    <w:rsid w:val="00D70119"/>
    <w:rsid w:val="00D7045A"/>
    <w:rsid w:val="00D70470"/>
    <w:rsid w:val="00D70486"/>
    <w:rsid w:val="00D70705"/>
    <w:rsid w:val="00D709C7"/>
    <w:rsid w:val="00D710D8"/>
    <w:rsid w:val="00D711C2"/>
    <w:rsid w:val="00D7160E"/>
    <w:rsid w:val="00D71EE8"/>
    <w:rsid w:val="00D71F2D"/>
    <w:rsid w:val="00D71F73"/>
    <w:rsid w:val="00D7216D"/>
    <w:rsid w:val="00D72970"/>
    <w:rsid w:val="00D733CD"/>
    <w:rsid w:val="00D735B4"/>
    <w:rsid w:val="00D73916"/>
    <w:rsid w:val="00D73997"/>
    <w:rsid w:val="00D73B9A"/>
    <w:rsid w:val="00D73CCD"/>
    <w:rsid w:val="00D73DB2"/>
    <w:rsid w:val="00D73F37"/>
    <w:rsid w:val="00D74427"/>
    <w:rsid w:val="00D7480C"/>
    <w:rsid w:val="00D74B45"/>
    <w:rsid w:val="00D74E85"/>
    <w:rsid w:val="00D7502F"/>
    <w:rsid w:val="00D750D8"/>
    <w:rsid w:val="00D759DD"/>
    <w:rsid w:val="00D75C82"/>
    <w:rsid w:val="00D75E06"/>
    <w:rsid w:val="00D761AF"/>
    <w:rsid w:val="00D7636A"/>
    <w:rsid w:val="00D76A77"/>
    <w:rsid w:val="00D7763F"/>
    <w:rsid w:val="00D777EC"/>
    <w:rsid w:val="00D77AC7"/>
    <w:rsid w:val="00D8071C"/>
    <w:rsid w:val="00D80969"/>
    <w:rsid w:val="00D80F8F"/>
    <w:rsid w:val="00D81426"/>
    <w:rsid w:val="00D81839"/>
    <w:rsid w:val="00D81C2F"/>
    <w:rsid w:val="00D82986"/>
    <w:rsid w:val="00D82A53"/>
    <w:rsid w:val="00D82D00"/>
    <w:rsid w:val="00D82E85"/>
    <w:rsid w:val="00D82F93"/>
    <w:rsid w:val="00D83079"/>
    <w:rsid w:val="00D83932"/>
    <w:rsid w:val="00D83B89"/>
    <w:rsid w:val="00D841F4"/>
    <w:rsid w:val="00D842B1"/>
    <w:rsid w:val="00D844BB"/>
    <w:rsid w:val="00D84914"/>
    <w:rsid w:val="00D84CFE"/>
    <w:rsid w:val="00D8503F"/>
    <w:rsid w:val="00D855A7"/>
    <w:rsid w:val="00D85657"/>
    <w:rsid w:val="00D85694"/>
    <w:rsid w:val="00D85752"/>
    <w:rsid w:val="00D85B5D"/>
    <w:rsid w:val="00D85CF3"/>
    <w:rsid w:val="00D861E5"/>
    <w:rsid w:val="00D8646D"/>
    <w:rsid w:val="00D86573"/>
    <w:rsid w:val="00D86BD1"/>
    <w:rsid w:val="00D86E26"/>
    <w:rsid w:val="00D8748D"/>
    <w:rsid w:val="00D874E7"/>
    <w:rsid w:val="00D875D8"/>
    <w:rsid w:val="00D87796"/>
    <w:rsid w:val="00D87E1B"/>
    <w:rsid w:val="00D905E1"/>
    <w:rsid w:val="00D90705"/>
    <w:rsid w:val="00D91E8D"/>
    <w:rsid w:val="00D921AA"/>
    <w:rsid w:val="00D9220F"/>
    <w:rsid w:val="00D92CA4"/>
    <w:rsid w:val="00D93435"/>
    <w:rsid w:val="00D93527"/>
    <w:rsid w:val="00D9355F"/>
    <w:rsid w:val="00D939B8"/>
    <w:rsid w:val="00D93BD3"/>
    <w:rsid w:val="00D93CE9"/>
    <w:rsid w:val="00D94222"/>
    <w:rsid w:val="00D94273"/>
    <w:rsid w:val="00D9494E"/>
    <w:rsid w:val="00D953EF"/>
    <w:rsid w:val="00D954D8"/>
    <w:rsid w:val="00D9557D"/>
    <w:rsid w:val="00D9569B"/>
    <w:rsid w:val="00D9574A"/>
    <w:rsid w:val="00D95837"/>
    <w:rsid w:val="00D95A06"/>
    <w:rsid w:val="00D95C3F"/>
    <w:rsid w:val="00D95F2F"/>
    <w:rsid w:val="00D95F43"/>
    <w:rsid w:val="00D9648B"/>
    <w:rsid w:val="00D96773"/>
    <w:rsid w:val="00D96B55"/>
    <w:rsid w:val="00D97757"/>
    <w:rsid w:val="00D9785B"/>
    <w:rsid w:val="00D97A42"/>
    <w:rsid w:val="00DA03E8"/>
    <w:rsid w:val="00DA072E"/>
    <w:rsid w:val="00DA087A"/>
    <w:rsid w:val="00DA0C43"/>
    <w:rsid w:val="00DA0EA5"/>
    <w:rsid w:val="00DA13FE"/>
    <w:rsid w:val="00DA1A5E"/>
    <w:rsid w:val="00DA1A94"/>
    <w:rsid w:val="00DA1C21"/>
    <w:rsid w:val="00DA1D9E"/>
    <w:rsid w:val="00DA213F"/>
    <w:rsid w:val="00DA265F"/>
    <w:rsid w:val="00DA2720"/>
    <w:rsid w:val="00DA3E49"/>
    <w:rsid w:val="00DA440D"/>
    <w:rsid w:val="00DA4588"/>
    <w:rsid w:val="00DA45F8"/>
    <w:rsid w:val="00DA469E"/>
    <w:rsid w:val="00DA46D6"/>
    <w:rsid w:val="00DA47B9"/>
    <w:rsid w:val="00DA4959"/>
    <w:rsid w:val="00DA49FD"/>
    <w:rsid w:val="00DA4A9A"/>
    <w:rsid w:val="00DA4EDE"/>
    <w:rsid w:val="00DA535A"/>
    <w:rsid w:val="00DA6045"/>
    <w:rsid w:val="00DA6398"/>
    <w:rsid w:val="00DA643B"/>
    <w:rsid w:val="00DA689C"/>
    <w:rsid w:val="00DA6D13"/>
    <w:rsid w:val="00DA7012"/>
    <w:rsid w:val="00DA71AC"/>
    <w:rsid w:val="00DA75F1"/>
    <w:rsid w:val="00DA7BE2"/>
    <w:rsid w:val="00DB0153"/>
    <w:rsid w:val="00DB09AA"/>
    <w:rsid w:val="00DB0C90"/>
    <w:rsid w:val="00DB1083"/>
    <w:rsid w:val="00DB1160"/>
    <w:rsid w:val="00DB1298"/>
    <w:rsid w:val="00DB13ED"/>
    <w:rsid w:val="00DB1E1B"/>
    <w:rsid w:val="00DB1FDD"/>
    <w:rsid w:val="00DB2023"/>
    <w:rsid w:val="00DB21ED"/>
    <w:rsid w:val="00DB2223"/>
    <w:rsid w:val="00DB227D"/>
    <w:rsid w:val="00DB22BE"/>
    <w:rsid w:val="00DB320C"/>
    <w:rsid w:val="00DB3855"/>
    <w:rsid w:val="00DB3A46"/>
    <w:rsid w:val="00DB56EF"/>
    <w:rsid w:val="00DB57C4"/>
    <w:rsid w:val="00DB5BD4"/>
    <w:rsid w:val="00DB5D19"/>
    <w:rsid w:val="00DB5D74"/>
    <w:rsid w:val="00DB5F30"/>
    <w:rsid w:val="00DB6002"/>
    <w:rsid w:val="00DB664D"/>
    <w:rsid w:val="00DB6995"/>
    <w:rsid w:val="00DB6EC7"/>
    <w:rsid w:val="00DB7075"/>
    <w:rsid w:val="00DB7C80"/>
    <w:rsid w:val="00DB7D18"/>
    <w:rsid w:val="00DB7E01"/>
    <w:rsid w:val="00DC056D"/>
    <w:rsid w:val="00DC06A2"/>
    <w:rsid w:val="00DC06F4"/>
    <w:rsid w:val="00DC08C4"/>
    <w:rsid w:val="00DC1001"/>
    <w:rsid w:val="00DC1A74"/>
    <w:rsid w:val="00DC1EF8"/>
    <w:rsid w:val="00DC277E"/>
    <w:rsid w:val="00DC33E0"/>
    <w:rsid w:val="00DC35A9"/>
    <w:rsid w:val="00DC35DA"/>
    <w:rsid w:val="00DC3B97"/>
    <w:rsid w:val="00DC4057"/>
    <w:rsid w:val="00DC453E"/>
    <w:rsid w:val="00DC4AF8"/>
    <w:rsid w:val="00DC4E58"/>
    <w:rsid w:val="00DC563E"/>
    <w:rsid w:val="00DC56FE"/>
    <w:rsid w:val="00DC59B6"/>
    <w:rsid w:val="00DC6747"/>
    <w:rsid w:val="00DC679E"/>
    <w:rsid w:val="00DC67F7"/>
    <w:rsid w:val="00DC7455"/>
    <w:rsid w:val="00DC7793"/>
    <w:rsid w:val="00DC78F6"/>
    <w:rsid w:val="00DD080B"/>
    <w:rsid w:val="00DD0865"/>
    <w:rsid w:val="00DD08DB"/>
    <w:rsid w:val="00DD0A93"/>
    <w:rsid w:val="00DD0BAE"/>
    <w:rsid w:val="00DD0C77"/>
    <w:rsid w:val="00DD0CF8"/>
    <w:rsid w:val="00DD0F85"/>
    <w:rsid w:val="00DD1038"/>
    <w:rsid w:val="00DD1754"/>
    <w:rsid w:val="00DD1AFA"/>
    <w:rsid w:val="00DD1D98"/>
    <w:rsid w:val="00DD1E3B"/>
    <w:rsid w:val="00DD1EAB"/>
    <w:rsid w:val="00DD2391"/>
    <w:rsid w:val="00DD25F6"/>
    <w:rsid w:val="00DD2C66"/>
    <w:rsid w:val="00DD2E1B"/>
    <w:rsid w:val="00DD31F5"/>
    <w:rsid w:val="00DD348D"/>
    <w:rsid w:val="00DD35D8"/>
    <w:rsid w:val="00DD3937"/>
    <w:rsid w:val="00DD3A3E"/>
    <w:rsid w:val="00DD3D9A"/>
    <w:rsid w:val="00DD44AB"/>
    <w:rsid w:val="00DD4556"/>
    <w:rsid w:val="00DD463F"/>
    <w:rsid w:val="00DD464D"/>
    <w:rsid w:val="00DD4650"/>
    <w:rsid w:val="00DD4687"/>
    <w:rsid w:val="00DD46D4"/>
    <w:rsid w:val="00DD4A16"/>
    <w:rsid w:val="00DD4A46"/>
    <w:rsid w:val="00DD4B00"/>
    <w:rsid w:val="00DD5151"/>
    <w:rsid w:val="00DD5234"/>
    <w:rsid w:val="00DD526A"/>
    <w:rsid w:val="00DD578F"/>
    <w:rsid w:val="00DD5C45"/>
    <w:rsid w:val="00DD5CD6"/>
    <w:rsid w:val="00DD63E7"/>
    <w:rsid w:val="00DD67D7"/>
    <w:rsid w:val="00DD6817"/>
    <w:rsid w:val="00DD6CAE"/>
    <w:rsid w:val="00DD6DF2"/>
    <w:rsid w:val="00DD6F9B"/>
    <w:rsid w:val="00DD73A3"/>
    <w:rsid w:val="00DD7501"/>
    <w:rsid w:val="00DD76C4"/>
    <w:rsid w:val="00DD7A61"/>
    <w:rsid w:val="00DE00AD"/>
    <w:rsid w:val="00DE0540"/>
    <w:rsid w:val="00DE073B"/>
    <w:rsid w:val="00DE09B2"/>
    <w:rsid w:val="00DE0A30"/>
    <w:rsid w:val="00DE128E"/>
    <w:rsid w:val="00DE132B"/>
    <w:rsid w:val="00DE1529"/>
    <w:rsid w:val="00DE161E"/>
    <w:rsid w:val="00DE1903"/>
    <w:rsid w:val="00DE1D99"/>
    <w:rsid w:val="00DE2549"/>
    <w:rsid w:val="00DE2A91"/>
    <w:rsid w:val="00DE2A99"/>
    <w:rsid w:val="00DE2E94"/>
    <w:rsid w:val="00DE2EF3"/>
    <w:rsid w:val="00DE31F4"/>
    <w:rsid w:val="00DE374A"/>
    <w:rsid w:val="00DE3D21"/>
    <w:rsid w:val="00DE3ED4"/>
    <w:rsid w:val="00DE42C9"/>
    <w:rsid w:val="00DE448F"/>
    <w:rsid w:val="00DE494A"/>
    <w:rsid w:val="00DE4B1A"/>
    <w:rsid w:val="00DE4D92"/>
    <w:rsid w:val="00DE52BC"/>
    <w:rsid w:val="00DE6166"/>
    <w:rsid w:val="00DE627A"/>
    <w:rsid w:val="00DE63B6"/>
    <w:rsid w:val="00DE6E1A"/>
    <w:rsid w:val="00DE6E40"/>
    <w:rsid w:val="00DE721D"/>
    <w:rsid w:val="00DE796C"/>
    <w:rsid w:val="00DF006F"/>
    <w:rsid w:val="00DF01F1"/>
    <w:rsid w:val="00DF0281"/>
    <w:rsid w:val="00DF045F"/>
    <w:rsid w:val="00DF046C"/>
    <w:rsid w:val="00DF07ED"/>
    <w:rsid w:val="00DF0ACD"/>
    <w:rsid w:val="00DF0F0F"/>
    <w:rsid w:val="00DF162A"/>
    <w:rsid w:val="00DF1A55"/>
    <w:rsid w:val="00DF2080"/>
    <w:rsid w:val="00DF21D9"/>
    <w:rsid w:val="00DF253A"/>
    <w:rsid w:val="00DF29A6"/>
    <w:rsid w:val="00DF29F1"/>
    <w:rsid w:val="00DF3587"/>
    <w:rsid w:val="00DF35EF"/>
    <w:rsid w:val="00DF38C1"/>
    <w:rsid w:val="00DF3A6D"/>
    <w:rsid w:val="00DF3AD0"/>
    <w:rsid w:val="00DF42BB"/>
    <w:rsid w:val="00DF477E"/>
    <w:rsid w:val="00DF491E"/>
    <w:rsid w:val="00DF495E"/>
    <w:rsid w:val="00DF4EF6"/>
    <w:rsid w:val="00DF545A"/>
    <w:rsid w:val="00DF545D"/>
    <w:rsid w:val="00DF59EC"/>
    <w:rsid w:val="00DF5A5D"/>
    <w:rsid w:val="00DF5D87"/>
    <w:rsid w:val="00DF5EBC"/>
    <w:rsid w:val="00DF6075"/>
    <w:rsid w:val="00DF6BD3"/>
    <w:rsid w:val="00DF6E52"/>
    <w:rsid w:val="00DF6ED7"/>
    <w:rsid w:val="00DF739B"/>
    <w:rsid w:val="00DF7732"/>
    <w:rsid w:val="00DF7907"/>
    <w:rsid w:val="00DF7A4C"/>
    <w:rsid w:val="00DF7B4D"/>
    <w:rsid w:val="00DF7CA6"/>
    <w:rsid w:val="00DF7EBC"/>
    <w:rsid w:val="00E005EC"/>
    <w:rsid w:val="00E0080C"/>
    <w:rsid w:val="00E01244"/>
    <w:rsid w:val="00E01368"/>
    <w:rsid w:val="00E01862"/>
    <w:rsid w:val="00E02148"/>
    <w:rsid w:val="00E0238C"/>
    <w:rsid w:val="00E02405"/>
    <w:rsid w:val="00E02847"/>
    <w:rsid w:val="00E02C2C"/>
    <w:rsid w:val="00E02E3A"/>
    <w:rsid w:val="00E03790"/>
    <w:rsid w:val="00E038BC"/>
    <w:rsid w:val="00E0396B"/>
    <w:rsid w:val="00E03B79"/>
    <w:rsid w:val="00E03D1D"/>
    <w:rsid w:val="00E04179"/>
    <w:rsid w:val="00E048B0"/>
    <w:rsid w:val="00E04C18"/>
    <w:rsid w:val="00E04CA6"/>
    <w:rsid w:val="00E05028"/>
    <w:rsid w:val="00E05251"/>
    <w:rsid w:val="00E056ED"/>
    <w:rsid w:val="00E05B34"/>
    <w:rsid w:val="00E05E07"/>
    <w:rsid w:val="00E05F74"/>
    <w:rsid w:val="00E06315"/>
    <w:rsid w:val="00E063B7"/>
    <w:rsid w:val="00E063C9"/>
    <w:rsid w:val="00E06AAD"/>
    <w:rsid w:val="00E06E0A"/>
    <w:rsid w:val="00E06F34"/>
    <w:rsid w:val="00E104EB"/>
    <w:rsid w:val="00E110A8"/>
    <w:rsid w:val="00E1189A"/>
    <w:rsid w:val="00E11B0F"/>
    <w:rsid w:val="00E12241"/>
    <w:rsid w:val="00E12414"/>
    <w:rsid w:val="00E12636"/>
    <w:rsid w:val="00E12683"/>
    <w:rsid w:val="00E127E1"/>
    <w:rsid w:val="00E129D2"/>
    <w:rsid w:val="00E12B19"/>
    <w:rsid w:val="00E12C07"/>
    <w:rsid w:val="00E137BE"/>
    <w:rsid w:val="00E13B09"/>
    <w:rsid w:val="00E13B2B"/>
    <w:rsid w:val="00E13B95"/>
    <w:rsid w:val="00E13E8C"/>
    <w:rsid w:val="00E14092"/>
    <w:rsid w:val="00E14227"/>
    <w:rsid w:val="00E142DD"/>
    <w:rsid w:val="00E1435F"/>
    <w:rsid w:val="00E1445C"/>
    <w:rsid w:val="00E14BA2"/>
    <w:rsid w:val="00E14D9B"/>
    <w:rsid w:val="00E14D9E"/>
    <w:rsid w:val="00E14E56"/>
    <w:rsid w:val="00E14EC8"/>
    <w:rsid w:val="00E15B35"/>
    <w:rsid w:val="00E15E77"/>
    <w:rsid w:val="00E16051"/>
    <w:rsid w:val="00E1605C"/>
    <w:rsid w:val="00E162D1"/>
    <w:rsid w:val="00E16438"/>
    <w:rsid w:val="00E16CDB"/>
    <w:rsid w:val="00E1714E"/>
    <w:rsid w:val="00E1735B"/>
    <w:rsid w:val="00E173C5"/>
    <w:rsid w:val="00E1752B"/>
    <w:rsid w:val="00E176B0"/>
    <w:rsid w:val="00E1777C"/>
    <w:rsid w:val="00E17B67"/>
    <w:rsid w:val="00E17D5D"/>
    <w:rsid w:val="00E20799"/>
    <w:rsid w:val="00E2144F"/>
    <w:rsid w:val="00E214A9"/>
    <w:rsid w:val="00E214F1"/>
    <w:rsid w:val="00E2179D"/>
    <w:rsid w:val="00E217BC"/>
    <w:rsid w:val="00E2188A"/>
    <w:rsid w:val="00E21FCD"/>
    <w:rsid w:val="00E2202C"/>
    <w:rsid w:val="00E22277"/>
    <w:rsid w:val="00E23D07"/>
    <w:rsid w:val="00E23F9A"/>
    <w:rsid w:val="00E247A6"/>
    <w:rsid w:val="00E247F0"/>
    <w:rsid w:val="00E24A02"/>
    <w:rsid w:val="00E24E4D"/>
    <w:rsid w:val="00E25009"/>
    <w:rsid w:val="00E2523D"/>
    <w:rsid w:val="00E2547E"/>
    <w:rsid w:val="00E25EBF"/>
    <w:rsid w:val="00E261FD"/>
    <w:rsid w:val="00E26AF5"/>
    <w:rsid w:val="00E26BAB"/>
    <w:rsid w:val="00E26D73"/>
    <w:rsid w:val="00E26DC2"/>
    <w:rsid w:val="00E27856"/>
    <w:rsid w:val="00E27B2E"/>
    <w:rsid w:val="00E27B57"/>
    <w:rsid w:val="00E30B16"/>
    <w:rsid w:val="00E31564"/>
    <w:rsid w:val="00E315C1"/>
    <w:rsid w:val="00E31CC9"/>
    <w:rsid w:val="00E3202D"/>
    <w:rsid w:val="00E32D44"/>
    <w:rsid w:val="00E3350C"/>
    <w:rsid w:val="00E33923"/>
    <w:rsid w:val="00E3443C"/>
    <w:rsid w:val="00E34DFA"/>
    <w:rsid w:val="00E34E58"/>
    <w:rsid w:val="00E34E94"/>
    <w:rsid w:val="00E34EAA"/>
    <w:rsid w:val="00E35307"/>
    <w:rsid w:val="00E357C8"/>
    <w:rsid w:val="00E358AB"/>
    <w:rsid w:val="00E35A70"/>
    <w:rsid w:val="00E36521"/>
    <w:rsid w:val="00E36AD8"/>
    <w:rsid w:val="00E37EF3"/>
    <w:rsid w:val="00E40AF0"/>
    <w:rsid w:val="00E40DAE"/>
    <w:rsid w:val="00E41285"/>
    <w:rsid w:val="00E4151E"/>
    <w:rsid w:val="00E41A58"/>
    <w:rsid w:val="00E4215C"/>
    <w:rsid w:val="00E4241E"/>
    <w:rsid w:val="00E426F7"/>
    <w:rsid w:val="00E42CFF"/>
    <w:rsid w:val="00E42E53"/>
    <w:rsid w:val="00E4317A"/>
    <w:rsid w:val="00E44C34"/>
    <w:rsid w:val="00E4524F"/>
    <w:rsid w:val="00E453DB"/>
    <w:rsid w:val="00E45811"/>
    <w:rsid w:val="00E45DF8"/>
    <w:rsid w:val="00E462D2"/>
    <w:rsid w:val="00E4649F"/>
    <w:rsid w:val="00E46948"/>
    <w:rsid w:val="00E469B0"/>
    <w:rsid w:val="00E46C16"/>
    <w:rsid w:val="00E46DA9"/>
    <w:rsid w:val="00E46EB4"/>
    <w:rsid w:val="00E470D0"/>
    <w:rsid w:val="00E470EB"/>
    <w:rsid w:val="00E47231"/>
    <w:rsid w:val="00E47545"/>
    <w:rsid w:val="00E47694"/>
    <w:rsid w:val="00E47C57"/>
    <w:rsid w:val="00E47C8B"/>
    <w:rsid w:val="00E47E0F"/>
    <w:rsid w:val="00E47E16"/>
    <w:rsid w:val="00E50107"/>
    <w:rsid w:val="00E50166"/>
    <w:rsid w:val="00E50979"/>
    <w:rsid w:val="00E50D6F"/>
    <w:rsid w:val="00E5117C"/>
    <w:rsid w:val="00E51AA8"/>
    <w:rsid w:val="00E51C5F"/>
    <w:rsid w:val="00E51C83"/>
    <w:rsid w:val="00E51D29"/>
    <w:rsid w:val="00E51F7C"/>
    <w:rsid w:val="00E52396"/>
    <w:rsid w:val="00E523AB"/>
    <w:rsid w:val="00E52A16"/>
    <w:rsid w:val="00E52A40"/>
    <w:rsid w:val="00E53345"/>
    <w:rsid w:val="00E53526"/>
    <w:rsid w:val="00E53541"/>
    <w:rsid w:val="00E538A0"/>
    <w:rsid w:val="00E541E6"/>
    <w:rsid w:val="00E541EC"/>
    <w:rsid w:val="00E544C3"/>
    <w:rsid w:val="00E55FDE"/>
    <w:rsid w:val="00E56466"/>
    <w:rsid w:val="00E565F5"/>
    <w:rsid w:val="00E566FC"/>
    <w:rsid w:val="00E5776B"/>
    <w:rsid w:val="00E578D4"/>
    <w:rsid w:val="00E578E9"/>
    <w:rsid w:val="00E57A72"/>
    <w:rsid w:val="00E6032F"/>
    <w:rsid w:val="00E60514"/>
    <w:rsid w:val="00E6091D"/>
    <w:rsid w:val="00E613FD"/>
    <w:rsid w:val="00E614C5"/>
    <w:rsid w:val="00E61595"/>
    <w:rsid w:val="00E615D1"/>
    <w:rsid w:val="00E6162A"/>
    <w:rsid w:val="00E6169A"/>
    <w:rsid w:val="00E618E1"/>
    <w:rsid w:val="00E61DC7"/>
    <w:rsid w:val="00E620AC"/>
    <w:rsid w:val="00E62256"/>
    <w:rsid w:val="00E623DF"/>
    <w:rsid w:val="00E62F3F"/>
    <w:rsid w:val="00E63123"/>
    <w:rsid w:val="00E631A7"/>
    <w:rsid w:val="00E63994"/>
    <w:rsid w:val="00E644C4"/>
    <w:rsid w:val="00E644F9"/>
    <w:rsid w:val="00E647FA"/>
    <w:rsid w:val="00E64FA7"/>
    <w:rsid w:val="00E65507"/>
    <w:rsid w:val="00E659C7"/>
    <w:rsid w:val="00E65C03"/>
    <w:rsid w:val="00E65CFA"/>
    <w:rsid w:val="00E6667D"/>
    <w:rsid w:val="00E66798"/>
    <w:rsid w:val="00E667CF"/>
    <w:rsid w:val="00E66872"/>
    <w:rsid w:val="00E66989"/>
    <w:rsid w:val="00E671CC"/>
    <w:rsid w:val="00E67833"/>
    <w:rsid w:val="00E67C62"/>
    <w:rsid w:val="00E705D4"/>
    <w:rsid w:val="00E709D1"/>
    <w:rsid w:val="00E70DF7"/>
    <w:rsid w:val="00E7104B"/>
    <w:rsid w:val="00E713AC"/>
    <w:rsid w:val="00E71721"/>
    <w:rsid w:val="00E71CBF"/>
    <w:rsid w:val="00E7221A"/>
    <w:rsid w:val="00E7267A"/>
    <w:rsid w:val="00E729AD"/>
    <w:rsid w:val="00E731F6"/>
    <w:rsid w:val="00E7365C"/>
    <w:rsid w:val="00E736B2"/>
    <w:rsid w:val="00E73968"/>
    <w:rsid w:val="00E73A9A"/>
    <w:rsid w:val="00E7415C"/>
    <w:rsid w:val="00E74522"/>
    <w:rsid w:val="00E745B9"/>
    <w:rsid w:val="00E7480B"/>
    <w:rsid w:val="00E75186"/>
    <w:rsid w:val="00E75277"/>
    <w:rsid w:val="00E755F9"/>
    <w:rsid w:val="00E75CFC"/>
    <w:rsid w:val="00E76298"/>
    <w:rsid w:val="00E7635F"/>
    <w:rsid w:val="00E763AB"/>
    <w:rsid w:val="00E76630"/>
    <w:rsid w:val="00E769E8"/>
    <w:rsid w:val="00E76A17"/>
    <w:rsid w:val="00E76BA7"/>
    <w:rsid w:val="00E770BB"/>
    <w:rsid w:val="00E77340"/>
    <w:rsid w:val="00E77468"/>
    <w:rsid w:val="00E776D1"/>
    <w:rsid w:val="00E77A1C"/>
    <w:rsid w:val="00E77C82"/>
    <w:rsid w:val="00E77D7F"/>
    <w:rsid w:val="00E77E9E"/>
    <w:rsid w:val="00E77EC8"/>
    <w:rsid w:val="00E81015"/>
    <w:rsid w:val="00E81A33"/>
    <w:rsid w:val="00E81AF8"/>
    <w:rsid w:val="00E82457"/>
    <w:rsid w:val="00E82610"/>
    <w:rsid w:val="00E82C1E"/>
    <w:rsid w:val="00E8394D"/>
    <w:rsid w:val="00E83DC9"/>
    <w:rsid w:val="00E83E2F"/>
    <w:rsid w:val="00E83EF1"/>
    <w:rsid w:val="00E842E9"/>
    <w:rsid w:val="00E8477B"/>
    <w:rsid w:val="00E84908"/>
    <w:rsid w:val="00E8530D"/>
    <w:rsid w:val="00E8536A"/>
    <w:rsid w:val="00E8536E"/>
    <w:rsid w:val="00E8558E"/>
    <w:rsid w:val="00E85732"/>
    <w:rsid w:val="00E85822"/>
    <w:rsid w:val="00E859B7"/>
    <w:rsid w:val="00E85CF8"/>
    <w:rsid w:val="00E85D48"/>
    <w:rsid w:val="00E85F54"/>
    <w:rsid w:val="00E866BC"/>
    <w:rsid w:val="00E867BE"/>
    <w:rsid w:val="00E86C9A"/>
    <w:rsid w:val="00E87046"/>
    <w:rsid w:val="00E877D8"/>
    <w:rsid w:val="00E87858"/>
    <w:rsid w:val="00E8786F"/>
    <w:rsid w:val="00E900A4"/>
    <w:rsid w:val="00E9037E"/>
    <w:rsid w:val="00E90AD1"/>
    <w:rsid w:val="00E91230"/>
    <w:rsid w:val="00E91428"/>
    <w:rsid w:val="00E91686"/>
    <w:rsid w:val="00E918AF"/>
    <w:rsid w:val="00E91D33"/>
    <w:rsid w:val="00E91D6A"/>
    <w:rsid w:val="00E92323"/>
    <w:rsid w:val="00E92330"/>
    <w:rsid w:val="00E923ED"/>
    <w:rsid w:val="00E92626"/>
    <w:rsid w:val="00E926CB"/>
    <w:rsid w:val="00E92908"/>
    <w:rsid w:val="00E92D3D"/>
    <w:rsid w:val="00E92E90"/>
    <w:rsid w:val="00E93848"/>
    <w:rsid w:val="00E944AA"/>
    <w:rsid w:val="00E94AC5"/>
    <w:rsid w:val="00E94D00"/>
    <w:rsid w:val="00E950E9"/>
    <w:rsid w:val="00E9516A"/>
    <w:rsid w:val="00E95577"/>
    <w:rsid w:val="00E95B2D"/>
    <w:rsid w:val="00E95C2C"/>
    <w:rsid w:val="00E95EB5"/>
    <w:rsid w:val="00E95F2A"/>
    <w:rsid w:val="00E96312"/>
    <w:rsid w:val="00E96C7B"/>
    <w:rsid w:val="00E96C86"/>
    <w:rsid w:val="00E97066"/>
    <w:rsid w:val="00E97359"/>
    <w:rsid w:val="00E9738F"/>
    <w:rsid w:val="00E9741B"/>
    <w:rsid w:val="00E97E4D"/>
    <w:rsid w:val="00EA0068"/>
    <w:rsid w:val="00EA08B2"/>
    <w:rsid w:val="00EA0D36"/>
    <w:rsid w:val="00EA1281"/>
    <w:rsid w:val="00EA16DB"/>
    <w:rsid w:val="00EA16FA"/>
    <w:rsid w:val="00EA1A03"/>
    <w:rsid w:val="00EA1B33"/>
    <w:rsid w:val="00EA1E15"/>
    <w:rsid w:val="00EA1ED2"/>
    <w:rsid w:val="00EA22E3"/>
    <w:rsid w:val="00EA2709"/>
    <w:rsid w:val="00EA2835"/>
    <w:rsid w:val="00EA28DC"/>
    <w:rsid w:val="00EA29F8"/>
    <w:rsid w:val="00EA2A88"/>
    <w:rsid w:val="00EA31F3"/>
    <w:rsid w:val="00EA3369"/>
    <w:rsid w:val="00EA37A0"/>
    <w:rsid w:val="00EA3BF6"/>
    <w:rsid w:val="00EA3E35"/>
    <w:rsid w:val="00EA4292"/>
    <w:rsid w:val="00EA42FD"/>
    <w:rsid w:val="00EA4A5C"/>
    <w:rsid w:val="00EA516A"/>
    <w:rsid w:val="00EA52F2"/>
    <w:rsid w:val="00EA54D1"/>
    <w:rsid w:val="00EA5635"/>
    <w:rsid w:val="00EA5D36"/>
    <w:rsid w:val="00EA60FE"/>
    <w:rsid w:val="00EA64D6"/>
    <w:rsid w:val="00EA6A04"/>
    <w:rsid w:val="00EA6B1A"/>
    <w:rsid w:val="00EA6BC7"/>
    <w:rsid w:val="00EA6D9C"/>
    <w:rsid w:val="00EA6DBE"/>
    <w:rsid w:val="00EA743A"/>
    <w:rsid w:val="00EA7932"/>
    <w:rsid w:val="00EB035F"/>
    <w:rsid w:val="00EB049E"/>
    <w:rsid w:val="00EB0DED"/>
    <w:rsid w:val="00EB12E6"/>
    <w:rsid w:val="00EB19DF"/>
    <w:rsid w:val="00EB1F81"/>
    <w:rsid w:val="00EB2092"/>
    <w:rsid w:val="00EB2110"/>
    <w:rsid w:val="00EB2134"/>
    <w:rsid w:val="00EB2255"/>
    <w:rsid w:val="00EB22D5"/>
    <w:rsid w:val="00EB250C"/>
    <w:rsid w:val="00EB26E3"/>
    <w:rsid w:val="00EB2FE4"/>
    <w:rsid w:val="00EB3198"/>
    <w:rsid w:val="00EB34B3"/>
    <w:rsid w:val="00EB3935"/>
    <w:rsid w:val="00EB3B4A"/>
    <w:rsid w:val="00EB3C3E"/>
    <w:rsid w:val="00EB4CBF"/>
    <w:rsid w:val="00EB4E41"/>
    <w:rsid w:val="00EB4E8E"/>
    <w:rsid w:val="00EB52E5"/>
    <w:rsid w:val="00EB5879"/>
    <w:rsid w:val="00EB6070"/>
    <w:rsid w:val="00EB62C8"/>
    <w:rsid w:val="00EB648E"/>
    <w:rsid w:val="00EB64AC"/>
    <w:rsid w:val="00EB6914"/>
    <w:rsid w:val="00EB6AD2"/>
    <w:rsid w:val="00EB6ADC"/>
    <w:rsid w:val="00EB6B93"/>
    <w:rsid w:val="00EB7333"/>
    <w:rsid w:val="00EB7659"/>
    <w:rsid w:val="00EB78A6"/>
    <w:rsid w:val="00EB7A3E"/>
    <w:rsid w:val="00EB7B0F"/>
    <w:rsid w:val="00EB7E54"/>
    <w:rsid w:val="00EB7F79"/>
    <w:rsid w:val="00EC091E"/>
    <w:rsid w:val="00EC0A35"/>
    <w:rsid w:val="00EC0C9B"/>
    <w:rsid w:val="00EC1B40"/>
    <w:rsid w:val="00EC32A6"/>
    <w:rsid w:val="00EC3406"/>
    <w:rsid w:val="00EC350E"/>
    <w:rsid w:val="00EC3521"/>
    <w:rsid w:val="00EC35AE"/>
    <w:rsid w:val="00EC3A3D"/>
    <w:rsid w:val="00EC3B75"/>
    <w:rsid w:val="00EC3CE9"/>
    <w:rsid w:val="00EC3DA1"/>
    <w:rsid w:val="00EC3DD9"/>
    <w:rsid w:val="00EC421A"/>
    <w:rsid w:val="00EC444E"/>
    <w:rsid w:val="00EC4647"/>
    <w:rsid w:val="00EC4A21"/>
    <w:rsid w:val="00EC4BE1"/>
    <w:rsid w:val="00EC59EE"/>
    <w:rsid w:val="00EC5A3A"/>
    <w:rsid w:val="00EC5A9E"/>
    <w:rsid w:val="00EC5ADF"/>
    <w:rsid w:val="00EC5B82"/>
    <w:rsid w:val="00EC5C7A"/>
    <w:rsid w:val="00EC5E95"/>
    <w:rsid w:val="00EC62C6"/>
    <w:rsid w:val="00EC667B"/>
    <w:rsid w:val="00EC6D8D"/>
    <w:rsid w:val="00EC6F26"/>
    <w:rsid w:val="00EC72FA"/>
    <w:rsid w:val="00EC7895"/>
    <w:rsid w:val="00EC7A48"/>
    <w:rsid w:val="00EC7DDF"/>
    <w:rsid w:val="00ED0B2C"/>
    <w:rsid w:val="00ED1784"/>
    <w:rsid w:val="00ED1966"/>
    <w:rsid w:val="00ED19EF"/>
    <w:rsid w:val="00ED1AA1"/>
    <w:rsid w:val="00ED1AD3"/>
    <w:rsid w:val="00ED1FF3"/>
    <w:rsid w:val="00ED27B6"/>
    <w:rsid w:val="00ED29C1"/>
    <w:rsid w:val="00ED33E3"/>
    <w:rsid w:val="00ED34BF"/>
    <w:rsid w:val="00ED3563"/>
    <w:rsid w:val="00ED3752"/>
    <w:rsid w:val="00ED40D4"/>
    <w:rsid w:val="00ED4ED6"/>
    <w:rsid w:val="00ED51DA"/>
    <w:rsid w:val="00ED53EC"/>
    <w:rsid w:val="00ED57F7"/>
    <w:rsid w:val="00ED62AA"/>
    <w:rsid w:val="00ED660E"/>
    <w:rsid w:val="00ED6847"/>
    <w:rsid w:val="00ED7574"/>
    <w:rsid w:val="00ED78E4"/>
    <w:rsid w:val="00ED7C03"/>
    <w:rsid w:val="00ED7EA4"/>
    <w:rsid w:val="00ED7F4D"/>
    <w:rsid w:val="00EE0BDC"/>
    <w:rsid w:val="00EE0CDE"/>
    <w:rsid w:val="00EE11AA"/>
    <w:rsid w:val="00EE1BDF"/>
    <w:rsid w:val="00EE1D06"/>
    <w:rsid w:val="00EE1D7E"/>
    <w:rsid w:val="00EE1F8C"/>
    <w:rsid w:val="00EE2415"/>
    <w:rsid w:val="00EE28C0"/>
    <w:rsid w:val="00EE2A60"/>
    <w:rsid w:val="00EE30FA"/>
    <w:rsid w:val="00EE31A7"/>
    <w:rsid w:val="00EE3BE6"/>
    <w:rsid w:val="00EE3F9D"/>
    <w:rsid w:val="00EE3FE3"/>
    <w:rsid w:val="00EE4451"/>
    <w:rsid w:val="00EE4526"/>
    <w:rsid w:val="00EE4604"/>
    <w:rsid w:val="00EE4629"/>
    <w:rsid w:val="00EE4796"/>
    <w:rsid w:val="00EE66F8"/>
    <w:rsid w:val="00EE6DE1"/>
    <w:rsid w:val="00EE6E87"/>
    <w:rsid w:val="00EE710D"/>
    <w:rsid w:val="00EE7436"/>
    <w:rsid w:val="00EE7547"/>
    <w:rsid w:val="00EE7601"/>
    <w:rsid w:val="00EE78F7"/>
    <w:rsid w:val="00EE7EF1"/>
    <w:rsid w:val="00EF03E3"/>
    <w:rsid w:val="00EF0D66"/>
    <w:rsid w:val="00EF0FA0"/>
    <w:rsid w:val="00EF13CA"/>
    <w:rsid w:val="00EF18A3"/>
    <w:rsid w:val="00EF1A91"/>
    <w:rsid w:val="00EF259B"/>
    <w:rsid w:val="00EF2720"/>
    <w:rsid w:val="00EF2A31"/>
    <w:rsid w:val="00EF2D33"/>
    <w:rsid w:val="00EF2E50"/>
    <w:rsid w:val="00EF3027"/>
    <w:rsid w:val="00EF3330"/>
    <w:rsid w:val="00EF3913"/>
    <w:rsid w:val="00EF39D0"/>
    <w:rsid w:val="00EF3A79"/>
    <w:rsid w:val="00EF3AC6"/>
    <w:rsid w:val="00EF3D70"/>
    <w:rsid w:val="00EF3ECA"/>
    <w:rsid w:val="00EF41D3"/>
    <w:rsid w:val="00EF4617"/>
    <w:rsid w:val="00EF48F1"/>
    <w:rsid w:val="00EF55CA"/>
    <w:rsid w:val="00EF576B"/>
    <w:rsid w:val="00EF6DCD"/>
    <w:rsid w:val="00EF6DDF"/>
    <w:rsid w:val="00EF721F"/>
    <w:rsid w:val="00EF7776"/>
    <w:rsid w:val="00EF7B78"/>
    <w:rsid w:val="00F0041C"/>
    <w:rsid w:val="00F0054B"/>
    <w:rsid w:val="00F006C7"/>
    <w:rsid w:val="00F00CDE"/>
    <w:rsid w:val="00F00CFE"/>
    <w:rsid w:val="00F01137"/>
    <w:rsid w:val="00F0183E"/>
    <w:rsid w:val="00F01912"/>
    <w:rsid w:val="00F01E11"/>
    <w:rsid w:val="00F02198"/>
    <w:rsid w:val="00F025CE"/>
    <w:rsid w:val="00F029D0"/>
    <w:rsid w:val="00F02D3B"/>
    <w:rsid w:val="00F0305C"/>
    <w:rsid w:val="00F030FB"/>
    <w:rsid w:val="00F03121"/>
    <w:rsid w:val="00F03445"/>
    <w:rsid w:val="00F0357B"/>
    <w:rsid w:val="00F0372A"/>
    <w:rsid w:val="00F03CFE"/>
    <w:rsid w:val="00F03F00"/>
    <w:rsid w:val="00F03F1B"/>
    <w:rsid w:val="00F04090"/>
    <w:rsid w:val="00F041FE"/>
    <w:rsid w:val="00F04239"/>
    <w:rsid w:val="00F04514"/>
    <w:rsid w:val="00F04A26"/>
    <w:rsid w:val="00F04FA8"/>
    <w:rsid w:val="00F051AB"/>
    <w:rsid w:val="00F05239"/>
    <w:rsid w:val="00F058F9"/>
    <w:rsid w:val="00F059D2"/>
    <w:rsid w:val="00F0668E"/>
    <w:rsid w:val="00F06B3C"/>
    <w:rsid w:val="00F06B53"/>
    <w:rsid w:val="00F0708A"/>
    <w:rsid w:val="00F0709A"/>
    <w:rsid w:val="00F07442"/>
    <w:rsid w:val="00F077C2"/>
    <w:rsid w:val="00F1016E"/>
    <w:rsid w:val="00F1030B"/>
    <w:rsid w:val="00F10419"/>
    <w:rsid w:val="00F106F4"/>
    <w:rsid w:val="00F10703"/>
    <w:rsid w:val="00F10AD9"/>
    <w:rsid w:val="00F11644"/>
    <w:rsid w:val="00F11E6B"/>
    <w:rsid w:val="00F124D2"/>
    <w:rsid w:val="00F125A9"/>
    <w:rsid w:val="00F134AA"/>
    <w:rsid w:val="00F136BE"/>
    <w:rsid w:val="00F14276"/>
    <w:rsid w:val="00F1472B"/>
    <w:rsid w:val="00F15B97"/>
    <w:rsid w:val="00F15E84"/>
    <w:rsid w:val="00F160EA"/>
    <w:rsid w:val="00F160F9"/>
    <w:rsid w:val="00F162BD"/>
    <w:rsid w:val="00F167D8"/>
    <w:rsid w:val="00F169CA"/>
    <w:rsid w:val="00F1719D"/>
    <w:rsid w:val="00F17491"/>
    <w:rsid w:val="00F17851"/>
    <w:rsid w:val="00F17931"/>
    <w:rsid w:val="00F179A4"/>
    <w:rsid w:val="00F17B3E"/>
    <w:rsid w:val="00F17C1E"/>
    <w:rsid w:val="00F2049E"/>
    <w:rsid w:val="00F20BE1"/>
    <w:rsid w:val="00F20C6B"/>
    <w:rsid w:val="00F20DAE"/>
    <w:rsid w:val="00F2115C"/>
    <w:rsid w:val="00F2125F"/>
    <w:rsid w:val="00F21700"/>
    <w:rsid w:val="00F22074"/>
    <w:rsid w:val="00F2208D"/>
    <w:rsid w:val="00F22334"/>
    <w:rsid w:val="00F2237D"/>
    <w:rsid w:val="00F22758"/>
    <w:rsid w:val="00F2288F"/>
    <w:rsid w:val="00F22BC8"/>
    <w:rsid w:val="00F22FA8"/>
    <w:rsid w:val="00F232D8"/>
    <w:rsid w:val="00F232EE"/>
    <w:rsid w:val="00F2342B"/>
    <w:rsid w:val="00F23622"/>
    <w:rsid w:val="00F2403F"/>
    <w:rsid w:val="00F245D8"/>
    <w:rsid w:val="00F24712"/>
    <w:rsid w:val="00F249D8"/>
    <w:rsid w:val="00F24C33"/>
    <w:rsid w:val="00F24DD0"/>
    <w:rsid w:val="00F24EDE"/>
    <w:rsid w:val="00F25293"/>
    <w:rsid w:val="00F25295"/>
    <w:rsid w:val="00F256E6"/>
    <w:rsid w:val="00F2576B"/>
    <w:rsid w:val="00F25957"/>
    <w:rsid w:val="00F25FD2"/>
    <w:rsid w:val="00F26221"/>
    <w:rsid w:val="00F26936"/>
    <w:rsid w:val="00F26D64"/>
    <w:rsid w:val="00F2711A"/>
    <w:rsid w:val="00F27188"/>
    <w:rsid w:val="00F2724C"/>
    <w:rsid w:val="00F27917"/>
    <w:rsid w:val="00F279D1"/>
    <w:rsid w:val="00F27A2A"/>
    <w:rsid w:val="00F27CD0"/>
    <w:rsid w:val="00F27F12"/>
    <w:rsid w:val="00F30084"/>
    <w:rsid w:val="00F30DFE"/>
    <w:rsid w:val="00F314CE"/>
    <w:rsid w:val="00F31BEF"/>
    <w:rsid w:val="00F31EB7"/>
    <w:rsid w:val="00F320AA"/>
    <w:rsid w:val="00F3210D"/>
    <w:rsid w:val="00F323C6"/>
    <w:rsid w:val="00F325C2"/>
    <w:rsid w:val="00F32B1F"/>
    <w:rsid w:val="00F32BA5"/>
    <w:rsid w:val="00F32C47"/>
    <w:rsid w:val="00F32D7B"/>
    <w:rsid w:val="00F32F0A"/>
    <w:rsid w:val="00F33075"/>
    <w:rsid w:val="00F3317D"/>
    <w:rsid w:val="00F33403"/>
    <w:rsid w:val="00F33659"/>
    <w:rsid w:val="00F33941"/>
    <w:rsid w:val="00F33B8F"/>
    <w:rsid w:val="00F33D10"/>
    <w:rsid w:val="00F34F17"/>
    <w:rsid w:val="00F35065"/>
    <w:rsid w:val="00F350F0"/>
    <w:rsid w:val="00F352E4"/>
    <w:rsid w:val="00F35383"/>
    <w:rsid w:val="00F357D7"/>
    <w:rsid w:val="00F357DD"/>
    <w:rsid w:val="00F35B50"/>
    <w:rsid w:val="00F35B9B"/>
    <w:rsid w:val="00F35C17"/>
    <w:rsid w:val="00F36004"/>
    <w:rsid w:val="00F36612"/>
    <w:rsid w:val="00F36B9D"/>
    <w:rsid w:val="00F36BEA"/>
    <w:rsid w:val="00F36E04"/>
    <w:rsid w:val="00F36F5C"/>
    <w:rsid w:val="00F36F98"/>
    <w:rsid w:val="00F37011"/>
    <w:rsid w:val="00F37045"/>
    <w:rsid w:val="00F376AA"/>
    <w:rsid w:val="00F378FC"/>
    <w:rsid w:val="00F402D7"/>
    <w:rsid w:val="00F4043D"/>
    <w:rsid w:val="00F40B3B"/>
    <w:rsid w:val="00F40B6E"/>
    <w:rsid w:val="00F40E7F"/>
    <w:rsid w:val="00F413AB"/>
    <w:rsid w:val="00F4199E"/>
    <w:rsid w:val="00F41A02"/>
    <w:rsid w:val="00F41B83"/>
    <w:rsid w:val="00F41D54"/>
    <w:rsid w:val="00F42989"/>
    <w:rsid w:val="00F42A9A"/>
    <w:rsid w:val="00F43547"/>
    <w:rsid w:val="00F43687"/>
    <w:rsid w:val="00F43BB1"/>
    <w:rsid w:val="00F43DB6"/>
    <w:rsid w:val="00F43FAA"/>
    <w:rsid w:val="00F4457B"/>
    <w:rsid w:val="00F4472B"/>
    <w:rsid w:val="00F44914"/>
    <w:rsid w:val="00F4507C"/>
    <w:rsid w:val="00F46124"/>
    <w:rsid w:val="00F46296"/>
    <w:rsid w:val="00F46404"/>
    <w:rsid w:val="00F4688F"/>
    <w:rsid w:val="00F46F08"/>
    <w:rsid w:val="00F475EE"/>
    <w:rsid w:val="00F47831"/>
    <w:rsid w:val="00F47C67"/>
    <w:rsid w:val="00F47C6F"/>
    <w:rsid w:val="00F47C8B"/>
    <w:rsid w:val="00F47E5D"/>
    <w:rsid w:val="00F500EB"/>
    <w:rsid w:val="00F50316"/>
    <w:rsid w:val="00F50327"/>
    <w:rsid w:val="00F50447"/>
    <w:rsid w:val="00F508CD"/>
    <w:rsid w:val="00F50B14"/>
    <w:rsid w:val="00F50C80"/>
    <w:rsid w:val="00F510C5"/>
    <w:rsid w:val="00F51B5F"/>
    <w:rsid w:val="00F523BF"/>
    <w:rsid w:val="00F5240F"/>
    <w:rsid w:val="00F52BC0"/>
    <w:rsid w:val="00F53239"/>
    <w:rsid w:val="00F53386"/>
    <w:rsid w:val="00F53983"/>
    <w:rsid w:val="00F53A02"/>
    <w:rsid w:val="00F53BEC"/>
    <w:rsid w:val="00F53EE6"/>
    <w:rsid w:val="00F53F90"/>
    <w:rsid w:val="00F53FB7"/>
    <w:rsid w:val="00F5411D"/>
    <w:rsid w:val="00F544E6"/>
    <w:rsid w:val="00F54669"/>
    <w:rsid w:val="00F5494D"/>
    <w:rsid w:val="00F54C40"/>
    <w:rsid w:val="00F55126"/>
    <w:rsid w:val="00F55240"/>
    <w:rsid w:val="00F554D1"/>
    <w:rsid w:val="00F55556"/>
    <w:rsid w:val="00F5596F"/>
    <w:rsid w:val="00F55B23"/>
    <w:rsid w:val="00F5600D"/>
    <w:rsid w:val="00F561D7"/>
    <w:rsid w:val="00F56311"/>
    <w:rsid w:val="00F56AF5"/>
    <w:rsid w:val="00F56D66"/>
    <w:rsid w:val="00F5738D"/>
    <w:rsid w:val="00F57979"/>
    <w:rsid w:val="00F57B00"/>
    <w:rsid w:val="00F602CB"/>
    <w:rsid w:val="00F60422"/>
    <w:rsid w:val="00F60781"/>
    <w:rsid w:val="00F60D6F"/>
    <w:rsid w:val="00F6115A"/>
    <w:rsid w:val="00F61202"/>
    <w:rsid w:val="00F61287"/>
    <w:rsid w:val="00F612B3"/>
    <w:rsid w:val="00F612FC"/>
    <w:rsid w:val="00F6143E"/>
    <w:rsid w:val="00F6177F"/>
    <w:rsid w:val="00F617E4"/>
    <w:rsid w:val="00F61C31"/>
    <w:rsid w:val="00F61C39"/>
    <w:rsid w:val="00F61CB8"/>
    <w:rsid w:val="00F621C2"/>
    <w:rsid w:val="00F6243B"/>
    <w:rsid w:val="00F627C2"/>
    <w:rsid w:val="00F62B17"/>
    <w:rsid w:val="00F6344B"/>
    <w:rsid w:val="00F63453"/>
    <w:rsid w:val="00F63687"/>
    <w:rsid w:val="00F63729"/>
    <w:rsid w:val="00F63782"/>
    <w:rsid w:val="00F645ED"/>
    <w:rsid w:val="00F649B7"/>
    <w:rsid w:val="00F650AA"/>
    <w:rsid w:val="00F65519"/>
    <w:rsid w:val="00F65675"/>
    <w:rsid w:val="00F658F8"/>
    <w:rsid w:val="00F65DEB"/>
    <w:rsid w:val="00F660B8"/>
    <w:rsid w:val="00F663C6"/>
    <w:rsid w:val="00F66535"/>
    <w:rsid w:val="00F66798"/>
    <w:rsid w:val="00F66DAC"/>
    <w:rsid w:val="00F67268"/>
    <w:rsid w:val="00F6743E"/>
    <w:rsid w:val="00F67CF8"/>
    <w:rsid w:val="00F7017F"/>
    <w:rsid w:val="00F7058B"/>
    <w:rsid w:val="00F7094F"/>
    <w:rsid w:val="00F70A82"/>
    <w:rsid w:val="00F711C6"/>
    <w:rsid w:val="00F71464"/>
    <w:rsid w:val="00F716C0"/>
    <w:rsid w:val="00F71726"/>
    <w:rsid w:val="00F71B90"/>
    <w:rsid w:val="00F71BA5"/>
    <w:rsid w:val="00F72104"/>
    <w:rsid w:val="00F725D9"/>
    <w:rsid w:val="00F72919"/>
    <w:rsid w:val="00F72A8A"/>
    <w:rsid w:val="00F73596"/>
    <w:rsid w:val="00F73644"/>
    <w:rsid w:val="00F73AE1"/>
    <w:rsid w:val="00F73D8D"/>
    <w:rsid w:val="00F74064"/>
    <w:rsid w:val="00F74196"/>
    <w:rsid w:val="00F747DA"/>
    <w:rsid w:val="00F7483C"/>
    <w:rsid w:val="00F74916"/>
    <w:rsid w:val="00F74DC3"/>
    <w:rsid w:val="00F75330"/>
    <w:rsid w:val="00F75665"/>
    <w:rsid w:val="00F762E9"/>
    <w:rsid w:val="00F76A60"/>
    <w:rsid w:val="00F76B8C"/>
    <w:rsid w:val="00F76BF2"/>
    <w:rsid w:val="00F76C66"/>
    <w:rsid w:val="00F76DE7"/>
    <w:rsid w:val="00F77A99"/>
    <w:rsid w:val="00F80299"/>
    <w:rsid w:val="00F808B5"/>
    <w:rsid w:val="00F8091F"/>
    <w:rsid w:val="00F80BF1"/>
    <w:rsid w:val="00F811E0"/>
    <w:rsid w:val="00F81330"/>
    <w:rsid w:val="00F81429"/>
    <w:rsid w:val="00F817B6"/>
    <w:rsid w:val="00F82412"/>
    <w:rsid w:val="00F824E5"/>
    <w:rsid w:val="00F82F1D"/>
    <w:rsid w:val="00F832C4"/>
    <w:rsid w:val="00F83DF1"/>
    <w:rsid w:val="00F83E83"/>
    <w:rsid w:val="00F83EB4"/>
    <w:rsid w:val="00F83FFB"/>
    <w:rsid w:val="00F84031"/>
    <w:rsid w:val="00F841B7"/>
    <w:rsid w:val="00F8440D"/>
    <w:rsid w:val="00F8451C"/>
    <w:rsid w:val="00F84880"/>
    <w:rsid w:val="00F848BA"/>
    <w:rsid w:val="00F848CE"/>
    <w:rsid w:val="00F84B02"/>
    <w:rsid w:val="00F84C10"/>
    <w:rsid w:val="00F85F50"/>
    <w:rsid w:val="00F86282"/>
    <w:rsid w:val="00F8628D"/>
    <w:rsid w:val="00F86AD7"/>
    <w:rsid w:val="00F87046"/>
    <w:rsid w:val="00F87383"/>
    <w:rsid w:val="00F875CA"/>
    <w:rsid w:val="00F878B7"/>
    <w:rsid w:val="00F87ADB"/>
    <w:rsid w:val="00F9031D"/>
    <w:rsid w:val="00F90CCC"/>
    <w:rsid w:val="00F919E2"/>
    <w:rsid w:val="00F92432"/>
    <w:rsid w:val="00F92585"/>
    <w:rsid w:val="00F92663"/>
    <w:rsid w:val="00F928F1"/>
    <w:rsid w:val="00F929D3"/>
    <w:rsid w:val="00F92B80"/>
    <w:rsid w:val="00F92C93"/>
    <w:rsid w:val="00F930F1"/>
    <w:rsid w:val="00F93132"/>
    <w:rsid w:val="00F93171"/>
    <w:rsid w:val="00F932F2"/>
    <w:rsid w:val="00F9346F"/>
    <w:rsid w:val="00F934BD"/>
    <w:rsid w:val="00F93723"/>
    <w:rsid w:val="00F938D1"/>
    <w:rsid w:val="00F945E7"/>
    <w:rsid w:val="00F949D8"/>
    <w:rsid w:val="00F94B1D"/>
    <w:rsid w:val="00F94C25"/>
    <w:rsid w:val="00F9512A"/>
    <w:rsid w:val="00F95383"/>
    <w:rsid w:val="00F9573C"/>
    <w:rsid w:val="00F9606F"/>
    <w:rsid w:val="00F961D3"/>
    <w:rsid w:val="00F9628A"/>
    <w:rsid w:val="00F96320"/>
    <w:rsid w:val="00F96438"/>
    <w:rsid w:val="00F96480"/>
    <w:rsid w:val="00F96DEA"/>
    <w:rsid w:val="00F96EC7"/>
    <w:rsid w:val="00F96F60"/>
    <w:rsid w:val="00F970AB"/>
    <w:rsid w:val="00F9730B"/>
    <w:rsid w:val="00F973D8"/>
    <w:rsid w:val="00F97525"/>
    <w:rsid w:val="00F9758C"/>
    <w:rsid w:val="00F975FB"/>
    <w:rsid w:val="00F978C5"/>
    <w:rsid w:val="00F97B9D"/>
    <w:rsid w:val="00FA1944"/>
    <w:rsid w:val="00FA1EE8"/>
    <w:rsid w:val="00FA1F1A"/>
    <w:rsid w:val="00FA22E5"/>
    <w:rsid w:val="00FA2446"/>
    <w:rsid w:val="00FA2805"/>
    <w:rsid w:val="00FA28E8"/>
    <w:rsid w:val="00FA2A4A"/>
    <w:rsid w:val="00FA2B8F"/>
    <w:rsid w:val="00FA4762"/>
    <w:rsid w:val="00FA478F"/>
    <w:rsid w:val="00FA494B"/>
    <w:rsid w:val="00FA49BB"/>
    <w:rsid w:val="00FA4A88"/>
    <w:rsid w:val="00FA4AFD"/>
    <w:rsid w:val="00FA4F38"/>
    <w:rsid w:val="00FA5409"/>
    <w:rsid w:val="00FA564A"/>
    <w:rsid w:val="00FA5678"/>
    <w:rsid w:val="00FA5987"/>
    <w:rsid w:val="00FA5A12"/>
    <w:rsid w:val="00FA5B3A"/>
    <w:rsid w:val="00FA5CCF"/>
    <w:rsid w:val="00FA5DDB"/>
    <w:rsid w:val="00FA5E63"/>
    <w:rsid w:val="00FA6098"/>
    <w:rsid w:val="00FA61DC"/>
    <w:rsid w:val="00FA627E"/>
    <w:rsid w:val="00FA6764"/>
    <w:rsid w:val="00FA67BC"/>
    <w:rsid w:val="00FA6BD5"/>
    <w:rsid w:val="00FA6F5C"/>
    <w:rsid w:val="00FA7529"/>
    <w:rsid w:val="00FA7B3C"/>
    <w:rsid w:val="00FA7FB7"/>
    <w:rsid w:val="00FB00CE"/>
    <w:rsid w:val="00FB0101"/>
    <w:rsid w:val="00FB03AD"/>
    <w:rsid w:val="00FB125E"/>
    <w:rsid w:val="00FB136D"/>
    <w:rsid w:val="00FB13FE"/>
    <w:rsid w:val="00FB1E73"/>
    <w:rsid w:val="00FB20F0"/>
    <w:rsid w:val="00FB2217"/>
    <w:rsid w:val="00FB223E"/>
    <w:rsid w:val="00FB23B6"/>
    <w:rsid w:val="00FB26E3"/>
    <w:rsid w:val="00FB33AB"/>
    <w:rsid w:val="00FB3659"/>
    <w:rsid w:val="00FB39C0"/>
    <w:rsid w:val="00FB3CDA"/>
    <w:rsid w:val="00FB3FDF"/>
    <w:rsid w:val="00FB4586"/>
    <w:rsid w:val="00FB47E9"/>
    <w:rsid w:val="00FB492B"/>
    <w:rsid w:val="00FB4C82"/>
    <w:rsid w:val="00FB4FD3"/>
    <w:rsid w:val="00FB5007"/>
    <w:rsid w:val="00FB5078"/>
    <w:rsid w:val="00FB5D0A"/>
    <w:rsid w:val="00FB5D92"/>
    <w:rsid w:val="00FB5F38"/>
    <w:rsid w:val="00FB613A"/>
    <w:rsid w:val="00FB619A"/>
    <w:rsid w:val="00FB7062"/>
    <w:rsid w:val="00FB76C0"/>
    <w:rsid w:val="00FB7755"/>
    <w:rsid w:val="00FB7828"/>
    <w:rsid w:val="00FB7E9E"/>
    <w:rsid w:val="00FC008D"/>
    <w:rsid w:val="00FC00F0"/>
    <w:rsid w:val="00FC01AE"/>
    <w:rsid w:val="00FC023F"/>
    <w:rsid w:val="00FC053D"/>
    <w:rsid w:val="00FC066A"/>
    <w:rsid w:val="00FC08B9"/>
    <w:rsid w:val="00FC0FE4"/>
    <w:rsid w:val="00FC14FB"/>
    <w:rsid w:val="00FC1712"/>
    <w:rsid w:val="00FC1BD4"/>
    <w:rsid w:val="00FC1CB0"/>
    <w:rsid w:val="00FC2698"/>
    <w:rsid w:val="00FC29D2"/>
    <w:rsid w:val="00FC3599"/>
    <w:rsid w:val="00FC36FC"/>
    <w:rsid w:val="00FC3984"/>
    <w:rsid w:val="00FC398D"/>
    <w:rsid w:val="00FC3AD1"/>
    <w:rsid w:val="00FC3E2B"/>
    <w:rsid w:val="00FC49D1"/>
    <w:rsid w:val="00FC4AAA"/>
    <w:rsid w:val="00FC4DA4"/>
    <w:rsid w:val="00FC4F0B"/>
    <w:rsid w:val="00FC589A"/>
    <w:rsid w:val="00FC5B8D"/>
    <w:rsid w:val="00FC5CB9"/>
    <w:rsid w:val="00FC5DA3"/>
    <w:rsid w:val="00FC644F"/>
    <w:rsid w:val="00FC66BA"/>
    <w:rsid w:val="00FC6978"/>
    <w:rsid w:val="00FC6B05"/>
    <w:rsid w:val="00FC6C22"/>
    <w:rsid w:val="00FC6FC6"/>
    <w:rsid w:val="00FC72D5"/>
    <w:rsid w:val="00FC76BC"/>
    <w:rsid w:val="00FC76D4"/>
    <w:rsid w:val="00FC7741"/>
    <w:rsid w:val="00FC77DD"/>
    <w:rsid w:val="00FC7E54"/>
    <w:rsid w:val="00FD00AF"/>
    <w:rsid w:val="00FD031C"/>
    <w:rsid w:val="00FD037D"/>
    <w:rsid w:val="00FD0AF6"/>
    <w:rsid w:val="00FD1477"/>
    <w:rsid w:val="00FD1A72"/>
    <w:rsid w:val="00FD1A8C"/>
    <w:rsid w:val="00FD1B3E"/>
    <w:rsid w:val="00FD1B63"/>
    <w:rsid w:val="00FD1C4A"/>
    <w:rsid w:val="00FD205F"/>
    <w:rsid w:val="00FD2314"/>
    <w:rsid w:val="00FD2479"/>
    <w:rsid w:val="00FD2682"/>
    <w:rsid w:val="00FD2BB9"/>
    <w:rsid w:val="00FD2EB8"/>
    <w:rsid w:val="00FD3539"/>
    <w:rsid w:val="00FD421A"/>
    <w:rsid w:val="00FD45B3"/>
    <w:rsid w:val="00FD4B01"/>
    <w:rsid w:val="00FD4D7F"/>
    <w:rsid w:val="00FD538F"/>
    <w:rsid w:val="00FD5571"/>
    <w:rsid w:val="00FD57C7"/>
    <w:rsid w:val="00FD5A86"/>
    <w:rsid w:val="00FD5E8E"/>
    <w:rsid w:val="00FD6B86"/>
    <w:rsid w:val="00FD7016"/>
    <w:rsid w:val="00FD742B"/>
    <w:rsid w:val="00FD7AD3"/>
    <w:rsid w:val="00FE00F4"/>
    <w:rsid w:val="00FE0359"/>
    <w:rsid w:val="00FE083D"/>
    <w:rsid w:val="00FE0C53"/>
    <w:rsid w:val="00FE0E85"/>
    <w:rsid w:val="00FE1159"/>
    <w:rsid w:val="00FE1D56"/>
    <w:rsid w:val="00FE1FED"/>
    <w:rsid w:val="00FE2789"/>
    <w:rsid w:val="00FE3146"/>
    <w:rsid w:val="00FE32AB"/>
    <w:rsid w:val="00FE3B11"/>
    <w:rsid w:val="00FE45AE"/>
    <w:rsid w:val="00FE46AB"/>
    <w:rsid w:val="00FE4754"/>
    <w:rsid w:val="00FE487A"/>
    <w:rsid w:val="00FE4E92"/>
    <w:rsid w:val="00FE57B4"/>
    <w:rsid w:val="00FE60FA"/>
    <w:rsid w:val="00FE6161"/>
    <w:rsid w:val="00FE6412"/>
    <w:rsid w:val="00FE6A07"/>
    <w:rsid w:val="00FE6BA7"/>
    <w:rsid w:val="00FE79AC"/>
    <w:rsid w:val="00FE7C76"/>
    <w:rsid w:val="00FE7DEB"/>
    <w:rsid w:val="00FE7FFA"/>
    <w:rsid w:val="00FF020C"/>
    <w:rsid w:val="00FF039E"/>
    <w:rsid w:val="00FF045C"/>
    <w:rsid w:val="00FF0667"/>
    <w:rsid w:val="00FF1BA0"/>
    <w:rsid w:val="00FF1DED"/>
    <w:rsid w:val="00FF1F4F"/>
    <w:rsid w:val="00FF2259"/>
    <w:rsid w:val="00FF277B"/>
    <w:rsid w:val="00FF29D6"/>
    <w:rsid w:val="00FF2DA8"/>
    <w:rsid w:val="00FF4354"/>
    <w:rsid w:val="00FF4439"/>
    <w:rsid w:val="00FF46C7"/>
    <w:rsid w:val="00FF47B7"/>
    <w:rsid w:val="00FF492B"/>
    <w:rsid w:val="00FF4B28"/>
    <w:rsid w:val="00FF5E62"/>
    <w:rsid w:val="00FF68BC"/>
    <w:rsid w:val="00FF69D4"/>
    <w:rsid w:val="00FF700E"/>
    <w:rsid w:val="00FF7802"/>
    <w:rsid w:val="00FF7814"/>
    <w:rsid w:val="00FF79AF"/>
    <w:rsid w:val="00FF7CED"/>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A09574E9-B116-41ED-AE7C-50915A9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8B"/>
    <w:rPr>
      <w:lang w:val="en-US"/>
    </w:rPr>
  </w:style>
  <w:style w:type="paragraph" w:styleId="Heading1">
    <w:name w:val="heading 1"/>
    <w:basedOn w:val="Normal"/>
    <w:next w:val="Normal"/>
    <w:link w:val="Heading1Char"/>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55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D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251"/>
    <w:rPr>
      <w:color w:val="0563C1" w:themeColor="hyperlink"/>
      <w:u w:val="single"/>
    </w:rPr>
  </w:style>
  <w:style w:type="paragraph" w:styleId="Header">
    <w:name w:val="header"/>
    <w:basedOn w:val="Normal"/>
    <w:link w:val="HeaderChar"/>
    <w:uiPriority w:val="99"/>
    <w:unhideWhenUsed/>
    <w:rsid w:val="003102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10251"/>
    <w:rPr>
      <w:lang w:val="en-US"/>
    </w:rPr>
  </w:style>
  <w:style w:type="paragraph" w:styleId="Footer">
    <w:name w:val="footer"/>
    <w:basedOn w:val="Normal"/>
    <w:link w:val="FooterChar"/>
    <w:uiPriority w:val="99"/>
    <w:unhideWhenUsed/>
    <w:rsid w:val="003102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10251"/>
    <w:rPr>
      <w:lang w:val="en-US"/>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Normal"/>
    <w:link w:val="ListParagraphChar"/>
    <w:uiPriority w:val="34"/>
    <w:qFormat/>
    <w:rsid w:val="00AE3CC3"/>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Знак1 Char1"/>
    <w:basedOn w:val="DefaultParagraphFont"/>
    <w:link w:val="FNRefeCharChar"/>
    <w:uiPriority w:val="99"/>
    <w:unhideWhenUsed/>
    <w:qFormat/>
    <w:rsid w:val="00110B40"/>
    <w:rPr>
      <w:sz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10B40"/>
    <w:pPr>
      <w:spacing w:after="0" w:line="240" w:lineRule="auto"/>
    </w:pPr>
    <w:rPr>
      <w:rFonts w:ascii="Times New Roman" w:hAnsi="Times New Roman"/>
      <w:sz w:val="28"/>
      <w:szCs w:val="20"/>
      <w:vertAlign w:val="superscript"/>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110B40"/>
    <w:pPr>
      <w:spacing w:line="240" w:lineRule="exact"/>
    </w:pPr>
    <w:rPr>
      <w:sz w:val="20"/>
      <w:vertAlign w:val="superscript"/>
      <w:lang w:val="ro-MD"/>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3 Char"/>
    <w:link w:val="ListParagraph"/>
    <w:uiPriority w:val="34"/>
    <w:qFormat/>
    <w:locked/>
    <w:rsid w:val="00110B40"/>
    <w:rPr>
      <w:lang w:val="en-US"/>
    </w:rPr>
  </w:style>
  <w:style w:type="table" w:styleId="PlainTable2">
    <w:name w:val="Plain Table 2"/>
    <w:basedOn w:val="TableNormal"/>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Normal"/>
    <w:link w:val="NormalWebChar"/>
    <w:uiPriority w:val="99"/>
    <w:unhideWhenUsed/>
    <w:qFormat/>
    <w:rsid w:val="008D6B9F"/>
    <w:pPr>
      <w:spacing w:after="0" w:line="240" w:lineRule="auto"/>
    </w:pPr>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basedOn w:val="DefaultParagraphFont"/>
    <w:link w:val="NormalWeb"/>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3"/>
      </w:numPr>
    </w:pPr>
  </w:style>
  <w:style w:type="paragraph" w:customStyle="1" w:styleId="tt">
    <w:name w:val="tt"/>
    <w:basedOn w:val="Normal"/>
    <w:qFormat/>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DefaultParagraphFont"/>
    <w:rsid w:val="00293D17"/>
  </w:style>
  <w:style w:type="character" w:styleId="Emphasis">
    <w:name w:val="Emphasis"/>
    <w:basedOn w:val="DefaultParagraphFont"/>
    <w:uiPriority w:val="20"/>
    <w:qFormat/>
    <w:rsid w:val="007B4BAE"/>
    <w:rPr>
      <w:i/>
      <w:iCs/>
    </w:rPr>
  </w:style>
  <w:style w:type="paragraph" w:customStyle="1" w:styleId="Default">
    <w:name w:val="Default"/>
    <w:qForma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B5064"/>
    <w:rPr>
      <w:b/>
      <w:bCs/>
    </w:rPr>
  </w:style>
  <w:style w:type="character" w:customStyle="1" w:styleId="Heading1Char">
    <w:name w:val="Heading 1 Char"/>
    <w:basedOn w:val="DefaultParagraphFont"/>
    <w:link w:val="Heading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97B67"/>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997B67"/>
    <w:pPr>
      <w:outlineLvl w:val="9"/>
    </w:pPr>
  </w:style>
  <w:style w:type="paragraph" w:styleId="TOC1">
    <w:name w:val="toc 1"/>
    <w:basedOn w:val="Normal"/>
    <w:next w:val="Normal"/>
    <w:autoRedefine/>
    <w:uiPriority w:val="39"/>
    <w:unhideWhenUsed/>
    <w:rsid w:val="006A17BA"/>
    <w:pPr>
      <w:tabs>
        <w:tab w:val="left" w:pos="440"/>
        <w:tab w:val="right" w:leader="dot" w:pos="9344"/>
      </w:tabs>
      <w:spacing w:after="100"/>
      <w:jc w:val="both"/>
    </w:pPr>
  </w:style>
  <w:style w:type="paragraph" w:styleId="TOC2">
    <w:name w:val="toc 2"/>
    <w:basedOn w:val="Normal"/>
    <w:next w:val="Normal"/>
    <w:autoRedefine/>
    <w:uiPriority w:val="39"/>
    <w:unhideWhenUsed/>
    <w:rsid w:val="00997B67"/>
    <w:pPr>
      <w:spacing w:after="100"/>
      <w:ind w:left="220"/>
    </w:pPr>
  </w:style>
  <w:style w:type="paragraph" w:styleId="TOC3">
    <w:name w:val="toc 3"/>
    <w:basedOn w:val="Normal"/>
    <w:next w:val="Normal"/>
    <w:autoRedefine/>
    <w:uiPriority w:val="39"/>
    <w:unhideWhenUsed/>
    <w:rsid w:val="00672723"/>
    <w:pPr>
      <w:tabs>
        <w:tab w:val="left" w:pos="1170"/>
        <w:tab w:val="right" w:leader="dot" w:pos="9344"/>
      </w:tabs>
      <w:spacing w:after="100"/>
      <w:ind w:left="440"/>
    </w:pPr>
  </w:style>
  <w:style w:type="character" w:customStyle="1" w:styleId="Heading5Char">
    <w:name w:val="Heading 5 Char"/>
    <w:basedOn w:val="DefaultParagraphFont"/>
    <w:link w:val="Heading5"/>
    <w:uiPriority w:val="9"/>
    <w:semiHidden/>
    <w:rsid w:val="007155E6"/>
    <w:rPr>
      <w:rFonts w:asciiTheme="majorHAnsi" w:eastAsiaTheme="majorEastAsia" w:hAnsiTheme="majorHAnsi" w:cstheme="majorBidi"/>
      <w:color w:val="2E74B5" w:themeColor="accent1" w:themeShade="BF"/>
      <w:lang w:val="en-US"/>
    </w:rPr>
  </w:style>
  <w:style w:type="paragraph" w:styleId="BalloonText">
    <w:name w:val="Balloon Text"/>
    <w:basedOn w:val="Normal"/>
    <w:link w:val="BalloonTextChar"/>
    <w:uiPriority w:val="99"/>
    <w:semiHidden/>
    <w:unhideWhenUsed/>
    <w:rsid w:val="00E4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1E"/>
    <w:rPr>
      <w:rFonts w:ascii="Segoe UI" w:hAnsi="Segoe UI" w:cs="Segoe UI"/>
      <w:sz w:val="18"/>
      <w:szCs w:val="18"/>
      <w:lang w:val="en-US"/>
    </w:rPr>
  </w:style>
  <w:style w:type="paragraph" w:customStyle="1" w:styleId="cb">
    <w:name w:val="cb"/>
    <w:basedOn w:val="Normal"/>
    <w:rsid w:val="00902E74"/>
    <w:pPr>
      <w:spacing w:after="0" w:line="240" w:lineRule="auto"/>
      <w:jc w:val="center"/>
    </w:pPr>
    <w:rPr>
      <w:rFonts w:ascii="Times New Roman" w:eastAsia="Times New Roman" w:hAnsi="Times New Roman" w:cs="Times New Roman"/>
      <w:b/>
      <w:bCs/>
      <w:sz w:val="24"/>
      <w:szCs w:val="24"/>
      <w:lang w:val="ro-MD" w:eastAsia="ro-MD"/>
    </w:rPr>
  </w:style>
  <w:style w:type="table" w:styleId="GridTable4-Accent2">
    <w:name w:val="Grid Table 4 Accent 2"/>
    <w:basedOn w:val="TableNormal"/>
    <w:uiPriority w:val="49"/>
    <w:rsid w:val="002F6D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2F6D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BC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1D52F3"/>
  </w:style>
  <w:style w:type="paragraph" w:styleId="TOC4">
    <w:name w:val="toc 4"/>
    <w:basedOn w:val="Normal"/>
    <w:next w:val="Normal"/>
    <w:autoRedefine/>
    <w:uiPriority w:val="39"/>
    <w:unhideWhenUsed/>
    <w:rsid w:val="00821390"/>
    <w:pPr>
      <w:spacing w:after="100"/>
      <w:ind w:left="660"/>
    </w:pPr>
    <w:rPr>
      <w:rFonts w:eastAsiaTheme="minorEastAsia"/>
    </w:rPr>
  </w:style>
  <w:style w:type="paragraph" w:styleId="TOC5">
    <w:name w:val="toc 5"/>
    <w:basedOn w:val="Normal"/>
    <w:next w:val="Normal"/>
    <w:autoRedefine/>
    <w:uiPriority w:val="39"/>
    <w:unhideWhenUsed/>
    <w:rsid w:val="00821390"/>
    <w:pPr>
      <w:spacing w:after="100"/>
      <w:ind w:left="880"/>
    </w:pPr>
    <w:rPr>
      <w:rFonts w:eastAsiaTheme="minorEastAsia"/>
    </w:rPr>
  </w:style>
  <w:style w:type="paragraph" w:styleId="TOC6">
    <w:name w:val="toc 6"/>
    <w:basedOn w:val="Normal"/>
    <w:next w:val="Normal"/>
    <w:autoRedefine/>
    <w:uiPriority w:val="39"/>
    <w:unhideWhenUsed/>
    <w:rsid w:val="00821390"/>
    <w:pPr>
      <w:spacing w:after="100"/>
      <w:ind w:left="1100"/>
    </w:pPr>
    <w:rPr>
      <w:rFonts w:eastAsiaTheme="minorEastAsia"/>
    </w:rPr>
  </w:style>
  <w:style w:type="paragraph" w:styleId="TOC7">
    <w:name w:val="toc 7"/>
    <w:basedOn w:val="Normal"/>
    <w:next w:val="Normal"/>
    <w:autoRedefine/>
    <w:uiPriority w:val="39"/>
    <w:unhideWhenUsed/>
    <w:rsid w:val="00821390"/>
    <w:pPr>
      <w:spacing w:after="100"/>
      <w:ind w:left="1320"/>
    </w:pPr>
    <w:rPr>
      <w:rFonts w:eastAsiaTheme="minorEastAsia"/>
    </w:rPr>
  </w:style>
  <w:style w:type="paragraph" w:styleId="TOC8">
    <w:name w:val="toc 8"/>
    <w:basedOn w:val="Normal"/>
    <w:next w:val="Normal"/>
    <w:autoRedefine/>
    <w:uiPriority w:val="39"/>
    <w:unhideWhenUsed/>
    <w:rsid w:val="00821390"/>
    <w:pPr>
      <w:spacing w:after="100"/>
      <w:ind w:left="1540"/>
    </w:pPr>
    <w:rPr>
      <w:rFonts w:eastAsiaTheme="minorEastAsia"/>
    </w:rPr>
  </w:style>
  <w:style w:type="paragraph" w:styleId="TOC9">
    <w:name w:val="toc 9"/>
    <w:basedOn w:val="Normal"/>
    <w:next w:val="Normal"/>
    <w:autoRedefine/>
    <w:uiPriority w:val="39"/>
    <w:unhideWhenUsed/>
    <w:rsid w:val="00821390"/>
    <w:pPr>
      <w:spacing w:after="100"/>
      <w:ind w:left="1760"/>
    </w:pPr>
    <w:rPr>
      <w:rFonts w:eastAsiaTheme="minorEastAsia"/>
    </w:rPr>
  </w:style>
  <w:style w:type="character" w:customStyle="1" w:styleId="Heading4Char">
    <w:name w:val="Heading 4 Char"/>
    <w:basedOn w:val="DefaultParagraphFont"/>
    <w:link w:val="Heading4"/>
    <w:uiPriority w:val="9"/>
    <w:rsid w:val="00AE2DD8"/>
    <w:rPr>
      <w:rFonts w:asciiTheme="majorHAnsi" w:eastAsiaTheme="majorEastAsia" w:hAnsiTheme="majorHAnsi" w:cstheme="majorBidi"/>
      <w:i/>
      <w:iCs/>
      <w:color w:val="2E74B5" w:themeColor="accent1" w:themeShade="BF"/>
      <w:lang w:val="en-US"/>
    </w:rPr>
  </w:style>
  <w:style w:type="table" w:styleId="GridTable2-Accent2">
    <w:name w:val="Grid Table 2 Accent 2"/>
    <w:basedOn w:val="TableNormal"/>
    <w:uiPriority w:val="47"/>
    <w:rsid w:val="00937C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F8628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949D8"/>
    <w:rPr>
      <w:color w:val="800080"/>
      <w:u w:val="single"/>
    </w:rPr>
  </w:style>
  <w:style w:type="paragraph" w:customStyle="1" w:styleId="msonormal0">
    <w:name w:val="msonormal"/>
    <w:basedOn w:val="Normal"/>
    <w:rsid w:val="00F94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2">
    <w:name w:val="xl72"/>
    <w:basedOn w:val="Normal"/>
    <w:rsid w:val="00F949D8"/>
    <w:pPr>
      <w:pBdr>
        <w:lef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3">
    <w:name w:val="xl73"/>
    <w:basedOn w:val="Normal"/>
    <w:rsid w:val="00F949D8"/>
    <w:pP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4">
    <w:name w:val="xl74"/>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6">
    <w:name w:val="xl76"/>
    <w:basedOn w:val="Normal"/>
    <w:rsid w:val="00F949D8"/>
    <w:pPr>
      <w:pBdr>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7">
    <w:name w:val="xl77"/>
    <w:basedOn w:val="Normal"/>
    <w:rsid w:val="00F949D8"/>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78">
    <w:name w:val="xl78"/>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9">
    <w:name w:val="xl79"/>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0">
    <w:name w:val="xl80"/>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1">
    <w:name w:val="xl81"/>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2">
    <w:name w:val="xl82"/>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F949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4">
    <w:name w:val="xl84"/>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5">
    <w:name w:val="xl8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2">
    <w:name w:val="xl92"/>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F949D8"/>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ormal"/>
    <w:rsid w:val="00F949D8"/>
    <w:pPr>
      <w:pBdr>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6">
    <w:name w:val="xl96"/>
    <w:basedOn w:val="Normal"/>
    <w:rsid w:val="00F949D8"/>
    <w:pPr>
      <w:pBdr>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7">
    <w:name w:val="xl97"/>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F949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2">
    <w:name w:val="xl10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3">
    <w:name w:val="xl10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4">
    <w:name w:val="xl104"/>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06">
    <w:name w:val="xl10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8">
    <w:name w:val="xl108"/>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9">
    <w:name w:val="xl10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0">
    <w:name w:val="xl110"/>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1">
    <w:name w:val="xl111"/>
    <w:basedOn w:val="Normal"/>
    <w:rsid w:val="00F949D8"/>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2">
    <w:name w:val="xl112"/>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4">
    <w:name w:val="xl114"/>
    <w:basedOn w:val="Normal"/>
    <w:rsid w:val="00F949D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7">
    <w:name w:val="xl11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18">
    <w:name w:val="xl118"/>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9">
    <w:name w:val="xl11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0">
    <w:name w:val="xl120"/>
    <w:basedOn w:val="Normal"/>
    <w:rsid w:val="00F949D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3">
    <w:name w:val="xl123"/>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4">
    <w:name w:val="xl12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5">
    <w:name w:val="xl125"/>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7">
    <w:name w:val="xl127"/>
    <w:basedOn w:val="Normal"/>
    <w:rsid w:val="00F949D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28">
    <w:name w:val="xl128"/>
    <w:basedOn w:val="Normal"/>
    <w:rsid w:val="00F949D8"/>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9">
    <w:name w:val="xl129"/>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0">
    <w:name w:val="xl130"/>
    <w:basedOn w:val="Normal"/>
    <w:rsid w:val="00F949D8"/>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1">
    <w:name w:val="xl131"/>
    <w:basedOn w:val="Normal"/>
    <w:rsid w:val="00F949D8"/>
    <w:pPr>
      <w:pBdr>
        <w:top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3">
    <w:name w:val="xl133"/>
    <w:basedOn w:val="Normal"/>
    <w:rsid w:val="00F949D8"/>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4">
    <w:name w:val="xl134"/>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5">
    <w:name w:val="xl135"/>
    <w:basedOn w:val="Normal"/>
    <w:rsid w:val="00F949D8"/>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6">
    <w:name w:val="xl136"/>
    <w:basedOn w:val="Normal"/>
    <w:rsid w:val="00F949D8"/>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37">
    <w:name w:val="xl137"/>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39">
    <w:name w:val="xl13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40">
    <w:name w:val="xl140"/>
    <w:basedOn w:val="Normal"/>
    <w:rsid w:val="00F949D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1">
    <w:name w:val="xl141"/>
    <w:basedOn w:val="Normal"/>
    <w:rsid w:val="00F949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2">
    <w:name w:val="xl142"/>
    <w:basedOn w:val="Normal"/>
    <w:rsid w:val="00F949D8"/>
    <w:pPr>
      <w:pBdr>
        <w:top w:val="single" w:sz="4" w:space="0" w:color="auto"/>
        <w:left w:val="single" w:sz="4" w:space="0" w:color="auto"/>
        <w:bottom w:val="single" w:sz="4" w:space="0" w:color="auto"/>
        <w:right w:val="single" w:sz="4" w:space="0" w:color="auto"/>
      </w:pBdr>
      <w:shd w:val="clear" w:color="000000" w:fill="80CBF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3">
    <w:name w:val="xl143"/>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4">
    <w:name w:val="xl14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45">
    <w:name w:val="xl145"/>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Normal"/>
    <w:rsid w:val="00F949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7">
    <w:name w:val="xl147"/>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8">
    <w:name w:val="xl148"/>
    <w:basedOn w:val="Normal"/>
    <w:rsid w:val="00F949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49">
    <w:name w:val="xl149"/>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0">
    <w:name w:val="xl150"/>
    <w:basedOn w:val="Normal"/>
    <w:rsid w:val="00F949D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1">
    <w:name w:val="xl151"/>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2">
    <w:name w:val="xl152"/>
    <w:basedOn w:val="Normal"/>
    <w:rsid w:val="00F949D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3">
    <w:name w:val="xl153"/>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4">
    <w:name w:val="xl154"/>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5">
    <w:name w:val="xl155"/>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6">
    <w:name w:val="xl15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7">
    <w:name w:val="xl157"/>
    <w:basedOn w:val="Normal"/>
    <w:rsid w:val="00F949D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80"/>
      <w:sz w:val="18"/>
      <w:szCs w:val="18"/>
    </w:rPr>
  </w:style>
  <w:style w:type="paragraph" w:customStyle="1" w:styleId="xl158">
    <w:name w:val="xl158"/>
    <w:basedOn w:val="Normal"/>
    <w:rsid w:val="00F949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59">
    <w:name w:val="xl159"/>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0">
    <w:name w:val="xl160"/>
    <w:basedOn w:val="Normal"/>
    <w:rsid w:val="00F949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1">
    <w:name w:val="xl161"/>
    <w:basedOn w:val="Normal"/>
    <w:rsid w:val="00F949D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62">
    <w:name w:val="xl162"/>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3">
    <w:name w:val="xl163"/>
    <w:basedOn w:val="Normal"/>
    <w:rsid w:val="00F949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4">
    <w:name w:val="xl164"/>
    <w:basedOn w:val="Normal"/>
    <w:rsid w:val="00F949D8"/>
    <w:pPr>
      <w:spacing w:before="100" w:beforeAutospacing="1" w:after="100" w:afterAutospacing="1" w:line="240" w:lineRule="auto"/>
    </w:pPr>
    <w:rPr>
      <w:rFonts w:ascii="Times New Roman" w:eastAsia="Times New Roman" w:hAnsi="Times New Roman" w:cs="Times New Roman"/>
      <w:color w:val="000080"/>
      <w:sz w:val="18"/>
      <w:szCs w:val="18"/>
    </w:rPr>
  </w:style>
  <w:style w:type="paragraph" w:customStyle="1" w:styleId="xl165">
    <w:name w:val="xl165"/>
    <w:basedOn w:val="Normal"/>
    <w:rsid w:val="00F949D8"/>
    <w:pPr>
      <w:pBdr>
        <w:top w:val="single" w:sz="4" w:space="0" w:color="auto"/>
        <w:left w:val="single" w:sz="4" w:space="0" w:color="auto"/>
        <w:bottom w:val="single" w:sz="4" w:space="0" w:color="auto"/>
        <w:right w:val="single" w:sz="4" w:space="0" w:color="auto"/>
      </w:pBdr>
      <w:shd w:val="clear" w:color="000000" w:fill="B8FEC5"/>
      <w:spacing w:before="100" w:beforeAutospacing="1" w:after="100" w:afterAutospacing="1" w:line="240" w:lineRule="auto"/>
      <w:jc w:val="right"/>
      <w:textAlignment w:val="center"/>
    </w:pPr>
    <w:rPr>
      <w:rFonts w:ascii="Times New Roman" w:eastAsia="Times New Roman" w:hAnsi="Times New Roman" w:cs="Times New Roman"/>
      <w:b/>
      <w:bCs/>
      <w:color w:val="000080"/>
      <w:sz w:val="18"/>
      <w:szCs w:val="18"/>
    </w:rPr>
  </w:style>
  <w:style w:type="paragraph" w:customStyle="1" w:styleId="xl166">
    <w:name w:val="xl166"/>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67">
    <w:name w:val="xl167"/>
    <w:basedOn w:val="Normal"/>
    <w:rsid w:val="00F949D8"/>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68">
    <w:name w:val="xl168"/>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9">
    <w:name w:val="xl169"/>
    <w:basedOn w:val="Normal"/>
    <w:rsid w:val="00F949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Normal"/>
    <w:rsid w:val="00F949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1">
    <w:name w:val="xl171"/>
    <w:basedOn w:val="Normal"/>
    <w:rsid w:val="00F949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Normal"/>
    <w:rsid w:val="00F949D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Normal"/>
    <w:rsid w:val="00F949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Normal"/>
    <w:rsid w:val="00F949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7">
    <w:name w:val="xl177"/>
    <w:basedOn w:val="Normal"/>
    <w:rsid w:val="00F949D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8">
    <w:name w:val="xl178"/>
    <w:basedOn w:val="Normal"/>
    <w:rsid w:val="00F949D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9">
    <w:name w:val="xl179"/>
    <w:basedOn w:val="Normal"/>
    <w:rsid w:val="00F949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rPr>
  </w:style>
  <w:style w:type="paragraph" w:customStyle="1" w:styleId="xl180">
    <w:name w:val="xl180"/>
    <w:basedOn w:val="Normal"/>
    <w:rsid w:val="00F949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80"/>
      <w:sz w:val="18"/>
      <w:szCs w:val="18"/>
    </w:rPr>
  </w:style>
  <w:style w:type="character" w:customStyle="1" w:styleId="Heading3Char">
    <w:name w:val="Heading 3 Char"/>
    <w:basedOn w:val="DefaultParagraphFont"/>
    <w:link w:val="Heading3"/>
    <w:uiPriority w:val="9"/>
    <w:rsid w:val="0028550C"/>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722957"/>
    <w:pPr>
      <w:spacing w:after="120" w:line="276" w:lineRule="auto"/>
      <w:jc w:val="both"/>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722957"/>
    <w:rPr>
      <w:rFonts w:ascii="Calibri" w:eastAsia="Times New Roman" w:hAnsi="Calibri" w:cs="Times New Roman"/>
      <w:sz w:val="20"/>
      <w:szCs w:val="20"/>
      <w:lang w:val="en-US" w:bidi="en-US"/>
    </w:rPr>
  </w:style>
  <w:style w:type="paragraph" w:customStyle="1" w:styleId="noparagraphstyle">
    <w:name w:val="noparagraphstyle"/>
    <w:basedOn w:val="Normal"/>
    <w:rsid w:val="007229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BD5965"/>
    <w:rPr>
      <w:sz w:val="16"/>
      <w:szCs w:val="16"/>
    </w:rPr>
  </w:style>
  <w:style w:type="paragraph" w:styleId="CommentText">
    <w:name w:val="annotation text"/>
    <w:basedOn w:val="Normal"/>
    <w:link w:val="CommentTextChar"/>
    <w:uiPriority w:val="99"/>
    <w:semiHidden/>
    <w:unhideWhenUsed/>
    <w:rsid w:val="00BD5965"/>
    <w:pPr>
      <w:spacing w:line="240" w:lineRule="auto"/>
    </w:pPr>
    <w:rPr>
      <w:sz w:val="20"/>
      <w:szCs w:val="20"/>
    </w:rPr>
  </w:style>
  <w:style w:type="character" w:customStyle="1" w:styleId="CommentTextChar">
    <w:name w:val="Comment Text Char"/>
    <w:basedOn w:val="DefaultParagraphFont"/>
    <w:link w:val="CommentText"/>
    <w:uiPriority w:val="99"/>
    <w:semiHidden/>
    <w:rsid w:val="00BD5965"/>
    <w:rPr>
      <w:sz w:val="20"/>
      <w:szCs w:val="20"/>
      <w:lang w:val="en-US"/>
    </w:rPr>
  </w:style>
  <w:style w:type="paragraph" w:styleId="BodyTextIndent">
    <w:name w:val="Body Text Indent"/>
    <w:basedOn w:val="Normal"/>
    <w:link w:val="BodyTextIndentChar"/>
    <w:uiPriority w:val="99"/>
    <w:semiHidden/>
    <w:unhideWhenUsed/>
    <w:rsid w:val="00933CDA"/>
    <w:pPr>
      <w:spacing w:after="120"/>
      <w:ind w:left="360"/>
    </w:pPr>
  </w:style>
  <w:style w:type="character" w:customStyle="1" w:styleId="BodyTextIndentChar">
    <w:name w:val="Body Text Indent Char"/>
    <w:basedOn w:val="DefaultParagraphFont"/>
    <w:link w:val="BodyTextIndent"/>
    <w:uiPriority w:val="99"/>
    <w:semiHidden/>
    <w:rsid w:val="00933CDA"/>
    <w:rPr>
      <w:lang w:val="en-US"/>
    </w:rPr>
  </w:style>
  <w:style w:type="character" w:styleId="SubtleEmphasis">
    <w:name w:val="Subtle Emphasis"/>
    <w:basedOn w:val="DefaultParagraphFont"/>
    <w:uiPriority w:val="19"/>
    <w:qFormat/>
    <w:rsid w:val="00EF3D70"/>
    <w:rPr>
      <w:i/>
      <w:iCs/>
      <w:color w:val="404040" w:themeColor="text1" w:themeTint="BF"/>
    </w:rPr>
  </w:style>
  <w:style w:type="paragraph" w:styleId="IntenseQuote">
    <w:name w:val="Intense Quote"/>
    <w:basedOn w:val="Normal"/>
    <w:next w:val="Normal"/>
    <w:link w:val="IntenseQuoteChar"/>
    <w:uiPriority w:val="30"/>
    <w:qFormat/>
    <w:rsid w:val="00EF3D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3D70"/>
    <w:rPr>
      <w:i/>
      <w:iCs/>
      <w:color w:val="5B9BD5" w:themeColor="accent1"/>
      <w:lang w:val="en-US"/>
    </w:rPr>
  </w:style>
  <w:style w:type="character" w:customStyle="1" w:styleId="NormalIndentChar">
    <w:name w:val="Normal Indent Char"/>
    <w:link w:val="NormalIndent"/>
    <w:locked/>
    <w:rsid w:val="00D31A80"/>
    <w:rPr>
      <w:rFonts w:eastAsia="Times New Roman"/>
      <w:lang w:val="en-US" w:bidi="en-US"/>
    </w:rPr>
  </w:style>
  <w:style w:type="paragraph" w:styleId="NormalIndent">
    <w:name w:val="Normal Indent"/>
    <w:basedOn w:val="Normal"/>
    <w:link w:val="NormalIndentChar"/>
    <w:unhideWhenUsed/>
    <w:rsid w:val="00D31A80"/>
    <w:pPr>
      <w:spacing w:after="200" w:line="276" w:lineRule="auto"/>
      <w:ind w:left="708"/>
      <w:jc w:val="both"/>
    </w:pPr>
    <w:rPr>
      <w:rFonts w:eastAsia="Times New Roman"/>
      <w:lang w:bidi="en-US"/>
    </w:rPr>
  </w:style>
  <w:style w:type="paragraph" w:styleId="BodyText2">
    <w:name w:val="Body Text 2"/>
    <w:basedOn w:val="Normal"/>
    <w:link w:val="BodyText2Char"/>
    <w:uiPriority w:val="99"/>
    <w:unhideWhenUsed/>
    <w:rsid w:val="00EA3E35"/>
    <w:pPr>
      <w:spacing w:after="120" w:line="480" w:lineRule="auto"/>
    </w:pPr>
  </w:style>
  <w:style w:type="character" w:customStyle="1" w:styleId="BodyText2Char">
    <w:name w:val="Body Text 2 Char"/>
    <w:basedOn w:val="DefaultParagraphFont"/>
    <w:link w:val="BodyText2"/>
    <w:uiPriority w:val="99"/>
    <w:rsid w:val="00EA3E35"/>
    <w:rPr>
      <w:lang w:val="en-US"/>
    </w:rPr>
  </w:style>
  <w:style w:type="paragraph" w:styleId="Caption">
    <w:name w:val="caption"/>
    <w:basedOn w:val="Normal"/>
    <w:next w:val="Normal"/>
    <w:uiPriority w:val="35"/>
    <w:unhideWhenUsed/>
    <w:qFormat/>
    <w:rsid w:val="006E6AB3"/>
    <w:pPr>
      <w:spacing w:after="200" w:line="240" w:lineRule="auto"/>
    </w:pPr>
    <w:rPr>
      <w:i/>
      <w:iCs/>
      <w:color w:val="44546A" w:themeColor="text2"/>
      <w:sz w:val="18"/>
      <w:szCs w:val="18"/>
    </w:rPr>
  </w:style>
  <w:style w:type="table" w:styleId="PlainTable5">
    <w:name w:val="Plain Table 5"/>
    <w:basedOn w:val="TableNormal"/>
    <w:uiPriority w:val="45"/>
    <w:rsid w:val="006E0534"/>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40C3C"/>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5822D7"/>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05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2403"/>
    <w:rPr>
      <w:rFonts w:ascii="Courier New" w:eastAsia="Times New Roman" w:hAnsi="Courier New" w:cs="Courier New"/>
      <w:sz w:val="20"/>
      <w:szCs w:val="20"/>
      <w:lang w:val="en-US"/>
    </w:rPr>
  </w:style>
  <w:style w:type="character" w:customStyle="1" w:styleId="y2iqfc">
    <w:name w:val="y2iqfc"/>
    <w:basedOn w:val="DefaultParagraphFont"/>
    <w:rsid w:val="00052403"/>
  </w:style>
  <w:style w:type="paragraph" w:customStyle="1" w:styleId="cn">
    <w:name w:val="cn"/>
    <w:basedOn w:val="Normal"/>
    <w:qFormat/>
    <w:rsid w:val="00E92908"/>
    <w:pPr>
      <w:spacing w:after="0" w:line="240" w:lineRule="auto"/>
      <w:jc w:val="center"/>
    </w:pPr>
    <w:rPr>
      <w:rFonts w:ascii="Times New Roman" w:eastAsia="Times New Roman" w:hAnsi="Times New Roman" w:cs="Times New Roman"/>
      <w:sz w:val="24"/>
      <w:szCs w:val="24"/>
      <w:lang w:val="ru-RU" w:eastAsia="ru-RU"/>
    </w:rPr>
  </w:style>
  <w:style w:type="character" w:customStyle="1" w:styleId="2">
    <w:name w:val="Основной текст (2)_"/>
    <w:basedOn w:val="DefaultParagraphFont"/>
    <w:link w:val="20"/>
    <w:locked/>
    <w:rsid w:val="00DD2391"/>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qFormat/>
    <w:rsid w:val="00DD2391"/>
    <w:pPr>
      <w:widowControl w:val="0"/>
      <w:shd w:val="clear" w:color="auto" w:fill="FFFFFF"/>
      <w:spacing w:before="720" w:after="260" w:line="245" w:lineRule="exact"/>
    </w:pPr>
    <w:rPr>
      <w:rFonts w:ascii="Book Antiqua" w:eastAsia="Book Antiqua" w:hAnsi="Book Antiqua" w:cs="Book Antiqua"/>
      <w:sz w:val="18"/>
      <w:szCs w:val="18"/>
      <w:lang w:val="ro-MD"/>
    </w:rPr>
  </w:style>
  <w:style w:type="table" w:customStyle="1" w:styleId="GridTable2-Accent21">
    <w:name w:val="Grid Table 2 - Accent 21"/>
    <w:basedOn w:val="TableNormal"/>
    <w:next w:val="GridTable2-Accent2"/>
    <w:uiPriority w:val="47"/>
    <w:rsid w:val="0020423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4">
    <w:name w:val="Grid Table 1 Light Accent 4"/>
    <w:basedOn w:val="TableNormal"/>
    <w:uiPriority w:val="46"/>
    <w:rsid w:val="00231DEF"/>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rsid w:val="00F92663"/>
    <w:pPr>
      <w:spacing w:after="0" w:line="280" w:lineRule="atLeast"/>
    </w:pPr>
    <w:rPr>
      <w:rFonts w:ascii="Arial" w:eastAsia="Times New Roman" w:hAnsi="Arial" w:cs="Times New Roman"/>
      <w:sz w:val="16"/>
      <w:szCs w:val="24"/>
      <w:lang w:val="en-GB" w:eastAsia="ru-RU"/>
    </w:rPr>
  </w:style>
  <w:style w:type="character" w:customStyle="1" w:styleId="TableTextChar">
    <w:name w:val="Table Text Char"/>
    <w:basedOn w:val="DefaultParagraphFont"/>
    <w:link w:val="TableText"/>
    <w:rsid w:val="00F92663"/>
    <w:rPr>
      <w:rFonts w:ascii="Arial" w:eastAsia="Times New Roman" w:hAnsi="Arial" w:cs="Times New Roman"/>
      <w:sz w:val="16"/>
      <w:szCs w:val="24"/>
      <w:lang w:val="en-GB" w:eastAsia="ru-RU"/>
    </w:rPr>
  </w:style>
  <w:style w:type="paragraph" w:customStyle="1" w:styleId="mk1txtb1">
    <w:name w:val="mk1 txtb1"/>
    <w:basedOn w:val="Normal"/>
    <w:qFormat/>
    <w:rsid w:val="00F92663"/>
    <w:pPr>
      <w:numPr>
        <w:numId w:val="22"/>
      </w:numPr>
      <w:spacing w:before="120" w:after="0" w:line="276" w:lineRule="auto"/>
      <w:jc w:val="both"/>
    </w:pPr>
    <w:rPr>
      <w:rFonts w:ascii="Calibri" w:eastAsia="Calibri" w:hAnsi="Calibri" w:cs="Times New Roman"/>
      <w:lang w:val="en-GB"/>
    </w:rPr>
  </w:style>
  <w:style w:type="table" w:customStyle="1" w:styleId="TableGrid1">
    <w:name w:val="Table Grid1"/>
    <w:basedOn w:val="TableNormal"/>
    <w:next w:val="TableGrid"/>
    <w:uiPriority w:val="39"/>
    <w:rsid w:val="00641D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544C3"/>
    <w:rPr>
      <w:b/>
      <w:bCs/>
      <w:i/>
      <w:iCs/>
      <w:spacing w:val="5"/>
    </w:rPr>
  </w:style>
  <w:style w:type="paragraph" w:customStyle="1" w:styleId="msonormalmailrucssattributepostfix">
    <w:name w:val="msonormal_mailru_css_attribute_postfix"/>
    <w:basedOn w:val="Normal"/>
    <w:rsid w:val="002A7E86"/>
    <w:pPr>
      <w:spacing w:before="100" w:beforeAutospacing="1" w:after="100" w:afterAutospacing="1" w:line="240" w:lineRule="auto"/>
    </w:pPr>
    <w:rPr>
      <w:rFonts w:ascii="Times New Roman" w:hAnsi="Times New Roman" w:cs="Times New Roman"/>
      <w:sz w:val="24"/>
      <w:szCs w:val="24"/>
    </w:rPr>
  </w:style>
  <w:style w:type="table" w:styleId="PlainTable1">
    <w:name w:val="Plain Table 1"/>
    <w:basedOn w:val="TableNormal"/>
    <w:uiPriority w:val="41"/>
    <w:rsid w:val="00CF791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C1A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628">
      <w:bodyDiv w:val="1"/>
      <w:marLeft w:val="0"/>
      <w:marRight w:val="0"/>
      <w:marTop w:val="0"/>
      <w:marBottom w:val="0"/>
      <w:divBdr>
        <w:top w:val="none" w:sz="0" w:space="0" w:color="auto"/>
        <w:left w:val="none" w:sz="0" w:space="0" w:color="auto"/>
        <w:bottom w:val="none" w:sz="0" w:space="0" w:color="auto"/>
        <w:right w:val="none" w:sz="0" w:space="0" w:color="auto"/>
      </w:divBdr>
    </w:div>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53937368">
      <w:bodyDiv w:val="1"/>
      <w:marLeft w:val="0"/>
      <w:marRight w:val="0"/>
      <w:marTop w:val="0"/>
      <w:marBottom w:val="0"/>
      <w:divBdr>
        <w:top w:val="none" w:sz="0" w:space="0" w:color="auto"/>
        <w:left w:val="none" w:sz="0" w:space="0" w:color="auto"/>
        <w:bottom w:val="none" w:sz="0" w:space="0" w:color="auto"/>
        <w:right w:val="none" w:sz="0" w:space="0" w:color="auto"/>
      </w:divBdr>
    </w:div>
    <w:div w:id="55671112">
      <w:bodyDiv w:val="1"/>
      <w:marLeft w:val="0"/>
      <w:marRight w:val="0"/>
      <w:marTop w:val="0"/>
      <w:marBottom w:val="0"/>
      <w:divBdr>
        <w:top w:val="none" w:sz="0" w:space="0" w:color="auto"/>
        <w:left w:val="none" w:sz="0" w:space="0" w:color="auto"/>
        <w:bottom w:val="none" w:sz="0" w:space="0" w:color="auto"/>
        <w:right w:val="none" w:sz="0" w:space="0" w:color="auto"/>
      </w:divBdr>
    </w:div>
    <w:div w:id="59644167">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39154280">
      <w:bodyDiv w:val="1"/>
      <w:marLeft w:val="0"/>
      <w:marRight w:val="0"/>
      <w:marTop w:val="0"/>
      <w:marBottom w:val="0"/>
      <w:divBdr>
        <w:top w:val="none" w:sz="0" w:space="0" w:color="auto"/>
        <w:left w:val="none" w:sz="0" w:space="0" w:color="auto"/>
        <w:bottom w:val="none" w:sz="0" w:space="0" w:color="auto"/>
        <w:right w:val="none" w:sz="0" w:space="0" w:color="auto"/>
      </w:divBdr>
    </w:div>
    <w:div w:id="147404532">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236131161">
      <w:bodyDiv w:val="1"/>
      <w:marLeft w:val="0"/>
      <w:marRight w:val="0"/>
      <w:marTop w:val="0"/>
      <w:marBottom w:val="0"/>
      <w:divBdr>
        <w:top w:val="none" w:sz="0" w:space="0" w:color="auto"/>
        <w:left w:val="none" w:sz="0" w:space="0" w:color="auto"/>
        <w:bottom w:val="none" w:sz="0" w:space="0" w:color="auto"/>
        <w:right w:val="none" w:sz="0" w:space="0" w:color="auto"/>
      </w:divBdr>
    </w:div>
    <w:div w:id="265233021">
      <w:bodyDiv w:val="1"/>
      <w:marLeft w:val="0"/>
      <w:marRight w:val="0"/>
      <w:marTop w:val="0"/>
      <w:marBottom w:val="0"/>
      <w:divBdr>
        <w:top w:val="none" w:sz="0" w:space="0" w:color="auto"/>
        <w:left w:val="none" w:sz="0" w:space="0" w:color="auto"/>
        <w:bottom w:val="none" w:sz="0" w:space="0" w:color="auto"/>
        <w:right w:val="none" w:sz="0" w:space="0" w:color="auto"/>
      </w:divBdr>
    </w:div>
    <w:div w:id="273371352">
      <w:bodyDiv w:val="1"/>
      <w:marLeft w:val="0"/>
      <w:marRight w:val="0"/>
      <w:marTop w:val="0"/>
      <w:marBottom w:val="0"/>
      <w:divBdr>
        <w:top w:val="none" w:sz="0" w:space="0" w:color="auto"/>
        <w:left w:val="none" w:sz="0" w:space="0" w:color="auto"/>
        <w:bottom w:val="none" w:sz="0" w:space="0" w:color="auto"/>
        <w:right w:val="none" w:sz="0" w:space="0" w:color="auto"/>
      </w:divBdr>
    </w:div>
    <w:div w:id="332607018">
      <w:bodyDiv w:val="1"/>
      <w:marLeft w:val="0"/>
      <w:marRight w:val="0"/>
      <w:marTop w:val="0"/>
      <w:marBottom w:val="0"/>
      <w:divBdr>
        <w:top w:val="none" w:sz="0" w:space="0" w:color="auto"/>
        <w:left w:val="none" w:sz="0" w:space="0" w:color="auto"/>
        <w:bottom w:val="none" w:sz="0" w:space="0" w:color="auto"/>
        <w:right w:val="none" w:sz="0" w:space="0" w:color="auto"/>
      </w:divBdr>
    </w:div>
    <w:div w:id="384181474">
      <w:bodyDiv w:val="1"/>
      <w:marLeft w:val="0"/>
      <w:marRight w:val="0"/>
      <w:marTop w:val="0"/>
      <w:marBottom w:val="0"/>
      <w:divBdr>
        <w:top w:val="none" w:sz="0" w:space="0" w:color="auto"/>
        <w:left w:val="none" w:sz="0" w:space="0" w:color="auto"/>
        <w:bottom w:val="none" w:sz="0" w:space="0" w:color="auto"/>
        <w:right w:val="none" w:sz="0" w:space="0" w:color="auto"/>
      </w:divBdr>
    </w:div>
    <w:div w:id="413088698">
      <w:bodyDiv w:val="1"/>
      <w:marLeft w:val="0"/>
      <w:marRight w:val="0"/>
      <w:marTop w:val="0"/>
      <w:marBottom w:val="0"/>
      <w:divBdr>
        <w:top w:val="none" w:sz="0" w:space="0" w:color="auto"/>
        <w:left w:val="none" w:sz="0" w:space="0" w:color="auto"/>
        <w:bottom w:val="none" w:sz="0" w:space="0" w:color="auto"/>
        <w:right w:val="none" w:sz="0" w:space="0" w:color="auto"/>
      </w:divBdr>
    </w:div>
    <w:div w:id="459108847">
      <w:bodyDiv w:val="1"/>
      <w:marLeft w:val="0"/>
      <w:marRight w:val="0"/>
      <w:marTop w:val="0"/>
      <w:marBottom w:val="0"/>
      <w:divBdr>
        <w:top w:val="none" w:sz="0" w:space="0" w:color="auto"/>
        <w:left w:val="none" w:sz="0" w:space="0" w:color="auto"/>
        <w:bottom w:val="none" w:sz="0" w:space="0" w:color="auto"/>
        <w:right w:val="none" w:sz="0" w:space="0" w:color="auto"/>
      </w:divBdr>
    </w:div>
    <w:div w:id="476145428">
      <w:bodyDiv w:val="1"/>
      <w:marLeft w:val="0"/>
      <w:marRight w:val="0"/>
      <w:marTop w:val="0"/>
      <w:marBottom w:val="0"/>
      <w:divBdr>
        <w:top w:val="none" w:sz="0" w:space="0" w:color="auto"/>
        <w:left w:val="none" w:sz="0" w:space="0" w:color="auto"/>
        <w:bottom w:val="none" w:sz="0" w:space="0" w:color="auto"/>
        <w:right w:val="none" w:sz="0" w:space="0" w:color="auto"/>
      </w:divBdr>
    </w:div>
    <w:div w:id="497112948">
      <w:bodyDiv w:val="1"/>
      <w:marLeft w:val="0"/>
      <w:marRight w:val="0"/>
      <w:marTop w:val="0"/>
      <w:marBottom w:val="0"/>
      <w:divBdr>
        <w:top w:val="none" w:sz="0" w:space="0" w:color="auto"/>
        <w:left w:val="none" w:sz="0" w:space="0" w:color="auto"/>
        <w:bottom w:val="none" w:sz="0" w:space="0" w:color="auto"/>
        <w:right w:val="none" w:sz="0" w:space="0" w:color="auto"/>
      </w:divBdr>
    </w:div>
    <w:div w:id="529077485">
      <w:bodyDiv w:val="1"/>
      <w:marLeft w:val="0"/>
      <w:marRight w:val="0"/>
      <w:marTop w:val="0"/>
      <w:marBottom w:val="0"/>
      <w:divBdr>
        <w:top w:val="none" w:sz="0" w:space="0" w:color="auto"/>
        <w:left w:val="none" w:sz="0" w:space="0" w:color="auto"/>
        <w:bottom w:val="none" w:sz="0" w:space="0" w:color="auto"/>
        <w:right w:val="none" w:sz="0" w:space="0" w:color="auto"/>
      </w:divBdr>
    </w:div>
    <w:div w:id="549538303">
      <w:bodyDiv w:val="1"/>
      <w:marLeft w:val="0"/>
      <w:marRight w:val="0"/>
      <w:marTop w:val="0"/>
      <w:marBottom w:val="0"/>
      <w:divBdr>
        <w:top w:val="none" w:sz="0" w:space="0" w:color="auto"/>
        <w:left w:val="none" w:sz="0" w:space="0" w:color="auto"/>
        <w:bottom w:val="none" w:sz="0" w:space="0" w:color="auto"/>
        <w:right w:val="none" w:sz="0" w:space="0" w:color="auto"/>
      </w:divBdr>
    </w:div>
    <w:div w:id="553739080">
      <w:bodyDiv w:val="1"/>
      <w:marLeft w:val="0"/>
      <w:marRight w:val="0"/>
      <w:marTop w:val="0"/>
      <w:marBottom w:val="0"/>
      <w:divBdr>
        <w:top w:val="none" w:sz="0" w:space="0" w:color="auto"/>
        <w:left w:val="none" w:sz="0" w:space="0" w:color="auto"/>
        <w:bottom w:val="none" w:sz="0" w:space="0" w:color="auto"/>
        <w:right w:val="none" w:sz="0" w:space="0" w:color="auto"/>
      </w:divBdr>
    </w:div>
    <w:div w:id="581599086">
      <w:bodyDiv w:val="1"/>
      <w:marLeft w:val="0"/>
      <w:marRight w:val="0"/>
      <w:marTop w:val="0"/>
      <w:marBottom w:val="0"/>
      <w:divBdr>
        <w:top w:val="none" w:sz="0" w:space="0" w:color="auto"/>
        <w:left w:val="none" w:sz="0" w:space="0" w:color="auto"/>
        <w:bottom w:val="none" w:sz="0" w:space="0" w:color="auto"/>
        <w:right w:val="none" w:sz="0" w:space="0" w:color="auto"/>
      </w:divBdr>
    </w:div>
    <w:div w:id="645168063">
      <w:bodyDiv w:val="1"/>
      <w:marLeft w:val="0"/>
      <w:marRight w:val="0"/>
      <w:marTop w:val="0"/>
      <w:marBottom w:val="0"/>
      <w:divBdr>
        <w:top w:val="none" w:sz="0" w:space="0" w:color="auto"/>
        <w:left w:val="none" w:sz="0" w:space="0" w:color="auto"/>
        <w:bottom w:val="none" w:sz="0" w:space="0" w:color="auto"/>
        <w:right w:val="none" w:sz="0" w:space="0" w:color="auto"/>
      </w:divBdr>
    </w:div>
    <w:div w:id="667909099">
      <w:bodyDiv w:val="1"/>
      <w:marLeft w:val="0"/>
      <w:marRight w:val="0"/>
      <w:marTop w:val="0"/>
      <w:marBottom w:val="0"/>
      <w:divBdr>
        <w:top w:val="none" w:sz="0" w:space="0" w:color="auto"/>
        <w:left w:val="none" w:sz="0" w:space="0" w:color="auto"/>
        <w:bottom w:val="none" w:sz="0" w:space="0" w:color="auto"/>
        <w:right w:val="none" w:sz="0" w:space="0" w:color="auto"/>
      </w:divBdr>
    </w:div>
    <w:div w:id="671643081">
      <w:bodyDiv w:val="1"/>
      <w:marLeft w:val="0"/>
      <w:marRight w:val="0"/>
      <w:marTop w:val="0"/>
      <w:marBottom w:val="0"/>
      <w:divBdr>
        <w:top w:val="none" w:sz="0" w:space="0" w:color="auto"/>
        <w:left w:val="none" w:sz="0" w:space="0" w:color="auto"/>
        <w:bottom w:val="none" w:sz="0" w:space="0" w:color="auto"/>
        <w:right w:val="none" w:sz="0" w:space="0" w:color="auto"/>
      </w:divBdr>
    </w:div>
    <w:div w:id="684669646">
      <w:bodyDiv w:val="1"/>
      <w:marLeft w:val="0"/>
      <w:marRight w:val="0"/>
      <w:marTop w:val="0"/>
      <w:marBottom w:val="0"/>
      <w:divBdr>
        <w:top w:val="none" w:sz="0" w:space="0" w:color="auto"/>
        <w:left w:val="none" w:sz="0" w:space="0" w:color="auto"/>
        <w:bottom w:val="none" w:sz="0" w:space="0" w:color="auto"/>
        <w:right w:val="none" w:sz="0" w:space="0" w:color="auto"/>
      </w:divBdr>
    </w:div>
    <w:div w:id="759175792">
      <w:bodyDiv w:val="1"/>
      <w:marLeft w:val="0"/>
      <w:marRight w:val="0"/>
      <w:marTop w:val="0"/>
      <w:marBottom w:val="0"/>
      <w:divBdr>
        <w:top w:val="none" w:sz="0" w:space="0" w:color="auto"/>
        <w:left w:val="none" w:sz="0" w:space="0" w:color="auto"/>
        <w:bottom w:val="none" w:sz="0" w:space="0" w:color="auto"/>
        <w:right w:val="none" w:sz="0" w:space="0" w:color="auto"/>
      </w:divBdr>
    </w:div>
    <w:div w:id="766735035">
      <w:bodyDiv w:val="1"/>
      <w:marLeft w:val="0"/>
      <w:marRight w:val="0"/>
      <w:marTop w:val="0"/>
      <w:marBottom w:val="0"/>
      <w:divBdr>
        <w:top w:val="none" w:sz="0" w:space="0" w:color="auto"/>
        <w:left w:val="none" w:sz="0" w:space="0" w:color="auto"/>
        <w:bottom w:val="none" w:sz="0" w:space="0" w:color="auto"/>
        <w:right w:val="none" w:sz="0" w:space="0" w:color="auto"/>
      </w:divBdr>
    </w:div>
    <w:div w:id="766771758">
      <w:bodyDiv w:val="1"/>
      <w:marLeft w:val="0"/>
      <w:marRight w:val="0"/>
      <w:marTop w:val="0"/>
      <w:marBottom w:val="0"/>
      <w:divBdr>
        <w:top w:val="none" w:sz="0" w:space="0" w:color="auto"/>
        <w:left w:val="none" w:sz="0" w:space="0" w:color="auto"/>
        <w:bottom w:val="none" w:sz="0" w:space="0" w:color="auto"/>
        <w:right w:val="none" w:sz="0" w:space="0" w:color="auto"/>
      </w:divBdr>
    </w:div>
    <w:div w:id="792137434">
      <w:bodyDiv w:val="1"/>
      <w:marLeft w:val="0"/>
      <w:marRight w:val="0"/>
      <w:marTop w:val="0"/>
      <w:marBottom w:val="0"/>
      <w:divBdr>
        <w:top w:val="none" w:sz="0" w:space="0" w:color="auto"/>
        <w:left w:val="none" w:sz="0" w:space="0" w:color="auto"/>
        <w:bottom w:val="none" w:sz="0" w:space="0" w:color="auto"/>
        <w:right w:val="none" w:sz="0" w:space="0" w:color="auto"/>
      </w:divBdr>
      <w:divsChild>
        <w:div w:id="152375131">
          <w:marLeft w:val="547"/>
          <w:marRight w:val="0"/>
          <w:marTop w:val="0"/>
          <w:marBottom w:val="0"/>
          <w:divBdr>
            <w:top w:val="none" w:sz="0" w:space="0" w:color="auto"/>
            <w:left w:val="none" w:sz="0" w:space="0" w:color="auto"/>
            <w:bottom w:val="none" w:sz="0" w:space="0" w:color="auto"/>
            <w:right w:val="none" w:sz="0" w:space="0" w:color="auto"/>
          </w:divBdr>
        </w:div>
      </w:divsChild>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36580518">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877742953">
      <w:bodyDiv w:val="1"/>
      <w:marLeft w:val="0"/>
      <w:marRight w:val="0"/>
      <w:marTop w:val="0"/>
      <w:marBottom w:val="0"/>
      <w:divBdr>
        <w:top w:val="none" w:sz="0" w:space="0" w:color="auto"/>
        <w:left w:val="none" w:sz="0" w:space="0" w:color="auto"/>
        <w:bottom w:val="none" w:sz="0" w:space="0" w:color="auto"/>
        <w:right w:val="none" w:sz="0" w:space="0" w:color="auto"/>
      </w:divBdr>
    </w:div>
    <w:div w:id="890969467">
      <w:bodyDiv w:val="1"/>
      <w:marLeft w:val="0"/>
      <w:marRight w:val="0"/>
      <w:marTop w:val="0"/>
      <w:marBottom w:val="0"/>
      <w:divBdr>
        <w:top w:val="none" w:sz="0" w:space="0" w:color="auto"/>
        <w:left w:val="none" w:sz="0" w:space="0" w:color="auto"/>
        <w:bottom w:val="none" w:sz="0" w:space="0" w:color="auto"/>
        <w:right w:val="none" w:sz="0" w:space="0" w:color="auto"/>
      </w:divBdr>
    </w:div>
    <w:div w:id="937105155">
      <w:bodyDiv w:val="1"/>
      <w:marLeft w:val="0"/>
      <w:marRight w:val="0"/>
      <w:marTop w:val="0"/>
      <w:marBottom w:val="0"/>
      <w:divBdr>
        <w:top w:val="none" w:sz="0" w:space="0" w:color="auto"/>
        <w:left w:val="none" w:sz="0" w:space="0" w:color="auto"/>
        <w:bottom w:val="none" w:sz="0" w:space="0" w:color="auto"/>
        <w:right w:val="none" w:sz="0" w:space="0" w:color="auto"/>
      </w:divBdr>
      <w:divsChild>
        <w:div w:id="1142231396">
          <w:marLeft w:val="547"/>
          <w:marRight w:val="0"/>
          <w:marTop w:val="0"/>
          <w:marBottom w:val="0"/>
          <w:divBdr>
            <w:top w:val="none" w:sz="0" w:space="0" w:color="auto"/>
            <w:left w:val="none" w:sz="0" w:space="0" w:color="auto"/>
            <w:bottom w:val="none" w:sz="0" w:space="0" w:color="auto"/>
            <w:right w:val="none" w:sz="0" w:space="0" w:color="auto"/>
          </w:divBdr>
        </w:div>
      </w:divsChild>
    </w:div>
    <w:div w:id="945768897">
      <w:bodyDiv w:val="1"/>
      <w:marLeft w:val="0"/>
      <w:marRight w:val="0"/>
      <w:marTop w:val="0"/>
      <w:marBottom w:val="0"/>
      <w:divBdr>
        <w:top w:val="none" w:sz="0" w:space="0" w:color="auto"/>
        <w:left w:val="none" w:sz="0" w:space="0" w:color="auto"/>
        <w:bottom w:val="none" w:sz="0" w:space="0" w:color="auto"/>
        <w:right w:val="none" w:sz="0" w:space="0" w:color="auto"/>
      </w:divBdr>
    </w:div>
    <w:div w:id="969167085">
      <w:bodyDiv w:val="1"/>
      <w:marLeft w:val="0"/>
      <w:marRight w:val="0"/>
      <w:marTop w:val="0"/>
      <w:marBottom w:val="0"/>
      <w:divBdr>
        <w:top w:val="none" w:sz="0" w:space="0" w:color="auto"/>
        <w:left w:val="none" w:sz="0" w:space="0" w:color="auto"/>
        <w:bottom w:val="none" w:sz="0" w:space="0" w:color="auto"/>
        <w:right w:val="none" w:sz="0" w:space="0" w:color="auto"/>
      </w:divBdr>
    </w:div>
    <w:div w:id="980383317">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081365896">
      <w:bodyDiv w:val="1"/>
      <w:marLeft w:val="0"/>
      <w:marRight w:val="0"/>
      <w:marTop w:val="0"/>
      <w:marBottom w:val="0"/>
      <w:divBdr>
        <w:top w:val="none" w:sz="0" w:space="0" w:color="auto"/>
        <w:left w:val="none" w:sz="0" w:space="0" w:color="auto"/>
        <w:bottom w:val="none" w:sz="0" w:space="0" w:color="auto"/>
        <w:right w:val="none" w:sz="0" w:space="0" w:color="auto"/>
      </w:divBdr>
    </w:div>
    <w:div w:id="1088307560">
      <w:bodyDiv w:val="1"/>
      <w:marLeft w:val="0"/>
      <w:marRight w:val="0"/>
      <w:marTop w:val="0"/>
      <w:marBottom w:val="0"/>
      <w:divBdr>
        <w:top w:val="none" w:sz="0" w:space="0" w:color="auto"/>
        <w:left w:val="none" w:sz="0" w:space="0" w:color="auto"/>
        <w:bottom w:val="none" w:sz="0" w:space="0" w:color="auto"/>
        <w:right w:val="none" w:sz="0" w:space="0" w:color="auto"/>
      </w:divBdr>
    </w:div>
    <w:div w:id="1120341126">
      <w:bodyDiv w:val="1"/>
      <w:marLeft w:val="0"/>
      <w:marRight w:val="0"/>
      <w:marTop w:val="0"/>
      <w:marBottom w:val="0"/>
      <w:divBdr>
        <w:top w:val="none" w:sz="0" w:space="0" w:color="auto"/>
        <w:left w:val="none" w:sz="0" w:space="0" w:color="auto"/>
        <w:bottom w:val="none" w:sz="0" w:space="0" w:color="auto"/>
        <w:right w:val="none" w:sz="0" w:space="0" w:color="auto"/>
      </w:divBdr>
    </w:div>
    <w:div w:id="1136683870">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173645920">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29221801">
      <w:bodyDiv w:val="1"/>
      <w:marLeft w:val="0"/>
      <w:marRight w:val="0"/>
      <w:marTop w:val="0"/>
      <w:marBottom w:val="0"/>
      <w:divBdr>
        <w:top w:val="none" w:sz="0" w:space="0" w:color="auto"/>
        <w:left w:val="none" w:sz="0" w:space="0" w:color="auto"/>
        <w:bottom w:val="none" w:sz="0" w:space="0" w:color="auto"/>
        <w:right w:val="none" w:sz="0" w:space="0" w:color="auto"/>
      </w:divBdr>
    </w:div>
    <w:div w:id="1236548402">
      <w:bodyDiv w:val="1"/>
      <w:marLeft w:val="0"/>
      <w:marRight w:val="0"/>
      <w:marTop w:val="0"/>
      <w:marBottom w:val="0"/>
      <w:divBdr>
        <w:top w:val="none" w:sz="0" w:space="0" w:color="auto"/>
        <w:left w:val="none" w:sz="0" w:space="0" w:color="auto"/>
        <w:bottom w:val="none" w:sz="0" w:space="0" w:color="auto"/>
        <w:right w:val="none" w:sz="0" w:space="0" w:color="auto"/>
      </w:divBdr>
    </w:div>
    <w:div w:id="1282299030">
      <w:bodyDiv w:val="1"/>
      <w:marLeft w:val="0"/>
      <w:marRight w:val="0"/>
      <w:marTop w:val="0"/>
      <w:marBottom w:val="0"/>
      <w:divBdr>
        <w:top w:val="none" w:sz="0" w:space="0" w:color="auto"/>
        <w:left w:val="none" w:sz="0" w:space="0" w:color="auto"/>
        <w:bottom w:val="none" w:sz="0" w:space="0" w:color="auto"/>
        <w:right w:val="none" w:sz="0" w:space="0" w:color="auto"/>
      </w:divBdr>
    </w:div>
    <w:div w:id="1331981769">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507673993">
      <w:bodyDiv w:val="1"/>
      <w:marLeft w:val="0"/>
      <w:marRight w:val="0"/>
      <w:marTop w:val="0"/>
      <w:marBottom w:val="0"/>
      <w:divBdr>
        <w:top w:val="none" w:sz="0" w:space="0" w:color="auto"/>
        <w:left w:val="none" w:sz="0" w:space="0" w:color="auto"/>
        <w:bottom w:val="none" w:sz="0" w:space="0" w:color="auto"/>
        <w:right w:val="none" w:sz="0" w:space="0" w:color="auto"/>
      </w:divBdr>
    </w:div>
    <w:div w:id="1514806407">
      <w:bodyDiv w:val="1"/>
      <w:marLeft w:val="0"/>
      <w:marRight w:val="0"/>
      <w:marTop w:val="0"/>
      <w:marBottom w:val="0"/>
      <w:divBdr>
        <w:top w:val="none" w:sz="0" w:space="0" w:color="auto"/>
        <w:left w:val="none" w:sz="0" w:space="0" w:color="auto"/>
        <w:bottom w:val="none" w:sz="0" w:space="0" w:color="auto"/>
        <w:right w:val="none" w:sz="0" w:space="0" w:color="auto"/>
      </w:divBdr>
    </w:div>
    <w:div w:id="1541435349">
      <w:bodyDiv w:val="1"/>
      <w:marLeft w:val="0"/>
      <w:marRight w:val="0"/>
      <w:marTop w:val="0"/>
      <w:marBottom w:val="0"/>
      <w:divBdr>
        <w:top w:val="none" w:sz="0" w:space="0" w:color="auto"/>
        <w:left w:val="none" w:sz="0" w:space="0" w:color="auto"/>
        <w:bottom w:val="none" w:sz="0" w:space="0" w:color="auto"/>
        <w:right w:val="none" w:sz="0" w:space="0" w:color="auto"/>
      </w:divBdr>
    </w:div>
    <w:div w:id="1547715287">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696203277">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1742363032">
          <w:marLeft w:val="0"/>
          <w:marRight w:val="0"/>
          <w:marTop w:val="0"/>
          <w:marBottom w:val="0"/>
          <w:divBdr>
            <w:top w:val="none" w:sz="0" w:space="0" w:color="auto"/>
            <w:left w:val="none" w:sz="0" w:space="0" w:color="auto"/>
            <w:bottom w:val="none" w:sz="0" w:space="0" w:color="auto"/>
            <w:right w:val="none" w:sz="0" w:space="0" w:color="auto"/>
          </w:divBdr>
        </w:div>
      </w:divsChild>
    </w:div>
    <w:div w:id="1659074373">
      <w:bodyDiv w:val="1"/>
      <w:marLeft w:val="0"/>
      <w:marRight w:val="0"/>
      <w:marTop w:val="0"/>
      <w:marBottom w:val="0"/>
      <w:divBdr>
        <w:top w:val="none" w:sz="0" w:space="0" w:color="auto"/>
        <w:left w:val="none" w:sz="0" w:space="0" w:color="auto"/>
        <w:bottom w:val="none" w:sz="0" w:space="0" w:color="auto"/>
        <w:right w:val="none" w:sz="0" w:space="0" w:color="auto"/>
      </w:divBdr>
    </w:div>
    <w:div w:id="1661303140">
      <w:bodyDiv w:val="1"/>
      <w:marLeft w:val="0"/>
      <w:marRight w:val="0"/>
      <w:marTop w:val="0"/>
      <w:marBottom w:val="0"/>
      <w:divBdr>
        <w:top w:val="none" w:sz="0" w:space="0" w:color="auto"/>
        <w:left w:val="none" w:sz="0" w:space="0" w:color="auto"/>
        <w:bottom w:val="none" w:sz="0" w:space="0" w:color="auto"/>
        <w:right w:val="none" w:sz="0" w:space="0" w:color="auto"/>
      </w:divBdr>
    </w:div>
    <w:div w:id="1668094277">
      <w:bodyDiv w:val="1"/>
      <w:marLeft w:val="0"/>
      <w:marRight w:val="0"/>
      <w:marTop w:val="0"/>
      <w:marBottom w:val="0"/>
      <w:divBdr>
        <w:top w:val="none" w:sz="0" w:space="0" w:color="auto"/>
        <w:left w:val="none" w:sz="0" w:space="0" w:color="auto"/>
        <w:bottom w:val="none" w:sz="0" w:space="0" w:color="auto"/>
        <w:right w:val="none" w:sz="0" w:space="0" w:color="auto"/>
      </w:divBdr>
      <w:divsChild>
        <w:div w:id="897547902">
          <w:marLeft w:val="547"/>
          <w:marRight w:val="0"/>
          <w:marTop w:val="0"/>
          <w:marBottom w:val="0"/>
          <w:divBdr>
            <w:top w:val="none" w:sz="0" w:space="0" w:color="auto"/>
            <w:left w:val="none" w:sz="0" w:space="0" w:color="auto"/>
            <w:bottom w:val="none" w:sz="0" w:space="0" w:color="auto"/>
            <w:right w:val="none" w:sz="0" w:space="0" w:color="auto"/>
          </w:divBdr>
        </w:div>
      </w:divsChild>
    </w:div>
    <w:div w:id="1740856960">
      <w:bodyDiv w:val="1"/>
      <w:marLeft w:val="0"/>
      <w:marRight w:val="0"/>
      <w:marTop w:val="0"/>
      <w:marBottom w:val="0"/>
      <w:divBdr>
        <w:top w:val="none" w:sz="0" w:space="0" w:color="auto"/>
        <w:left w:val="none" w:sz="0" w:space="0" w:color="auto"/>
        <w:bottom w:val="none" w:sz="0" w:space="0" w:color="auto"/>
        <w:right w:val="none" w:sz="0" w:space="0" w:color="auto"/>
      </w:divBdr>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 w:id="1759131423">
      <w:bodyDiv w:val="1"/>
      <w:marLeft w:val="0"/>
      <w:marRight w:val="0"/>
      <w:marTop w:val="0"/>
      <w:marBottom w:val="0"/>
      <w:divBdr>
        <w:top w:val="none" w:sz="0" w:space="0" w:color="auto"/>
        <w:left w:val="none" w:sz="0" w:space="0" w:color="auto"/>
        <w:bottom w:val="none" w:sz="0" w:space="0" w:color="auto"/>
        <w:right w:val="none" w:sz="0" w:space="0" w:color="auto"/>
      </w:divBdr>
    </w:div>
    <w:div w:id="1782409903">
      <w:bodyDiv w:val="1"/>
      <w:marLeft w:val="0"/>
      <w:marRight w:val="0"/>
      <w:marTop w:val="0"/>
      <w:marBottom w:val="0"/>
      <w:divBdr>
        <w:top w:val="none" w:sz="0" w:space="0" w:color="auto"/>
        <w:left w:val="none" w:sz="0" w:space="0" w:color="auto"/>
        <w:bottom w:val="none" w:sz="0" w:space="0" w:color="auto"/>
        <w:right w:val="none" w:sz="0" w:space="0" w:color="auto"/>
      </w:divBdr>
    </w:div>
    <w:div w:id="1787966943">
      <w:bodyDiv w:val="1"/>
      <w:marLeft w:val="0"/>
      <w:marRight w:val="0"/>
      <w:marTop w:val="0"/>
      <w:marBottom w:val="0"/>
      <w:divBdr>
        <w:top w:val="none" w:sz="0" w:space="0" w:color="auto"/>
        <w:left w:val="none" w:sz="0" w:space="0" w:color="auto"/>
        <w:bottom w:val="none" w:sz="0" w:space="0" w:color="auto"/>
        <w:right w:val="none" w:sz="0" w:space="0" w:color="auto"/>
      </w:divBdr>
    </w:div>
    <w:div w:id="1820804935">
      <w:bodyDiv w:val="1"/>
      <w:marLeft w:val="0"/>
      <w:marRight w:val="0"/>
      <w:marTop w:val="0"/>
      <w:marBottom w:val="0"/>
      <w:divBdr>
        <w:top w:val="none" w:sz="0" w:space="0" w:color="auto"/>
        <w:left w:val="none" w:sz="0" w:space="0" w:color="auto"/>
        <w:bottom w:val="none" w:sz="0" w:space="0" w:color="auto"/>
        <w:right w:val="none" w:sz="0" w:space="0" w:color="auto"/>
      </w:divBdr>
    </w:div>
    <w:div w:id="1827162831">
      <w:bodyDiv w:val="1"/>
      <w:marLeft w:val="0"/>
      <w:marRight w:val="0"/>
      <w:marTop w:val="0"/>
      <w:marBottom w:val="0"/>
      <w:divBdr>
        <w:top w:val="none" w:sz="0" w:space="0" w:color="auto"/>
        <w:left w:val="none" w:sz="0" w:space="0" w:color="auto"/>
        <w:bottom w:val="none" w:sz="0" w:space="0" w:color="auto"/>
        <w:right w:val="none" w:sz="0" w:space="0" w:color="auto"/>
      </w:divBdr>
    </w:div>
    <w:div w:id="1863392702">
      <w:bodyDiv w:val="1"/>
      <w:marLeft w:val="0"/>
      <w:marRight w:val="0"/>
      <w:marTop w:val="0"/>
      <w:marBottom w:val="0"/>
      <w:divBdr>
        <w:top w:val="none" w:sz="0" w:space="0" w:color="auto"/>
        <w:left w:val="none" w:sz="0" w:space="0" w:color="auto"/>
        <w:bottom w:val="none" w:sz="0" w:space="0" w:color="auto"/>
        <w:right w:val="none" w:sz="0" w:space="0" w:color="auto"/>
      </w:divBdr>
    </w:div>
    <w:div w:id="1864705477">
      <w:bodyDiv w:val="1"/>
      <w:marLeft w:val="0"/>
      <w:marRight w:val="0"/>
      <w:marTop w:val="0"/>
      <w:marBottom w:val="0"/>
      <w:divBdr>
        <w:top w:val="none" w:sz="0" w:space="0" w:color="auto"/>
        <w:left w:val="none" w:sz="0" w:space="0" w:color="auto"/>
        <w:bottom w:val="none" w:sz="0" w:space="0" w:color="auto"/>
        <w:right w:val="none" w:sz="0" w:space="0" w:color="auto"/>
      </w:divBdr>
    </w:div>
    <w:div w:id="1872376276">
      <w:bodyDiv w:val="1"/>
      <w:marLeft w:val="0"/>
      <w:marRight w:val="0"/>
      <w:marTop w:val="0"/>
      <w:marBottom w:val="0"/>
      <w:divBdr>
        <w:top w:val="none" w:sz="0" w:space="0" w:color="auto"/>
        <w:left w:val="none" w:sz="0" w:space="0" w:color="auto"/>
        <w:bottom w:val="none" w:sz="0" w:space="0" w:color="auto"/>
        <w:right w:val="none" w:sz="0" w:space="0" w:color="auto"/>
      </w:divBdr>
    </w:div>
    <w:div w:id="1928270980">
      <w:bodyDiv w:val="1"/>
      <w:marLeft w:val="0"/>
      <w:marRight w:val="0"/>
      <w:marTop w:val="0"/>
      <w:marBottom w:val="0"/>
      <w:divBdr>
        <w:top w:val="none" w:sz="0" w:space="0" w:color="auto"/>
        <w:left w:val="none" w:sz="0" w:space="0" w:color="auto"/>
        <w:bottom w:val="none" w:sz="0" w:space="0" w:color="auto"/>
        <w:right w:val="none" w:sz="0" w:space="0" w:color="auto"/>
      </w:divBdr>
    </w:div>
    <w:div w:id="2004119477">
      <w:bodyDiv w:val="1"/>
      <w:marLeft w:val="0"/>
      <w:marRight w:val="0"/>
      <w:marTop w:val="0"/>
      <w:marBottom w:val="0"/>
      <w:divBdr>
        <w:top w:val="none" w:sz="0" w:space="0" w:color="auto"/>
        <w:left w:val="none" w:sz="0" w:space="0" w:color="auto"/>
        <w:bottom w:val="none" w:sz="0" w:space="0" w:color="auto"/>
        <w:right w:val="none" w:sz="0" w:space="0" w:color="auto"/>
      </w:divBdr>
    </w:div>
    <w:div w:id="2004703432">
      <w:bodyDiv w:val="1"/>
      <w:marLeft w:val="0"/>
      <w:marRight w:val="0"/>
      <w:marTop w:val="0"/>
      <w:marBottom w:val="0"/>
      <w:divBdr>
        <w:top w:val="none" w:sz="0" w:space="0" w:color="auto"/>
        <w:left w:val="none" w:sz="0" w:space="0" w:color="auto"/>
        <w:bottom w:val="none" w:sz="0" w:space="0" w:color="auto"/>
        <w:right w:val="none" w:sz="0" w:space="0" w:color="auto"/>
      </w:divBdr>
    </w:div>
    <w:div w:id="2013993773">
      <w:bodyDiv w:val="1"/>
      <w:marLeft w:val="0"/>
      <w:marRight w:val="0"/>
      <w:marTop w:val="0"/>
      <w:marBottom w:val="0"/>
      <w:divBdr>
        <w:top w:val="none" w:sz="0" w:space="0" w:color="auto"/>
        <w:left w:val="none" w:sz="0" w:space="0" w:color="auto"/>
        <w:bottom w:val="none" w:sz="0" w:space="0" w:color="auto"/>
        <w:right w:val="none" w:sz="0" w:space="0" w:color="auto"/>
      </w:divBdr>
    </w:div>
    <w:div w:id="2043508408">
      <w:bodyDiv w:val="1"/>
      <w:marLeft w:val="0"/>
      <w:marRight w:val="0"/>
      <w:marTop w:val="0"/>
      <w:marBottom w:val="0"/>
      <w:divBdr>
        <w:top w:val="none" w:sz="0" w:space="0" w:color="auto"/>
        <w:left w:val="none" w:sz="0" w:space="0" w:color="auto"/>
        <w:bottom w:val="none" w:sz="0" w:space="0" w:color="auto"/>
        <w:right w:val="none" w:sz="0" w:space="0" w:color="auto"/>
      </w:divBdr>
    </w:div>
    <w:div w:id="2047362451">
      <w:bodyDiv w:val="1"/>
      <w:marLeft w:val="0"/>
      <w:marRight w:val="0"/>
      <w:marTop w:val="0"/>
      <w:marBottom w:val="0"/>
      <w:divBdr>
        <w:top w:val="none" w:sz="0" w:space="0" w:color="auto"/>
        <w:left w:val="none" w:sz="0" w:space="0" w:color="auto"/>
        <w:bottom w:val="none" w:sz="0" w:space="0" w:color="auto"/>
        <w:right w:val="none" w:sz="0" w:space="0" w:color="auto"/>
      </w:divBdr>
    </w:div>
    <w:div w:id="21059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rm.md" TargetMode="External"/><Relationship Id="rId18" Type="http://schemas.openxmlformats.org/officeDocument/2006/relationships/diagramColors" Target="diagrams/colors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diagramQuickStyle" Target="diagrams/quickStyle1.xml"/><Relationship Id="rId25" Type="http://schemas.openxmlformats.org/officeDocument/2006/relationships/hyperlink" Target="http://www.academia.standard.md" TargetMode="External"/><Relationship Id="rId33" Type="http://schemas.openxmlformats.org/officeDocument/2006/relationships/hyperlink" Target="http://www.academia.standard.md"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rm@ccrm.md"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EC625-BDC2-40D7-8E04-1389AA5F19B3}" type="doc">
      <dgm:prSet loTypeId="urn:microsoft.com/office/officeart/2005/8/layout/cycle4" loCatId="cycle" qsTypeId="urn:microsoft.com/office/officeart/2005/8/quickstyle/3d4" qsCatId="3D" csTypeId="urn:microsoft.com/office/officeart/2005/8/colors/colorful2" csCatId="colorful" phldr="1"/>
      <dgm:spPr/>
      <dgm:t>
        <a:bodyPr/>
        <a:lstStyle/>
        <a:p>
          <a:endParaRPr lang="en-US"/>
        </a:p>
      </dgm:t>
    </dgm:pt>
    <dgm:pt modelId="{DCC8917E-D4CA-42EE-A43E-24BB9494FA92}">
      <dgm:prSet phldrT="[Text]" custT="1"/>
      <dgm:spPr>
        <a:xfrm>
          <a:off x="662939" y="0"/>
          <a:ext cx="1580997" cy="1024128"/>
        </a:xfrm>
        <a:prstGeom prst="roundRect">
          <a:avLst>
            <a:gd name="adj" fmla="val 10000"/>
          </a:avLst>
        </a:prstGeo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implementarea politicii în domeniul protecției consumat</a:t>
          </a:r>
          <a:r>
            <a:rPr lang="ro-MD" sz="8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orilor</a:t>
          </a:r>
          <a:r>
            <a:rPr lang="en-US" sz="8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supravegherea pieţei privind produsele nealimentare </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şi conformitatea serviciilor (inclusiv turistice);</a:t>
          </a:r>
        </a:p>
      </dgm:t>
    </dgm:pt>
    <dgm:pt modelId="{CB15DA90-403F-474E-80DA-5E9B631188FF}" type="parTrans" cxnId="{85537A68-56B8-42C3-9BF2-93E294E96460}">
      <dgm:prSet/>
      <dgm:spPr/>
      <dgm:t>
        <a:bodyPr/>
        <a:lstStyle/>
        <a:p>
          <a:endParaRPr lang="en-US"/>
        </a:p>
      </dgm:t>
    </dgm:pt>
    <dgm:pt modelId="{ED86F8E2-8348-4756-B882-3EEBE37B0840}" type="sibTrans" cxnId="{85537A68-56B8-42C3-9BF2-93E294E96460}">
      <dgm:prSet/>
      <dgm:spPr/>
      <dgm:t>
        <a:bodyPr/>
        <a:lstStyle/>
        <a:p>
          <a:endParaRPr lang="en-US"/>
        </a:p>
      </dgm:t>
    </dgm:pt>
    <dgm:pt modelId="{D419BE67-1925-49C8-B8DD-A1F66A04A435}">
      <dgm:prSet phldrT="[Text]" custT="1"/>
      <dgm:spPr>
        <a:xfrm rot="5400000">
          <a:off x="2775204" y="182422"/>
          <a:ext cx="1385773" cy="1385773"/>
        </a:xfrm>
        <a:prstGeom prst="pieWedge">
          <a:avLst/>
        </a:prstGeom>
      </dgm:spPr>
      <dgm:t>
        <a:bodyPr/>
        <a:lstStyle/>
        <a:p>
          <a:r>
            <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Institutul de Standardizare din Moldova</a:t>
          </a:r>
        </a:p>
      </dgm:t>
    </dgm:pt>
    <dgm:pt modelId="{1501932A-5C68-44AF-8D83-C4800EEE9476}" type="parTrans" cxnId="{D1CA33C6-3425-4DEE-9610-C93CDED045B9}">
      <dgm:prSet/>
      <dgm:spPr/>
      <dgm:t>
        <a:bodyPr/>
        <a:lstStyle/>
        <a:p>
          <a:endParaRPr lang="en-US"/>
        </a:p>
      </dgm:t>
    </dgm:pt>
    <dgm:pt modelId="{1C7C64D0-30CE-4555-95A8-466FBC4390E6}" type="sibTrans" cxnId="{D1CA33C6-3425-4DEE-9610-C93CDED045B9}">
      <dgm:prSet/>
      <dgm:spPr/>
      <dgm:t>
        <a:bodyPr/>
        <a:lstStyle/>
        <a:p>
          <a:endParaRPr lang="en-US"/>
        </a:p>
      </dgm:t>
    </dgm:pt>
    <dgm:pt modelId="{8AE22CF6-E081-4EDB-9C55-7FDF5EAE05FA}">
      <dgm:prSet phldrT="[Text]" custT="1"/>
      <dgm:spPr>
        <a:xfrm>
          <a:off x="3242462" y="0"/>
          <a:ext cx="1580997" cy="1024128"/>
        </a:xfrm>
        <a:prstGeom prst="roundRect">
          <a:avLst>
            <a:gd name="adj" fmla="val 10000"/>
          </a:avLst>
        </a:prstGeo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asigurarea disponibilităţii publice a documentelor de standardizare;</a:t>
          </a:r>
        </a:p>
      </dgm:t>
    </dgm:pt>
    <dgm:pt modelId="{5C3D9685-D3B7-42D8-8629-C5AAEE3AECC0}" type="parTrans" cxnId="{E0C01EB1-7F72-4018-9455-2900D59E05BF}">
      <dgm:prSet/>
      <dgm:spPr/>
      <dgm:t>
        <a:bodyPr/>
        <a:lstStyle/>
        <a:p>
          <a:endParaRPr lang="en-US"/>
        </a:p>
      </dgm:t>
    </dgm:pt>
    <dgm:pt modelId="{934A6D29-16E0-475E-B142-012D1006FD9E}" type="sibTrans" cxnId="{E0C01EB1-7F72-4018-9455-2900D59E05BF}">
      <dgm:prSet/>
      <dgm:spPr/>
      <dgm:t>
        <a:bodyPr/>
        <a:lstStyle/>
        <a:p>
          <a:endParaRPr lang="en-US"/>
        </a:p>
      </dgm:t>
    </dgm:pt>
    <dgm:pt modelId="{19F17BDC-A61B-44E1-8D77-1F6F59D9378D}">
      <dgm:prSet phldrT="[Text]" custT="1"/>
      <dgm:spPr>
        <a:xfrm rot="16200000">
          <a:off x="1325422" y="1632204"/>
          <a:ext cx="1385773" cy="1385773"/>
        </a:xfrm>
        <a:prstGeom prst="pieWedge">
          <a:avLst/>
        </a:prstGeom>
      </dgm:spPr>
      <dgm:t>
        <a:bodyPr/>
        <a:lstStyle/>
        <a:p>
          <a:r>
            <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Centrul Național de Acreditare </a:t>
          </a:r>
        </a:p>
      </dgm:t>
    </dgm:pt>
    <dgm:pt modelId="{3610E3BB-2769-43E6-861F-8C6861B75E85}" type="parTrans" cxnId="{1B1ACCDD-3A60-4694-9AF5-6F5BE33669C4}">
      <dgm:prSet/>
      <dgm:spPr/>
      <dgm:t>
        <a:bodyPr/>
        <a:lstStyle/>
        <a:p>
          <a:endParaRPr lang="en-US"/>
        </a:p>
      </dgm:t>
    </dgm:pt>
    <dgm:pt modelId="{1F72EB82-85C2-4FCC-ABD2-C42CA2C31A10}" type="sibTrans" cxnId="{1B1ACCDD-3A60-4694-9AF5-6F5BE33669C4}">
      <dgm:prSet/>
      <dgm:spPr/>
      <dgm:t>
        <a:bodyPr/>
        <a:lstStyle/>
        <a:p>
          <a:endParaRPr lang="en-US"/>
        </a:p>
      </dgm:t>
    </dgm:pt>
    <dgm:pt modelId="{81B9EAC0-5D8B-4D62-87AD-F1A838664F65}">
      <dgm:prSet phldrT="[Text]" custT="1"/>
      <dgm:spPr>
        <a:xfrm>
          <a:off x="662939" y="2176272"/>
          <a:ext cx="1580997" cy="1024128"/>
        </a:xfrm>
        <a:prstGeom prst="roundRect">
          <a:avLst>
            <a:gd name="adj" fmla="val 10000"/>
          </a:avLst>
        </a:prstGeo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implementarea politicii de stat în domeniul acreditării și evaluării conformității, conferind încredere în competența tehnică, imparțialitatea și integritatea organismelor de evaluare a conformității acreditate</a:t>
          </a:r>
          <a:r>
            <a:rPr lang="ro-MD" sz="800" b="0" cap="none" spc="0">
              <a:ln w="0"/>
              <a:effectLst>
                <a:outerShdw blurRad="38100" dist="19050" dir="2700000" algn="tl" rotWithShape="0">
                  <a:schemeClr val="dk1">
                    <a:alpha val="40000"/>
                  </a:schemeClr>
                </a:outerShdw>
              </a:effectLst>
              <a:latin typeface="Calibri" panose="020F0502020204030204"/>
              <a:ea typeface="+mn-ea"/>
              <a:cs typeface="+mn-cs"/>
            </a:rPr>
            <a:t>,</a:t>
          </a:r>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precum și promovarea liberei circulații a produselor</a:t>
          </a:r>
        </a:p>
      </dgm:t>
    </dgm:pt>
    <dgm:pt modelId="{B2BA4DFF-5BB6-414A-AE4A-9D8F01D13E62}" type="parTrans" cxnId="{024A9368-9F86-439D-A449-01E9959A7915}">
      <dgm:prSet/>
      <dgm:spPr/>
      <dgm:t>
        <a:bodyPr/>
        <a:lstStyle/>
        <a:p>
          <a:endParaRPr lang="en-US"/>
        </a:p>
      </dgm:t>
    </dgm:pt>
    <dgm:pt modelId="{E7DAE9C6-D90D-4089-86A4-52C29271ACE0}" type="sibTrans" cxnId="{024A9368-9F86-439D-A449-01E9959A7915}">
      <dgm:prSet/>
      <dgm:spPr/>
      <dgm:t>
        <a:bodyPr/>
        <a:lstStyle/>
        <a:p>
          <a:endParaRPr lang="en-US"/>
        </a:p>
      </dgm:t>
    </dgm:pt>
    <dgm:pt modelId="{3CA66003-08BD-4490-85AD-E09B63E6C424}">
      <dgm:prSet phldrT="[Text]" custT="1"/>
      <dgm:spPr>
        <a:xfrm>
          <a:off x="1325422" y="182422"/>
          <a:ext cx="1385773" cy="1385773"/>
        </a:xfrm>
        <a:prstGeom prst="pieWedge">
          <a:avLst/>
        </a:prstGeom>
      </dgm:spPr>
      <dgm:t>
        <a:bodyPr/>
        <a:lstStyle/>
        <a:p>
          <a:r>
            <a:rPr lang="ro-MD"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Inspectoratul de Stat pentru Supravegherea  Produselor Nealimentare și Protecția Consumatorilor (succesor de drepturi al </a:t>
          </a:r>
          <a:r>
            <a:rPr lang="en-US"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APCSP</a:t>
          </a:r>
          <a:r>
            <a:rPr lang="ro-MD"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en-US" sz="900" b="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t>
          </a:r>
        </a:p>
      </dgm:t>
    </dgm:pt>
    <dgm:pt modelId="{FFF74B89-D7E9-4558-9B63-E15903123F2A}" type="sibTrans" cxnId="{31AF29A2-B378-4D01-9D83-11CA3CFFEDD0}">
      <dgm:prSet/>
      <dgm:spPr/>
      <dgm:t>
        <a:bodyPr/>
        <a:lstStyle/>
        <a:p>
          <a:endParaRPr lang="en-US"/>
        </a:p>
      </dgm:t>
    </dgm:pt>
    <dgm:pt modelId="{DDCE0527-F4F6-4B97-B07D-66E5B0C7BB91}" type="parTrans" cxnId="{31AF29A2-B378-4D01-9D83-11CA3CFFEDD0}">
      <dgm:prSet/>
      <dgm:spPr/>
      <dgm:t>
        <a:bodyPr/>
        <a:lstStyle/>
        <a:p>
          <a:endParaRPr lang="en-US"/>
        </a:p>
      </dgm:t>
    </dgm:pt>
    <dgm:pt modelId="{C80973BF-08D6-4565-9718-E70EF8D30489}">
      <dgm:prSet custT="1"/>
      <dgm:spPr/>
      <dgm:t>
        <a:bodyPr/>
        <a:lstStyle/>
        <a:p>
          <a:endParaRPr lang="en-US"/>
        </a:p>
      </dgm:t>
    </dgm:pt>
    <dgm:pt modelId="{BAD90664-8B60-46E3-A0B3-350094124B4F}" type="parTrans" cxnId="{C342285E-E824-4B2F-B3D2-7EA72F182F4C}">
      <dgm:prSet/>
      <dgm:spPr/>
      <dgm:t>
        <a:bodyPr/>
        <a:lstStyle/>
        <a:p>
          <a:endParaRPr lang="en-US"/>
        </a:p>
      </dgm:t>
    </dgm:pt>
    <dgm:pt modelId="{5651A7C8-DBEA-47BF-B17B-72992FC69500}" type="sibTrans" cxnId="{C342285E-E824-4B2F-B3D2-7EA72F182F4C}">
      <dgm:prSet/>
      <dgm:spPr/>
      <dgm:t>
        <a:bodyPr/>
        <a:lstStyle/>
        <a:p>
          <a:endParaRPr lang="en-US"/>
        </a:p>
      </dgm:t>
    </dgm:pt>
    <dgm:pt modelId="{7E8C9975-9732-43EF-BBC9-A8BB129A3232}">
      <dgm:prSet/>
      <dgm:spPr/>
      <dgm:t>
        <a:bodyPr/>
        <a:lstStyle/>
        <a:p>
          <a:endParaRPr lang="en-US"/>
        </a:p>
      </dgm:t>
    </dgm:pt>
    <dgm:pt modelId="{56EDB8E9-C79C-4E9E-B955-A5D1514BC251}" type="parTrans" cxnId="{8AAB561E-F495-4B8F-B46B-5310C3902C55}">
      <dgm:prSet/>
      <dgm:spPr/>
      <dgm:t>
        <a:bodyPr/>
        <a:lstStyle/>
        <a:p>
          <a:endParaRPr lang="en-US"/>
        </a:p>
      </dgm:t>
    </dgm:pt>
    <dgm:pt modelId="{D5057AA7-F5D4-4FE4-A613-7C3FB5300798}" type="sibTrans" cxnId="{8AAB561E-F495-4B8F-B46B-5310C3902C55}">
      <dgm:prSet/>
      <dgm:spPr/>
      <dgm:t>
        <a:bodyPr/>
        <a:lstStyle/>
        <a:p>
          <a:endParaRPr lang="en-US"/>
        </a:p>
      </dgm:t>
    </dgm:pt>
    <dgm:pt modelId="{4F259C15-54C6-45C1-9A84-7AF31DF83E57}">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protecţia consumatorilor;</a:t>
          </a:r>
        </a:p>
      </dgm:t>
    </dgm:pt>
    <dgm:pt modelId="{88612A99-5FC2-4DBB-866A-C66FA1341CED}" type="parTrans" cxnId="{93396431-3918-4910-9A34-8CFC7AE7AEB5}">
      <dgm:prSet/>
      <dgm:spPr/>
      <dgm:t>
        <a:bodyPr/>
        <a:lstStyle/>
        <a:p>
          <a:endParaRPr lang="en-US"/>
        </a:p>
      </dgm:t>
    </dgm:pt>
    <dgm:pt modelId="{418474DF-746F-4329-84D9-95BC7ED37AC2}" type="sibTrans" cxnId="{93396431-3918-4910-9A34-8CFC7AE7AEB5}">
      <dgm:prSet/>
      <dgm:spPr/>
      <dgm:t>
        <a:bodyPr/>
        <a:lstStyle/>
        <a:p>
          <a:endParaRPr lang="en-US"/>
        </a:p>
      </dgm:t>
    </dgm:pt>
    <dgm:pt modelId="{0DAEB7E8-42EC-44F7-95EB-88B51B8164C8}">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 metrologie;</a:t>
          </a:r>
        </a:p>
      </dgm:t>
    </dgm:pt>
    <dgm:pt modelId="{DE9024BA-81F3-4A59-BBBC-8531DDD21A1A}" type="parTrans" cxnId="{0641F36E-FEC5-4A63-A0C4-FA92DE75ECF9}">
      <dgm:prSet/>
      <dgm:spPr/>
      <dgm:t>
        <a:bodyPr/>
        <a:lstStyle/>
        <a:p>
          <a:endParaRPr lang="en-US"/>
        </a:p>
      </dgm:t>
    </dgm:pt>
    <dgm:pt modelId="{96A31FF3-44DB-49B2-8C54-82539744FB7D}" type="sibTrans" cxnId="{0641F36E-FEC5-4A63-A0C4-FA92DE75ECF9}">
      <dgm:prSet/>
      <dgm:spPr/>
      <dgm:t>
        <a:bodyPr/>
        <a:lstStyle/>
        <a:p>
          <a:endParaRPr lang="en-US"/>
        </a:p>
      </dgm:t>
    </dgm:pt>
    <dgm:pt modelId="{3DE5824D-31FD-4DF3-9159-12A6FD73C74B}">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supravegherea și controlul de stat al activităților în domeniul jocurilor de noroc;</a:t>
          </a:r>
        </a:p>
      </dgm:t>
    </dgm:pt>
    <dgm:pt modelId="{5F44A8B3-7046-4512-A3BD-BA2DD57B84E7}" type="parTrans" cxnId="{900DDD76-A438-4D21-8CDF-AD6B49B3D27C}">
      <dgm:prSet/>
      <dgm:spPr/>
      <dgm:t>
        <a:bodyPr/>
        <a:lstStyle/>
        <a:p>
          <a:endParaRPr lang="en-US"/>
        </a:p>
      </dgm:t>
    </dgm:pt>
    <dgm:pt modelId="{E5386584-56D7-4332-8796-35A77B18E492}" type="sibTrans" cxnId="{900DDD76-A438-4D21-8CDF-AD6B49B3D27C}">
      <dgm:prSet/>
      <dgm:spPr/>
      <dgm:t>
        <a:bodyPr/>
        <a:lstStyle/>
        <a:p>
          <a:endParaRPr lang="en-US"/>
        </a:p>
      </dgm:t>
    </dgm:pt>
    <dgm:pt modelId="{C1443D6D-5411-4F24-8F3A-BE6DF6C5AE81}">
      <dgm:prSet phldrT="[Text]" custT="1"/>
      <dgm:spPr>
        <a:xfrm>
          <a:off x="662939"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respectarea condiţiilor de licenţiere conform domeniului de competenţă.</a:t>
          </a:r>
        </a:p>
      </dgm:t>
    </dgm:pt>
    <dgm:pt modelId="{94EBA6C0-7D59-4358-A4C1-F7533C2F60E4}" type="parTrans" cxnId="{322A8DC9-F69C-46BC-AA86-1D675D9FE13D}">
      <dgm:prSet/>
      <dgm:spPr/>
      <dgm:t>
        <a:bodyPr/>
        <a:lstStyle/>
        <a:p>
          <a:endParaRPr lang="en-US"/>
        </a:p>
      </dgm:t>
    </dgm:pt>
    <dgm:pt modelId="{7BD50CB2-73F4-48A7-BE24-7A2A87B6B512}" type="sibTrans" cxnId="{322A8DC9-F69C-46BC-AA86-1D675D9FE13D}">
      <dgm:prSet/>
      <dgm:spPr/>
      <dgm:t>
        <a:bodyPr/>
        <a:lstStyle/>
        <a:p>
          <a:endParaRPr lang="en-US"/>
        </a:p>
      </dgm:t>
    </dgm:pt>
    <dgm:pt modelId="{91D651FA-AC01-491C-A3A1-81F3959474E2}">
      <dgm:prSet phldrT="[Text]" custT="1"/>
      <dgm:spPr>
        <a:xfrm>
          <a:off x="3242462"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promovarea standardelor şi a standardizării;</a:t>
          </a:r>
        </a:p>
      </dgm:t>
    </dgm:pt>
    <dgm:pt modelId="{931E4DB7-6D4A-410F-B57B-C08576140A47}" type="parTrans" cxnId="{A9B497A8-2E24-4037-9017-B70C437EC6E4}">
      <dgm:prSet/>
      <dgm:spPr/>
      <dgm:t>
        <a:bodyPr/>
        <a:lstStyle/>
        <a:p>
          <a:endParaRPr lang="en-US"/>
        </a:p>
      </dgm:t>
    </dgm:pt>
    <dgm:pt modelId="{F348C8BD-F268-4B69-AFBC-300701C62429}" type="sibTrans" cxnId="{A9B497A8-2E24-4037-9017-B70C437EC6E4}">
      <dgm:prSet/>
      <dgm:spPr/>
      <dgm:t>
        <a:bodyPr/>
        <a:lstStyle/>
        <a:p>
          <a:endParaRPr lang="en-US"/>
        </a:p>
      </dgm:t>
    </dgm:pt>
    <dgm:pt modelId="{426E8162-7D3B-4A5E-9862-31BD8EFAD69A}">
      <dgm:prSet phldrT="[Text]" custT="1"/>
      <dgm:spPr>
        <a:xfrm>
          <a:off x="3242462"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organizarea instruirilor şi perfecţionării continue în domeniul standardizării;</a:t>
          </a:r>
        </a:p>
      </dgm:t>
    </dgm:pt>
    <dgm:pt modelId="{CAD04913-01A2-43D4-8A6F-AC0707647A5B}" type="parTrans" cxnId="{5C5F5AB5-E4BA-4FB6-95F3-BA6D97F4C242}">
      <dgm:prSet/>
      <dgm:spPr/>
      <dgm:t>
        <a:bodyPr/>
        <a:lstStyle/>
        <a:p>
          <a:endParaRPr lang="en-US"/>
        </a:p>
      </dgm:t>
    </dgm:pt>
    <dgm:pt modelId="{95A184DE-3541-4329-BF1E-1AADF2A4C3F8}" type="sibTrans" cxnId="{5C5F5AB5-E4BA-4FB6-95F3-BA6D97F4C242}">
      <dgm:prSet/>
      <dgm:spPr/>
      <dgm:t>
        <a:bodyPr/>
        <a:lstStyle/>
        <a:p>
          <a:endParaRPr lang="en-US"/>
        </a:p>
      </dgm:t>
    </dgm:pt>
    <dgm:pt modelId="{9AF335CF-6BE1-4BEF-AF40-F411CDD95274}">
      <dgm:prSet phldrT="[Text]" custT="1"/>
      <dgm:spPr>
        <a:xfrm>
          <a:off x="3242462" y="0"/>
          <a:ext cx="1580997" cy="1024128"/>
        </a:xfrm>
      </dgm:spPr>
      <dgm:t>
        <a:bodyPr/>
        <a:lstStyle/>
        <a:p>
          <a:r>
            <a:rPr lang="en-US" sz="800" b="0" cap="none" spc="0">
              <a:ln w="0"/>
              <a:effectLst>
                <a:outerShdw blurRad="38100" dist="19050" dir="2700000" algn="tl" rotWithShape="0">
                  <a:schemeClr val="dk1">
                    <a:alpha val="40000"/>
                  </a:schemeClr>
                </a:outerShdw>
              </a:effectLst>
              <a:latin typeface="Calibri" panose="020F0502020204030204"/>
              <a:ea typeface="+mn-ea"/>
              <a:cs typeface="+mn-cs"/>
            </a:rPr>
            <a:t>consolidarea continuă a sistemului naţional de standardizare.</a:t>
          </a:r>
        </a:p>
      </dgm:t>
    </dgm:pt>
    <dgm:pt modelId="{78DA287C-3DD6-42F4-835A-A824FE3258EB}" type="parTrans" cxnId="{41E936D3-7C0E-468B-922B-C679529A172B}">
      <dgm:prSet/>
      <dgm:spPr/>
      <dgm:t>
        <a:bodyPr/>
        <a:lstStyle/>
        <a:p>
          <a:endParaRPr lang="en-US"/>
        </a:p>
      </dgm:t>
    </dgm:pt>
    <dgm:pt modelId="{9739680D-70A3-4E7A-8338-A0C6DE9D1EB6}" type="sibTrans" cxnId="{41E936D3-7C0E-468B-922B-C679529A172B}">
      <dgm:prSet/>
      <dgm:spPr/>
      <dgm:t>
        <a:bodyPr/>
        <a:lstStyle/>
        <a:p>
          <a:endParaRPr lang="en-US"/>
        </a:p>
      </dgm:t>
    </dgm:pt>
    <dgm:pt modelId="{D2C2FD1F-4ACE-477F-9661-B94267D07566}">
      <dgm:prSet phldrT="[Text]" custT="1"/>
      <dgm:spPr>
        <a:xfrm rot="10800000">
          <a:off x="2775204" y="1632204"/>
          <a:ext cx="1385773" cy="1385773"/>
        </a:xfrm>
        <a:prstGeom prst="pieWedge">
          <a:avLst/>
        </a:prstGeom>
      </dgm:spPr>
      <dgm:t>
        <a:bodyPr/>
        <a:lstStyle/>
        <a:p>
          <a:r>
            <a:rPr lang="en-US" sz="9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Institutul Național de Metrologie</a:t>
          </a:r>
        </a:p>
      </dgm:t>
    </dgm:pt>
    <dgm:pt modelId="{34E5C0D6-243B-443D-94D3-EAA2EF1B1F44}" type="sibTrans" cxnId="{CAC0B79C-5940-49A0-970E-67FC6CA495E8}">
      <dgm:prSet/>
      <dgm:spPr/>
      <dgm:t>
        <a:bodyPr/>
        <a:lstStyle/>
        <a:p>
          <a:endParaRPr lang="en-US"/>
        </a:p>
      </dgm:t>
    </dgm:pt>
    <dgm:pt modelId="{85F4C7AF-4ACD-4AA0-AA17-6B54FDEBD577}" type="parTrans" cxnId="{CAC0B79C-5940-49A0-970E-67FC6CA495E8}">
      <dgm:prSet/>
      <dgm:spPr/>
      <dgm:t>
        <a:bodyPr/>
        <a:lstStyle/>
        <a:p>
          <a:endParaRPr lang="en-US"/>
        </a:p>
      </dgm:t>
    </dgm:pt>
    <dgm:pt modelId="{42890504-C04F-48C9-A8F4-E0CEC16F2FFF}">
      <dgm:prSet phldrT="[Text]" custT="1"/>
      <dgm:spPr>
        <a:xfrm>
          <a:off x="3242462" y="2176272"/>
          <a:ext cx="1580997" cy="1024128"/>
        </a:xfrm>
        <a:prstGeom prst="roundRect">
          <a:avLst>
            <a:gd name="adj" fmla="val 10000"/>
          </a:avLst>
        </a:prstGeom>
      </dgm:spPr>
      <dgm:t>
        <a:bodyPr/>
        <a:lstStyle/>
        <a:p>
          <a:r>
            <a:rPr lang="ro-MD"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Funcții de metrologie generală</a:t>
          </a:r>
          <a:endParaRPr lang="en-US"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7FD5AD7B-18DE-4944-BAB0-EE3061C26B3B}" type="sibTrans" cxnId="{E3399CC1-A5A4-4218-9F21-FE76B5543039}">
      <dgm:prSet/>
      <dgm:spPr/>
      <dgm:t>
        <a:bodyPr/>
        <a:lstStyle/>
        <a:p>
          <a:endParaRPr lang="en-US"/>
        </a:p>
      </dgm:t>
    </dgm:pt>
    <dgm:pt modelId="{7ADF9ADF-ED68-4500-9FF7-511B26931023}" type="parTrans" cxnId="{E3399CC1-A5A4-4218-9F21-FE76B5543039}">
      <dgm:prSet/>
      <dgm:spPr/>
      <dgm:t>
        <a:bodyPr/>
        <a:lstStyle/>
        <a:p>
          <a:endParaRPr lang="en-US"/>
        </a:p>
      </dgm:t>
    </dgm:pt>
    <dgm:pt modelId="{37B0B505-A69E-4F3C-A74F-214406E93B06}">
      <dgm:prSet phldrT="[Text]" custT="1"/>
      <dgm:spPr>
        <a:xfrm>
          <a:off x="3242462" y="2176272"/>
          <a:ext cx="1580997" cy="1024128"/>
        </a:xfrm>
      </dgm:spPr>
      <dgm:t>
        <a:bodyPr/>
        <a:lstStyle/>
        <a:p>
          <a:r>
            <a:rPr lang="ro-MD"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Funcții de metrologie legală</a:t>
          </a:r>
          <a:endParaRPr lang="en-US" sz="800" b="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gm:t>
    </dgm:pt>
    <dgm:pt modelId="{98153B70-FDA2-455F-A8FB-CF8D73B00294}" type="parTrans" cxnId="{5D0F9DD1-FA2A-4A49-9363-C281F88788B8}">
      <dgm:prSet/>
      <dgm:spPr/>
      <dgm:t>
        <a:bodyPr/>
        <a:lstStyle/>
        <a:p>
          <a:endParaRPr lang="en-US"/>
        </a:p>
      </dgm:t>
    </dgm:pt>
    <dgm:pt modelId="{A83E4327-BB57-4319-AA24-834B181C8615}" type="sibTrans" cxnId="{5D0F9DD1-FA2A-4A49-9363-C281F88788B8}">
      <dgm:prSet/>
      <dgm:spPr/>
      <dgm:t>
        <a:bodyPr/>
        <a:lstStyle/>
        <a:p>
          <a:endParaRPr lang="en-US"/>
        </a:p>
      </dgm:t>
    </dgm:pt>
    <dgm:pt modelId="{0A98242B-5701-446C-9117-0F916D10627B}">
      <dgm:prSet phldrT="[Text]" custT="1"/>
      <dgm:spPr>
        <a:xfrm>
          <a:off x="3242462" y="0"/>
          <a:ext cx="1580997" cy="1024128"/>
        </a:xfrm>
      </dgm:spPr>
      <dgm:t>
        <a:bodyPr/>
        <a:lstStyle/>
        <a:p>
          <a:endParaRPr lang="en-US" sz="800" b="0" cap="none" spc="0">
            <a:ln w="0"/>
            <a:effectLst>
              <a:outerShdw blurRad="38100" dist="19050" dir="2700000" algn="tl" rotWithShape="0">
                <a:schemeClr val="dk1">
                  <a:alpha val="40000"/>
                </a:schemeClr>
              </a:outerShdw>
            </a:effectLst>
            <a:latin typeface="Calibri" panose="020F0502020204030204"/>
            <a:ea typeface="+mn-ea"/>
            <a:cs typeface="+mn-cs"/>
          </a:endParaRPr>
        </a:p>
      </dgm:t>
    </dgm:pt>
    <dgm:pt modelId="{5B733697-1675-4991-993C-5193018C9E2E}" type="parTrans" cxnId="{0F4D7CF6-6AF6-4E40-A3EE-27EE5D3C00FB}">
      <dgm:prSet/>
      <dgm:spPr/>
      <dgm:t>
        <a:bodyPr/>
        <a:lstStyle/>
        <a:p>
          <a:endParaRPr lang="en-US"/>
        </a:p>
      </dgm:t>
    </dgm:pt>
    <dgm:pt modelId="{371F182D-3660-4FC2-85C5-31BE7E3C1860}" type="sibTrans" cxnId="{0F4D7CF6-6AF6-4E40-A3EE-27EE5D3C00FB}">
      <dgm:prSet/>
      <dgm:spPr/>
      <dgm:t>
        <a:bodyPr/>
        <a:lstStyle/>
        <a:p>
          <a:endParaRPr lang="en-US"/>
        </a:p>
      </dgm:t>
    </dgm:pt>
    <dgm:pt modelId="{62B7B20E-C3A5-47DB-A069-EB86CBBEF23B}" type="pres">
      <dgm:prSet presAssocID="{BE5EC625-BDC2-40D7-8E04-1389AA5F19B3}" presName="cycleMatrixDiagram" presStyleCnt="0">
        <dgm:presLayoutVars>
          <dgm:chMax val="1"/>
          <dgm:dir/>
          <dgm:animLvl val="lvl"/>
          <dgm:resizeHandles val="exact"/>
        </dgm:presLayoutVars>
      </dgm:prSet>
      <dgm:spPr/>
      <dgm:t>
        <a:bodyPr/>
        <a:lstStyle/>
        <a:p>
          <a:endParaRPr lang="en-US"/>
        </a:p>
      </dgm:t>
    </dgm:pt>
    <dgm:pt modelId="{477D963A-0A91-4206-8496-DC438778092C}" type="pres">
      <dgm:prSet presAssocID="{BE5EC625-BDC2-40D7-8E04-1389AA5F19B3}" presName="children" presStyleCnt="0"/>
      <dgm:spPr/>
      <dgm:t>
        <a:bodyPr/>
        <a:lstStyle/>
        <a:p>
          <a:endParaRPr lang="en-US"/>
        </a:p>
      </dgm:t>
    </dgm:pt>
    <dgm:pt modelId="{E4DAFC9C-1758-4248-BD76-5C431A594352}" type="pres">
      <dgm:prSet presAssocID="{BE5EC625-BDC2-40D7-8E04-1389AA5F19B3}" presName="child1group" presStyleCnt="0"/>
      <dgm:spPr/>
      <dgm:t>
        <a:bodyPr/>
        <a:lstStyle/>
        <a:p>
          <a:endParaRPr lang="en-US"/>
        </a:p>
      </dgm:t>
    </dgm:pt>
    <dgm:pt modelId="{D18508A1-77F6-4DE0-AF37-F96C866F5F0B}" type="pres">
      <dgm:prSet presAssocID="{BE5EC625-BDC2-40D7-8E04-1389AA5F19B3}" presName="child1" presStyleLbl="bgAcc1" presStyleIdx="0" presStyleCnt="4" custScaleX="165392" custScaleY="123875" custLinFactNeighborX="-8950" custLinFactNeighborY="37656"/>
      <dgm:spPr/>
      <dgm:t>
        <a:bodyPr/>
        <a:lstStyle/>
        <a:p>
          <a:endParaRPr lang="en-US"/>
        </a:p>
      </dgm:t>
    </dgm:pt>
    <dgm:pt modelId="{FECD64ED-529A-454E-939B-676D44F8FD0F}" type="pres">
      <dgm:prSet presAssocID="{BE5EC625-BDC2-40D7-8E04-1389AA5F19B3}" presName="child1Text" presStyleLbl="bgAcc1" presStyleIdx="0" presStyleCnt="4">
        <dgm:presLayoutVars>
          <dgm:bulletEnabled val="1"/>
        </dgm:presLayoutVars>
      </dgm:prSet>
      <dgm:spPr/>
      <dgm:t>
        <a:bodyPr/>
        <a:lstStyle/>
        <a:p>
          <a:endParaRPr lang="en-US"/>
        </a:p>
      </dgm:t>
    </dgm:pt>
    <dgm:pt modelId="{5F93EBF5-E59B-4ABB-B233-6F693C5C2686}" type="pres">
      <dgm:prSet presAssocID="{BE5EC625-BDC2-40D7-8E04-1389AA5F19B3}" presName="child2group" presStyleCnt="0"/>
      <dgm:spPr/>
      <dgm:t>
        <a:bodyPr/>
        <a:lstStyle/>
        <a:p>
          <a:endParaRPr lang="en-US"/>
        </a:p>
      </dgm:t>
    </dgm:pt>
    <dgm:pt modelId="{537BB65F-0630-46F1-8047-28F2B3E42C88}" type="pres">
      <dgm:prSet presAssocID="{BE5EC625-BDC2-40D7-8E04-1389AA5F19B3}" presName="child2" presStyleLbl="bgAcc1" presStyleIdx="1" presStyleCnt="4" custScaleX="166309" custScaleY="123075" custLinFactNeighborX="8527" custLinFactNeighborY="37276"/>
      <dgm:spPr>
        <a:prstGeom prst="roundRect">
          <a:avLst>
            <a:gd name="adj" fmla="val 10000"/>
          </a:avLst>
        </a:prstGeom>
      </dgm:spPr>
      <dgm:t>
        <a:bodyPr/>
        <a:lstStyle/>
        <a:p>
          <a:endParaRPr lang="en-US"/>
        </a:p>
      </dgm:t>
    </dgm:pt>
    <dgm:pt modelId="{C20E6503-4185-4D67-BDB0-A320724FB0DB}" type="pres">
      <dgm:prSet presAssocID="{BE5EC625-BDC2-40D7-8E04-1389AA5F19B3}" presName="child2Text" presStyleLbl="bgAcc1" presStyleIdx="1" presStyleCnt="4">
        <dgm:presLayoutVars>
          <dgm:bulletEnabled val="1"/>
        </dgm:presLayoutVars>
      </dgm:prSet>
      <dgm:spPr/>
      <dgm:t>
        <a:bodyPr/>
        <a:lstStyle/>
        <a:p>
          <a:endParaRPr lang="en-US"/>
        </a:p>
      </dgm:t>
    </dgm:pt>
    <dgm:pt modelId="{39FA9C47-CB6F-4D1C-929E-3DFCC462B66C}" type="pres">
      <dgm:prSet presAssocID="{BE5EC625-BDC2-40D7-8E04-1389AA5F19B3}" presName="child3group" presStyleCnt="0"/>
      <dgm:spPr/>
      <dgm:t>
        <a:bodyPr/>
        <a:lstStyle/>
        <a:p>
          <a:endParaRPr lang="en-US"/>
        </a:p>
      </dgm:t>
    </dgm:pt>
    <dgm:pt modelId="{9D3452EE-2257-47F7-9267-AC9F7A4778A0}" type="pres">
      <dgm:prSet presAssocID="{BE5EC625-BDC2-40D7-8E04-1389AA5F19B3}" presName="child3" presStyleLbl="bgAcc1" presStyleIdx="2" presStyleCnt="4" custScaleX="163176" custScaleY="129725" custLinFactNeighborX="10699" custLinFactNeighborY="-30751"/>
      <dgm:spPr>
        <a:prstGeom prst="roundRect">
          <a:avLst>
            <a:gd name="adj" fmla="val 10000"/>
          </a:avLst>
        </a:prstGeom>
      </dgm:spPr>
      <dgm:t>
        <a:bodyPr/>
        <a:lstStyle/>
        <a:p>
          <a:endParaRPr lang="en-US"/>
        </a:p>
      </dgm:t>
    </dgm:pt>
    <dgm:pt modelId="{A164A021-8DEC-4BC1-833C-A51D36D00EAA}" type="pres">
      <dgm:prSet presAssocID="{BE5EC625-BDC2-40D7-8E04-1389AA5F19B3}" presName="child3Text" presStyleLbl="bgAcc1" presStyleIdx="2" presStyleCnt="4">
        <dgm:presLayoutVars>
          <dgm:bulletEnabled val="1"/>
        </dgm:presLayoutVars>
      </dgm:prSet>
      <dgm:spPr/>
      <dgm:t>
        <a:bodyPr/>
        <a:lstStyle/>
        <a:p>
          <a:endParaRPr lang="en-US"/>
        </a:p>
      </dgm:t>
    </dgm:pt>
    <dgm:pt modelId="{2F722776-82D5-47AC-A8EA-2129EB934843}" type="pres">
      <dgm:prSet presAssocID="{BE5EC625-BDC2-40D7-8E04-1389AA5F19B3}" presName="child4group" presStyleCnt="0"/>
      <dgm:spPr/>
      <dgm:t>
        <a:bodyPr/>
        <a:lstStyle/>
        <a:p>
          <a:endParaRPr lang="en-US"/>
        </a:p>
      </dgm:t>
    </dgm:pt>
    <dgm:pt modelId="{1C648AEE-BC3A-4A46-AED4-700408178919}" type="pres">
      <dgm:prSet presAssocID="{BE5EC625-BDC2-40D7-8E04-1389AA5F19B3}" presName="child4" presStyleLbl="bgAcc1" presStyleIdx="3" presStyleCnt="4" custScaleX="163449" custScaleY="126398" custLinFactNeighborX="-4909" custLinFactNeighborY="-35070"/>
      <dgm:spPr/>
      <dgm:t>
        <a:bodyPr/>
        <a:lstStyle/>
        <a:p>
          <a:endParaRPr lang="en-US"/>
        </a:p>
      </dgm:t>
    </dgm:pt>
    <dgm:pt modelId="{6C3BF486-E07C-4573-8775-924AD2BCE9AD}" type="pres">
      <dgm:prSet presAssocID="{BE5EC625-BDC2-40D7-8E04-1389AA5F19B3}" presName="child4Text" presStyleLbl="bgAcc1" presStyleIdx="3" presStyleCnt="4">
        <dgm:presLayoutVars>
          <dgm:bulletEnabled val="1"/>
        </dgm:presLayoutVars>
      </dgm:prSet>
      <dgm:spPr/>
      <dgm:t>
        <a:bodyPr/>
        <a:lstStyle/>
        <a:p>
          <a:endParaRPr lang="en-US"/>
        </a:p>
      </dgm:t>
    </dgm:pt>
    <dgm:pt modelId="{C40DA4F9-8642-4E13-9B91-10B399B1DB54}" type="pres">
      <dgm:prSet presAssocID="{BE5EC625-BDC2-40D7-8E04-1389AA5F19B3}" presName="childPlaceholder" presStyleCnt="0"/>
      <dgm:spPr/>
      <dgm:t>
        <a:bodyPr/>
        <a:lstStyle/>
        <a:p>
          <a:endParaRPr lang="en-US"/>
        </a:p>
      </dgm:t>
    </dgm:pt>
    <dgm:pt modelId="{54727079-43F0-4E64-B5CA-C9BFBCE75DBE}" type="pres">
      <dgm:prSet presAssocID="{BE5EC625-BDC2-40D7-8E04-1389AA5F19B3}" presName="circle" presStyleCnt="0"/>
      <dgm:spPr/>
      <dgm:t>
        <a:bodyPr/>
        <a:lstStyle/>
        <a:p>
          <a:endParaRPr lang="en-US"/>
        </a:p>
      </dgm:t>
    </dgm:pt>
    <dgm:pt modelId="{70FD9A59-CEB2-430E-BB3E-8FD360075D5E}" type="pres">
      <dgm:prSet presAssocID="{BE5EC625-BDC2-40D7-8E04-1389AA5F19B3}" presName="quadrant1" presStyleLbl="node1" presStyleIdx="0" presStyleCnt="4" custScaleX="102947" custScaleY="95928" custLinFactNeighborX="-2590" custLinFactNeighborY="-691">
        <dgm:presLayoutVars>
          <dgm:chMax val="1"/>
          <dgm:bulletEnabled val="1"/>
        </dgm:presLayoutVars>
      </dgm:prSet>
      <dgm:spPr/>
      <dgm:t>
        <a:bodyPr/>
        <a:lstStyle/>
        <a:p>
          <a:endParaRPr lang="en-US"/>
        </a:p>
      </dgm:t>
    </dgm:pt>
    <dgm:pt modelId="{B4AF9779-B51A-4CD5-907F-F65BDD089AA1}" type="pres">
      <dgm:prSet presAssocID="{BE5EC625-BDC2-40D7-8E04-1389AA5F19B3}" presName="quadrant2" presStyleLbl="node1" presStyleIdx="1" presStyleCnt="4" custScaleX="94892" custScaleY="99132">
        <dgm:presLayoutVars>
          <dgm:chMax val="1"/>
          <dgm:bulletEnabled val="1"/>
        </dgm:presLayoutVars>
      </dgm:prSet>
      <dgm:spPr/>
      <dgm:t>
        <a:bodyPr/>
        <a:lstStyle/>
        <a:p>
          <a:endParaRPr lang="en-US"/>
        </a:p>
      </dgm:t>
    </dgm:pt>
    <dgm:pt modelId="{F391EFC6-9AF0-4B2D-BBF4-48FAEA2ED565}" type="pres">
      <dgm:prSet presAssocID="{BE5EC625-BDC2-40D7-8E04-1389AA5F19B3}" presName="quadrant3" presStyleLbl="node1" presStyleIdx="2" presStyleCnt="4">
        <dgm:presLayoutVars>
          <dgm:chMax val="1"/>
          <dgm:bulletEnabled val="1"/>
        </dgm:presLayoutVars>
      </dgm:prSet>
      <dgm:spPr/>
      <dgm:t>
        <a:bodyPr/>
        <a:lstStyle/>
        <a:p>
          <a:endParaRPr lang="en-US"/>
        </a:p>
      </dgm:t>
    </dgm:pt>
    <dgm:pt modelId="{DDA42CF2-D1A8-4FDD-B085-DD581C6C1A95}" type="pres">
      <dgm:prSet presAssocID="{BE5EC625-BDC2-40D7-8E04-1389AA5F19B3}" presName="quadrant4" presStyleLbl="node1" presStyleIdx="3" presStyleCnt="4" custLinFactNeighborX="-1575" custLinFactNeighborY="1575">
        <dgm:presLayoutVars>
          <dgm:chMax val="1"/>
          <dgm:bulletEnabled val="1"/>
        </dgm:presLayoutVars>
      </dgm:prSet>
      <dgm:spPr/>
      <dgm:t>
        <a:bodyPr/>
        <a:lstStyle/>
        <a:p>
          <a:endParaRPr lang="en-US"/>
        </a:p>
      </dgm:t>
    </dgm:pt>
    <dgm:pt modelId="{C39F295F-4989-4E6D-B491-8A3D9048A20B}" type="pres">
      <dgm:prSet presAssocID="{BE5EC625-BDC2-40D7-8E04-1389AA5F19B3}" presName="quadrantPlaceholder" presStyleCnt="0"/>
      <dgm:spPr/>
      <dgm:t>
        <a:bodyPr/>
        <a:lstStyle/>
        <a:p>
          <a:endParaRPr lang="en-US"/>
        </a:p>
      </dgm:t>
    </dgm:pt>
    <dgm:pt modelId="{66DDAEF6-1602-40CB-9A7D-03AA5C282953}" type="pres">
      <dgm:prSet presAssocID="{BE5EC625-BDC2-40D7-8E04-1389AA5F19B3}" presName="center1" presStyleLbl="fgShp" presStyleIdx="0" presStyleCnt="2"/>
      <dgm:spPr>
        <a:xfrm>
          <a:off x="2503970" y="1312164"/>
          <a:ext cx="478459" cy="416052"/>
        </a:xfrm>
        <a:prstGeom prst="circularArrow">
          <a:avLst/>
        </a:prstGeom>
      </dgm:spPr>
      <dgm:t>
        <a:bodyPr/>
        <a:lstStyle/>
        <a:p>
          <a:endParaRPr lang="en-US"/>
        </a:p>
      </dgm:t>
    </dgm:pt>
    <dgm:pt modelId="{B015CADB-1C33-4E36-AC9F-03E5AD7BB3DA}" type="pres">
      <dgm:prSet presAssocID="{BE5EC625-BDC2-40D7-8E04-1389AA5F19B3}" presName="center2" presStyleLbl="fgShp" presStyleIdx="1" presStyleCnt="2"/>
      <dgm:spPr>
        <a:xfrm rot="10800000">
          <a:off x="2503970" y="1472184"/>
          <a:ext cx="478459" cy="416052"/>
        </a:xfrm>
        <a:prstGeom prst="circularArrow">
          <a:avLst/>
        </a:prstGeom>
      </dgm:spPr>
      <dgm:t>
        <a:bodyPr/>
        <a:lstStyle/>
        <a:p>
          <a:endParaRPr lang="en-US"/>
        </a:p>
      </dgm:t>
    </dgm:pt>
  </dgm:ptLst>
  <dgm:cxnLst>
    <dgm:cxn modelId="{806EB9F5-27CF-4C3A-B10F-6CB363E093EB}" type="presOf" srcId="{3DE5824D-31FD-4DF3-9159-12A6FD73C74B}" destId="{FECD64ED-529A-454E-939B-676D44F8FD0F}" srcOrd="1" destOrd="3" presId="urn:microsoft.com/office/officeart/2005/8/layout/cycle4"/>
    <dgm:cxn modelId="{5C5F5AB5-E4BA-4FB6-95F3-BA6D97F4C242}" srcId="{D419BE67-1925-49C8-B8DD-A1F66A04A435}" destId="{426E8162-7D3B-4A5E-9862-31BD8EFAD69A}" srcOrd="3" destOrd="0" parTransId="{CAD04913-01A2-43D4-8A6F-AC0707647A5B}" sibTransId="{95A184DE-3541-4329-BF1E-1AADF2A4C3F8}"/>
    <dgm:cxn modelId="{61828696-0861-4BCE-A06D-26BA4D7365FA}" type="presOf" srcId="{42890504-C04F-48C9-A8F4-E0CEC16F2FFF}" destId="{9D3452EE-2257-47F7-9267-AC9F7A4778A0}" srcOrd="0" destOrd="0" presId="urn:microsoft.com/office/officeart/2005/8/layout/cycle4"/>
    <dgm:cxn modelId="{E3C5D73F-1627-4ADC-B54F-BA73E6734BEB}" type="presOf" srcId="{8AE22CF6-E081-4EDB-9C55-7FDF5EAE05FA}" destId="{537BB65F-0630-46F1-8047-28F2B3E42C88}" srcOrd="0" destOrd="1" presId="urn:microsoft.com/office/officeart/2005/8/layout/cycle4"/>
    <dgm:cxn modelId="{E3399CC1-A5A4-4218-9F21-FE76B5543039}" srcId="{D2C2FD1F-4ACE-477F-9661-B94267D07566}" destId="{42890504-C04F-48C9-A8F4-E0CEC16F2FFF}" srcOrd="0" destOrd="0" parTransId="{7ADF9ADF-ED68-4500-9FF7-511B26931023}" sibTransId="{7FD5AD7B-18DE-4944-BAB0-EE3061C26B3B}"/>
    <dgm:cxn modelId="{40CAC1C6-1888-4846-B076-CC5E604B824F}" type="presOf" srcId="{37B0B505-A69E-4F3C-A74F-214406E93B06}" destId="{A164A021-8DEC-4BC1-833C-A51D36D00EAA}" srcOrd="1" destOrd="1" presId="urn:microsoft.com/office/officeart/2005/8/layout/cycle4"/>
    <dgm:cxn modelId="{5D0F9DD1-FA2A-4A49-9363-C281F88788B8}" srcId="{D2C2FD1F-4ACE-477F-9661-B94267D07566}" destId="{37B0B505-A69E-4F3C-A74F-214406E93B06}" srcOrd="1" destOrd="0" parTransId="{98153B70-FDA2-455F-A8FB-CF8D73B00294}" sibTransId="{A83E4327-BB57-4319-AA24-834B181C8615}"/>
    <dgm:cxn modelId="{41E936D3-7C0E-468B-922B-C679529A172B}" srcId="{D419BE67-1925-49C8-B8DD-A1F66A04A435}" destId="{9AF335CF-6BE1-4BEF-AF40-F411CDD95274}" srcOrd="4" destOrd="0" parTransId="{78DA287C-3DD6-42F4-835A-A824FE3258EB}" sibTransId="{9739680D-70A3-4E7A-8338-A0C6DE9D1EB6}"/>
    <dgm:cxn modelId="{E26CC3EC-C1DC-42C2-B1BC-C76331AE3FCB}" type="presOf" srcId="{0A98242B-5701-446C-9117-0F916D10627B}" destId="{C20E6503-4185-4D67-BDB0-A320724FB0DB}" srcOrd="1" destOrd="0" presId="urn:microsoft.com/office/officeart/2005/8/layout/cycle4"/>
    <dgm:cxn modelId="{F4E85EEC-EADB-4081-99FD-D143E7A1E483}" type="presOf" srcId="{3DE5824D-31FD-4DF3-9159-12A6FD73C74B}" destId="{D18508A1-77F6-4DE0-AF37-F96C866F5F0B}" srcOrd="0" destOrd="3" presId="urn:microsoft.com/office/officeart/2005/8/layout/cycle4"/>
    <dgm:cxn modelId="{322A8DC9-F69C-46BC-AA86-1D675D9FE13D}" srcId="{3CA66003-08BD-4490-85AD-E09B63E6C424}" destId="{C1443D6D-5411-4F24-8F3A-BE6DF6C5AE81}" srcOrd="4" destOrd="0" parTransId="{94EBA6C0-7D59-4358-A4C1-F7533C2F60E4}" sibTransId="{7BD50CB2-73F4-48A7-BE24-7A2A87B6B512}"/>
    <dgm:cxn modelId="{D53A8E4A-4898-4F89-A12B-7C6EF2A3125E}" type="presOf" srcId="{81B9EAC0-5D8B-4D62-87AD-F1A838664F65}" destId="{6C3BF486-E07C-4573-8775-924AD2BCE9AD}" srcOrd="1" destOrd="0" presId="urn:microsoft.com/office/officeart/2005/8/layout/cycle4"/>
    <dgm:cxn modelId="{97237368-FBF8-48D3-AE57-467BC6800E17}" type="presOf" srcId="{C1443D6D-5411-4F24-8F3A-BE6DF6C5AE81}" destId="{FECD64ED-529A-454E-939B-676D44F8FD0F}" srcOrd="1" destOrd="4" presId="urn:microsoft.com/office/officeart/2005/8/layout/cycle4"/>
    <dgm:cxn modelId="{311F1E84-25A8-4692-9BF7-F7A86C817D37}" type="presOf" srcId="{BE5EC625-BDC2-40D7-8E04-1389AA5F19B3}" destId="{62B7B20E-C3A5-47DB-A069-EB86CBBEF23B}" srcOrd="0" destOrd="0" presId="urn:microsoft.com/office/officeart/2005/8/layout/cycle4"/>
    <dgm:cxn modelId="{18FDD5C1-822E-4261-A97D-9B298C6A6733}" type="presOf" srcId="{37B0B505-A69E-4F3C-A74F-214406E93B06}" destId="{9D3452EE-2257-47F7-9267-AC9F7A4778A0}" srcOrd="0" destOrd="1" presId="urn:microsoft.com/office/officeart/2005/8/layout/cycle4"/>
    <dgm:cxn modelId="{EA28E1F4-8B22-4619-AA8C-E2D0C065CA94}" type="presOf" srcId="{9AF335CF-6BE1-4BEF-AF40-F411CDD95274}" destId="{C20E6503-4185-4D67-BDB0-A320724FB0DB}" srcOrd="1" destOrd="4" presId="urn:microsoft.com/office/officeart/2005/8/layout/cycle4"/>
    <dgm:cxn modelId="{DCE3A5B9-C18A-443C-B53F-5FCEA9E50A37}" type="presOf" srcId="{426E8162-7D3B-4A5E-9862-31BD8EFAD69A}" destId="{537BB65F-0630-46F1-8047-28F2B3E42C88}" srcOrd="0" destOrd="3" presId="urn:microsoft.com/office/officeart/2005/8/layout/cycle4"/>
    <dgm:cxn modelId="{FF0910BF-622A-4980-8FB5-9C7AF175B734}" type="presOf" srcId="{3CA66003-08BD-4490-85AD-E09B63E6C424}" destId="{70FD9A59-CEB2-430E-BB3E-8FD360075D5E}" srcOrd="0" destOrd="0" presId="urn:microsoft.com/office/officeart/2005/8/layout/cycle4"/>
    <dgm:cxn modelId="{9F811DCD-F94D-43F3-95D7-D80BCCBCF959}" type="presOf" srcId="{DCC8917E-D4CA-42EE-A43E-24BB9494FA92}" destId="{D18508A1-77F6-4DE0-AF37-F96C866F5F0B}" srcOrd="0" destOrd="0" presId="urn:microsoft.com/office/officeart/2005/8/layout/cycle4"/>
    <dgm:cxn modelId="{900DDD76-A438-4D21-8CDF-AD6B49B3D27C}" srcId="{3CA66003-08BD-4490-85AD-E09B63E6C424}" destId="{3DE5824D-31FD-4DF3-9159-12A6FD73C74B}" srcOrd="3" destOrd="0" parTransId="{5F44A8B3-7046-4512-A3BD-BA2DD57B84E7}" sibTransId="{E5386584-56D7-4332-8796-35A77B18E492}"/>
    <dgm:cxn modelId="{856D4D39-7FE6-4DF1-B488-F1D8C1DABB00}" type="presOf" srcId="{91D651FA-AC01-491C-A3A1-81F3959474E2}" destId="{C20E6503-4185-4D67-BDB0-A320724FB0DB}" srcOrd="1" destOrd="2" presId="urn:microsoft.com/office/officeart/2005/8/layout/cycle4"/>
    <dgm:cxn modelId="{1F2F0778-D7E9-4E0C-8605-C3FD723A2C2E}" type="presOf" srcId="{4F259C15-54C6-45C1-9A84-7AF31DF83E57}" destId="{D18508A1-77F6-4DE0-AF37-F96C866F5F0B}" srcOrd="0" destOrd="1" presId="urn:microsoft.com/office/officeart/2005/8/layout/cycle4"/>
    <dgm:cxn modelId="{024A9368-9F86-439D-A449-01E9959A7915}" srcId="{19F17BDC-A61B-44E1-8D77-1F6F59D9378D}" destId="{81B9EAC0-5D8B-4D62-87AD-F1A838664F65}" srcOrd="0" destOrd="0" parTransId="{B2BA4DFF-5BB6-414A-AE4A-9D8F01D13E62}" sibTransId="{E7DAE9C6-D90D-4089-86A4-52C29271ACE0}"/>
    <dgm:cxn modelId="{0641F36E-FEC5-4A63-A0C4-FA92DE75ECF9}" srcId="{3CA66003-08BD-4490-85AD-E09B63E6C424}" destId="{0DAEB7E8-42EC-44F7-95EB-88B51B8164C8}" srcOrd="2" destOrd="0" parTransId="{DE9024BA-81F3-4A59-BBBC-8531DDD21A1A}" sibTransId="{96A31FF3-44DB-49B2-8C54-82539744FB7D}"/>
    <dgm:cxn modelId="{0CD6FB74-26E5-4DA2-B3DA-0798B43C8D56}" type="presOf" srcId="{8AE22CF6-E081-4EDB-9C55-7FDF5EAE05FA}" destId="{C20E6503-4185-4D67-BDB0-A320724FB0DB}" srcOrd="1" destOrd="1" presId="urn:microsoft.com/office/officeart/2005/8/layout/cycle4"/>
    <dgm:cxn modelId="{0F4D7CF6-6AF6-4E40-A3EE-27EE5D3C00FB}" srcId="{D419BE67-1925-49C8-B8DD-A1F66A04A435}" destId="{0A98242B-5701-446C-9117-0F916D10627B}" srcOrd="0" destOrd="0" parTransId="{5B733697-1675-4991-993C-5193018C9E2E}" sibTransId="{371F182D-3660-4FC2-85C5-31BE7E3C1860}"/>
    <dgm:cxn modelId="{8F9ABCE4-3229-4326-95FB-5BDC78A536A9}" type="presOf" srcId="{C1443D6D-5411-4F24-8F3A-BE6DF6C5AE81}" destId="{D18508A1-77F6-4DE0-AF37-F96C866F5F0B}" srcOrd="0" destOrd="4" presId="urn:microsoft.com/office/officeart/2005/8/layout/cycle4"/>
    <dgm:cxn modelId="{81172201-783F-4731-8295-411FC08DE87B}" type="presOf" srcId="{DCC8917E-D4CA-42EE-A43E-24BB9494FA92}" destId="{FECD64ED-529A-454E-939B-676D44F8FD0F}" srcOrd="1" destOrd="0" presId="urn:microsoft.com/office/officeart/2005/8/layout/cycle4"/>
    <dgm:cxn modelId="{C7B8B37A-4D12-4EE8-9CC5-53E74F807003}" type="presOf" srcId="{81B9EAC0-5D8B-4D62-87AD-F1A838664F65}" destId="{1C648AEE-BC3A-4A46-AED4-700408178919}" srcOrd="0" destOrd="0" presId="urn:microsoft.com/office/officeart/2005/8/layout/cycle4"/>
    <dgm:cxn modelId="{CAC0B79C-5940-49A0-970E-67FC6CA495E8}" srcId="{BE5EC625-BDC2-40D7-8E04-1389AA5F19B3}" destId="{D2C2FD1F-4ACE-477F-9661-B94267D07566}" srcOrd="2" destOrd="0" parTransId="{85F4C7AF-4ACD-4AA0-AA17-6B54FDEBD577}" sibTransId="{34E5C0D6-243B-443D-94D3-EAA2EF1B1F44}"/>
    <dgm:cxn modelId="{F7A12D84-BD09-493D-AA1A-07AD995B5120}" type="presOf" srcId="{0A98242B-5701-446C-9117-0F916D10627B}" destId="{537BB65F-0630-46F1-8047-28F2B3E42C88}" srcOrd="0" destOrd="0" presId="urn:microsoft.com/office/officeart/2005/8/layout/cycle4"/>
    <dgm:cxn modelId="{98A59036-74B1-45DD-829A-D388419E837E}" type="presOf" srcId="{0DAEB7E8-42EC-44F7-95EB-88B51B8164C8}" destId="{D18508A1-77F6-4DE0-AF37-F96C866F5F0B}" srcOrd="0" destOrd="2" presId="urn:microsoft.com/office/officeart/2005/8/layout/cycle4"/>
    <dgm:cxn modelId="{31AF29A2-B378-4D01-9D83-11CA3CFFEDD0}" srcId="{BE5EC625-BDC2-40D7-8E04-1389AA5F19B3}" destId="{3CA66003-08BD-4490-85AD-E09B63E6C424}" srcOrd="0" destOrd="0" parTransId="{DDCE0527-F4F6-4B97-B07D-66E5B0C7BB91}" sibTransId="{FFF74B89-D7E9-4558-9B63-E15903123F2A}"/>
    <dgm:cxn modelId="{A9B497A8-2E24-4037-9017-B70C437EC6E4}" srcId="{D419BE67-1925-49C8-B8DD-A1F66A04A435}" destId="{91D651FA-AC01-491C-A3A1-81F3959474E2}" srcOrd="2" destOrd="0" parTransId="{931E4DB7-6D4A-410F-B57B-C08576140A47}" sibTransId="{F348C8BD-F268-4B69-AFBC-300701C62429}"/>
    <dgm:cxn modelId="{C342285E-E824-4B2F-B3D2-7EA72F182F4C}" srcId="{BE5EC625-BDC2-40D7-8E04-1389AA5F19B3}" destId="{C80973BF-08D6-4565-9718-E70EF8D30489}" srcOrd="5" destOrd="0" parTransId="{BAD90664-8B60-46E3-A0B3-350094124B4F}" sibTransId="{5651A7C8-DBEA-47BF-B17B-72992FC69500}"/>
    <dgm:cxn modelId="{E0C01EB1-7F72-4018-9455-2900D59E05BF}" srcId="{D419BE67-1925-49C8-B8DD-A1F66A04A435}" destId="{8AE22CF6-E081-4EDB-9C55-7FDF5EAE05FA}" srcOrd="1" destOrd="0" parTransId="{5C3D9685-D3B7-42D8-8629-C5AAEE3AECC0}" sibTransId="{934A6D29-16E0-475E-B142-012D1006FD9E}"/>
    <dgm:cxn modelId="{93396431-3918-4910-9A34-8CFC7AE7AEB5}" srcId="{3CA66003-08BD-4490-85AD-E09B63E6C424}" destId="{4F259C15-54C6-45C1-9A84-7AF31DF83E57}" srcOrd="1" destOrd="0" parTransId="{88612A99-5FC2-4DBB-866A-C66FA1341CED}" sibTransId="{418474DF-746F-4329-84D9-95BC7ED37AC2}"/>
    <dgm:cxn modelId="{C3E68F53-0A17-4BA3-AA53-94F21D8BA256}" type="presOf" srcId="{426E8162-7D3B-4A5E-9862-31BD8EFAD69A}" destId="{C20E6503-4185-4D67-BDB0-A320724FB0DB}" srcOrd="1" destOrd="3" presId="urn:microsoft.com/office/officeart/2005/8/layout/cycle4"/>
    <dgm:cxn modelId="{1B1ACCDD-3A60-4694-9AF5-6F5BE33669C4}" srcId="{BE5EC625-BDC2-40D7-8E04-1389AA5F19B3}" destId="{19F17BDC-A61B-44E1-8D77-1F6F59D9378D}" srcOrd="3" destOrd="0" parTransId="{3610E3BB-2769-43E6-861F-8C6861B75E85}" sibTransId="{1F72EB82-85C2-4FCC-ABD2-C42CA2C31A10}"/>
    <dgm:cxn modelId="{8AAB561E-F495-4B8F-B46B-5310C3902C55}" srcId="{BE5EC625-BDC2-40D7-8E04-1389AA5F19B3}" destId="{7E8C9975-9732-43EF-BBC9-A8BB129A3232}" srcOrd="4" destOrd="0" parTransId="{56EDB8E9-C79C-4E9E-B955-A5D1514BC251}" sibTransId="{D5057AA7-F5D4-4FE4-A613-7C3FB5300798}"/>
    <dgm:cxn modelId="{85537A68-56B8-42C3-9BF2-93E294E96460}" srcId="{3CA66003-08BD-4490-85AD-E09B63E6C424}" destId="{DCC8917E-D4CA-42EE-A43E-24BB9494FA92}" srcOrd="0" destOrd="0" parTransId="{CB15DA90-403F-474E-80DA-5E9B631188FF}" sibTransId="{ED86F8E2-8348-4756-B882-3EEBE37B0840}"/>
    <dgm:cxn modelId="{E4FD88C4-2470-43BA-9D8E-C1A4F19B6790}" type="presOf" srcId="{D2C2FD1F-4ACE-477F-9661-B94267D07566}" destId="{F391EFC6-9AF0-4B2D-BBF4-48FAEA2ED565}" srcOrd="0" destOrd="0" presId="urn:microsoft.com/office/officeart/2005/8/layout/cycle4"/>
    <dgm:cxn modelId="{471260F7-C347-4F7C-8C96-C460ABB1D2BD}" type="presOf" srcId="{19F17BDC-A61B-44E1-8D77-1F6F59D9378D}" destId="{DDA42CF2-D1A8-4FDD-B085-DD581C6C1A95}" srcOrd="0" destOrd="0" presId="urn:microsoft.com/office/officeart/2005/8/layout/cycle4"/>
    <dgm:cxn modelId="{62C5E5D8-81EB-4B55-8677-58B2302AB75F}" type="presOf" srcId="{0DAEB7E8-42EC-44F7-95EB-88B51B8164C8}" destId="{FECD64ED-529A-454E-939B-676D44F8FD0F}" srcOrd="1" destOrd="2" presId="urn:microsoft.com/office/officeart/2005/8/layout/cycle4"/>
    <dgm:cxn modelId="{DF14A6FE-D82A-454B-BD62-C8A254DB47B3}" type="presOf" srcId="{42890504-C04F-48C9-A8F4-E0CEC16F2FFF}" destId="{A164A021-8DEC-4BC1-833C-A51D36D00EAA}" srcOrd="1" destOrd="0" presId="urn:microsoft.com/office/officeart/2005/8/layout/cycle4"/>
    <dgm:cxn modelId="{3577A6E9-0076-4548-ABB4-95683DD695B1}" type="presOf" srcId="{91D651FA-AC01-491C-A3A1-81F3959474E2}" destId="{537BB65F-0630-46F1-8047-28F2B3E42C88}" srcOrd="0" destOrd="2" presId="urn:microsoft.com/office/officeart/2005/8/layout/cycle4"/>
    <dgm:cxn modelId="{ECE89473-C9E8-459E-BF95-821955EF1598}" type="presOf" srcId="{9AF335CF-6BE1-4BEF-AF40-F411CDD95274}" destId="{537BB65F-0630-46F1-8047-28F2B3E42C88}" srcOrd="0" destOrd="4" presId="urn:microsoft.com/office/officeart/2005/8/layout/cycle4"/>
    <dgm:cxn modelId="{D1CA33C6-3425-4DEE-9610-C93CDED045B9}" srcId="{BE5EC625-BDC2-40D7-8E04-1389AA5F19B3}" destId="{D419BE67-1925-49C8-B8DD-A1F66A04A435}" srcOrd="1" destOrd="0" parTransId="{1501932A-5C68-44AF-8D83-C4800EEE9476}" sibTransId="{1C7C64D0-30CE-4555-95A8-466FBC4390E6}"/>
    <dgm:cxn modelId="{C5F74848-A1E6-4B11-B1FB-A335AA6A9A6A}" type="presOf" srcId="{D419BE67-1925-49C8-B8DD-A1F66A04A435}" destId="{B4AF9779-B51A-4CD5-907F-F65BDD089AA1}" srcOrd="0" destOrd="0" presId="urn:microsoft.com/office/officeart/2005/8/layout/cycle4"/>
    <dgm:cxn modelId="{833E2CB8-D457-4E7A-B5DC-A323704CA157}" type="presOf" srcId="{4F259C15-54C6-45C1-9A84-7AF31DF83E57}" destId="{FECD64ED-529A-454E-939B-676D44F8FD0F}" srcOrd="1" destOrd="1" presId="urn:microsoft.com/office/officeart/2005/8/layout/cycle4"/>
    <dgm:cxn modelId="{36B8DB89-D23A-456F-8D71-75B00462E38D}" type="presParOf" srcId="{62B7B20E-C3A5-47DB-A069-EB86CBBEF23B}" destId="{477D963A-0A91-4206-8496-DC438778092C}" srcOrd="0" destOrd="0" presId="urn:microsoft.com/office/officeart/2005/8/layout/cycle4"/>
    <dgm:cxn modelId="{B897DF9A-F4C8-491C-AAED-3EE59D1B49CA}" type="presParOf" srcId="{477D963A-0A91-4206-8496-DC438778092C}" destId="{E4DAFC9C-1758-4248-BD76-5C431A594352}" srcOrd="0" destOrd="0" presId="urn:microsoft.com/office/officeart/2005/8/layout/cycle4"/>
    <dgm:cxn modelId="{7C1B33C5-1060-4B85-85C4-9B33BFD0883F}" type="presParOf" srcId="{E4DAFC9C-1758-4248-BD76-5C431A594352}" destId="{D18508A1-77F6-4DE0-AF37-F96C866F5F0B}" srcOrd="0" destOrd="0" presId="urn:microsoft.com/office/officeart/2005/8/layout/cycle4"/>
    <dgm:cxn modelId="{1858BE1B-6FF2-42C6-9B26-A9FA09BFAD6B}" type="presParOf" srcId="{E4DAFC9C-1758-4248-BD76-5C431A594352}" destId="{FECD64ED-529A-454E-939B-676D44F8FD0F}" srcOrd="1" destOrd="0" presId="urn:microsoft.com/office/officeart/2005/8/layout/cycle4"/>
    <dgm:cxn modelId="{69374DEB-D25F-4CE1-870D-EE9D1C3C6BFA}" type="presParOf" srcId="{477D963A-0A91-4206-8496-DC438778092C}" destId="{5F93EBF5-E59B-4ABB-B233-6F693C5C2686}" srcOrd="1" destOrd="0" presId="urn:microsoft.com/office/officeart/2005/8/layout/cycle4"/>
    <dgm:cxn modelId="{70D4DE0C-C06D-48B8-913A-8D5C5A6D539A}" type="presParOf" srcId="{5F93EBF5-E59B-4ABB-B233-6F693C5C2686}" destId="{537BB65F-0630-46F1-8047-28F2B3E42C88}" srcOrd="0" destOrd="0" presId="urn:microsoft.com/office/officeart/2005/8/layout/cycle4"/>
    <dgm:cxn modelId="{2E47783A-92B4-4186-8691-C2295E142BE7}" type="presParOf" srcId="{5F93EBF5-E59B-4ABB-B233-6F693C5C2686}" destId="{C20E6503-4185-4D67-BDB0-A320724FB0DB}" srcOrd="1" destOrd="0" presId="urn:microsoft.com/office/officeart/2005/8/layout/cycle4"/>
    <dgm:cxn modelId="{75A74ABA-8380-4A31-AB63-F93AE61B236B}" type="presParOf" srcId="{477D963A-0A91-4206-8496-DC438778092C}" destId="{39FA9C47-CB6F-4D1C-929E-3DFCC462B66C}" srcOrd="2" destOrd="0" presId="urn:microsoft.com/office/officeart/2005/8/layout/cycle4"/>
    <dgm:cxn modelId="{280DDEF3-FBDC-42F0-994E-67864CF8B24A}" type="presParOf" srcId="{39FA9C47-CB6F-4D1C-929E-3DFCC462B66C}" destId="{9D3452EE-2257-47F7-9267-AC9F7A4778A0}" srcOrd="0" destOrd="0" presId="urn:microsoft.com/office/officeart/2005/8/layout/cycle4"/>
    <dgm:cxn modelId="{73E1BB6E-81A3-4E7F-95C1-ED99DED3332A}" type="presParOf" srcId="{39FA9C47-CB6F-4D1C-929E-3DFCC462B66C}" destId="{A164A021-8DEC-4BC1-833C-A51D36D00EAA}" srcOrd="1" destOrd="0" presId="urn:microsoft.com/office/officeart/2005/8/layout/cycle4"/>
    <dgm:cxn modelId="{3D5290F9-AD47-446E-8BB9-78F8194CE908}" type="presParOf" srcId="{477D963A-0A91-4206-8496-DC438778092C}" destId="{2F722776-82D5-47AC-A8EA-2129EB934843}" srcOrd="3" destOrd="0" presId="urn:microsoft.com/office/officeart/2005/8/layout/cycle4"/>
    <dgm:cxn modelId="{82A61AE4-7D1D-4E88-938A-0E39F377F5F7}" type="presParOf" srcId="{2F722776-82D5-47AC-A8EA-2129EB934843}" destId="{1C648AEE-BC3A-4A46-AED4-700408178919}" srcOrd="0" destOrd="0" presId="urn:microsoft.com/office/officeart/2005/8/layout/cycle4"/>
    <dgm:cxn modelId="{9AA4A92A-3121-45FF-9639-34DB2F1104B2}" type="presParOf" srcId="{2F722776-82D5-47AC-A8EA-2129EB934843}" destId="{6C3BF486-E07C-4573-8775-924AD2BCE9AD}" srcOrd="1" destOrd="0" presId="urn:microsoft.com/office/officeart/2005/8/layout/cycle4"/>
    <dgm:cxn modelId="{C464B55E-D1B1-4AE2-B80D-5643B585E4D9}" type="presParOf" srcId="{477D963A-0A91-4206-8496-DC438778092C}" destId="{C40DA4F9-8642-4E13-9B91-10B399B1DB54}" srcOrd="4" destOrd="0" presId="urn:microsoft.com/office/officeart/2005/8/layout/cycle4"/>
    <dgm:cxn modelId="{AF003AF5-C6AB-4E1A-A5C1-A988F77341CC}" type="presParOf" srcId="{62B7B20E-C3A5-47DB-A069-EB86CBBEF23B}" destId="{54727079-43F0-4E64-B5CA-C9BFBCE75DBE}" srcOrd="1" destOrd="0" presId="urn:microsoft.com/office/officeart/2005/8/layout/cycle4"/>
    <dgm:cxn modelId="{A7DE3F56-81E3-4381-AE25-0B93440DFF3F}" type="presParOf" srcId="{54727079-43F0-4E64-B5CA-C9BFBCE75DBE}" destId="{70FD9A59-CEB2-430E-BB3E-8FD360075D5E}" srcOrd="0" destOrd="0" presId="urn:microsoft.com/office/officeart/2005/8/layout/cycle4"/>
    <dgm:cxn modelId="{83418186-EDB4-4E4F-909A-D464F174F039}" type="presParOf" srcId="{54727079-43F0-4E64-B5CA-C9BFBCE75DBE}" destId="{B4AF9779-B51A-4CD5-907F-F65BDD089AA1}" srcOrd="1" destOrd="0" presId="urn:microsoft.com/office/officeart/2005/8/layout/cycle4"/>
    <dgm:cxn modelId="{52BBA151-6372-4447-BCC8-7DA04ABE726F}" type="presParOf" srcId="{54727079-43F0-4E64-B5CA-C9BFBCE75DBE}" destId="{F391EFC6-9AF0-4B2D-BBF4-48FAEA2ED565}" srcOrd="2" destOrd="0" presId="urn:microsoft.com/office/officeart/2005/8/layout/cycle4"/>
    <dgm:cxn modelId="{B3A66600-D4C6-4146-AF20-4C02E909CA28}" type="presParOf" srcId="{54727079-43F0-4E64-B5CA-C9BFBCE75DBE}" destId="{DDA42CF2-D1A8-4FDD-B085-DD581C6C1A95}" srcOrd="3" destOrd="0" presId="urn:microsoft.com/office/officeart/2005/8/layout/cycle4"/>
    <dgm:cxn modelId="{4E546EA8-C941-4AE5-83AF-3B85293DBFAC}" type="presParOf" srcId="{54727079-43F0-4E64-B5CA-C9BFBCE75DBE}" destId="{C39F295F-4989-4E6D-B491-8A3D9048A20B}" srcOrd="4" destOrd="0" presId="urn:microsoft.com/office/officeart/2005/8/layout/cycle4"/>
    <dgm:cxn modelId="{CEE53A83-769E-40C9-8493-4CF6B0B1BE91}" type="presParOf" srcId="{62B7B20E-C3A5-47DB-A069-EB86CBBEF23B}" destId="{66DDAEF6-1602-40CB-9A7D-03AA5C282953}" srcOrd="2" destOrd="0" presId="urn:microsoft.com/office/officeart/2005/8/layout/cycle4"/>
    <dgm:cxn modelId="{715C1A9B-06F3-4FC4-93E4-07E28EF13EB9}" type="presParOf" srcId="{62B7B20E-C3A5-47DB-A069-EB86CBBEF23B}" destId="{B015CADB-1C33-4E36-AC9F-03E5AD7BB3DA}" srcOrd="3" destOrd="0" presId="urn:microsoft.com/office/officeart/2005/8/layout/cycle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AF9685-17C1-4F6F-90ED-8D5E37EFECF6}" type="doc">
      <dgm:prSet loTypeId="urn:microsoft.com/office/officeart/2005/8/layout/hProcess9" loCatId="process" qsTypeId="urn:microsoft.com/office/officeart/2005/8/quickstyle/simple5" qsCatId="simple" csTypeId="urn:microsoft.com/office/officeart/2005/8/colors/colorful2" csCatId="colorful" phldr="1"/>
      <dgm:spPr/>
      <dgm:t>
        <a:bodyPr/>
        <a:lstStyle/>
        <a:p>
          <a:endParaRPr lang="en-US"/>
        </a:p>
      </dgm:t>
    </dgm:pt>
    <dgm:pt modelId="{9EA68455-EABE-459A-AAC6-B4EB11421F9F}">
      <dgm:prSet custT="1"/>
      <dgm:spPr/>
      <dgm:t>
        <a:bodyPr/>
        <a:lstStyle/>
        <a:p>
          <a:r>
            <a:rPr lang="ro-MD" sz="800" b="1">
              <a:solidFill>
                <a:sysClr val="windowText" lastClr="000000"/>
              </a:solidFill>
              <a:latin typeface="Calibri Light" panose="020F0302020204030204"/>
              <a:ea typeface="+mn-ea"/>
              <a:cs typeface="+mn-cs"/>
            </a:rPr>
            <a:t>Întocmirea </a:t>
          </a:r>
          <a:r>
            <a:rPr lang="en-US" sz="800" b="1">
              <a:solidFill>
                <a:sysClr val="windowText" lastClr="000000"/>
              </a:solidFill>
              <a:latin typeface="Calibri Light" panose="020F0302020204030204"/>
              <a:ea typeface="+mn-ea"/>
              <a:cs typeface="+mn-cs"/>
            </a:rPr>
            <a:t>Ordin</a:t>
          </a:r>
          <a:r>
            <a:rPr lang="ro-MD" sz="800" b="1">
              <a:solidFill>
                <a:sysClr val="windowText" lastClr="000000"/>
              </a:solidFill>
              <a:latin typeface="Calibri Light" panose="020F0302020204030204"/>
              <a:ea typeface="+mn-ea"/>
              <a:cs typeface="+mn-cs"/>
            </a:rPr>
            <a:t>ului</a:t>
          </a:r>
          <a:r>
            <a:rPr lang="en-US" sz="800" b="1">
              <a:solidFill>
                <a:sysClr val="windowText" lastClr="000000"/>
              </a:solidFill>
              <a:latin typeface="Calibri Light" panose="020F0302020204030204"/>
              <a:ea typeface="+mn-ea"/>
              <a:cs typeface="+mn-cs"/>
            </a:rPr>
            <a:t> nr.22 din 15.02.2013 cu privire la crearea comisiei de predare-primire a bunurilor, cu modificările ulterioare prin Ordin</a:t>
          </a:r>
          <a:r>
            <a:rPr lang="ro-RO" sz="800" b="1">
              <a:solidFill>
                <a:sysClr val="windowText" lastClr="000000"/>
              </a:solidFill>
              <a:latin typeface="Calibri Light" panose="020F0302020204030204"/>
              <a:ea typeface="+mn-ea"/>
              <a:cs typeface="+mn-cs"/>
            </a:rPr>
            <a:t>ul</a:t>
          </a:r>
          <a:r>
            <a:rPr lang="en-US" sz="800" b="1">
              <a:solidFill>
                <a:sysClr val="windowText" lastClr="000000"/>
              </a:solidFill>
              <a:latin typeface="Calibri Light" panose="020F0302020204030204"/>
              <a:ea typeface="+mn-ea"/>
              <a:cs typeface="+mn-cs"/>
            </a:rPr>
            <a:t> nr.87 din 21.05.2013</a:t>
          </a:r>
        </a:p>
      </dgm:t>
    </dgm:pt>
    <dgm:pt modelId="{B33A864C-8963-4DD0-BEBC-3058AA37B957}" type="parTrans" cxnId="{94555913-5997-483D-9D99-74C582303E62}">
      <dgm:prSet/>
      <dgm:spPr/>
      <dgm:t>
        <a:bodyPr/>
        <a:lstStyle/>
        <a:p>
          <a:endParaRPr lang="en-US"/>
        </a:p>
      </dgm:t>
    </dgm:pt>
    <dgm:pt modelId="{F37349A1-C01E-497E-A14C-DA5EB5015EE5}" type="sibTrans" cxnId="{94555913-5997-483D-9D99-74C582303E62}">
      <dgm:prSet/>
      <dgm:spPr/>
      <dgm:t>
        <a:bodyPr/>
        <a:lstStyle/>
        <a:p>
          <a:endParaRPr lang="en-US"/>
        </a:p>
      </dgm:t>
    </dgm:pt>
    <dgm:pt modelId="{30A414B3-68A1-4EFE-87B4-FCBF0A7DAFF1}">
      <dgm:prSet custT="1"/>
      <dgm:spPr/>
      <dgm:t>
        <a:bodyPr/>
        <a:lstStyle/>
        <a:p>
          <a:r>
            <a:rPr lang="ro-MD" sz="800" b="1">
              <a:solidFill>
                <a:sysClr val="windowText" lastClr="000000"/>
              </a:solidFill>
              <a:latin typeface="Calibri Light" panose="020F0302020204030204"/>
              <a:ea typeface="+mn-ea"/>
              <a:cs typeface="+mn-cs"/>
            </a:rPr>
            <a:t>HG privind unele măsuri de reformare a sistemului infrastructurii calității</a:t>
          </a:r>
        </a:p>
        <a:p>
          <a:r>
            <a:rPr lang="ro-MD" sz="800" b="1">
              <a:solidFill>
                <a:sysClr val="windowText" lastClr="000000"/>
              </a:solidFill>
              <a:latin typeface="Calibri Light" panose="020F0302020204030204"/>
              <a:ea typeface="+mn-ea"/>
              <a:cs typeface="+mn-cs"/>
            </a:rPr>
            <a:t> nr.996 din 27.12.2012</a:t>
          </a:r>
          <a:endParaRPr lang="en-US" sz="800" b="1">
            <a:solidFill>
              <a:sysClr val="windowText" lastClr="000000"/>
            </a:solidFill>
            <a:latin typeface="Calibri Light" panose="020F0302020204030204"/>
            <a:ea typeface="+mn-ea"/>
            <a:cs typeface="+mn-cs"/>
          </a:endParaRPr>
        </a:p>
      </dgm:t>
    </dgm:pt>
    <dgm:pt modelId="{81C92C7F-C9E1-4ED1-8FC6-1A0CC54DBE00}" type="parTrans" cxnId="{1F229516-B026-4F09-8AA7-72494412A326}">
      <dgm:prSet/>
      <dgm:spPr/>
      <dgm:t>
        <a:bodyPr/>
        <a:lstStyle/>
        <a:p>
          <a:endParaRPr lang="en-US"/>
        </a:p>
      </dgm:t>
    </dgm:pt>
    <dgm:pt modelId="{3F4AB154-3935-4C56-857C-06907A4F271B}" type="sibTrans" cxnId="{1F229516-B026-4F09-8AA7-72494412A326}">
      <dgm:prSet/>
      <dgm:spPr/>
      <dgm:t>
        <a:bodyPr/>
        <a:lstStyle/>
        <a:p>
          <a:endParaRPr lang="en-US"/>
        </a:p>
      </dgm:t>
    </dgm:pt>
    <dgm:pt modelId="{DB685BB7-1314-4188-8E3C-64B55A6636D6}">
      <dgm:prSet custT="1"/>
      <dgm:spPr/>
      <dgm:t>
        <a:bodyPr/>
        <a:lstStyle/>
        <a:p>
          <a:r>
            <a:rPr lang="ro-MD" sz="800" b="1">
              <a:solidFill>
                <a:sysClr val="windowText" lastClr="000000"/>
              </a:solidFill>
              <a:latin typeface="Calibri Light" panose="020F0302020204030204"/>
              <a:ea typeface="+mn-ea"/>
              <a:cs typeface="+mn-cs"/>
            </a:rPr>
            <a:t>Întocmirea </a:t>
          </a:r>
          <a:r>
            <a:rPr lang="en-US" sz="800" b="1">
              <a:solidFill>
                <a:sysClr val="windowText" lastClr="000000"/>
              </a:solidFill>
              <a:latin typeface="Calibri Light" panose="020F0302020204030204"/>
              <a:ea typeface="+mn-ea"/>
              <a:cs typeface="+mn-cs"/>
            </a:rPr>
            <a:t>Actel</a:t>
          </a:r>
          <a:r>
            <a:rPr lang="ro-MD" sz="800" b="1">
              <a:solidFill>
                <a:sysClr val="windowText" lastClr="000000"/>
              </a:solidFill>
              <a:latin typeface="Calibri Light" panose="020F0302020204030204"/>
              <a:ea typeface="+mn-ea"/>
              <a:cs typeface="+mn-cs"/>
            </a:rPr>
            <a:t>or</a:t>
          </a:r>
          <a:r>
            <a:rPr lang="en-US" sz="800" b="1">
              <a:solidFill>
                <a:sysClr val="windowText" lastClr="000000"/>
              </a:solidFill>
              <a:latin typeface="Calibri Light" panose="020F0302020204030204"/>
              <a:ea typeface="+mn-ea"/>
              <a:cs typeface="+mn-cs"/>
            </a:rPr>
            <a:t> de primire-predare a patrimoniului</a:t>
          </a:r>
          <a:r>
            <a:rPr lang="ro-RO" sz="800" b="1">
              <a:solidFill>
                <a:sysClr val="windowText" lastClr="000000"/>
              </a:solidFill>
              <a:latin typeface="Calibri Light" panose="020F0302020204030204"/>
              <a:ea typeface="+mn-ea"/>
              <a:cs typeface="+mn-cs"/>
            </a:rPr>
            <a:t>,</a:t>
          </a:r>
          <a:r>
            <a:rPr lang="en-US" sz="800" b="1">
              <a:solidFill>
                <a:sysClr val="windowText" lastClr="000000"/>
              </a:solidFill>
              <a:latin typeface="Calibri Light" panose="020F0302020204030204"/>
              <a:ea typeface="+mn-ea"/>
              <a:cs typeface="+mn-cs"/>
            </a:rPr>
            <a:t> cu anexarea </a:t>
          </a:r>
          <a:r>
            <a:rPr lang="ro-RO" sz="800" b="1">
              <a:solidFill>
                <a:sysClr val="windowText" lastClr="000000"/>
              </a:solidFill>
              <a:latin typeface="Calibri Light" panose="020F0302020204030204"/>
              <a:ea typeface="+mn-ea"/>
              <a:cs typeface="+mn-cs"/>
            </a:rPr>
            <a:t>L</a:t>
          </a:r>
          <a:r>
            <a:rPr lang="en-US" sz="800" b="1">
              <a:solidFill>
                <a:sysClr val="windowText" lastClr="000000"/>
              </a:solidFill>
              <a:latin typeface="Calibri Light" panose="020F0302020204030204"/>
              <a:ea typeface="+mn-ea"/>
              <a:cs typeface="+mn-cs"/>
            </a:rPr>
            <a:t>istelor bunurilor materiale și spațiilor transmise</a:t>
          </a:r>
          <a:r>
            <a:rPr lang="ro-MD" sz="800" b="1">
              <a:solidFill>
                <a:sysClr val="windowText" lastClr="000000"/>
              </a:solidFill>
              <a:latin typeface="Calibri Light" panose="020F0302020204030204"/>
              <a:ea typeface="+mn-ea"/>
              <a:cs typeface="+mn-cs"/>
            </a:rPr>
            <a:t> </a:t>
          </a:r>
          <a:endParaRPr lang="en-US" sz="800" b="1">
            <a:solidFill>
              <a:srgbClr val="FF0000"/>
            </a:solidFill>
            <a:latin typeface="Calibri Light" panose="020F0302020204030204"/>
            <a:ea typeface="+mn-ea"/>
            <a:cs typeface="+mn-cs"/>
          </a:endParaRPr>
        </a:p>
      </dgm:t>
    </dgm:pt>
    <dgm:pt modelId="{B4666C44-60B7-4912-9ABC-9876153F06AF}" type="parTrans" cxnId="{A267328D-444F-47A2-8C37-B75A9323EE42}">
      <dgm:prSet/>
      <dgm:spPr/>
      <dgm:t>
        <a:bodyPr/>
        <a:lstStyle/>
        <a:p>
          <a:endParaRPr lang="en-US"/>
        </a:p>
      </dgm:t>
    </dgm:pt>
    <dgm:pt modelId="{C5BE541D-4F02-468B-B225-586FE34868DF}" type="sibTrans" cxnId="{A267328D-444F-47A2-8C37-B75A9323EE42}">
      <dgm:prSet/>
      <dgm:spPr/>
      <dgm:t>
        <a:bodyPr/>
        <a:lstStyle/>
        <a:p>
          <a:endParaRPr lang="en-US"/>
        </a:p>
      </dgm:t>
    </dgm:pt>
    <dgm:pt modelId="{1AD55F39-F1C1-4420-8FEE-25A3D27F75E4}">
      <dgm:prSet custT="1"/>
      <dgm:spPr/>
      <dgm:t>
        <a:bodyPr/>
        <a:lstStyle/>
        <a:p>
          <a:r>
            <a:rPr lang="ro-MD" sz="800" b="1">
              <a:solidFill>
                <a:sysClr val="windowText" lastClr="000000"/>
              </a:solidFill>
              <a:latin typeface="Calibri Light" panose="020F0302020204030204"/>
              <a:ea typeface="+mn-ea"/>
              <a:cs typeface="+mn-cs"/>
            </a:rPr>
            <a:t>Transmiterea automatizată a s</a:t>
          </a:r>
          <a:r>
            <a:rPr lang="en-US" sz="800" b="1">
              <a:solidFill>
                <a:sysClr val="windowText" lastClr="000000"/>
              </a:solidFill>
              <a:latin typeface="Calibri Light" panose="020F0302020204030204"/>
              <a:ea typeface="+mn-ea"/>
              <a:cs typeface="+mn-cs"/>
            </a:rPr>
            <a:t>olduril</a:t>
          </a:r>
          <a:r>
            <a:rPr lang="ro-MD" sz="800" b="1">
              <a:solidFill>
                <a:sysClr val="windowText" lastClr="000000"/>
              </a:solidFill>
              <a:latin typeface="Calibri Light" panose="020F0302020204030204"/>
              <a:ea typeface="+mn-ea"/>
              <a:cs typeface="+mn-cs"/>
            </a:rPr>
            <a:t>or</a:t>
          </a:r>
          <a:r>
            <a:rPr lang="en-US" sz="800" b="1">
              <a:solidFill>
                <a:sysClr val="windowText" lastClr="000000"/>
              </a:solidFill>
              <a:latin typeface="Calibri Light" panose="020F0302020204030204"/>
              <a:ea typeface="+mn-ea"/>
              <a:cs typeface="+mn-cs"/>
            </a:rPr>
            <a:t> contabile în SI </a:t>
          </a:r>
          <a:r>
            <a:rPr lang="ro-RO" sz="800" b="1">
              <a:solidFill>
                <a:sysClr val="windowText" lastClr="000000"/>
              </a:solidFill>
              <a:latin typeface="Calibri Light" panose="020F0302020204030204"/>
              <a:ea typeface="+mn-ea"/>
              <a:cs typeface="+mn-cs"/>
            </a:rPr>
            <a:t>c</a:t>
          </a:r>
          <a:r>
            <a:rPr lang="en-US" sz="800" b="1">
              <a:solidFill>
                <a:sysClr val="windowText" lastClr="000000"/>
              </a:solidFill>
              <a:latin typeface="Calibri Light" panose="020F0302020204030204"/>
              <a:ea typeface="+mn-ea"/>
              <a:cs typeface="+mn-cs"/>
            </a:rPr>
            <a:t>ontabil</a:t>
          </a:r>
          <a:r>
            <a:rPr lang="ro-MD" sz="800" b="1">
              <a:solidFill>
                <a:sysClr val="windowText" lastClr="000000"/>
              </a:solidFill>
              <a:latin typeface="Calibri Light" panose="020F0302020204030204"/>
              <a:ea typeface="+mn-ea"/>
              <a:cs typeface="+mn-cs"/>
            </a:rPr>
            <a:t> al entităților create/reorganizate</a:t>
          </a:r>
          <a:endParaRPr lang="en-US" sz="800" b="1">
            <a:solidFill>
              <a:sysClr val="windowText" lastClr="000000"/>
            </a:solidFill>
            <a:latin typeface="Calibri Light" panose="020F0302020204030204"/>
            <a:ea typeface="+mn-ea"/>
            <a:cs typeface="+mn-cs"/>
          </a:endParaRPr>
        </a:p>
      </dgm:t>
    </dgm:pt>
    <dgm:pt modelId="{5B54A5C9-B653-46BC-B750-DFF60FE6AA1D}" type="sibTrans" cxnId="{EFFA5DA9-9062-40A2-889E-8EABFBE7352D}">
      <dgm:prSet/>
      <dgm:spPr/>
      <dgm:t>
        <a:bodyPr/>
        <a:lstStyle/>
        <a:p>
          <a:endParaRPr lang="en-US"/>
        </a:p>
      </dgm:t>
    </dgm:pt>
    <dgm:pt modelId="{05332793-E5F8-47A7-9563-12A4962064AD}" type="parTrans" cxnId="{EFFA5DA9-9062-40A2-889E-8EABFBE7352D}">
      <dgm:prSet/>
      <dgm:spPr/>
      <dgm:t>
        <a:bodyPr/>
        <a:lstStyle/>
        <a:p>
          <a:endParaRPr lang="en-US"/>
        </a:p>
      </dgm:t>
    </dgm:pt>
    <dgm:pt modelId="{A3BC2F2F-D3DD-4923-B97E-2043290D3FF0}" type="pres">
      <dgm:prSet presAssocID="{47AF9685-17C1-4F6F-90ED-8D5E37EFECF6}" presName="CompostProcess" presStyleCnt="0">
        <dgm:presLayoutVars>
          <dgm:dir/>
          <dgm:resizeHandles val="exact"/>
        </dgm:presLayoutVars>
      </dgm:prSet>
      <dgm:spPr/>
      <dgm:t>
        <a:bodyPr/>
        <a:lstStyle/>
        <a:p>
          <a:endParaRPr lang="en-US"/>
        </a:p>
      </dgm:t>
    </dgm:pt>
    <dgm:pt modelId="{F6844693-8829-401F-9629-5AE926A08967}" type="pres">
      <dgm:prSet presAssocID="{47AF9685-17C1-4F6F-90ED-8D5E37EFECF6}" presName="arrow" presStyleLbl="bgShp" presStyleIdx="0" presStyleCnt="1"/>
      <dgm:spPr>
        <a:xfrm>
          <a:off x="445579" y="0"/>
          <a:ext cx="5049901" cy="1833441"/>
        </a:xfrm>
        <a:prstGeom prst="rightArrow">
          <a:avLst/>
        </a:prstGeom>
        <a:solidFill>
          <a:srgbClr val="ED7D31">
            <a:tint val="40000"/>
            <a:hueOff val="0"/>
            <a:satOff val="0"/>
            <a:lumOff val="0"/>
            <a:alphaOff val="0"/>
          </a:srgbClr>
        </a:solidFill>
        <a:ln>
          <a:noFill/>
        </a:ln>
        <a:effectLst/>
      </dgm:spPr>
      <dgm:t>
        <a:bodyPr/>
        <a:lstStyle/>
        <a:p>
          <a:endParaRPr lang="en-US"/>
        </a:p>
      </dgm:t>
    </dgm:pt>
    <dgm:pt modelId="{0A8DB140-18D5-4B51-828C-F8EBDF23819D}" type="pres">
      <dgm:prSet presAssocID="{47AF9685-17C1-4F6F-90ED-8D5E37EFECF6}" presName="linearProcess" presStyleCnt="0"/>
      <dgm:spPr/>
    </dgm:pt>
    <dgm:pt modelId="{7DCD93E4-9453-447E-A081-FCDCED6948B5}" type="pres">
      <dgm:prSet presAssocID="{30A414B3-68A1-4EFE-87B4-FCBF0A7DAFF1}" presName="textNode" presStyleLbl="node1" presStyleIdx="0" presStyleCnt="4" custScaleY="142523">
        <dgm:presLayoutVars>
          <dgm:bulletEnabled val="1"/>
        </dgm:presLayoutVars>
      </dgm:prSet>
      <dgm:spPr/>
      <dgm:t>
        <a:bodyPr/>
        <a:lstStyle/>
        <a:p>
          <a:endParaRPr lang="en-US"/>
        </a:p>
      </dgm:t>
    </dgm:pt>
    <dgm:pt modelId="{39D423DB-4C9F-4123-8A9D-2ECF94D356C5}" type="pres">
      <dgm:prSet presAssocID="{3F4AB154-3935-4C56-857C-06907A4F271B}" presName="sibTrans" presStyleCnt="0"/>
      <dgm:spPr/>
    </dgm:pt>
    <dgm:pt modelId="{64ACE631-1B6C-4B8F-BA49-5DBEC56441E1}" type="pres">
      <dgm:prSet presAssocID="{9EA68455-EABE-459A-AAC6-B4EB11421F9F}" presName="textNode" presStyleLbl="node1" presStyleIdx="1" presStyleCnt="4" custScaleY="137850" custLinFactNeighborX="-21951" custLinFactNeighborY="0">
        <dgm:presLayoutVars>
          <dgm:bulletEnabled val="1"/>
        </dgm:presLayoutVars>
      </dgm:prSet>
      <dgm:spPr/>
      <dgm:t>
        <a:bodyPr/>
        <a:lstStyle/>
        <a:p>
          <a:endParaRPr lang="en-US"/>
        </a:p>
      </dgm:t>
    </dgm:pt>
    <dgm:pt modelId="{51011D6A-AEA1-43F9-BC15-C1131FB663C3}" type="pres">
      <dgm:prSet presAssocID="{F37349A1-C01E-497E-A14C-DA5EB5015EE5}" presName="sibTrans" presStyleCnt="0"/>
      <dgm:spPr/>
    </dgm:pt>
    <dgm:pt modelId="{184FD373-DD5A-44B7-A103-80A767C11F6B}" type="pres">
      <dgm:prSet presAssocID="{DB685BB7-1314-4188-8E3C-64B55A6636D6}" presName="textNode" presStyleLbl="node1" presStyleIdx="2" presStyleCnt="4" custScaleY="156789" custLinFactNeighborX="-10975" custLinFactNeighborY="-2336">
        <dgm:presLayoutVars>
          <dgm:bulletEnabled val="1"/>
        </dgm:presLayoutVars>
      </dgm:prSet>
      <dgm:spPr/>
      <dgm:t>
        <a:bodyPr/>
        <a:lstStyle/>
        <a:p>
          <a:endParaRPr lang="en-US"/>
        </a:p>
      </dgm:t>
    </dgm:pt>
    <dgm:pt modelId="{10F9F8EB-1DAB-4EA6-9928-A131636711AF}" type="pres">
      <dgm:prSet presAssocID="{C5BE541D-4F02-468B-B225-586FE34868DF}" presName="sibTrans" presStyleCnt="0"/>
      <dgm:spPr/>
    </dgm:pt>
    <dgm:pt modelId="{5D06CCC6-71D9-4CB2-9ACF-ACA168FA5492}" type="pres">
      <dgm:prSet presAssocID="{1AD55F39-F1C1-4420-8FEE-25A3D27F75E4}" presName="textNode" presStyleLbl="node1" presStyleIdx="3" presStyleCnt="4" custScaleY="142523">
        <dgm:presLayoutVars>
          <dgm:bulletEnabled val="1"/>
        </dgm:presLayoutVars>
      </dgm:prSet>
      <dgm:spPr/>
      <dgm:t>
        <a:bodyPr/>
        <a:lstStyle/>
        <a:p>
          <a:endParaRPr lang="en-US"/>
        </a:p>
      </dgm:t>
    </dgm:pt>
  </dgm:ptLst>
  <dgm:cxnLst>
    <dgm:cxn modelId="{03A4D0F5-7D0A-435E-83E7-6DA5C6DBB679}" type="presOf" srcId="{DB685BB7-1314-4188-8E3C-64B55A6636D6}" destId="{184FD373-DD5A-44B7-A103-80A767C11F6B}" srcOrd="0" destOrd="0" presId="urn:microsoft.com/office/officeart/2005/8/layout/hProcess9"/>
    <dgm:cxn modelId="{EFFA5DA9-9062-40A2-889E-8EABFBE7352D}" srcId="{47AF9685-17C1-4F6F-90ED-8D5E37EFECF6}" destId="{1AD55F39-F1C1-4420-8FEE-25A3D27F75E4}" srcOrd="3" destOrd="0" parTransId="{05332793-E5F8-47A7-9563-12A4962064AD}" sibTransId="{5B54A5C9-B653-46BC-B750-DFF60FE6AA1D}"/>
    <dgm:cxn modelId="{F5BAB24C-C3CB-4646-8ABC-BDB8DA1B6EA8}" type="presOf" srcId="{9EA68455-EABE-459A-AAC6-B4EB11421F9F}" destId="{64ACE631-1B6C-4B8F-BA49-5DBEC56441E1}" srcOrd="0" destOrd="0" presId="urn:microsoft.com/office/officeart/2005/8/layout/hProcess9"/>
    <dgm:cxn modelId="{FA7CF854-EE9C-4C99-A6C1-E9FF5A7CFE61}" type="presOf" srcId="{1AD55F39-F1C1-4420-8FEE-25A3D27F75E4}" destId="{5D06CCC6-71D9-4CB2-9ACF-ACA168FA5492}" srcOrd="0" destOrd="0" presId="urn:microsoft.com/office/officeart/2005/8/layout/hProcess9"/>
    <dgm:cxn modelId="{94555913-5997-483D-9D99-74C582303E62}" srcId="{47AF9685-17C1-4F6F-90ED-8D5E37EFECF6}" destId="{9EA68455-EABE-459A-AAC6-B4EB11421F9F}" srcOrd="1" destOrd="0" parTransId="{B33A864C-8963-4DD0-BEBC-3058AA37B957}" sibTransId="{F37349A1-C01E-497E-A14C-DA5EB5015EE5}"/>
    <dgm:cxn modelId="{A267328D-444F-47A2-8C37-B75A9323EE42}" srcId="{47AF9685-17C1-4F6F-90ED-8D5E37EFECF6}" destId="{DB685BB7-1314-4188-8E3C-64B55A6636D6}" srcOrd="2" destOrd="0" parTransId="{B4666C44-60B7-4912-9ABC-9876153F06AF}" sibTransId="{C5BE541D-4F02-468B-B225-586FE34868DF}"/>
    <dgm:cxn modelId="{1F229516-B026-4F09-8AA7-72494412A326}" srcId="{47AF9685-17C1-4F6F-90ED-8D5E37EFECF6}" destId="{30A414B3-68A1-4EFE-87B4-FCBF0A7DAFF1}" srcOrd="0" destOrd="0" parTransId="{81C92C7F-C9E1-4ED1-8FC6-1A0CC54DBE00}" sibTransId="{3F4AB154-3935-4C56-857C-06907A4F271B}"/>
    <dgm:cxn modelId="{B7B6F868-773D-491B-9C23-33D7DDFD5F88}" type="presOf" srcId="{47AF9685-17C1-4F6F-90ED-8D5E37EFECF6}" destId="{A3BC2F2F-D3DD-4923-B97E-2043290D3FF0}" srcOrd="0" destOrd="0" presId="urn:microsoft.com/office/officeart/2005/8/layout/hProcess9"/>
    <dgm:cxn modelId="{407B79DE-9C0C-45A4-A25E-A83ABB2BAD11}" type="presOf" srcId="{30A414B3-68A1-4EFE-87B4-FCBF0A7DAFF1}" destId="{7DCD93E4-9453-447E-A081-FCDCED6948B5}" srcOrd="0" destOrd="0" presId="urn:microsoft.com/office/officeart/2005/8/layout/hProcess9"/>
    <dgm:cxn modelId="{8DC98930-DB59-4C72-AB79-6A7A23024BB5}" type="presParOf" srcId="{A3BC2F2F-D3DD-4923-B97E-2043290D3FF0}" destId="{F6844693-8829-401F-9629-5AE926A08967}" srcOrd="0" destOrd="0" presId="urn:microsoft.com/office/officeart/2005/8/layout/hProcess9"/>
    <dgm:cxn modelId="{2828B40A-A802-4053-B0FA-F927F503EABB}" type="presParOf" srcId="{A3BC2F2F-D3DD-4923-B97E-2043290D3FF0}" destId="{0A8DB140-18D5-4B51-828C-F8EBDF23819D}" srcOrd="1" destOrd="0" presId="urn:microsoft.com/office/officeart/2005/8/layout/hProcess9"/>
    <dgm:cxn modelId="{4EDD9B48-FDC3-4CDB-86C0-1FDDE996FF61}" type="presParOf" srcId="{0A8DB140-18D5-4B51-828C-F8EBDF23819D}" destId="{7DCD93E4-9453-447E-A081-FCDCED6948B5}" srcOrd="0" destOrd="0" presId="urn:microsoft.com/office/officeart/2005/8/layout/hProcess9"/>
    <dgm:cxn modelId="{DA0633B9-2398-4B72-B224-AC05D261CE91}" type="presParOf" srcId="{0A8DB140-18D5-4B51-828C-F8EBDF23819D}" destId="{39D423DB-4C9F-4123-8A9D-2ECF94D356C5}" srcOrd="1" destOrd="0" presId="urn:microsoft.com/office/officeart/2005/8/layout/hProcess9"/>
    <dgm:cxn modelId="{C98B6D4C-DAE7-4C03-9BD3-E5C7709FC02C}" type="presParOf" srcId="{0A8DB140-18D5-4B51-828C-F8EBDF23819D}" destId="{64ACE631-1B6C-4B8F-BA49-5DBEC56441E1}" srcOrd="2" destOrd="0" presId="urn:microsoft.com/office/officeart/2005/8/layout/hProcess9"/>
    <dgm:cxn modelId="{F7EB3FBD-95B0-4F69-8E24-5F7F820F30A5}" type="presParOf" srcId="{0A8DB140-18D5-4B51-828C-F8EBDF23819D}" destId="{51011D6A-AEA1-43F9-BC15-C1131FB663C3}" srcOrd="3" destOrd="0" presId="urn:microsoft.com/office/officeart/2005/8/layout/hProcess9"/>
    <dgm:cxn modelId="{BDF7C1EC-1A2A-42E7-8193-443735D1B8F8}" type="presParOf" srcId="{0A8DB140-18D5-4B51-828C-F8EBDF23819D}" destId="{184FD373-DD5A-44B7-A103-80A767C11F6B}" srcOrd="4" destOrd="0" presId="urn:microsoft.com/office/officeart/2005/8/layout/hProcess9"/>
    <dgm:cxn modelId="{6DFEE35F-DEBE-469D-92DB-1F7DDF17615F}" type="presParOf" srcId="{0A8DB140-18D5-4B51-828C-F8EBDF23819D}" destId="{10F9F8EB-1DAB-4EA6-9928-A131636711AF}" srcOrd="5" destOrd="0" presId="urn:microsoft.com/office/officeart/2005/8/layout/hProcess9"/>
    <dgm:cxn modelId="{A14BEF75-E3B4-47B2-96BB-896F6FE8BD2E}" type="presParOf" srcId="{0A8DB140-18D5-4B51-828C-F8EBDF23819D}" destId="{5D06CCC6-71D9-4CB2-9ACF-ACA168FA5492}" srcOrd="6" destOrd="0" presId="urn:microsoft.com/office/officeart/2005/8/layout/hProcess9"/>
  </dgm:cxnLst>
  <dgm:bg/>
  <dgm:whole>
    <a:ln>
      <a:solidFill>
        <a:schemeClr val="bg1">
          <a:lumMod val="50000"/>
        </a:schemeClr>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FE4C33-F112-4DCC-AB67-F2C810F54014}"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n-US"/>
        </a:p>
      </dgm:t>
    </dgm:pt>
    <dgm:pt modelId="{7C3CDDDD-842C-4A06-B8F4-A8BB665FBE01}">
      <dgm:prSet/>
      <dgm:spPr>
        <a:xfrm>
          <a:off x="1672" y="169491"/>
          <a:ext cx="1630561" cy="557886"/>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ro-MD" b="1" i="1">
              <a:solidFill>
                <a:sysClr val="window" lastClr="FFFFFF"/>
              </a:solidFill>
              <a:latin typeface="Calibri" panose="020F0502020204030204"/>
              <a:ea typeface="+mn-ea"/>
              <a:cs typeface="+mn-cs"/>
            </a:rPr>
            <a:t>Institutul de Standardizare din Moldova (ISM)</a:t>
          </a:r>
          <a:endParaRPr lang="en-US">
            <a:solidFill>
              <a:sysClr val="window" lastClr="FFFFFF"/>
            </a:solidFill>
            <a:latin typeface="Calibri" panose="020F0502020204030204"/>
            <a:ea typeface="+mn-ea"/>
            <a:cs typeface="+mn-cs"/>
          </a:endParaRPr>
        </a:p>
      </dgm:t>
    </dgm:pt>
    <dgm:pt modelId="{D456A1E4-A52D-4B3F-9D45-DD22F5AD8BC8}" type="parTrans" cxnId="{FF33665F-6C69-4906-8881-F1190D0EBAA0}">
      <dgm:prSet/>
      <dgm:spPr/>
      <dgm:t>
        <a:bodyPr/>
        <a:lstStyle/>
        <a:p>
          <a:endParaRPr lang="en-US"/>
        </a:p>
      </dgm:t>
    </dgm:pt>
    <dgm:pt modelId="{BB8CA430-4A49-475F-9838-7DB4883DAC51}" type="sibTrans" cxnId="{FF33665F-6C69-4906-8881-F1190D0EBAA0}">
      <dgm:prSet/>
      <dgm:spPr/>
      <dgm:t>
        <a:bodyPr/>
        <a:lstStyle/>
        <a:p>
          <a:endParaRPr lang="en-US"/>
        </a:p>
      </dgm:t>
    </dgm:pt>
    <dgm:pt modelId="{F1989BB7-029D-4B39-BDFC-50936F95F8F4}">
      <dgm:prSet/>
      <dgm:spPr>
        <a:xfrm>
          <a:off x="1672" y="727377"/>
          <a:ext cx="1630561" cy="1992869"/>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ro-MD">
              <a:solidFill>
                <a:sysClr val="windowText" lastClr="000000">
                  <a:hueOff val="0"/>
                  <a:satOff val="0"/>
                  <a:lumOff val="0"/>
                  <a:alphaOff val="0"/>
                </a:sysClr>
              </a:solidFill>
              <a:latin typeface="Calibri" panose="020F0502020204030204"/>
              <a:ea typeface="+mn-ea"/>
              <a:cs typeface="+mn-cs"/>
            </a:rPr>
            <a:t>Metodologia de determinare a tarifelor la serviciile din domeniul standarrdizării prestate contra plată de către ISM, aprobată prin Hotărârea Guvernului nr.1213 din 04.11.2016 cu privire la serviciile în domeniul standardizării prestate contra plată de către ISM</a:t>
          </a:r>
          <a:endParaRPr lang="en-US">
            <a:solidFill>
              <a:sysClr val="windowText" lastClr="000000">
                <a:hueOff val="0"/>
                <a:satOff val="0"/>
                <a:lumOff val="0"/>
                <a:alphaOff val="0"/>
              </a:sysClr>
            </a:solidFill>
            <a:latin typeface="Calibri" panose="020F0502020204030204"/>
            <a:ea typeface="+mn-ea"/>
            <a:cs typeface="+mn-cs"/>
          </a:endParaRPr>
        </a:p>
      </dgm:t>
    </dgm:pt>
    <dgm:pt modelId="{C24ED64F-A31D-47A7-85C7-3F771C525AAF}" type="parTrans" cxnId="{510BF031-645B-45EF-B6A1-DB8CE4B982DC}">
      <dgm:prSet/>
      <dgm:spPr/>
      <dgm:t>
        <a:bodyPr/>
        <a:lstStyle/>
        <a:p>
          <a:endParaRPr lang="en-US"/>
        </a:p>
      </dgm:t>
    </dgm:pt>
    <dgm:pt modelId="{2B35813D-CEE6-480F-889A-8956FAC414E1}" type="sibTrans" cxnId="{510BF031-645B-45EF-B6A1-DB8CE4B982DC}">
      <dgm:prSet/>
      <dgm:spPr/>
      <dgm:t>
        <a:bodyPr/>
        <a:lstStyle/>
        <a:p>
          <a:endParaRPr lang="en-US"/>
        </a:p>
      </dgm:t>
    </dgm:pt>
    <dgm:pt modelId="{8EB5CB0F-FA10-427D-894D-E37AB105A0A8}">
      <dgm:prSet/>
      <dgm:spPr>
        <a:xfrm>
          <a:off x="1860511" y="169491"/>
          <a:ext cx="1630561" cy="557886"/>
        </a:xfrm>
        <a:prstGeom prst="rect">
          <a:avLst/>
        </a:prstGeo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gm:spPr>
      <dgm:t>
        <a:bodyPr/>
        <a:lstStyle/>
        <a:p>
          <a:r>
            <a:rPr lang="ro-MD" b="1" i="1">
              <a:solidFill>
                <a:sysClr val="window" lastClr="FFFFFF"/>
              </a:solidFill>
              <a:latin typeface="Calibri" panose="020F0502020204030204"/>
              <a:ea typeface="+mn-ea"/>
              <a:cs typeface="+mn-cs"/>
            </a:rPr>
            <a:t> Institutul Național de Metrologie (INM)</a:t>
          </a:r>
          <a:endParaRPr lang="en-US">
            <a:solidFill>
              <a:sysClr val="window" lastClr="FFFFFF"/>
            </a:solidFill>
            <a:latin typeface="Calibri" panose="020F0502020204030204"/>
            <a:ea typeface="+mn-ea"/>
            <a:cs typeface="+mn-cs"/>
          </a:endParaRPr>
        </a:p>
      </dgm:t>
    </dgm:pt>
    <dgm:pt modelId="{CD577C46-394F-46B5-90A1-BD54026E263D}" type="parTrans" cxnId="{7C17E384-81A7-40DF-8EAA-41DD49D883DE}">
      <dgm:prSet/>
      <dgm:spPr/>
      <dgm:t>
        <a:bodyPr/>
        <a:lstStyle/>
        <a:p>
          <a:endParaRPr lang="en-US"/>
        </a:p>
      </dgm:t>
    </dgm:pt>
    <dgm:pt modelId="{7B5FEAC9-C572-4EFB-A025-E69DF8A67F98}" type="sibTrans" cxnId="{7C17E384-81A7-40DF-8EAA-41DD49D883DE}">
      <dgm:prSet/>
      <dgm:spPr/>
      <dgm:t>
        <a:bodyPr/>
        <a:lstStyle/>
        <a:p>
          <a:endParaRPr lang="en-US"/>
        </a:p>
      </dgm:t>
    </dgm:pt>
    <dgm:pt modelId="{E6139E37-6439-481B-9A30-9321E00C9FE7}">
      <dgm:prSet phldrT="[Text]"/>
      <dgm:spPr>
        <a:xfrm>
          <a:off x="1860511" y="727377"/>
          <a:ext cx="1630561" cy="1992869"/>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gm:spPr>
      <dgm:t>
        <a:bodyPr/>
        <a:lstStyle/>
        <a:p>
          <a:r>
            <a:rPr lang="ro-MD">
              <a:solidFill>
                <a:sysClr val="windowText" lastClr="000000">
                  <a:hueOff val="0"/>
                  <a:satOff val="0"/>
                  <a:lumOff val="0"/>
                  <a:alphaOff val="0"/>
                </a:sysClr>
              </a:solidFill>
              <a:latin typeface="Calibri" panose="020F0502020204030204"/>
              <a:ea typeface="+mn-ea"/>
              <a:cs typeface="+mn-cs"/>
            </a:rPr>
            <a:t> Metodologia de calcul al tarifelor la serviciile metrologice prestate de ISM, aprobată prin Legea metrologiei nr.19 din 04.03.2016 </a:t>
          </a:r>
          <a:endParaRPr lang="en-US">
            <a:solidFill>
              <a:sysClr val="windowText" lastClr="000000">
                <a:hueOff val="0"/>
                <a:satOff val="0"/>
                <a:lumOff val="0"/>
                <a:alphaOff val="0"/>
              </a:sysClr>
            </a:solidFill>
            <a:latin typeface="Calibri" panose="020F0502020204030204"/>
            <a:ea typeface="+mn-ea"/>
            <a:cs typeface="+mn-cs"/>
          </a:endParaRPr>
        </a:p>
      </dgm:t>
    </dgm:pt>
    <dgm:pt modelId="{712D6B13-A3E6-45BD-B18B-EC74126EACAB}" type="parTrans" cxnId="{EF58D2A7-8A1E-42F4-B9EA-986EB83D8430}">
      <dgm:prSet/>
      <dgm:spPr/>
      <dgm:t>
        <a:bodyPr/>
        <a:lstStyle/>
        <a:p>
          <a:endParaRPr lang="en-US"/>
        </a:p>
      </dgm:t>
    </dgm:pt>
    <dgm:pt modelId="{AB5DC85F-9FDC-4714-B5BA-43D791BA1FF8}" type="sibTrans" cxnId="{EF58D2A7-8A1E-42F4-B9EA-986EB83D8430}">
      <dgm:prSet/>
      <dgm:spPr/>
      <dgm:t>
        <a:bodyPr/>
        <a:lstStyle/>
        <a:p>
          <a:endParaRPr lang="en-US"/>
        </a:p>
      </dgm:t>
    </dgm:pt>
    <dgm:pt modelId="{F0C6CCCB-AACE-4C94-A441-F28AA93A4324}">
      <dgm:prSet/>
      <dgm:spPr>
        <a:xfrm>
          <a:off x="3719351" y="169491"/>
          <a:ext cx="1630561" cy="557886"/>
        </a:xfrm>
        <a:prstGeom prst="rect">
          <a:avLst/>
        </a:prstGeo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gm:spPr>
      <dgm:t>
        <a:bodyPr/>
        <a:lstStyle/>
        <a:p>
          <a:r>
            <a:rPr lang="ro-MD" b="1" i="1">
              <a:solidFill>
                <a:sysClr val="window" lastClr="FFFFFF"/>
              </a:solidFill>
              <a:latin typeface="Calibri" panose="020F0502020204030204"/>
              <a:ea typeface="+mn-ea"/>
              <a:cs typeface="+mn-cs"/>
            </a:rPr>
            <a:t>Centrul Național de Acreditare din Republica Moldova (MOLDAC)</a:t>
          </a:r>
          <a:endParaRPr lang="en-US">
            <a:solidFill>
              <a:sysClr val="window" lastClr="FFFFFF"/>
            </a:solidFill>
            <a:latin typeface="Calibri" panose="020F0502020204030204"/>
            <a:ea typeface="+mn-ea"/>
            <a:cs typeface="+mn-cs"/>
          </a:endParaRPr>
        </a:p>
      </dgm:t>
    </dgm:pt>
    <dgm:pt modelId="{DCA63978-8BEE-4AEA-B7EF-069D20854E83}" type="parTrans" cxnId="{5BC7406F-6AF4-4D86-B227-7CEB59C4BBAA}">
      <dgm:prSet/>
      <dgm:spPr/>
      <dgm:t>
        <a:bodyPr/>
        <a:lstStyle/>
        <a:p>
          <a:endParaRPr lang="en-US"/>
        </a:p>
      </dgm:t>
    </dgm:pt>
    <dgm:pt modelId="{D22B33CF-23D4-4EF7-843B-E25AE0E49451}" type="sibTrans" cxnId="{5BC7406F-6AF4-4D86-B227-7CEB59C4BBAA}">
      <dgm:prSet/>
      <dgm:spPr/>
      <dgm:t>
        <a:bodyPr/>
        <a:lstStyle/>
        <a:p>
          <a:endParaRPr lang="en-US"/>
        </a:p>
      </dgm:t>
    </dgm:pt>
    <dgm:pt modelId="{E689007A-A014-42ED-BA27-08AD783E17B1}">
      <dgm:prSet/>
      <dgm:spPr>
        <a:xfrm>
          <a:off x="3719351" y="727377"/>
          <a:ext cx="1630561" cy="1992869"/>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r>
            <a:rPr lang="ro-RO" b="0">
              <a:solidFill>
                <a:sysClr val="windowText" lastClr="000000">
                  <a:hueOff val="0"/>
                  <a:satOff val="0"/>
                  <a:lumOff val="0"/>
                  <a:alphaOff val="0"/>
                </a:sysClr>
              </a:solidFill>
              <a:latin typeface="Calibri" panose="020F0502020204030204"/>
              <a:ea typeface="+mn-ea"/>
              <a:cs typeface="+mn-cs"/>
            </a:rPr>
            <a:t>Schema de calculare a plăţilor pentru serviciile de acreditare,  aprobată prin Legea nr.235 din 01.12.2011 privind activitățile de acreditare și de evaluare a conformității</a:t>
          </a:r>
          <a:endParaRPr lang="en-US" b="0">
            <a:solidFill>
              <a:sysClr val="windowText" lastClr="000000">
                <a:hueOff val="0"/>
                <a:satOff val="0"/>
                <a:lumOff val="0"/>
                <a:alphaOff val="0"/>
              </a:sysClr>
            </a:solidFill>
            <a:latin typeface="Calibri" panose="020F0502020204030204"/>
            <a:ea typeface="+mn-ea"/>
            <a:cs typeface="+mn-cs"/>
          </a:endParaRPr>
        </a:p>
      </dgm:t>
    </dgm:pt>
    <dgm:pt modelId="{8818FD19-F0DE-4C4B-8513-7DE28F02539B}" type="parTrans" cxnId="{94A10B09-68BF-4DEE-90C0-DC602D4A6A31}">
      <dgm:prSet/>
      <dgm:spPr/>
      <dgm:t>
        <a:bodyPr/>
        <a:lstStyle/>
        <a:p>
          <a:endParaRPr lang="en-US"/>
        </a:p>
      </dgm:t>
    </dgm:pt>
    <dgm:pt modelId="{33403BC0-FE60-4E9A-90C5-2919AF303A31}" type="sibTrans" cxnId="{94A10B09-68BF-4DEE-90C0-DC602D4A6A31}">
      <dgm:prSet/>
      <dgm:spPr/>
      <dgm:t>
        <a:bodyPr/>
        <a:lstStyle/>
        <a:p>
          <a:endParaRPr lang="en-US"/>
        </a:p>
      </dgm:t>
    </dgm:pt>
    <dgm:pt modelId="{DF0FD15B-0A21-45D9-A40F-BFA10ADA0F83}" type="pres">
      <dgm:prSet presAssocID="{08FE4C33-F112-4DCC-AB67-F2C810F54014}" presName="Name0" presStyleCnt="0">
        <dgm:presLayoutVars>
          <dgm:dir/>
          <dgm:animLvl val="lvl"/>
          <dgm:resizeHandles val="exact"/>
        </dgm:presLayoutVars>
      </dgm:prSet>
      <dgm:spPr/>
      <dgm:t>
        <a:bodyPr/>
        <a:lstStyle/>
        <a:p>
          <a:endParaRPr lang="en-US"/>
        </a:p>
      </dgm:t>
    </dgm:pt>
    <dgm:pt modelId="{A038ED70-B50A-4D7B-BAF1-9218C113C2A0}" type="pres">
      <dgm:prSet presAssocID="{7C3CDDDD-842C-4A06-B8F4-A8BB665FBE01}" presName="composite" presStyleCnt="0"/>
      <dgm:spPr/>
    </dgm:pt>
    <dgm:pt modelId="{963D1A66-D2BE-4A68-81E9-F28A13F44A24}" type="pres">
      <dgm:prSet presAssocID="{7C3CDDDD-842C-4A06-B8F4-A8BB665FBE01}" presName="parTx" presStyleLbl="alignNode1" presStyleIdx="0" presStyleCnt="3">
        <dgm:presLayoutVars>
          <dgm:chMax val="0"/>
          <dgm:chPref val="0"/>
          <dgm:bulletEnabled val="1"/>
        </dgm:presLayoutVars>
      </dgm:prSet>
      <dgm:spPr/>
      <dgm:t>
        <a:bodyPr/>
        <a:lstStyle/>
        <a:p>
          <a:endParaRPr lang="en-US"/>
        </a:p>
      </dgm:t>
    </dgm:pt>
    <dgm:pt modelId="{17BBDA4E-F669-435F-AA5B-F775FA95B309}" type="pres">
      <dgm:prSet presAssocID="{7C3CDDDD-842C-4A06-B8F4-A8BB665FBE01}" presName="desTx" presStyleLbl="alignAccFollowNode1" presStyleIdx="0" presStyleCnt="3">
        <dgm:presLayoutVars>
          <dgm:bulletEnabled val="1"/>
        </dgm:presLayoutVars>
      </dgm:prSet>
      <dgm:spPr/>
      <dgm:t>
        <a:bodyPr/>
        <a:lstStyle/>
        <a:p>
          <a:endParaRPr lang="en-US"/>
        </a:p>
      </dgm:t>
    </dgm:pt>
    <dgm:pt modelId="{A3435330-442B-43DF-BBF3-56948CC300C7}" type="pres">
      <dgm:prSet presAssocID="{BB8CA430-4A49-475F-9838-7DB4883DAC51}" presName="space" presStyleCnt="0"/>
      <dgm:spPr/>
    </dgm:pt>
    <dgm:pt modelId="{2BD8DF7D-0587-452C-AEC0-79D8AC76E123}" type="pres">
      <dgm:prSet presAssocID="{8EB5CB0F-FA10-427D-894D-E37AB105A0A8}" presName="composite" presStyleCnt="0"/>
      <dgm:spPr/>
    </dgm:pt>
    <dgm:pt modelId="{7659097E-79CC-4DCB-ACF4-CF3675A56F52}" type="pres">
      <dgm:prSet presAssocID="{8EB5CB0F-FA10-427D-894D-E37AB105A0A8}" presName="parTx" presStyleLbl="alignNode1" presStyleIdx="1" presStyleCnt="3">
        <dgm:presLayoutVars>
          <dgm:chMax val="0"/>
          <dgm:chPref val="0"/>
          <dgm:bulletEnabled val="1"/>
        </dgm:presLayoutVars>
      </dgm:prSet>
      <dgm:spPr/>
      <dgm:t>
        <a:bodyPr/>
        <a:lstStyle/>
        <a:p>
          <a:endParaRPr lang="en-US"/>
        </a:p>
      </dgm:t>
    </dgm:pt>
    <dgm:pt modelId="{E60ECF80-F911-4935-9C5B-1A825B682A37}" type="pres">
      <dgm:prSet presAssocID="{8EB5CB0F-FA10-427D-894D-E37AB105A0A8}" presName="desTx" presStyleLbl="alignAccFollowNode1" presStyleIdx="1" presStyleCnt="3">
        <dgm:presLayoutVars>
          <dgm:bulletEnabled val="1"/>
        </dgm:presLayoutVars>
      </dgm:prSet>
      <dgm:spPr/>
      <dgm:t>
        <a:bodyPr/>
        <a:lstStyle/>
        <a:p>
          <a:endParaRPr lang="en-US"/>
        </a:p>
      </dgm:t>
    </dgm:pt>
    <dgm:pt modelId="{83109F0D-0E43-4CC4-9349-CFC90B485225}" type="pres">
      <dgm:prSet presAssocID="{7B5FEAC9-C572-4EFB-A025-E69DF8A67F98}" presName="space" presStyleCnt="0"/>
      <dgm:spPr/>
    </dgm:pt>
    <dgm:pt modelId="{EB5A1194-3A3A-4560-AEAD-95148802D80A}" type="pres">
      <dgm:prSet presAssocID="{F0C6CCCB-AACE-4C94-A441-F28AA93A4324}" presName="composite" presStyleCnt="0"/>
      <dgm:spPr/>
    </dgm:pt>
    <dgm:pt modelId="{7E7F7CF0-675E-43D5-BD2D-5A4FC993FA6C}" type="pres">
      <dgm:prSet presAssocID="{F0C6CCCB-AACE-4C94-A441-F28AA93A4324}" presName="parTx" presStyleLbl="alignNode1" presStyleIdx="2" presStyleCnt="3">
        <dgm:presLayoutVars>
          <dgm:chMax val="0"/>
          <dgm:chPref val="0"/>
          <dgm:bulletEnabled val="1"/>
        </dgm:presLayoutVars>
      </dgm:prSet>
      <dgm:spPr/>
      <dgm:t>
        <a:bodyPr/>
        <a:lstStyle/>
        <a:p>
          <a:endParaRPr lang="en-US"/>
        </a:p>
      </dgm:t>
    </dgm:pt>
    <dgm:pt modelId="{0EFA8EDF-299D-4BDB-96A5-B1E19F0ED44F}" type="pres">
      <dgm:prSet presAssocID="{F0C6CCCB-AACE-4C94-A441-F28AA93A4324}" presName="desTx" presStyleLbl="alignAccFollowNode1" presStyleIdx="2" presStyleCnt="3">
        <dgm:presLayoutVars>
          <dgm:bulletEnabled val="1"/>
        </dgm:presLayoutVars>
      </dgm:prSet>
      <dgm:spPr/>
      <dgm:t>
        <a:bodyPr/>
        <a:lstStyle/>
        <a:p>
          <a:endParaRPr lang="en-US"/>
        </a:p>
      </dgm:t>
    </dgm:pt>
  </dgm:ptLst>
  <dgm:cxnLst>
    <dgm:cxn modelId="{94A10B09-68BF-4DEE-90C0-DC602D4A6A31}" srcId="{F0C6CCCB-AACE-4C94-A441-F28AA93A4324}" destId="{E689007A-A014-42ED-BA27-08AD783E17B1}" srcOrd="0" destOrd="0" parTransId="{8818FD19-F0DE-4C4B-8513-7DE28F02539B}" sibTransId="{33403BC0-FE60-4E9A-90C5-2919AF303A31}"/>
    <dgm:cxn modelId="{5BC7406F-6AF4-4D86-B227-7CEB59C4BBAA}" srcId="{08FE4C33-F112-4DCC-AB67-F2C810F54014}" destId="{F0C6CCCB-AACE-4C94-A441-F28AA93A4324}" srcOrd="2" destOrd="0" parTransId="{DCA63978-8BEE-4AEA-B7EF-069D20854E83}" sibTransId="{D22B33CF-23D4-4EF7-843B-E25AE0E49451}"/>
    <dgm:cxn modelId="{0BC65E34-A0F9-4F83-8139-E849AB46885F}" type="presOf" srcId="{E6139E37-6439-481B-9A30-9321E00C9FE7}" destId="{E60ECF80-F911-4935-9C5B-1A825B682A37}" srcOrd="0" destOrd="0" presId="urn:microsoft.com/office/officeart/2005/8/layout/hList1"/>
    <dgm:cxn modelId="{7C17E384-81A7-40DF-8EAA-41DD49D883DE}" srcId="{08FE4C33-F112-4DCC-AB67-F2C810F54014}" destId="{8EB5CB0F-FA10-427D-894D-E37AB105A0A8}" srcOrd="1" destOrd="0" parTransId="{CD577C46-394F-46B5-90A1-BD54026E263D}" sibTransId="{7B5FEAC9-C572-4EFB-A025-E69DF8A67F98}"/>
    <dgm:cxn modelId="{4ADD5249-D788-4E24-B39F-1200A8E2CF08}" type="presOf" srcId="{08FE4C33-F112-4DCC-AB67-F2C810F54014}" destId="{DF0FD15B-0A21-45D9-A40F-BFA10ADA0F83}" srcOrd="0" destOrd="0" presId="urn:microsoft.com/office/officeart/2005/8/layout/hList1"/>
    <dgm:cxn modelId="{FF33665F-6C69-4906-8881-F1190D0EBAA0}" srcId="{08FE4C33-F112-4DCC-AB67-F2C810F54014}" destId="{7C3CDDDD-842C-4A06-B8F4-A8BB665FBE01}" srcOrd="0" destOrd="0" parTransId="{D456A1E4-A52D-4B3F-9D45-DD22F5AD8BC8}" sibTransId="{BB8CA430-4A49-475F-9838-7DB4883DAC51}"/>
    <dgm:cxn modelId="{EF58D2A7-8A1E-42F4-B9EA-986EB83D8430}" srcId="{8EB5CB0F-FA10-427D-894D-E37AB105A0A8}" destId="{E6139E37-6439-481B-9A30-9321E00C9FE7}" srcOrd="0" destOrd="0" parTransId="{712D6B13-A3E6-45BD-B18B-EC74126EACAB}" sibTransId="{AB5DC85F-9FDC-4714-B5BA-43D791BA1FF8}"/>
    <dgm:cxn modelId="{A840FC7C-979D-4B75-9B28-07BA55D1AF4B}" type="presOf" srcId="{8EB5CB0F-FA10-427D-894D-E37AB105A0A8}" destId="{7659097E-79CC-4DCB-ACF4-CF3675A56F52}" srcOrd="0" destOrd="0" presId="urn:microsoft.com/office/officeart/2005/8/layout/hList1"/>
    <dgm:cxn modelId="{649A9E40-6D48-406E-91C4-9A08E2CE33F1}" type="presOf" srcId="{F0C6CCCB-AACE-4C94-A441-F28AA93A4324}" destId="{7E7F7CF0-675E-43D5-BD2D-5A4FC993FA6C}" srcOrd="0" destOrd="0" presId="urn:microsoft.com/office/officeart/2005/8/layout/hList1"/>
    <dgm:cxn modelId="{B97CEDF9-9B82-4042-A60B-CCD441FDC8BD}" type="presOf" srcId="{7C3CDDDD-842C-4A06-B8F4-A8BB665FBE01}" destId="{963D1A66-D2BE-4A68-81E9-F28A13F44A24}" srcOrd="0" destOrd="0" presId="urn:microsoft.com/office/officeart/2005/8/layout/hList1"/>
    <dgm:cxn modelId="{78191729-2C68-422D-970A-C7CBEAABC2ED}" type="presOf" srcId="{F1989BB7-029D-4B39-BDFC-50936F95F8F4}" destId="{17BBDA4E-F669-435F-AA5B-F775FA95B309}" srcOrd="0" destOrd="0" presId="urn:microsoft.com/office/officeart/2005/8/layout/hList1"/>
    <dgm:cxn modelId="{F4371E44-3699-4C4A-8119-3107E35CC0AD}" type="presOf" srcId="{E689007A-A014-42ED-BA27-08AD783E17B1}" destId="{0EFA8EDF-299D-4BDB-96A5-B1E19F0ED44F}" srcOrd="0" destOrd="0" presId="urn:microsoft.com/office/officeart/2005/8/layout/hList1"/>
    <dgm:cxn modelId="{510BF031-645B-45EF-B6A1-DB8CE4B982DC}" srcId="{7C3CDDDD-842C-4A06-B8F4-A8BB665FBE01}" destId="{F1989BB7-029D-4B39-BDFC-50936F95F8F4}" srcOrd="0" destOrd="0" parTransId="{C24ED64F-A31D-47A7-85C7-3F771C525AAF}" sibTransId="{2B35813D-CEE6-480F-889A-8956FAC414E1}"/>
    <dgm:cxn modelId="{2372BF30-DFD1-4EF4-AED8-E4A80616379F}" type="presParOf" srcId="{DF0FD15B-0A21-45D9-A40F-BFA10ADA0F83}" destId="{A038ED70-B50A-4D7B-BAF1-9218C113C2A0}" srcOrd="0" destOrd="0" presId="urn:microsoft.com/office/officeart/2005/8/layout/hList1"/>
    <dgm:cxn modelId="{44E22C8B-E377-4216-B4E1-2B2A9C79C959}" type="presParOf" srcId="{A038ED70-B50A-4D7B-BAF1-9218C113C2A0}" destId="{963D1A66-D2BE-4A68-81E9-F28A13F44A24}" srcOrd="0" destOrd="0" presId="urn:microsoft.com/office/officeart/2005/8/layout/hList1"/>
    <dgm:cxn modelId="{1AE318F1-4525-436B-AB50-3C694B0858D9}" type="presParOf" srcId="{A038ED70-B50A-4D7B-BAF1-9218C113C2A0}" destId="{17BBDA4E-F669-435F-AA5B-F775FA95B309}" srcOrd="1" destOrd="0" presId="urn:microsoft.com/office/officeart/2005/8/layout/hList1"/>
    <dgm:cxn modelId="{B9F7F7B0-E973-4742-8778-3CD672AAFF7F}" type="presParOf" srcId="{DF0FD15B-0A21-45D9-A40F-BFA10ADA0F83}" destId="{A3435330-442B-43DF-BBF3-56948CC300C7}" srcOrd="1" destOrd="0" presId="urn:microsoft.com/office/officeart/2005/8/layout/hList1"/>
    <dgm:cxn modelId="{D38B1805-C09F-4183-9742-6A5BD3ED66FA}" type="presParOf" srcId="{DF0FD15B-0A21-45D9-A40F-BFA10ADA0F83}" destId="{2BD8DF7D-0587-452C-AEC0-79D8AC76E123}" srcOrd="2" destOrd="0" presId="urn:microsoft.com/office/officeart/2005/8/layout/hList1"/>
    <dgm:cxn modelId="{B9BE494A-E2D1-46DE-AAE2-54F7EE1042BE}" type="presParOf" srcId="{2BD8DF7D-0587-452C-AEC0-79D8AC76E123}" destId="{7659097E-79CC-4DCB-ACF4-CF3675A56F52}" srcOrd="0" destOrd="0" presId="urn:microsoft.com/office/officeart/2005/8/layout/hList1"/>
    <dgm:cxn modelId="{4D1ECBBC-26AF-4A4F-9799-0E65B14CF1F1}" type="presParOf" srcId="{2BD8DF7D-0587-452C-AEC0-79D8AC76E123}" destId="{E60ECF80-F911-4935-9C5B-1A825B682A37}" srcOrd="1" destOrd="0" presId="urn:microsoft.com/office/officeart/2005/8/layout/hList1"/>
    <dgm:cxn modelId="{72E552F0-C076-408A-90B4-C0A5D65763AF}" type="presParOf" srcId="{DF0FD15B-0A21-45D9-A40F-BFA10ADA0F83}" destId="{83109F0D-0E43-4CC4-9349-CFC90B485225}" srcOrd="3" destOrd="0" presId="urn:microsoft.com/office/officeart/2005/8/layout/hList1"/>
    <dgm:cxn modelId="{4B3B3854-F6F9-49C7-B995-781454F57052}" type="presParOf" srcId="{DF0FD15B-0A21-45D9-A40F-BFA10ADA0F83}" destId="{EB5A1194-3A3A-4560-AEAD-95148802D80A}" srcOrd="4" destOrd="0" presId="urn:microsoft.com/office/officeart/2005/8/layout/hList1"/>
    <dgm:cxn modelId="{BD374823-E921-40D3-98C2-7C8520C5E6B4}" type="presParOf" srcId="{EB5A1194-3A3A-4560-AEAD-95148802D80A}" destId="{7E7F7CF0-675E-43D5-BD2D-5A4FC993FA6C}" srcOrd="0" destOrd="0" presId="urn:microsoft.com/office/officeart/2005/8/layout/hList1"/>
    <dgm:cxn modelId="{28717A85-9757-4CB8-97D2-F4D9CF9B80BE}" type="presParOf" srcId="{EB5A1194-3A3A-4560-AEAD-95148802D80A}" destId="{0EFA8EDF-299D-4BDB-96A5-B1E19F0ED44F}"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452EE-2257-47F7-9267-AC9F7A4778A0}">
      <dsp:nvSpPr>
        <dsp:cNvPr id="0" name=""/>
        <dsp:cNvSpPr/>
      </dsp:nvSpPr>
      <dsp:spPr>
        <a:xfrm>
          <a:off x="3082766" y="1855022"/>
          <a:ext cx="2812342" cy="1448300"/>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970242"/>
              <a:satOff val="-55952"/>
              <a:lumOff val="5752"/>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ro-MD"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Funcții de metrologie generală</a:t>
          </a:r>
          <a:endParaRPr lang="en-US"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r>
            <a:rPr lang="ro-MD"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Funcții de metrologie legală</a:t>
          </a:r>
          <a:endParaRPr lang="en-US" sz="8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endParaRPr>
        </a:p>
      </dsp:txBody>
      <dsp:txXfrm>
        <a:off x="3958282" y="2248911"/>
        <a:ext cx="1905012" cy="1022597"/>
      </dsp:txXfrm>
    </dsp:sp>
    <dsp:sp modelId="{1C648AEE-BC3A-4A46-AED4-700408178919}">
      <dsp:nvSpPr>
        <dsp:cNvPr id="0" name=""/>
        <dsp:cNvSpPr/>
      </dsp:nvSpPr>
      <dsp:spPr>
        <a:xfrm>
          <a:off x="44457" y="1825375"/>
          <a:ext cx="2817048" cy="141115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1455363"/>
              <a:satOff val="-83928"/>
              <a:lumOff val="8628"/>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implementarea politicii de stat în domeniul acreditării și evaluării conformității, conferind încredere în competența tehnică, imparțialitatea și integritatea organismelor de evaluare a conformității acreditate</a:t>
          </a:r>
          <a:r>
            <a:rPr lang="ro-MD" sz="800" b="0" kern="1200" cap="none" spc="0">
              <a:ln w="0"/>
              <a:effectLst>
                <a:outerShdw blurRad="38100" dist="19050" dir="2700000" algn="tl" rotWithShape="0">
                  <a:schemeClr val="dk1">
                    <a:alpha val="40000"/>
                  </a:schemeClr>
                </a:outerShdw>
              </a:effectLst>
              <a:latin typeface="Calibri" panose="020F0502020204030204"/>
              <a:ea typeface="+mn-ea"/>
              <a:cs typeface="+mn-cs"/>
            </a:rPr>
            <a:t>,</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precum și promovarea liberei circulații a produselor</a:t>
          </a:r>
        </a:p>
      </dsp:txBody>
      <dsp:txXfrm>
        <a:off x="75456" y="2209163"/>
        <a:ext cx="1909935" cy="996369"/>
      </dsp:txXfrm>
    </dsp:sp>
    <dsp:sp modelId="{537BB65F-0630-46F1-8047-28F2B3E42C88}">
      <dsp:nvSpPr>
        <dsp:cNvPr id="0" name=""/>
        <dsp:cNvSpPr/>
      </dsp:nvSpPr>
      <dsp:spPr>
        <a:xfrm>
          <a:off x="3028768" y="279190"/>
          <a:ext cx="2866340" cy="1374057"/>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485121"/>
              <a:satOff val="-27976"/>
              <a:lumOff val="2876"/>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endPar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asigurarea disponibilităţii publice a documentelor de standardizare;</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promovarea standardelor şi a standardizării;</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organizarea instruirilor şi perfecţionării continue în domeniul standardizării;</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consolidarea continuă a sistemului naţional de standardizare.</a:t>
          </a:r>
        </a:p>
      </dsp:txBody>
      <dsp:txXfrm>
        <a:off x="3918854" y="309374"/>
        <a:ext cx="1946070" cy="970175"/>
      </dsp:txXfrm>
    </dsp:sp>
    <dsp:sp modelId="{D18508A1-77F6-4DE0-AF37-F96C866F5F0B}">
      <dsp:nvSpPr>
        <dsp:cNvPr id="0" name=""/>
        <dsp:cNvSpPr/>
      </dsp:nvSpPr>
      <dsp:spPr>
        <a:xfrm>
          <a:off x="0" y="278967"/>
          <a:ext cx="2850535" cy="1382988"/>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implementarea politicii în domeniul protecției consumat</a:t>
          </a:r>
          <a:r>
            <a:rPr lang="ro-MD" sz="8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orilor</a:t>
          </a:r>
          <a:r>
            <a:rPr lang="en-US" sz="8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supravegherea pieţei privind produsele nealimentare </a:t>
          </a: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şi conformitatea serviciilor (inclusiv turistice);</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protecţia consumatorilor;</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 metrologie;</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supravegherea și controlul de stat al activităților în domeniul jocurilor de noroc;</a:t>
          </a:r>
        </a:p>
        <a:p>
          <a:pPr marL="57150" lvl="1" indent="-57150" algn="l" defTabSz="355600">
            <a:lnSpc>
              <a:spcPct val="90000"/>
            </a:lnSpc>
            <a:spcBef>
              <a:spcPct val="0"/>
            </a:spcBef>
            <a:spcAft>
              <a:spcPct val="15000"/>
            </a:spcAft>
            <a:buChar char="••"/>
          </a:pPr>
          <a:r>
            <a:rPr lang="en-US" sz="800" b="0" kern="1200" cap="none" spc="0">
              <a:ln w="0"/>
              <a:effectLst>
                <a:outerShdw blurRad="38100" dist="19050" dir="2700000" algn="tl" rotWithShape="0">
                  <a:schemeClr val="dk1">
                    <a:alpha val="40000"/>
                  </a:schemeClr>
                </a:outerShdw>
              </a:effectLst>
              <a:latin typeface="Calibri" panose="020F0502020204030204"/>
              <a:ea typeface="+mn-ea"/>
              <a:cs typeface="+mn-cs"/>
            </a:rPr>
            <a:t>respectarea condiţiilor de licenţiere conform domeniului de competenţă.</a:t>
          </a:r>
        </a:p>
      </dsp:txBody>
      <dsp:txXfrm>
        <a:off x="30380" y="309347"/>
        <a:ext cx="1934615" cy="976481"/>
      </dsp:txXfrm>
    </dsp:sp>
    <dsp:sp modelId="{70FD9A59-CEB2-430E-BB3E-8FD360075D5E}">
      <dsp:nvSpPr>
        <dsp:cNvPr id="0" name=""/>
        <dsp:cNvSpPr/>
      </dsp:nvSpPr>
      <dsp:spPr>
        <a:xfrm>
          <a:off x="1340597" y="227348"/>
          <a:ext cx="1555201" cy="1449166"/>
        </a:xfrm>
        <a:prstGeom prst="pieWedge">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o-MD"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Inspectoratul de Stat pentru Supravegherea  Produselor Nealimentare și Protecția Consumatorilor (succesor de drepturi al </a:t>
          </a:r>
          <a:r>
            <a:rPr lang="en-US"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APCSP</a:t>
          </a:r>
          <a:r>
            <a:rPr lang="ro-MD"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a:t>
          </a:r>
          <a:r>
            <a:rPr lang="en-US" sz="900" b="0" kern="1200" cap="none" spc="0">
              <a:ln w="0"/>
              <a:solidFill>
                <a:sysClr val="windowText" lastClr="000000"/>
              </a:solidFill>
              <a:effectLst>
                <a:outerShdw blurRad="38100" dist="19050" dir="2700000" algn="tl" rotWithShape="0">
                  <a:schemeClr val="dk1">
                    <a:alpha val="40000"/>
                  </a:schemeClr>
                </a:outerShdw>
              </a:effectLst>
              <a:latin typeface="Calibri" panose="020F0502020204030204"/>
              <a:ea typeface="+mn-ea"/>
              <a:cs typeface="+mn-cs"/>
            </a:rPr>
            <a:t> </a:t>
          </a:r>
        </a:p>
      </dsp:txBody>
      <dsp:txXfrm>
        <a:off x="1796105" y="651799"/>
        <a:ext cx="1099693" cy="1024715"/>
      </dsp:txXfrm>
    </dsp:sp>
    <dsp:sp modelId="{B4AF9779-B51A-4CD5-907F-F65BDD089AA1}">
      <dsp:nvSpPr>
        <dsp:cNvPr id="0" name=""/>
        <dsp:cNvSpPr/>
      </dsp:nvSpPr>
      <dsp:spPr>
        <a:xfrm rot="5400000">
          <a:off x="2988999" y="245612"/>
          <a:ext cx="1497568" cy="1433515"/>
        </a:xfrm>
        <a:prstGeom prst="pieWedge">
          <a:avLst/>
        </a:prstGeom>
        <a:solidFill>
          <a:schemeClr val="accent2">
            <a:hueOff val="-485121"/>
            <a:satOff val="-27976"/>
            <a:lumOff val="287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Institutul de Standardizare din Moldova</a:t>
          </a:r>
        </a:p>
      </dsp:txBody>
      <dsp:txXfrm rot="-5400000">
        <a:off x="3021026" y="652214"/>
        <a:ext cx="1013648" cy="1058940"/>
      </dsp:txXfrm>
    </dsp:sp>
    <dsp:sp modelId="{F391EFC6-9AF0-4B2D-BBF4-48FAEA2ED565}">
      <dsp:nvSpPr>
        <dsp:cNvPr id="0" name=""/>
        <dsp:cNvSpPr/>
      </dsp:nvSpPr>
      <dsp:spPr>
        <a:xfrm rot="10800000">
          <a:off x="2982443" y="1787488"/>
          <a:ext cx="1510681" cy="1510681"/>
        </a:xfrm>
        <a:prstGeom prst="pieWedge">
          <a:avLst/>
        </a:prstGeom>
        <a:solidFill>
          <a:schemeClr val="accent2">
            <a:hueOff val="-970242"/>
            <a:satOff val="-55952"/>
            <a:lumOff val="575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Institutul Național de Metrologie</a:t>
          </a:r>
        </a:p>
      </dsp:txBody>
      <dsp:txXfrm rot="10800000">
        <a:off x="2982443" y="1787488"/>
        <a:ext cx="1068213" cy="1068213"/>
      </dsp:txXfrm>
    </dsp:sp>
    <dsp:sp modelId="{DDA42CF2-D1A8-4FDD-B085-DD581C6C1A95}">
      <dsp:nvSpPr>
        <dsp:cNvPr id="0" name=""/>
        <dsp:cNvSpPr/>
      </dsp:nvSpPr>
      <dsp:spPr>
        <a:xfrm rot="16200000">
          <a:off x="1378190" y="1811281"/>
          <a:ext cx="1510681" cy="1510681"/>
        </a:xfrm>
        <a:prstGeom prst="pieWedge">
          <a:avLst/>
        </a:prstGeom>
        <a:solidFill>
          <a:schemeClr val="accent2">
            <a:hueOff val="-1455363"/>
            <a:satOff val="-83928"/>
            <a:lumOff val="862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cap="none" spc="0">
              <a:ln w="0"/>
              <a:solidFill>
                <a:schemeClr val="tx1"/>
              </a:solidFill>
              <a:effectLst>
                <a:outerShdw blurRad="38100" dist="19050" dir="2700000" algn="tl" rotWithShape="0">
                  <a:schemeClr val="dk1">
                    <a:alpha val="40000"/>
                  </a:schemeClr>
                </a:outerShdw>
              </a:effectLst>
              <a:latin typeface="Calibri" panose="020F0502020204030204"/>
              <a:ea typeface="+mn-ea"/>
              <a:cs typeface="+mn-cs"/>
            </a:rPr>
            <a:t>Centrul Național de Acreditare </a:t>
          </a:r>
        </a:p>
      </dsp:txBody>
      <dsp:txXfrm rot="5400000">
        <a:off x="1820658" y="1811281"/>
        <a:ext cx="1068213" cy="1068213"/>
      </dsp:txXfrm>
    </dsp:sp>
    <dsp:sp modelId="{66DDAEF6-1602-40CB-9A7D-03AA5C282953}">
      <dsp:nvSpPr>
        <dsp:cNvPr id="0" name=""/>
        <dsp:cNvSpPr/>
      </dsp:nvSpPr>
      <dsp:spPr>
        <a:xfrm>
          <a:off x="2686761" y="1438601"/>
          <a:ext cx="521586" cy="453553"/>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B015CADB-1C33-4E36-AC9F-03E5AD7BB3DA}">
      <dsp:nvSpPr>
        <dsp:cNvPr id="0" name=""/>
        <dsp:cNvSpPr/>
      </dsp:nvSpPr>
      <dsp:spPr>
        <a:xfrm rot="10800000">
          <a:off x="2686761" y="1613045"/>
          <a:ext cx="521586" cy="453553"/>
        </a:xfrm>
        <a:prstGeom prst="circularArrow">
          <a:avLst/>
        </a:prstGeom>
        <a:solidFill>
          <a:schemeClr val="accent2">
            <a:tint val="4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44693-8829-401F-9629-5AE926A08967}">
      <dsp:nvSpPr>
        <dsp:cNvPr id="0" name=""/>
        <dsp:cNvSpPr/>
      </dsp:nvSpPr>
      <dsp:spPr>
        <a:xfrm>
          <a:off x="432625" y="0"/>
          <a:ext cx="4903089" cy="1440180"/>
        </a:xfrm>
        <a:prstGeom prst="rightArrow">
          <a:avLst/>
        </a:prstGeom>
        <a:solidFill>
          <a:srgbClr val="ED7D31">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7DCD93E4-9453-447E-A081-FCDCED6948B5}">
      <dsp:nvSpPr>
        <dsp:cNvPr id="0" name=""/>
        <dsp:cNvSpPr/>
      </dsp:nvSpPr>
      <dsp:spPr>
        <a:xfrm>
          <a:off x="1408" y="309572"/>
          <a:ext cx="1290975" cy="82103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MD" sz="800" b="1" kern="1200">
              <a:solidFill>
                <a:sysClr val="windowText" lastClr="000000"/>
              </a:solidFill>
              <a:latin typeface="Calibri Light" panose="020F0302020204030204"/>
              <a:ea typeface="+mn-ea"/>
              <a:cs typeface="+mn-cs"/>
            </a:rPr>
            <a:t>HG privind unele măsuri de reformare a sistemului infrastructurii calității</a:t>
          </a:r>
        </a:p>
        <a:p>
          <a:pPr lvl="0" algn="ctr" defTabSz="355600">
            <a:lnSpc>
              <a:spcPct val="90000"/>
            </a:lnSpc>
            <a:spcBef>
              <a:spcPct val="0"/>
            </a:spcBef>
            <a:spcAft>
              <a:spcPct val="35000"/>
            </a:spcAft>
          </a:pPr>
          <a:r>
            <a:rPr lang="ro-MD" sz="800" b="1" kern="1200">
              <a:solidFill>
                <a:sysClr val="windowText" lastClr="000000"/>
              </a:solidFill>
              <a:latin typeface="Calibri Light" panose="020F0302020204030204"/>
              <a:ea typeface="+mn-ea"/>
              <a:cs typeface="+mn-cs"/>
            </a:rPr>
            <a:t> nr.996 din 27.12.2012</a:t>
          </a:r>
          <a:endParaRPr lang="en-US" sz="800" b="1" kern="1200">
            <a:solidFill>
              <a:sysClr val="windowText" lastClr="000000"/>
            </a:solidFill>
            <a:latin typeface="Calibri Light" panose="020F0302020204030204"/>
            <a:ea typeface="+mn-ea"/>
            <a:cs typeface="+mn-cs"/>
          </a:endParaRPr>
        </a:p>
      </dsp:txBody>
      <dsp:txXfrm>
        <a:off x="41488" y="349652"/>
        <a:ext cx="1210815" cy="740875"/>
      </dsp:txXfrm>
    </dsp:sp>
    <dsp:sp modelId="{64ACE631-1B6C-4B8F-BA49-5DBEC56441E1}">
      <dsp:nvSpPr>
        <dsp:cNvPr id="0" name=""/>
        <dsp:cNvSpPr/>
      </dsp:nvSpPr>
      <dsp:spPr>
        <a:xfrm>
          <a:off x="1448903" y="323032"/>
          <a:ext cx="1290975" cy="794115"/>
        </a:xfrm>
        <a:prstGeom prst="roundRect">
          <a:avLst/>
        </a:prstGeom>
        <a:gradFill rotWithShape="0">
          <a:gsLst>
            <a:gs pos="0">
              <a:schemeClr val="accent2">
                <a:hueOff val="-485121"/>
                <a:satOff val="-27976"/>
                <a:lumOff val="2876"/>
                <a:alphaOff val="0"/>
                <a:satMod val="103000"/>
                <a:lumMod val="102000"/>
                <a:tint val="94000"/>
              </a:schemeClr>
            </a:gs>
            <a:gs pos="50000">
              <a:schemeClr val="accent2">
                <a:hueOff val="-485121"/>
                <a:satOff val="-27976"/>
                <a:lumOff val="2876"/>
                <a:alphaOff val="0"/>
                <a:satMod val="110000"/>
                <a:lumMod val="100000"/>
                <a:shade val="100000"/>
              </a:schemeClr>
            </a:gs>
            <a:gs pos="100000">
              <a:schemeClr val="accent2">
                <a:hueOff val="-485121"/>
                <a:satOff val="-27976"/>
                <a:lumOff val="28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MD" sz="800" b="1" kern="1200">
              <a:solidFill>
                <a:sysClr val="windowText" lastClr="000000"/>
              </a:solidFill>
              <a:latin typeface="Calibri Light" panose="020F0302020204030204"/>
              <a:ea typeface="+mn-ea"/>
              <a:cs typeface="+mn-cs"/>
            </a:rPr>
            <a:t>Întocmirea </a:t>
          </a:r>
          <a:r>
            <a:rPr lang="en-US" sz="800" b="1" kern="1200">
              <a:solidFill>
                <a:sysClr val="windowText" lastClr="000000"/>
              </a:solidFill>
              <a:latin typeface="Calibri Light" panose="020F0302020204030204"/>
              <a:ea typeface="+mn-ea"/>
              <a:cs typeface="+mn-cs"/>
            </a:rPr>
            <a:t>Ordin</a:t>
          </a:r>
          <a:r>
            <a:rPr lang="ro-MD" sz="800" b="1" kern="1200">
              <a:solidFill>
                <a:sysClr val="windowText" lastClr="000000"/>
              </a:solidFill>
              <a:latin typeface="Calibri Light" panose="020F0302020204030204"/>
              <a:ea typeface="+mn-ea"/>
              <a:cs typeface="+mn-cs"/>
            </a:rPr>
            <a:t>ului</a:t>
          </a:r>
          <a:r>
            <a:rPr lang="en-US" sz="800" b="1" kern="1200">
              <a:solidFill>
                <a:sysClr val="windowText" lastClr="000000"/>
              </a:solidFill>
              <a:latin typeface="Calibri Light" panose="020F0302020204030204"/>
              <a:ea typeface="+mn-ea"/>
              <a:cs typeface="+mn-cs"/>
            </a:rPr>
            <a:t> nr.22 din 15.02.2013 cu privire la crearea comisiei de predare-primire a bunurilor, cu modificările ulterioare prin Ordin</a:t>
          </a:r>
          <a:r>
            <a:rPr lang="ro-RO" sz="800" b="1" kern="1200">
              <a:solidFill>
                <a:sysClr val="windowText" lastClr="000000"/>
              </a:solidFill>
              <a:latin typeface="Calibri Light" panose="020F0302020204030204"/>
              <a:ea typeface="+mn-ea"/>
              <a:cs typeface="+mn-cs"/>
            </a:rPr>
            <a:t>ul</a:t>
          </a:r>
          <a:r>
            <a:rPr lang="en-US" sz="800" b="1" kern="1200">
              <a:solidFill>
                <a:sysClr val="windowText" lastClr="000000"/>
              </a:solidFill>
              <a:latin typeface="Calibri Light" panose="020F0302020204030204"/>
              <a:ea typeface="+mn-ea"/>
              <a:cs typeface="+mn-cs"/>
            </a:rPr>
            <a:t> nr.87 din 21.05.2013</a:t>
          </a:r>
        </a:p>
      </dsp:txBody>
      <dsp:txXfrm>
        <a:off x="1487668" y="361797"/>
        <a:ext cx="1213445" cy="716585"/>
      </dsp:txXfrm>
    </dsp:sp>
    <dsp:sp modelId="{184FD373-DD5A-44B7-A103-80A767C11F6B}">
      <dsp:nvSpPr>
        <dsp:cNvPr id="0" name=""/>
        <dsp:cNvSpPr/>
      </dsp:nvSpPr>
      <dsp:spPr>
        <a:xfrm>
          <a:off x="2962430" y="255024"/>
          <a:ext cx="1290975" cy="903217"/>
        </a:xfrm>
        <a:prstGeom prst="roundRect">
          <a:avLst/>
        </a:prstGeom>
        <a:gradFill rotWithShape="0">
          <a:gsLst>
            <a:gs pos="0">
              <a:schemeClr val="accent2">
                <a:hueOff val="-970242"/>
                <a:satOff val="-55952"/>
                <a:lumOff val="5752"/>
                <a:alphaOff val="0"/>
                <a:satMod val="103000"/>
                <a:lumMod val="102000"/>
                <a:tint val="94000"/>
              </a:schemeClr>
            </a:gs>
            <a:gs pos="50000">
              <a:schemeClr val="accent2">
                <a:hueOff val="-970242"/>
                <a:satOff val="-55952"/>
                <a:lumOff val="5752"/>
                <a:alphaOff val="0"/>
                <a:satMod val="110000"/>
                <a:lumMod val="100000"/>
                <a:shade val="100000"/>
              </a:schemeClr>
            </a:gs>
            <a:gs pos="100000">
              <a:schemeClr val="accent2">
                <a:hueOff val="-970242"/>
                <a:satOff val="-55952"/>
                <a:lumOff val="575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MD" sz="800" b="1" kern="1200">
              <a:solidFill>
                <a:sysClr val="windowText" lastClr="000000"/>
              </a:solidFill>
              <a:latin typeface="Calibri Light" panose="020F0302020204030204"/>
              <a:ea typeface="+mn-ea"/>
              <a:cs typeface="+mn-cs"/>
            </a:rPr>
            <a:t>Întocmirea </a:t>
          </a:r>
          <a:r>
            <a:rPr lang="en-US" sz="800" b="1" kern="1200">
              <a:solidFill>
                <a:sysClr val="windowText" lastClr="000000"/>
              </a:solidFill>
              <a:latin typeface="Calibri Light" panose="020F0302020204030204"/>
              <a:ea typeface="+mn-ea"/>
              <a:cs typeface="+mn-cs"/>
            </a:rPr>
            <a:t>Actel</a:t>
          </a:r>
          <a:r>
            <a:rPr lang="ro-MD" sz="800" b="1" kern="1200">
              <a:solidFill>
                <a:sysClr val="windowText" lastClr="000000"/>
              </a:solidFill>
              <a:latin typeface="Calibri Light" panose="020F0302020204030204"/>
              <a:ea typeface="+mn-ea"/>
              <a:cs typeface="+mn-cs"/>
            </a:rPr>
            <a:t>or</a:t>
          </a:r>
          <a:r>
            <a:rPr lang="en-US" sz="800" b="1" kern="1200">
              <a:solidFill>
                <a:sysClr val="windowText" lastClr="000000"/>
              </a:solidFill>
              <a:latin typeface="Calibri Light" panose="020F0302020204030204"/>
              <a:ea typeface="+mn-ea"/>
              <a:cs typeface="+mn-cs"/>
            </a:rPr>
            <a:t> de primire-predare a patrimoniului</a:t>
          </a:r>
          <a:r>
            <a:rPr lang="ro-RO" sz="800" b="1" kern="1200">
              <a:solidFill>
                <a:sysClr val="windowText" lastClr="000000"/>
              </a:solidFill>
              <a:latin typeface="Calibri Light" panose="020F0302020204030204"/>
              <a:ea typeface="+mn-ea"/>
              <a:cs typeface="+mn-cs"/>
            </a:rPr>
            <a:t>,</a:t>
          </a:r>
          <a:r>
            <a:rPr lang="en-US" sz="800" b="1" kern="1200">
              <a:solidFill>
                <a:sysClr val="windowText" lastClr="000000"/>
              </a:solidFill>
              <a:latin typeface="Calibri Light" panose="020F0302020204030204"/>
              <a:ea typeface="+mn-ea"/>
              <a:cs typeface="+mn-cs"/>
            </a:rPr>
            <a:t> cu anexarea </a:t>
          </a:r>
          <a:r>
            <a:rPr lang="ro-RO" sz="800" b="1" kern="1200">
              <a:solidFill>
                <a:sysClr val="windowText" lastClr="000000"/>
              </a:solidFill>
              <a:latin typeface="Calibri Light" panose="020F0302020204030204"/>
              <a:ea typeface="+mn-ea"/>
              <a:cs typeface="+mn-cs"/>
            </a:rPr>
            <a:t>L</a:t>
          </a:r>
          <a:r>
            <a:rPr lang="en-US" sz="800" b="1" kern="1200">
              <a:solidFill>
                <a:sysClr val="windowText" lastClr="000000"/>
              </a:solidFill>
              <a:latin typeface="Calibri Light" panose="020F0302020204030204"/>
              <a:ea typeface="+mn-ea"/>
              <a:cs typeface="+mn-cs"/>
            </a:rPr>
            <a:t>istelor bunurilor materiale și spațiilor transmise</a:t>
          </a:r>
          <a:r>
            <a:rPr lang="ro-MD" sz="800" b="1" kern="1200">
              <a:solidFill>
                <a:sysClr val="windowText" lastClr="000000"/>
              </a:solidFill>
              <a:latin typeface="Calibri Light" panose="020F0302020204030204"/>
              <a:ea typeface="+mn-ea"/>
              <a:cs typeface="+mn-cs"/>
            </a:rPr>
            <a:t> </a:t>
          </a:r>
          <a:endParaRPr lang="en-US" sz="800" b="1" kern="1200">
            <a:solidFill>
              <a:srgbClr val="FF0000"/>
            </a:solidFill>
            <a:latin typeface="Calibri Light" panose="020F0302020204030204"/>
            <a:ea typeface="+mn-ea"/>
            <a:cs typeface="+mn-cs"/>
          </a:endParaRPr>
        </a:p>
      </dsp:txBody>
      <dsp:txXfrm>
        <a:off x="3006521" y="299115"/>
        <a:ext cx="1202793" cy="815035"/>
      </dsp:txXfrm>
    </dsp:sp>
    <dsp:sp modelId="{5D06CCC6-71D9-4CB2-9ACF-ACA168FA5492}">
      <dsp:nvSpPr>
        <dsp:cNvPr id="0" name=""/>
        <dsp:cNvSpPr/>
      </dsp:nvSpPr>
      <dsp:spPr>
        <a:xfrm>
          <a:off x="4475955" y="309572"/>
          <a:ext cx="1290975" cy="821035"/>
        </a:xfrm>
        <a:prstGeom prst="roundRect">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MD" sz="800" b="1" kern="1200">
              <a:solidFill>
                <a:sysClr val="windowText" lastClr="000000"/>
              </a:solidFill>
              <a:latin typeface="Calibri Light" panose="020F0302020204030204"/>
              <a:ea typeface="+mn-ea"/>
              <a:cs typeface="+mn-cs"/>
            </a:rPr>
            <a:t>Transmiterea automatizată a s</a:t>
          </a:r>
          <a:r>
            <a:rPr lang="en-US" sz="800" b="1" kern="1200">
              <a:solidFill>
                <a:sysClr val="windowText" lastClr="000000"/>
              </a:solidFill>
              <a:latin typeface="Calibri Light" panose="020F0302020204030204"/>
              <a:ea typeface="+mn-ea"/>
              <a:cs typeface="+mn-cs"/>
            </a:rPr>
            <a:t>olduril</a:t>
          </a:r>
          <a:r>
            <a:rPr lang="ro-MD" sz="800" b="1" kern="1200">
              <a:solidFill>
                <a:sysClr val="windowText" lastClr="000000"/>
              </a:solidFill>
              <a:latin typeface="Calibri Light" panose="020F0302020204030204"/>
              <a:ea typeface="+mn-ea"/>
              <a:cs typeface="+mn-cs"/>
            </a:rPr>
            <a:t>or</a:t>
          </a:r>
          <a:r>
            <a:rPr lang="en-US" sz="800" b="1" kern="1200">
              <a:solidFill>
                <a:sysClr val="windowText" lastClr="000000"/>
              </a:solidFill>
              <a:latin typeface="Calibri Light" panose="020F0302020204030204"/>
              <a:ea typeface="+mn-ea"/>
              <a:cs typeface="+mn-cs"/>
            </a:rPr>
            <a:t> contabile în SI </a:t>
          </a:r>
          <a:r>
            <a:rPr lang="ro-RO" sz="800" b="1" kern="1200">
              <a:solidFill>
                <a:sysClr val="windowText" lastClr="000000"/>
              </a:solidFill>
              <a:latin typeface="Calibri Light" panose="020F0302020204030204"/>
              <a:ea typeface="+mn-ea"/>
              <a:cs typeface="+mn-cs"/>
            </a:rPr>
            <a:t>c</a:t>
          </a:r>
          <a:r>
            <a:rPr lang="en-US" sz="800" b="1" kern="1200">
              <a:solidFill>
                <a:sysClr val="windowText" lastClr="000000"/>
              </a:solidFill>
              <a:latin typeface="Calibri Light" panose="020F0302020204030204"/>
              <a:ea typeface="+mn-ea"/>
              <a:cs typeface="+mn-cs"/>
            </a:rPr>
            <a:t>ontabil</a:t>
          </a:r>
          <a:r>
            <a:rPr lang="ro-MD" sz="800" b="1" kern="1200">
              <a:solidFill>
                <a:sysClr val="windowText" lastClr="000000"/>
              </a:solidFill>
              <a:latin typeface="Calibri Light" panose="020F0302020204030204"/>
              <a:ea typeface="+mn-ea"/>
              <a:cs typeface="+mn-cs"/>
            </a:rPr>
            <a:t> al entităților create/reorganizate</a:t>
          </a:r>
          <a:endParaRPr lang="en-US" sz="800" b="1" kern="1200">
            <a:solidFill>
              <a:sysClr val="windowText" lastClr="000000"/>
            </a:solidFill>
            <a:latin typeface="Calibri Light" panose="020F0302020204030204"/>
            <a:ea typeface="+mn-ea"/>
            <a:cs typeface="+mn-cs"/>
          </a:endParaRPr>
        </a:p>
      </dsp:txBody>
      <dsp:txXfrm>
        <a:off x="4516035" y="349652"/>
        <a:ext cx="1210815" cy="7408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D1A66-D2BE-4A68-81E9-F28A13F44A24}">
      <dsp:nvSpPr>
        <dsp:cNvPr id="0" name=""/>
        <dsp:cNvSpPr/>
      </dsp:nvSpPr>
      <dsp:spPr>
        <a:xfrm>
          <a:off x="1848" y="136021"/>
          <a:ext cx="1801847" cy="331315"/>
        </a:xfrm>
        <a:prstGeom prst="rect">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o-MD" sz="900" b="1" i="1" kern="1200">
              <a:solidFill>
                <a:sysClr val="window" lastClr="FFFFFF"/>
              </a:solidFill>
              <a:latin typeface="Calibri" panose="020F0502020204030204"/>
              <a:ea typeface="+mn-ea"/>
              <a:cs typeface="+mn-cs"/>
            </a:rPr>
            <a:t>Institutul de Standardizare din Moldova (ISM)</a:t>
          </a:r>
          <a:endParaRPr lang="en-US" sz="900" kern="1200">
            <a:solidFill>
              <a:sysClr val="window" lastClr="FFFFFF"/>
            </a:solidFill>
            <a:latin typeface="Calibri" panose="020F0502020204030204"/>
            <a:ea typeface="+mn-ea"/>
            <a:cs typeface="+mn-cs"/>
          </a:endParaRPr>
        </a:p>
      </dsp:txBody>
      <dsp:txXfrm>
        <a:off x="1848" y="136021"/>
        <a:ext cx="1801847" cy="331315"/>
      </dsp:txXfrm>
    </dsp:sp>
    <dsp:sp modelId="{17BBDA4E-F669-435F-AA5B-F775FA95B309}">
      <dsp:nvSpPr>
        <dsp:cNvPr id="0" name=""/>
        <dsp:cNvSpPr/>
      </dsp:nvSpPr>
      <dsp:spPr>
        <a:xfrm>
          <a:off x="1848" y="467336"/>
          <a:ext cx="1801847" cy="1136429"/>
        </a:xfrm>
        <a:prstGeom prst="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o-MD" sz="900" kern="1200">
              <a:solidFill>
                <a:sysClr val="windowText" lastClr="000000">
                  <a:hueOff val="0"/>
                  <a:satOff val="0"/>
                  <a:lumOff val="0"/>
                  <a:alphaOff val="0"/>
                </a:sysClr>
              </a:solidFill>
              <a:latin typeface="Calibri" panose="020F0502020204030204"/>
              <a:ea typeface="+mn-ea"/>
              <a:cs typeface="+mn-cs"/>
            </a:rPr>
            <a:t>Metodologia de determinare a tarifelor la serviciile din domeniul standarrdizării prestate contra plată de către ISM, aprobată prin Hotărârea Guvernului nr.1213 din 04.11.2016 cu privire la serviciile în domeniul standardizării prestate contra plată de către ISM</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1848" y="467336"/>
        <a:ext cx="1801847" cy="1136429"/>
      </dsp:txXfrm>
    </dsp:sp>
    <dsp:sp modelId="{7659097E-79CC-4DCB-ACF4-CF3675A56F52}">
      <dsp:nvSpPr>
        <dsp:cNvPr id="0" name=""/>
        <dsp:cNvSpPr/>
      </dsp:nvSpPr>
      <dsp:spPr>
        <a:xfrm>
          <a:off x="2055953" y="136021"/>
          <a:ext cx="1801847" cy="331315"/>
        </a:xfrm>
        <a:prstGeom prst="rect">
          <a:avLst/>
        </a:prstGeom>
        <a:solidFill>
          <a:srgbClr val="ED7D31">
            <a:hueOff val="-727682"/>
            <a:satOff val="-41964"/>
            <a:lumOff val="4314"/>
            <a:alphaOff val="0"/>
          </a:srgbClr>
        </a:solidFill>
        <a:ln w="12700" cap="flat" cmpd="sng" algn="ctr">
          <a:solidFill>
            <a:srgbClr val="ED7D31">
              <a:hueOff val="-727682"/>
              <a:satOff val="-41964"/>
              <a:lumOff val="431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o-MD" sz="900" b="1" i="1" kern="1200">
              <a:solidFill>
                <a:sysClr val="window" lastClr="FFFFFF"/>
              </a:solidFill>
              <a:latin typeface="Calibri" panose="020F0502020204030204"/>
              <a:ea typeface="+mn-ea"/>
              <a:cs typeface="+mn-cs"/>
            </a:rPr>
            <a:t> Institutul Național de Metrologie (INM)</a:t>
          </a:r>
          <a:endParaRPr lang="en-US" sz="900" kern="1200">
            <a:solidFill>
              <a:sysClr val="window" lastClr="FFFFFF"/>
            </a:solidFill>
            <a:latin typeface="Calibri" panose="020F0502020204030204"/>
            <a:ea typeface="+mn-ea"/>
            <a:cs typeface="+mn-cs"/>
          </a:endParaRPr>
        </a:p>
      </dsp:txBody>
      <dsp:txXfrm>
        <a:off x="2055953" y="136021"/>
        <a:ext cx="1801847" cy="331315"/>
      </dsp:txXfrm>
    </dsp:sp>
    <dsp:sp modelId="{E60ECF80-F911-4935-9C5B-1A825B682A37}">
      <dsp:nvSpPr>
        <dsp:cNvPr id="0" name=""/>
        <dsp:cNvSpPr/>
      </dsp:nvSpPr>
      <dsp:spPr>
        <a:xfrm>
          <a:off x="2055953" y="467336"/>
          <a:ext cx="1801847" cy="1136429"/>
        </a:xfrm>
        <a:prstGeom prst="rect">
          <a:avLst/>
        </a:prstGeom>
        <a:solidFill>
          <a:srgbClr val="ED7D31">
            <a:tint val="40000"/>
            <a:alpha val="90000"/>
            <a:hueOff val="-424613"/>
            <a:satOff val="-37673"/>
            <a:lumOff val="-385"/>
            <a:alphaOff val="0"/>
          </a:srgbClr>
        </a:solidFill>
        <a:ln w="12700" cap="flat" cmpd="sng" algn="ctr">
          <a:solidFill>
            <a:srgbClr val="ED7D31">
              <a:tint val="40000"/>
              <a:alpha val="90000"/>
              <a:hueOff val="-424613"/>
              <a:satOff val="-37673"/>
              <a:lumOff val="-3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o-MD" sz="900" kern="1200">
              <a:solidFill>
                <a:sysClr val="windowText" lastClr="000000">
                  <a:hueOff val="0"/>
                  <a:satOff val="0"/>
                  <a:lumOff val="0"/>
                  <a:alphaOff val="0"/>
                </a:sysClr>
              </a:solidFill>
              <a:latin typeface="Calibri" panose="020F0502020204030204"/>
              <a:ea typeface="+mn-ea"/>
              <a:cs typeface="+mn-cs"/>
            </a:rPr>
            <a:t> Metodologia de calcul al tarifelor la serviciile metrologice prestate de ISM, aprobată prin Legea metrologiei nr.19 din 04.03.2016 </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2055953" y="467336"/>
        <a:ext cx="1801847" cy="1136429"/>
      </dsp:txXfrm>
    </dsp:sp>
    <dsp:sp modelId="{7E7F7CF0-675E-43D5-BD2D-5A4FC993FA6C}">
      <dsp:nvSpPr>
        <dsp:cNvPr id="0" name=""/>
        <dsp:cNvSpPr/>
      </dsp:nvSpPr>
      <dsp:spPr>
        <a:xfrm>
          <a:off x="4110059" y="136021"/>
          <a:ext cx="1801847" cy="331315"/>
        </a:xfrm>
        <a:prstGeom prst="rect">
          <a:avLst/>
        </a:prstGeom>
        <a:solidFill>
          <a:srgbClr val="ED7D31">
            <a:hueOff val="-1455363"/>
            <a:satOff val="-83928"/>
            <a:lumOff val="8628"/>
            <a:alphaOff val="0"/>
          </a:srgbClr>
        </a:solidFill>
        <a:ln w="12700" cap="flat" cmpd="sng" algn="ctr">
          <a:solidFill>
            <a:srgbClr val="ED7D31">
              <a:hueOff val="-1455363"/>
              <a:satOff val="-83928"/>
              <a:lumOff val="862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o-MD" sz="900" b="1" i="1" kern="1200">
              <a:solidFill>
                <a:sysClr val="window" lastClr="FFFFFF"/>
              </a:solidFill>
              <a:latin typeface="Calibri" panose="020F0502020204030204"/>
              <a:ea typeface="+mn-ea"/>
              <a:cs typeface="+mn-cs"/>
            </a:rPr>
            <a:t>Centrul Național de Acreditare din Republica Moldova (MOLDAC)</a:t>
          </a:r>
          <a:endParaRPr lang="en-US" sz="900" kern="1200">
            <a:solidFill>
              <a:sysClr val="window" lastClr="FFFFFF"/>
            </a:solidFill>
            <a:latin typeface="Calibri" panose="020F0502020204030204"/>
            <a:ea typeface="+mn-ea"/>
            <a:cs typeface="+mn-cs"/>
          </a:endParaRPr>
        </a:p>
      </dsp:txBody>
      <dsp:txXfrm>
        <a:off x="4110059" y="136021"/>
        <a:ext cx="1801847" cy="331315"/>
      </dsp:txXfrm>
    </dsp:sp>
    <dsp:sp modelId="{0EFA8EDF-299D-4BDB-96A5-B1E19F0ED44F}">
      <dsp:nvSpPr>
        <dsp:cNvPr id="0" name=""/>
        <dsp:cNvSpPr/>
      </dsp:nvSpPr>
      <dsp:spPr>
        <a:xfrm>
          <a:off x="4110059" y="467336"/>
          <a:ext cx="1801847" cy="1136429"/>
        </a:xfrm>
        <a:prstGeom prst="rect">
          <a:avLst/>
        </a:prstGeom>
        <a:solidFill>
          <a:srgbClr val="ED7D31">
            <a:tint val="40000"/>
            <a:alpha val="90000"/>
            <a:hueOff val="-849226"/>
            <a:satOff val="-75346"/>
            <a:lumOff val="-769"/>
            <a:alphaOff val="0"/>
          </a:srgbClr>
        </a:solidFill>
        <a:ln w="12700" cap="flat" cmpd="sng" algn="ctr">
          <a:solidFill>
            <a:srgbClr val="ED7D31">
              <a:tint val="40000"/>
              <a:alpha val="90000"/>
              <a:hueOff val="-849226"/>
              <a:satOff val="-75346"/>
              <a:lumOff val="-76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o-RO" sz="900" b="0" kern="1200">
              <a:solidFill>
                <a:sysClr val="windowText" lastClr="000000">
                  <a:hueOff val="0"/>
                  <a:satOff val="0"/>
                  <a:lumOff val="0"/>
                  <a:alphaOff val="0"/>
                </a:sysClr>
              </a:solidFill>
              <a:latin typeface="Calibri" panose="020F0502020204030204"/>
              <a:ea typeface="+mn-ea"/>
              <a:cs typeface="+mn-cs"/>
            </a:rPr>
            <a:t>Schema de calculare a plăţilor pentru serviciile de acreditare,  aprobată prin Legea nr.235 din 01.12.2011 privind activitățile de acreditare și de evaluare a conformității</a:t>
          </a:r>
          <a:endParaRPr lang="en-US" sz="900" b="0" kern="1200">
            <a:solidFill>
              <a:sysClr val="windowText" lastClr="000000">
                <a:hueOff val="0"/>
                <a:satOff val="0"/>
                <a:lumOff val="0"/>
                <a:alphaOff val="0"/>
              </a:sysClr>
            </a:solidFill>
            <a:latin typeface="Calibri" panose="020F0502020204030204"/>
            <a:ea typeface="+mn-ea"/>
            <a:cs typeface="+mn-cs"/>
          </a:endParaRPr>
        </a:p>
      </dsp:txBody>
      <dsp:txXfrm>
        <a:off x="4110059" y="467336"/>
        <a:ext cx="1801847" cy="1136429"/>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4.xml><?xml version="1.0" encoding="utf-8"?>
<ds:datastoreItem xmlns:ds="http://schemas.openxmlformats.org/officeDocument/2006/customXml" ds:itemID="{6C699970-2D5E-459B-9C32-296A0590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27608</Words>
  <Characters>157370</Characters>
  <Application>Microsoft Office Word</Application>
  <DocSecurity>0</DocSecurity>
  <Lines>1311</Lines>
  <Paragraphs>369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2</cp:revision>
  <cp:lastPrinted>2022-12-04T12:14:00Z</cp:lastPrinted>
  <dcterms:created xsi:type="dcterms:W3CDTF">2022-12-28T09:19:00Z</dcterms:created>
  <dcterms:modified xsi:type="dcterms:W3CDTF">2022-12-28T09:19:00Z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