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63E36" w14:textId="2E02AB1E" w:rsidR="00EF1135" w:rsidRPr="002756D9" w:rsidRDefault="00734C13" w:rsidP="000847DB">
      <w:pPr>
        <w:pStyle w:val="NoSpacing"/>
        <w:jc w:val="right"/>
        <w:rPr>
          <w:rFonts w:ascii="Times New Roman" w:hAnsi="Times New Roman" w:cs="Times New Roman"/>
          <w:i/>
          <w:iCs/>
          <w:sz w:val="26"/>
          <w:szCs w:val="26"/>
          <w:lang w:val="en-US"/>
        </w:rPr>
      </w:pPr>
      <w:r>
        <w:rPr>
          <w:rFonts w:ascii="Times New Roman" w:hAnsi="Times New Roman" w:cs="Times New Roman"/>
          <w:i/>
          <w:iCs/>
          <w:sz w:val="26"/>
          <w:szCs w:val="26"/>
          <w:lang w:val="en-US"/>
        </w:rPr>
        <w:t xml:space="preserve">   </w:t>
      </w:r>
      <w:proofErr w:type="spellStart"/>
      <w:r w:rsidR="000847DB" w:rsidRPr="002756D9">
        <w:rPr>
          <w:rFonts w:ascii="Times New Roman" w:hAnsi="Times New Roman" w:cs="Times New Roman"/>
          <w:i/>
          <w:iCs/>
          <w:sz w:val="26"/>
          <w:szCs w:val="26"/>
          <w:lang w:val="en-US"/>
        </w:rPr>
        <w:t>Anexa</w:t>
      </w:r>
      <w:proofErr w:type="spellEnd"/>
      <w:r w:rsidR="000847DB" w:rsidRPr="002756D9">
        <w:rPr>
          <w:rFonts w:ascii="Times New Roman" w:hAnsi="Times New Roman" w:cs="Times New Roman"/>
          <w:i/>
          <w:iCs/>
          <w:sz w:val="26"/>
          <w:szCs w:val="26"/>
          <w:lang w:val="en-US"/>
        </w:rPr>
        <w:t xml:space="preserve"> 1</w:t>
      </w:r>
    </w:p>
    <w:p w14:paraId="359F0F1D" w14:textId="73D23A1E" w:rsidR="002F42DC" w:rsidRPr="002756D9" w:rsidRDefault="00C30DB8" w:rsidP="00C30DB8">
      <w:pPr>
        <w:pStyle w:val="NoSpacing"/>
        <w:jc w:val="center"/>
        <w:rPr>
          <w:rFonts w:ascii="Times New Roman" w:hAnsi="Times New Roman" w:cs="Times New Roman"/>
          <w:b/>
          <w:bCs/>
          <w:sz w:val="26"/>
          <w:szCs w:val="26"/>
          <w:lang w:val="ro-RO"/>
        </w:rPr>
      </w:pPr>
      <w:bookmarkStart w:id="0" w:name="_Hlk125456645"/>
      <w:r w:rsidRPr="00C30DB8">
        <w:rPr>
          <w:rFonts w:ascii="Times New Roman" w:hAnsi="Times New Roman" w:cs="Times New Roman"/>
          <w:b/>
          <w:bCs/>
          <w:sz w:val="28"/>
          <w:szCs w:val="28"/>
          <w:lang w:val="ro-MD"/>
        </w:rPr>
        <w:t xml:space="preserve">Raportul privind acțiunile întreprinse  și progresul înregistrat la implementarea </w:t>
      </w:r>
      <w:r w:rsidRPr="00C30DB8">
        <w:rPr>
          <w:rFonts w:ascii="Times New Roman" w:hAnsi="Times New Roman" w:cs="Times New Roman"/>
          <w:b/>
          <w:bCs/>
          <w:noProof/>
          <w:sz w:val="28"/>
          <w:szCs w:val="28"/>
          <w:lang w:val="ro-RO"/>
        </w:rPr>
        <w:t xml:space="preserve"> recomandărilor </w:t>
      </w:r>
      <w:r w:rsidRPr="00C30DB8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Hotărârii Curții de Conturi nr. 64 din 22 decembrie </w:t>
      </w:r>
      <w:r w:rsidR="002F42DC" w:rsidRPr="00C30DB8">
        <w:rPr>
          <w:rFonts w:ascii="Times New Roman" w:hAnsi="Times New Roman" w:cs="Times New Roman"/>
          <w:b/>
          <w:bCs/>
          <w:sz w:val="26"/>
          <w:szCs w:val="26"/>
          <w:lang w:val="ro-RO"/>
        </w:rPr>
        <w:t>emise în urma realizării auditului</w:t>
      </w:r>
      <w:r w:rsidR="00EF2020" w:rsidRPr="00C30DB8">
        <w:rPr>
          <w:rFonts w:ascii="Times New Roman" w:hAnsi="Times New Roman" w:cs="Times New Roman"/>
          <w:b/>
          <w:bCs/>
          <w:sz w:val="26"/>
          <w:szCs w:val="26"/>
          <w:lang w:val="ro-RO"/>
        </w:rPr>
        <w:t xml:space="preserve"> conformității privind </w:t>
      </w:r>
      <w:r w:rsidR="00EF2020" w:rsidRPr="00C30DB8">
        <w:rPr>
          <w:rFonts w:ascii="Times New Roman" w:eastAsia="Times New Roman" w:hAnsi="Times New Roman" w:cs="Times New Roman"/>
          <w:b/>
          <w:bCs/>
          <w:sz w:val="26"/>
          <w:szCs w:val="26"/>
          <w:lang w:val="ro-RO" w:eastAsia="ru-RU"/>
        </w:rPr>
        <w:t>acordarea compensațiilor și ajutorului umanitar</w:t>
      </w:r>
      <w:r w:rsidR="00EF2020" w:rsidRPr="002756D9">
        <w:rPr>
          <w:rFonts w:ascii="Times New Roman" w:eastAsia="Times New Roman" w:hAnsi="Times New Roman" w:cs="Times New Roman"/>
          <w:b/>
          <w:bCs/>
          <w:sz w:val="26"/>
          <w:szCs w:val="26"/>
          <w:lang w:val="ro-RO" w:eastAsia="ru-RU"/>
        </w:rPr>
        <w:t xml:space="preserve"> agricultorilor afectați de calamitățile naturale asupra recoltei anului </w:t>
      </w:r>
      <w:r w:rsidR="002756D9">
        <w:rPr>
          <w:rFonts w:ascii="Times New Roman" w:eastAsia="Times New Roman" w:hAnsi="Times New Roman" w:cs="Times New Roman"/>
          <w:b/>
          <w:bCs/>
          <w:sz w:val="26"/>
          <w:szCs w:val="26"/>
          <w:lang w:val="ro-RO" w:eastAsia="ru-RU"/>
        </w:rPr>
        <w:t>2</w:t>
      </w:r>
      <w:r w:rsidR="00EF2020" w:rsidRPr="002756D9">
        <w:rPr>
          <w:rFonts w:ascii="Times New Roman" w:eastAsia="Times New Roman" w:hAnsi="Times New Roman" w:cs="Times New Roman"/>
          <w:b/>
          <w:bCs/>
          <w:sz w:val="26"/>
          <w:szCs w:val="26"/>
          <w:lang w:val="ro-RO" w:eastAsia="ru-RU"/>
        </w:rPr>
        <w:t>020</w:t>
      </w:r>
      <w:bookmarkEnd w:id="0"/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585"/>
        <w:gridCol w:w="3521"/>
        <w:gridCol w:w="6804"/>
        <w:gridCol w:w="4507"/>
      </w:tblGrid>
      <w:tr w:rsidR="00004262" w:rsidRPr="009E5E14" w14:paraId="43CE07BB" w14:textId="48521A1B" w:rsidTr="00A3178B">
        <w:trPr>
          <w:trHeight w:val="434"/>
        </w:trPr>
        <w:tc>
          <w:tcPr>
            <w:tcW w:w="585" w:type="dxa"/>
          </w:tcPr>
          <w:p w14:paraId="57188C57" w14:textId="77777777" w:rsidR="00004262" w:rsidRPr="002756D9" w:rsidRDefault="00004262" w:rsidP="004645F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2756D9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Nr.</w:t>
            </w:r>
          </w:p>
          <w:p w14:paraId="0CDE7EB3" w14:textId="6BEF0EAD" w:rsidR="00004262" w:rsidRPr="002756D9" w:rsidRDefault="00004262" w:rsidP="004645F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3521" w:type="dxa"/>
          </w:tcPr>
          <w:p w14:paraId="78D1F40F" w14:textId="009C0003" w:rsidR="00004262" w:rsidRPr="002756D9" w:rsidRDefault="00004262" w:rsidP="004645F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RO"/>
              </w:rPr>
            </w:pPr>
            <w:r w:rsidRPr="002756D9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RO"/>
              </w:rPr>
              <w:t>Conținutul recomandării</w:t>
            </w:r>
          </w:p>
        </w:tc>
        <w:tc>
          <w:tcPr>
            <w:tcW w:w="6804" w:type="dxa"/>
          </w:tcPr>
          <w:p w14:paraId="298CD112" w14:textId="6E5A1441" w:rsidR="00004262" w:rsidRPr="002756D9" w:rsidRDefault="00004262" w:rsidP="004645F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proofErr w:type="spellStart"/>
            <w:r w:rsidRPr="002756D9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Acțiuni</w:t>
            </w:r>
            <w:proofErr w:type="spellEnd"/>
            <w:r w:rsidRPr="002756D9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="009E5E1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planificate</w:t>
            </w:r>
            <w:proofErr w:type="spellEnd"/>
          </w:p>
        </w:tc>
        <w:tc>
          <w:tcPr>
            <w:tcW w:w="4507" w:type="dxa"/>
          </w:tcPr>
          <w:p w14:paraId="1A3D6F7D" w14:textId="531D508E" w:rsidR="00004262" w:rsidRPr="002756D9" w:rsidRDefault="00C30DB8" w:rsidP="004645F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A</w:t>
            </w:r>
            <w:r w:rsidR="009E5E1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cțiuni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întreprinse</w:t>
            </w:r>
            <w:proofErr w:type="spellEnd"/>
          </w:p>
        </w:tc>
      </w:tr>
      <w:tr w:rsidR="00004262" w:rsidRPr="00A3178B" w14:paraId="2C3221AF" w14:textId="17B159F3" w:rsidTr="00A3178B">
        <w:trPr>
          <w:trHeight w:val="1509"/>
        </w:trPr>
        <w:tc>
          <w:tcPr>
            <w:tcW w:w="585" w:type="dxa"/>
          </w:tcPr>
          <w:p w14:paraId="3880C6BB" w14:textId="528C34B9" w:rsidR="00004262" w:rsidRPr="002756D9" w:rsidRDefault="00004262" w:rsidP="0027299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756D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3521" w:type="dxa"/>
          </w:tcPr>
          <w:p w14:paraId="783EF71F" w14:textId="77777777" w:rsidR="00A3178B" w:rsidRDefault="00004262" w:rsidP="00D449BB">
            <w:pPr>
              <w:pStyle w:val="NoSpacing"/>
              <w:jc w:val="both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  <w:r w:rsidRPr="00A3178B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 xml:space="preserve">Să elaboreze și să aprobe, în modul stabilit, prevederi exhaustive privind  completarea dosarului cu acte suplimentare și/sau conforme, ca urmare a notificărilor remise </w:t>
            </w:r>
          </w:p>
          <w:p w14:paraId="199C1028" w14:textId="2B22FC8A" w:rsidR="00004262" w:rsidRPr="00A3178B" w:rsidRDefault="00004262" w:rsidP="00D449BB">
            <w:pPr>
              <w:pStyle w:val="NoSpacing"/>
              <w:jc w:val="both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  <w:r w:rsidRPr="00A3178B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(pct. 4.1.1, pct.4.1.3)</w:t>
            </w:r>
            <w:r w:rsidR="00D449BB" w:rsidRPr="00A3178B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.</w:t>
            </w:r>
          </w:p>
        </w:tc>
        <w:tc>
          <w:tcPr>
            <w:tcW w:w="6804" w:type="dxa"/>
          </w:tcPr>
          <w:p w14:paraId="0A0E7AE6" w14:textId="45ACC7AF" w:rsidR="00004262" w:rsidRPr="00A3178B" w:rsidRDefault="00004262" w:rsidP="00FD19FF">
            <w:pPr>
              <w:pStyle w:val="NoSpacing"/>
              <w:jc w:val="both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  <w:r w:rsidRPr="00A3178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1.Comp</w:t>
            </w:r>
            <w:r w:rsidRPr="00A3178B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l</w:t>
            </w:r>
            <w:proofErr w:type="spellStart"/>
            <w:r w:rsidRPr="00A3178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etarea</w:t>
            </w:r>
            <w:proofErr w:type="spellEnd"/>
            <w:r w:rsidRPr="00A3178B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 xml:space="preserve"> Manualelor de proceduri B001, B002, B004 cu prevederi exhaustive privind completarea dosarului cu acte suplimentare și/sau conforme, ca urmare a notificărilor remise;</w:t>
            </w:r>
          </w:p>
          <w:p w14:paraId="13249E55" w14:textId="3C30CC56" w:rsidR="00004262" w:rsidRPr="00A3178B" w:rsidRDefault="00004262" w:rsidP="00FD19FF">
            <w:pPr>
              <w:pStyle w:val="NoSpacing"/>
              <w:jc w:val="both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  <w:r w:rsidRPr="00A3178B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2. Aprobarea modificărilor în Manualele de proceduri conform modului stabilit.</w:t>
            </w:r>
          </w:p>
        </w:tc>
        <w:tc>
          <w:tcPr>
            <w:tcW w:w="4507" w:type="dxa"/>
          </w:tcPr>
          <w:p w14:paraId="7EDAE782" w14:textId="296FC093" w:rsidR="00004262" w:rsidRPr="00A3178B" w:rsidRDefault="001651F7" w:rsidP="00D449BB">
            <w:pPr>
              <w:pStyle w:val="NoSpacing"/>
              <w:jc w:val="both"/>
              <w:rPr>
                <w:rFonts w:ascii="Times New Roman" w:hAnsi="Times New Roman" w:cs="Times New Roman"/>
                <w:lang w:val="ro-RO"/>
              </w:rPr>
            </w:pPr>
            <w:r w:rsidRPr="00A3178B">
              <w:rPr>
                <w:rFonts w:ascii="Times New Roman" w:hAnsi="Times New Roman" w:cs="Times New Roman"/>
                <w:lang w:val="en-US"/>
              </w:rPr>
              <w:t>L</w:t>
            </w:r>
            <w:r w:rsidR="008873F6" w:rsidRPr="00A3178B">
              <w:rPr>
                <w:rFonts w:ascii="Times New Roman" w:hAnsi="Times New Roman" w:cs="Times New Roman"/>
                <w:lang w:val="en-US"/>
              </w:rPr>
              <w:t>a 31</w:t>
            </w:r>
            <w:r w:rsidR="00D449BB" w:rsidRPr="00A3178B">
              <w:rPr>
                <w:rFonts w:ascii="Times New Roman" w:hAnsi="Times New Roman" w:cs="Times New Roman"/>
                <w:lang w:val="en-US"/>
              </w:rPr>
              <w:t>.03.</w:t>
            </w:r>
            <w:r w:rsidRPr="00A3178B">
              <w:rPr>
                <w:rFonts w:ascii="Times New Roman" w:hAnsi="Times New Roman" w:cs="Times New Roman"/>
                <w:lang w:val="en-US"/>
              </w:rPr>
              <w:t xml:space="preserve">2023 </w:t>
            </w:r>
            <w:r w:rsidR="00D449BB" w:rsidRPr="00A3178B">
              <w:rPr>
                <w:rFonts w:ascii="Times New Roman" w:hAnsi="Times New Roman" w:cs="Times New Roman"/>
                <w:lang w:val="en-US"/>
              </w:rPr>
              <w:t xml:space="preserve">de </w:t>
            </w:r>
            <w:proofErr w:type="spellStart"/>
            <w:r w:rsidR="00D449BB" w:rsidRPr="00A3178B">
              <w:rPr>
                <w:rFonts w:ascii="Times New Roman" w:hAnsi="Times New Roman" w:cs="Times New Roman"/>
                <w:lang w:val="en-US"/>
              </w:rPr>
              <w:t>Parlament</w:t>
            </w:r>
            <w:proofErr w:type="spellEnd"/>
            <w:r w:rsidR="00734C13" w:rsidRPr="00A3178B">
              <w:rPr>
                <w:rFonts w:ascii="Times New Roman" w:hAnsi="Times New Roman" w:cs="Times New Roman"/>
                <w:lang w:val="en-US"/>
              </w:rPr>
              <w:t xml:space="preserve"> a </w:t>
            </w:r>
            <w:proofErr w:type="spellStart"/>
            <w:r w:rsidR="00734C13" w:rsidRPr="00A3178B">
              <w:rPr>
                <w:rFonts w:ascii="Times New Roman" w:hAnsi="Times New Roman" w:cs="Times New Roman"/>
                <w:lang w:val="en-US"/>
              </w:rPr>
              <w:t>fost</w:t>
            </w:r>
            <w:proofErr w:type="spellEnd"/>
            <w:r w:rsidR="00734C13" w:rsidRPr="00A3178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734C13" w:rsidRPr="00A3178B">
              <w:rPr>
                <w:rFonts w:ascii="Times New Roman" w:hAnsi="Times New Roman" w:cs="Times New Roman"/>
                <w:lang w:val="en-US"/>
              </w:rPr>
              <w:t>aprobată</w:t>
            </w:r>
            <w:proofErr w:type="spellEnd"/>
            <w:r w:rsidR="008873F6" w:rsidRPr="00A3178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8873F6" w:rsidRPr="00A3178B">
              <w:rPr>
                <w:rFonts w:ascii="Times New Roman" w:hAnsi="Times New Roman" w:cs="Times New Roman"/>
                <w:lang w:val="en-US"/>
              </w:rPr>
              <w:t>Leg</w:t>
            </w:r>
            <w:r w:rsidR="00D449BB" w:rsidRPr="00A3178B">
              <w:rPr>
                <w:rFonts w:ascii="Times New Roman" w:hAnsi="Times New Roman" w:cs="Times New Roman"/>
                <w:lang w:val="en-US"/>
              </w:rPr>
              <w:t>ea</w:t>
            </w:r>
            <w:proofErr w:type="spellEnd"/>
            <w:r w:rsidR="008873F6" w:rsidRPr="00A3178B">
              <w:rPr>
                <w:rFonts w:ascii="Times New Roman" w:hAnsi="Times New Roman" w:cs="Times New Roman"/>
                <w:lang w:val="en-US"/>
              </w:rPr>
              <w:t xml:space="preserve"> cu </w:t>
            </w:r>
            <w:proofErr w:type="spellStart"/>
            <w:r w:rsidR="008873F6" w:rsidRPr="00A3178B">
              <w:rPr>
                <w:rFonts w:ascii="Times New Roman" w:hAnsi="Times New Roman" w:cs="Times New Roman"/>
                <w:lang w:val="en-US"/>
              </w:rPr>
              <w:t>privire</w:t>
            </w:r>
            <w:proofErr w:type="spellEnd"/>
            <w:r w:rsidR="008873F6" w:rsidRPr="00A3178B">
              <w:rPr>
                <w:rFonts w:ascii="Times New Roman" w:hAnsi="Times New Roman" w:cs="Times New Roman"/>
                <w:lang w:val="en-US"/>
              </w:rPr>
              <w:t xml:space="preserve"> la </w:t>
            </w:r>
            <w:proofErr w:type="spellStart"/>
            <w:r w:rsidR="008873F6" w:rsidRPr="00A3178B">
              <w:rPr>
                <w:rFonts w:ascii="Times New Roman" w:hAnsi="Times New Roman" w:cs="Times New Roman"/>
                <w:lang w:val="en-US"/>
              </w:rPr>
              <w:t>subvenționarea</w:t>
            </w:r>
            <w:proofErr w:type="spellEnd"/>
            <w:r w:rsidR="008873F6" w:rsidRPr="00A3178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8873F6" w:rsidRPr="00A3178B">
              <w:rPr>
                <w:rFonts w:ascii="Times New Roman" w:hAnsi="Times New Roman" w:cs="Times New Roman"/>
                <w:lang w:val="en-US"/>
              </w:rPr>
              <w:t>în</w:t>
            </w:r>
            <w:proofErr w:type="spellEnd"/>
            <w:r w:rsidR="008873F6" w:rsidRPr="00A3178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8873F6" w:rsidRPr="00A3178B">
              <w:rPr>
                <w:rFonts w:ascii="Times New Roman" w:hAnsi="Times New Roman" w:cs="Times New Roman"/>
                <w:lang w:val="en-US"/>
              </w:rPr>
              <w:t>agricultură</w:t>
            </w:r>
            <w:proofErr w:type="spellEnd"/>
            <w:r w:rsidR="008873F6" w:rsidRPr="00A3178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8873F6" w:rsidRPr="00A3178B">
              <w:rPr>
                <w:rFonts w:ascii="Times New Roman" w:hAnsi="Times New Roman" w:cs="Times New Roman"/>
                <w:lang w:val="en-US"/>
              </w:rPr>
              <w:t>și</w:t>
            </w:r>
            <w:proofErr w:type="spellEnd"/>
            <w:r w:rsidR="008873F6" w:rsidRPr="00A3178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8873F6" w:rsidRPr="00A3178B">
              <w:rPr>
                <w:rFonts w:ascii="Times New Roman" w:hAnsi="Times New Roman" w:cs="Times New Roman"/>
                <w:lang w:val="en-US"/>
              </w:rPr>
              <w:t>mediul</w:t>
            </w:r>
            <w:proofErr w:type="spellEnd"/>
            <w:r w:rsidR="008873F6" w:rsidRPr="00A3178B">
              <w:rPr>
                <w:rFonts w:ascii="Times New Roman" w:hAnsi="Times New Roman" w:cs="Times New Roman"/>
                <w:lang w:val="en-US"/>
              </w:rPr>
              <w:t xml:space="preserve"> rural</w:t>
            </w:r>
            <w:r w:rsidRPr="00A3178B">
              <w:rPr>
                <w:rFonts w:ascii="Times New Roman" w:hAnsi="Times New Roman" w:cs="Times New Roman"/>
                <w:lang w:val="en-US"/>
              </w:rPr>
              <w:t xml:space="preserve">, care </w:t>
            </w:r>
            <w:proofErr w:type="spellStart"/>
            <w:r w:rsidRPr="00A3178B">
              <w:rPr>
                <w:rFonts w:ascii="Times New Roman" w:hAnsi="Times New Roman" w:cs="Times New Roman"/>
                <w:lang w:val="en-US"/>
              </w:rPr>
              <w:t>în</w:t>
            </w:r>
            <w:proofErr w:type="spellEnd"/>
            <w:r w:rsidRPr="00A3178B">
              <w:rPr>
                <w:rFonts w:ascii="Times New Roman" w:hAnsi="Times New Roman" w:cs="Times New Roman"/>
                <w:lang w:val="en-US"/>
              </w:rPr>
              <w:t xml:space="preserve"> final </w:t>
            </w:r>
            <w:proofErr w:type="spellStart"/>
            <w:r w:rsidRPr="00A3178B">
              <w:rPr>
                <w:rFonts w:ascii="Times New Roman" w:hAnsi="Times New Roman" w:cs="Times New Roman"/>
                <w:lang w:val="en-US"/>
              </w:rPr>
              <w:t>prevede</w:t>
            </w:r>
            <w:proofErr w:type="spellEnd"/>
            <w:r w:rsidRPr="00A3178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3178B">
              <w:rPr>
                <w:rFonts w:ascii="Times New Roman" w:hAnsi="Times New Roman" w:cs="Times New Roman"/>
                <w:lang w:val="en-US"/>
              </w:rPr>
              <w:t>că</w:t>
            </w:r>
            <w:proofErr w:type="spellEnd"/>
            <w:r w:rsidRPr="00A3178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3178B">
              <w:rPr>
                <w:rFonts w:ascii="Times New Roman" w:hAnsi="Times New Roman" w:cs="Times New Roman"/>
                <w:lang w:val="en-US"/>
              </w:rPr>
              <w:t>Guvernul</w:t>
            </w:r>
            <w:proofErr w:type="spellEnd"/>
            <w:r w:rsidRPr="00A3178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3178B">
              <w:rPr>
                <w:rFonts w:ascii="Times New Roman" w:hAnsi="Times New Roman" w:cs="Times New Roman"/>
                <w:lang w:val="en-US"/>
              </w:rPr>
              <w:t>va</w:t>
            </w:r>
            <w:proofErr w:type="spellEnd"/>
            <w:r w:rsidRPr="00A3178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3178B">
              <w:rPr>
                <w:rFonts w:ascii="Times New Roman" w:hAnsi="Times New Roman" w:cs="Times New Roman"/>
                <w:lang w:val="en-US"/>
              </w:rPr>
              <w:t>aduce</w:t>
            </w:r>
            <w:proofErr w:type="spellEnd"/>
            <w:r w:rsidRPr="00A3178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3178B">
              <w:rPr>
                <w:rFonts w:ascii="Times New Roman" w:hAnsi="Times New Roman" w:cs="Times New Roman"/>
                <w:lang w:val="en-US"/>
              </w:rPr>
              <w:t>actele</w:t>
            </w:r>
            <w:proofErr w:type="spellEnd"/>
            <w:r w:rsidRPr="00A3178B">
              <w:rPr>
                <w:rFonts w:ascii="Times New Roman" w:hAnsi="Times New Roman" w:cs="Times New Roman"/>
                <w:lang w:val="en-US"/>
              </w:rPr>
              <w:t xml:space="preserve"> sale normative </w:t>
            </w:r>
            <w:proofErr w:type="spellStart"/>
            <w:r w:rsidRPr="00A3178B">
              <w:rPr>
                <w:rFonts w:ascii="Times New Roman" w:hAnsi="Times New Roman" w:cs="Times New Roman"/>
                <w:lang w:val="en-US"/>
              </w:rPr>
              <w:t>în</w:t>
            </w:r>
            <w:proofErr w:type="spellEnd"/>
            <w:r w:rsidRPr="00A3178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3178B">
              <w:rPr>
                <w:rFonts w:ascii="Times New Roman" w:hAnsi="Times New Roman" w:cs="Times New Roman"/>
                <w:lang w:val="en-US"/>
              </w:rPr>
              <w:t>concordanţă</w:t>
            </w:r>
            <w:proofErr w:type="spellEnd"/>
            <w:r w:rsidRPr="00A3178B">
              <w:rPr>
                <w:rFonts w:ascii="Times New Roman" w:hAnsi="Times New Roman" w:cs="Times New Roman"/>
                <w:lang w:val="en-US"/>
              </w:rPr>
              <w:t xml:space="preserve"> cu </w:t>
            </w:r>
            <w:proofErr w:type="spellStart"/>
            <w:r w:rsidRPr="00A3178B">
              <w:rPr>
                <w:rFonts w:ascii="Times New Roman" w:hAnsi="Times New Roman" w:cs="Times New Roman"/>
                <w:lang w:val="en-US"/>
              </w:rPr>
              <w:t>lege</w:t>
            </w:r>
            <w:r w:rsidR="00515FEF" w:rsidRPr="00A3178B">
              <w:rPr>
                <w:rFonts w:ascii="Times New Roman" w:hAnsi="Times New Roman" w:cs="Times New Roman"/>
                <w:lang w:val="en-US"/>
              </w:rPr>
              <w:t>a</w:t>
            </w:r>
            <w:proofErr w:type="spellEnd"/>
            <w:r w:rsidR="00D449BB" w:rsidRPr="00A3178B">
              <w:rPr>
                <w:rFonts w:ascii="Times New Roman" w:hAnsi="Times New Roman" w:cs="Times New Roman"/>
                <w:lang w:val="en-US"/>
              </w:rPr>
              <w:t>.</w:t>
            </w:r>
            <w:r w:rsidR="00D449BB" w:rsidRPr="00A3178B">
              <w:rPr>
                <w:rFonts w:ascii="Times New Roman" w:hAnsi="Times New Roman" w:cs="Times New Roman"/>
                <w:lang w:val="ro-RO"/>
              </w:rPr>
              <w:t xml:space="preserve"> Reieșind din actele normative, </w:t>
            </w:r>
            <w:r w:rsidR="00515FEF" w:rsidRPr="00A3178B">
              <w:rPr>
                <w:rFonts w:ascii="Times New Roman" w:hAnsi="Times New Roman" w:cs="Times New Roman"/>
                <w:lang w:val="ro-RO"/>
              </w:rPr>
              <w:t xml:space="preserve">care vor fi </w:t>
            </w:r>
            <w:r w:rsidR="00D449BB" w:rsidRPr="00A3178B">
              <w:rPr>
                <w:rFonts w:ascii="Times New Roman" w:hAnsi="Times New Roman" w:cs="Times New Roman"/>
                <w:lang w:val="ro-RO"/>
              </w:rPr>
              <w:t xml:space="preserve">aprobate ulterior, AIPA va </w:t>
            </w:r>
            <w:r w:rsidR="00515FEF" w:rsidRPr="00A3178B">
              <w:rPr>
                <w:rFonts w:ascii="Times New Roman" w:hAnsi="Times New Roman" w:cs="Times New Roman"/>
                <w:lang w:val="ro-RO"/>
              </w:rPr>
              <w:t xml:space="preserve">ajusta și va </w:t>
            </w:r>
            <w:r w:rsidR="00D449BB" w:rsidRPr="00A3178B">
              <w:rPr>
                <w:rFonts w:ascii="Times New Roman" w:hAnsi="Times New Roman" w:cs="Times New Roman"/>
                <w:lang w:val="ro-RO"/>
              </w:rPr>
              <w:t>completa manualele de proceduri cu prevederi exhaustive privind modalitatea de  completare a dosarului cu acte suplimentare și/sau conforme, ca urmare a notificărilor remise.</w:t>
            </w:r>
          </w:p>
        </w:tc>
      </w:tr>
      <w:tr w:rsidR="00004262" w:rsidRPr="00A3178B" w14:paraId="1A33FB3D" w14:textId="77777777" w:rsidTr="00A3178B">
        <w:tc>
          <w:tcPr>
            <w:tcW w:w="585" w:type="dxa"/>
          </w:tcPr>
          <w:p w14:paraId="32C8DDB7" w14:textId="67CF8548" w:rsidR="00004262" w:rsidRPr="002756D9" w:rsidRDefault="00004262" w:rsidP="0053645D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756D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3521" w:type="dxa"/>
          </w:tcPr>
          <w:p w14:paraId="470B357F" w14:textId="6CE5BAA2" w:rsidR="00004262" w:rsidRPr="00A3178B" w:rsidRDefault="00004262" w:rsidP="00D449BB">
            <w:pPr>
              <w:pStyle w:val="NoSpacing"/>
              <w:jc w:val="both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  <w:r w:rsidRPr="00A3178B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Să întreprindă măsurile ce se impun pentru recuperarea sumelor compensațiilor acordate eronat</w:t>
            </w:r>
            <w:r w:rsidR="00E27B3F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 xml:space="preserve"> </w:t>
            </w:r>
            <w:r w:rsidRPr="00A3178B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/suplimentar, cu restituirea acestora la bugetul de stat (pct.4.2.5)</w:t>
            </w:r>
            <w:r w:rsidR="00A3178B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.</w:t>
            </w:r>
          </w:p>
          <w:p w14:paraId="16FF6508" w14:textId="77777777" w:rsidR="00004262" w:rsidRPr="00A3178B" w:rsidRDefault="00004262" w:rsidP="00D449BB">
            <w:pPr>
              <w:pStyle w:val="NoSpacing"/>
              <w:jc w:val="both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</w:p>
        </w:tc>
        <w:tc>
          <w:tcPr>
            <w:tcW w:w="6804" w:type="dxa"/>
          </w:tcPr>
          <w:p w14:paraId="65494EED" w14:textId="073C989F" w:rsidR="00004262" w:rsidRPr="00A3178B" w:rsidRDefault="00004262" w:rsidP="00FD19FF">
            <w:pPr>
              <w:pStyle w:val="NoSpacing"/>
              <w:jc w:val="both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A3178B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 xml:space="preserve">1. </w:t>
            </w:r>
            <w:proofErr w:type="spellStart"/>
            <w:r w:rsidRPr="00A3178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Întocmirea</w:t>
            </w:r>
            <w:proofErr w:type="spellEnd"/>
            <w:r w:rsidRPr="00A3178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A3178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somațiilor</w:t>
            </w:r>
            <w:proofErr w:type="spellEnd"/>
            <w:r w:rsidRPr="00A3178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A3178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privind</w:t>
            </w:r>
            <w:proofErr w:type="spellEnd"/>
            <w:r w:rsidRPr="00A3178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A3178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restituirea</w:t>
            </w:r>
            <w:proofErr w:type="spellEnd"/>
            <w:r w:rsidRPr="00A3178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</w:t>
            </w:r>
          </w:p>
          <w:p w14:paraId="630DB30F" w14:textId="77777777" w:rsidR="00D449BB" w:rsidRPr="00A3178B" w:rsidRDefault="00004262" w:rsidP="00FD19FF">
            <w:pPr>
              <w:pStyle w:val="NoSpacing"/>
              <w:jc w:val="both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A3178B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sumelor compensațiilor acordate  eronat/suplimentar;</w:t>
            </w:r>
            <w:r w:rsidRPr="00A3178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</w:t>
            </w:r>
          </w:p>
          <w:p w14:paraId="0B8408D3" w14:textId="309519DB" w:rsidR="00004262" w:rsidRPr="00A3178B" w:rsidRDefault="00004262" w:rsidP="00FD19FF">
            <w:pPr>
              <w:pStyle w:val="NoSpacing"/>
              <w:jc w:val="both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A3178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2. </w:t>
            </w:r>
            <w:proofErr w:type="spellStart"/>
            <w:r w:rsidRPr="00A3178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Remiterea</w:t>
            </w:r>
            <w:proofErr w:type="spellEnd"/>
            <w:r w:rsidRPr="00A3178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A3178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somațiilor</w:t>
            </w:r>
            <w:proofErr w:type="spellEnd"/>
            <w:r w:rsidRPr="00A3178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;</w:t>
            </w:r>
          </w:p>
          <w:p w14:paraId="5BDF9877" w14:textId="77777777" w:rsidR="00004262" w:rsidRPr="00A3178B" w:rsidRDefault="00004262" w:rsidP="00FD19FF">
            <w:pPr>
              <w:pStyle w:val="NoSpacing"/>
              <w:jc w:val="both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  <w:r w:rsidRPr="00A3178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3. </w:t>
            </w:r>
            <w:proofErr w:type="spellStart"/>
            <w:r w:rsidRPr="00A3178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Recuperarea</w:t>
            </w:r>
            <w:proofErr w:type="spellEnd"/>
            <w:r w:rsidRPr="00A3178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</w:t>
            </w:r>
            <w:r w:rsidRPr="00A3178B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sumelor compensațiilor acordate eronat/suplimentar;</w:t>
            </w:r>
          </w:p>
          <w:p w14:paraId="5ED3A1DF" w14:textId="10EC400F" w:rsidR="00004262" w:rsidRPr="00A3178B" w:rsidRDefault="00004262" w:rsidP="00FD19FF">
            <w:pPr>
              <w:pStyle w:val="NoSpacing"/>
              <w:jc w:val="both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A3178B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 xml:space="preserve">4. Transferul compensațiilor recuperate la bugetul de stat </w:t>
            </w:r>
          </w:p>
        </w:tc>
        <w:tc>
          <w:tcPr>
            <w:tcW w:w="4507" w:type="dxa"/>
          </w:tcPr>
          <w:p w14:paraId="0E1EE542" w14:textId="08F4F096" w:rsidR="00004262" w:rsidRPr="00A3178B" w:rsidRDefault="000759D2" w:rsidP="00734C13">
            <w:pPr>
              <w:pStyle w:val="NoSpacing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3178B">
              <w:rPr>
                <w:rFonts w:ascii="Times New Roman" w:hAnsi="Times New Roman" w:cs="Times New Roman"/>
                <w:lang w:val="en-US"/>
              </w:rPr>
              <w:t>În</w:t>
            </w:r>
            <w:proofErr w:type="spellEnd"/>
            <w:r w:rsidRPr="00A3178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3178B">
              <w:rPr>
                <w:rFonts w:ascii="Times New Roman" w:hAnsi="Times New Roman" w:cs="Times New Roman"/>
                <w:lang w:val="en-US"/>
              </w:rPr>
              <w:t>urma</w:t>
            </w:r>
            <w:proofErr w:type="spellEnd"/>
            <w:r w:rsidRPr="00A3178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3178B">
              <w:rPr>
                <w:rFonts w:ascii="Times New Roman" w:hAnsi="Times New Roman" w:cs="Times New Roman"/>
                <w:lang w:val="en-US"/>
              </w:rPr>
              <w:t>emiterii</w:t>
            </w:r>
            <w:proofErr w:type="spellEnd"/>
            <w:r w:rsidRPr="00A3178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3178B">
              <w:rPr>
                <w:rFonts w:ascii="Times New Roman" w:hAnsi="Times New Roman" w:cs="Times New Roman"/>
                <w:lang w:val="en-US"/>
              </w:rPr>
              <w:t>somatiei</w:t>
            </w:r>
            <w:proofErr w:type="spellEnd"/>
            <w:r w:rsidRPr="00A3178B">
              <w:rPr>
                <w:rFonts w:ascii="Times New Roman" w:hAnsi="Times New Roman" w:cs="Times New Roman"/>
                <w:lang w:val="en-US"/>
              </w:rPr>
              <w:t xml:space="preserve"> Nr.30/05 din 17.01.2023 la 20.01.23 </w:t>
            </w:r>
            <w:r w:rsidR="00EC2ABC" w:rsidRPr="00A3178B">
              <w:rPr>
                <w:rFonts w:ascii="Times New Roman" w:hAnsi="Times New Roman" w:cs="Times New Roman"/>
                <w:lang w:val="en-US"/>
              </w:rPr>
              <w:t xml:space="preserve">a </w:t>
            </w:r>
            <w:proofErr w:type="spellStart"/>
            <w:r w:rsidR="00EC2ABC" w:rsidRPr="00A3178B">
              <w:rPr>
                <w:rFonts w:ascii="Times New Roman" w:hAnsi="Times New Roman" w:cs="Times New Roman"/>
                <w:lang w:val="en-US"/>
              </w:rPr>
              <w:t>fost</w:t>
            </w:r>
            <w:proofErr w:type="spellEnd"/>
            <w:r w:rsidR="00EC2ABC" w:rsidRPr="00A3178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3178B">
              <w:rPr>
                <w:rFonts w:ascii="Times New Roman" w:hAnsi="Times New Roman" w:cs="Times New Roman"/>
                <w:lang w:val="en-US"/>
              </w:rPr>
              <w:t>recuperată</w:t>
            </w:r>
            <w:proofErr w:type="spellEnd"/>
            <w:r w:rsidRPr="00A3178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3178B">
              <w:rPr>
                <w:rFonts w:ascii="Times New Roman" w:hAnsi="Times New Roman" w:cs="Times New Roman"/>
                <w:lang w:val="en-US"/>
              </w:rPr>
              <w:t>suma</w:t>
            </w:r>
            <w:proofErr w:type="spellEnd"/>
            <w:r w:rsidRPr="00A3178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3178B">
              <w:rPr>
                <w:rFonts w:ascii="Times New Roman" w:hAnsi="Times New Roman" w:cs="Times New Roman"/>
                <w:lang w:val="en-US"/>
              </w:rPr>
              <w:t>compensației</w:t>
            </w:r>
            <w:proofErr w:type="spellEnd"/>
            <w:r w:rsidRPr="00A3178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3178B">
              <w:rPr>
                <w:rFonts w:ascii="Times New Roman" w:hAnsi="Times New Roman" w:cs="Times New Roman"/>
                <w:lang w:val="en-US"/>
              </w:rPr>
              <w:t>majorată</w:t>
            </w:r>
            <w:proofErr w:type="spellEnd"/>
            <w:r w:rsidRPr="00A3178B">
              <w:rPr>
                <w:rFonts w:ascii="Times New Roman" w:hAnsi="Times New Roman" w:cs="Times New Roman"/>
                <w:lang w:val="en-US"/>
              </w:rPr>
              <w:t xml:space="preserve"> cu 0,6 mii lei pe </w:t>
            </w:r>
            <w:proofErr w:type="spellStart"/>
            <w:r w:rsidRPr="00A3178B">
              <w:rPr>
                <w:rFonts w:ascii="Times New Roman" w:hAnsi="Times New Roman" w:cs="Times New Roman"/>
                <w:lang w:val="en-US"/>
              </w:rPr>
              <w:t>dosarului</w:t>
            </w:r>
            <w:proofErr w:type="spellEnd"/>
            <w:r w:rsidRPr="00A3178B">
              <w:rPr>
                <w:rFonts w:ascii="Times New Roman" w:hAnsi="Times New Roman" w:cs="Times New Roman"/>
                <w:lang w:val="en-US"/>
              </w:rPr>
              <w:t xml:space="preserve"> nr. SF/2011NS1800 SRL “</w:t>
            </w:r>
            <w:proofErr w:type="spellStart"/>
            <w:r w:rsidRPr="00A3178B">
              <w:rPr>
                <w:rFonts w:ascii="Times New Roman" w:hAnsi="Times New Roman" w:cs="Times New Roman"/>
                <w:lang w:val="en-US"/>
              </w:rPr>
              <w:t>Somnis</w:t>
            </w:r>
            <w:proofErr w:type="spellEnd"/>
            <w:r w:rsidRPr="00A3178B">
              <w:rPr>
                <w:rFonts w:ascii="Times New Roman" w:hAnsi="Times New Roman" w:cs="Times New Roman"/>
                <w:lang w:val="en-US"/>
              </w:rPr>
              <w:t>”</w:t>
            </w:r>
            <w:r w:rsidR="009E5E14" w:rsidRPr="00A3178B">
              <w:rPr>
                <w:rFonts w:ascii="Times New Roman" w:hAnsi="Times New Roman" w:cs="Times New Roman"/>
                <w:lang w:val="en-US"/>
              </w:rPr>
              <w:t>, care la</w:t>
            </w:r>
            <w:r w:rsidRPr="00A3178B">
              <w:rPr>
                <w:rFonts w:ascii="Times New Roman" w:hAnsi="Times New Roman" w:cs="Times New Roman"/>
                <w:lang w:val="en-US"/>
              </w:rPr>
              <w:t xml:space="preserve"> 26.01.2023 a </w:t>
            </w:r>
            <w:proofErr w:type="spellStart"/>
            <w:r w:rsidRPr="00A3178B">
              <w:rPr>
                <w:rFonts w:ascii="Times New Roman" w:hAnsi="Times New Roman" w:cs="Times New Roman"/>
                <w:lang w:val="en-US"/>
              </w:rPr>
              <w:t>fost</w:t>
            </w:r>
            <w:proofErr w:type="spellEnd"/>
            <w:r w:rsidRPr="00A3178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3178B">
              <w:rPr>
                <w:rFonts w:ascii="Times New Roman" w:hAnsi="Times New Roman" w:cs="Times New Roman"/>
                <w:lang w:val="en-US"/>
              </w:rPr>
              <w:t>transferată</w:t>
            </w:r>
            <w:proofErr w:type="spellEnd"/>
            <w:r w:rsidRPr="00A3178B">
              <w:rPr>
                <w:rFonts w:ascii="Times New Roman" w:hAnsi="Times New Roman" w:cs="Times New Roman"/>
                <w:lang w:val="en-US"/>
              </w:rPr>
              <w:t xml:space="preserve"> la </w:t>
            </w:r>
            <w:proofErr w:type="spellStart"/>
            <w:r w:rsidRPr="00A3178B">
              <w:rPr>
                <w:rFonts w:ascii="Times New Roman" w:hAnsi="Times New Roman" w:cs="Times New Roman"/>
                <w:lang w:val="en-US"/>
              </w:rPr>
              <w:t>bugetul</w:t>
            </w:r>
            <w:proofErr w:type="spellEnd"/>
            <w:r w:rsidRPr="00A3178B">
              <w:rPr>
                <w:rFonts w:ascii="Times New Roman" w:hAnsi="Times New Roman" w:cs="Times New Roman"/>
                <w:lang w:val="en-US"/>
              </w:rPr>
              <w:t xml:space="preserve"> de stat.</w:t>
            </w:r>
          </w:p>
          <w:p w14:paraId="77F5CA2A" w14:textId="1D393029" w:rsidR="000759D2" w:rsidRPr="00A3178B" w:rsidRDefault="000759D2" w:rsidP="00734C13">
            <w:pPr>
              <w:pStyle w:val="NoSpacing"/>
              <w:jc w:val="both"/>
              <w:rPr>
                <w:lang w:val="en-US"/>
              </w:rPr>
            </w:pPr>
            <w:proofErr w:type="spellStart"/>
            <w:r w:rsidRPr="00A3178B">
              <w:rPr>
                <w:rFonts w:ascii="Times New Roman" w:hAnsi="Times New Roman" w:cs="Times New Roman"/>
                <w:lang w:val="en-US"/>
              </w:rPr>
              <w:t>Referitor</w:t>
            </w:r>
            <w:proofErr w:type="spellEnd"/>
            <w:r w:rsidRPr="00A3178B">
              <w:rPr>
                <w:rFonts w:ascii="Times New Roman" w:hAnsi="Times New Roman" w:cs="Times New Roman"/>
                <w:lang w:val="en-US"/>
              </w:rPr>
              <w:t xml:space="preserve"> la </w:t>
            </w:r>
            <w:proofErr w:type="spellStart"/>
            <w:r w:rsidRPr="00A3178B">
              <w:rPr>
                <w:rFonts w:ascii="Times New Roman" w:hAnsi="Times New Roman" w:cs="Times New Roman"/>
                <w:lang w:val="en-US"/>
              </w:rPr>
              <w:t>dosarul</w:t>
            </w:r>
            <w:proofErr w:type="spellEnd"/>
            <w:r w:rsidRPr="00A3178B">
              <w:rPr>
                <w:rFonts w:ascii="Times New Roman" w:hAnsi="Times New Roman" w:cs="Times New Roman"/>
                <w:lang w:val="en-US"/>
              </w:rPr>
              <w:t xml:space="preserve"> nr. SF/2008SV0172 CP „</w:t>
            </w:r>
            <w:proofErr w:type="spellStart"/>
            <w:r w:rsidRPr="00A3178B">
              <w:rPr>
                <w:rFonts w:ascii="Times New Roman" w:hAnsi="Times New Roman" w:cs="Times New Roman"/>
                <w:lang w:val="en-US"/>
              </w:rPr>
              <w:t>Tinut</w:t>
            </w:r>
            <w:proofErr w:type="spellEnd"/>
            <w:r w:rsidRPr="00A3178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3178B">
              <w:rPr>
                <w:rFonts w:ascii="Times New Roman" w:hAnsi="Times New Roman" w:cs="Times New Roman"/>
                <w:lang w:val="en-US"/>
              </w:rPr>
              <w:t>Agro</w:t>
            </w:r>
            <w:proofErr w:type="spellEnd"/>
            <w:r w:rsidRPr="00A3178B">
              <w:rPr>
                <w:rFonts w:ascii="Times New Roman" w:hAnsi="Times New Roman" w:cs="Times New Roman"/>
                <w:lang w:val="en-US"/>
              </w:rPr>
              <w:t>”</w:t>
            </w:r>
            <w:r w:rsidR="009E5E14" w:rsidRPr="00A3178B">
              <w:rPr>
                <w:rFonts w:ascii="Times New Roman" w:hAnsi="Times New Roman" w:cs="Times New Roman"/>
                <w:lang w:val="en-US"/>
              </w:rPr>
              <w:t xml:space="preserve"> s-a </w:t>
            </w:r>
            <w:proofErr w:type="spellStart"/>
            <w:r w:rsidR="009E5E14" w:rsidRPr="00A3178B">
              <w:rPr>
                <w:rFonts w:ascii="Times New Roman" w:hAnsi="Times New Roman" w:cs="Times New Roman"/>
                <w:lang w:val="en-US"/>
              </w:rPr>
              <w:t>stabilit</w:t>
            </w:r>
            <w:proofErr w:type="spellEnd"/>
            <w:r w:rsidR="009E5E14" w:rsidRPr="00A3178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9E5E14" w:rsidRPr="00A3178B">
              <w:rPr>
                <w:rFonts w:ascii="Times New Roman" w:hAnsi="Times New Roman" w:cs="Times New Roman"/>
                <w:lang w:val="en-US"/>
              </w:rPr>
              <w:t>că</w:t>
            </w:r>
            <w:proofErr w:type="spellEnd"/>
            <w:r w:rsidR="009E5E14" w:rsidRPr="00A3178B">
              <w:rPr>
                <w:rFonts w:ascii="Times New Roman" w:hAnsi="Times New Roman" w:cs="Times New Roman"/>
                <w:lang w:val="en-US"/>
              </w:rPr>
              <w:t xml:space="preserve"> nu </w:t>
            </w:r>
            <w:proofErr w:type="spellStart"/>
            <w:r w:rsidR="009E5E14" w:rsidRPr="00A3178B">
              <w:rPr>
                <w:rFonts w:ascii="Times New Roman" w:hAnsi="Times New Roman" w:cs="Times New Roman"/>
                <w:lang w:val="en-US"/>
              </w:rPr>
              <w:t>exista</w:t>
            </w:r>
            <w:proofErr w:type="spellEnd"/>
            <w:r w:rsidR="009E5E14" w:rsidRPr="00A3178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9E5E14" w:rsidRPr="00A3178B">
              <w:rPr>
                <w:rFonts w:ascii="Times New Roman" w:hAnsi="Times New Roman" w:cs="Times New Roman"/>
                <w:lang w:val="en-US"/>
              </w:rPr>
              <w:t>temei</w:t>
            </w:r>
            <w:proofErr w:type="spellEnd"/>
            <w:r w:rsidR="009E5E14" w:rsidRPr="00A3178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9E5E14" w:rsidRPr="00A3178B">
              <w:rPr>
                <w:rFonts w:ascii="Times New Roman" w:hAnsi="Times New Roman" w:cs="Times New Roman"/>
                <w:lang w:val="en-US"/>
              </w:rPr>
              <w:t>pentru</w:t>
            </w:r>
            <w:proofErr w:type="spellEnd"/>
            <w:r w:rsidR="009E5E14" w:rsidRPr="00A3178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9E5E14" w:rsidRPr="00A3178B">
              <w:rPr>
                <w:rFonts w:ascii="Times New Roman" w:hAnsi="Times New Roman" w:cs="Times New Roman"/>
                <w:lang w:val="en-US"/>
              </w:rPr>
              <w:t>recuperarea</w:t>
            </w:r>
            <w:proofErr w:type="spellEnd"/>
            <w:r w:rsidR="009E5E14" w:rsidRPr="00A3178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9E5E14" w:rsidRPr="00A3178B">
              <w:rPr>
                <w:rFonts w:ascii="Times New Roman" w:hAnsi="Times New Roman" w:cs="Times New Roman"/>
                <w:lang w:val="en-US"/>
              </w:rPr>
              <w:t>compensațiilor</w:t>
            </w:r>
            <w:proofErr w:type="spellEnd"/>
            <w:r w:rsidR="009E5E14" w:rsidRPr="00A3178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9E5E14" w:rsidRPr="00A3178B">
              <w:rPr>
                <w:rFonts w:ascii="Times New Roman" w:hAnsi="Times New Roman" w:cs="Times New Roman"/>
                <w:lang w:val="en-US"/>
              </w:rPr>
              <w:t>acordate</w:t>
            </w:r>
            <w:proofErr w:type="spellEnd"/>
            <w:r w:rsidR="009E5E14" w:rsidRPr="00A3178B">
              <w:rPr>
                <w:rFonts w:ascii="Times New Roman" w:hAnsi="Times New Roman" w:cs="Times New Roman"/>
                <w:lang w:val="en-US"/>
              </w:rPr>
              <w:t xml:space="preserve">. Nota </w:t>
            </w:r>
            <w:proofErr w:type="spellStart"/>
            <w:r w:rsidR="009E5E14" w:rsidRPr="00A3178B">
              <w:rPr>
                <w:rFonts w:ascii="Times New Roman" w:hAnsi="Times New Roman" w:cs="Times New Roman"/>
                <w:lang w:val="en-US"/>
              </w:rPr>
              <w:t>Direcției</w:t>
            </w:r>
            <w:proofErr w:type="spellEnd"/>
            <w:r w:rsidR="009E5E14" w:rsidRPr="00A3178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9E5E14" w:rsidRPr="00A3178B">
              <w:rPr>
                <w:rFonts w:ascii="Times New Roman" w:hAnsi="Times New Roman" w:cs="Times New Roman"/>
                <w:lang w:val="en-US"/>
              </w:rPr>
              <w:t>juridice</w:t>
            </w:r>
            <w:proofErr w:type="spellEnd"/>
            <w:r w:rsidR="009E5E14" w:rsidRPr="00A3178B">
              <w:rPr>
                <w:rFonts w:ascii="Times New Roman" w:hAnsi="Times New Roman" w:cs="Times New Roman"/>
                <w:lang w:val="en-US"/>
              </w:rPr>
              <w:t xml:space="preserve"> din </w:t>
            </w:r>
            <w:proofErr w:type="spellStart"/>
            <w:r w:rsidR="009E5E14" w:rsidRPr="00A3178B">
              <w:rPr>
                <w:rFonts w:ascii="Times New Roman" w:hAnsi="Times New Roman" w:cs="Times New Roman"/>
                <w:lang w:val="en-US"/>
              </w:rPr>
              <w:t>cadrul</w:t>
            </w:r>
            <w:proofErr w:type="spellEnd"/>
            <w:r w:rsidR="009E5E14" w:rsidRPr="00A3178B">
              <w:rPr>
                <w:rFonts w:ascii="Times New Roman" w:hAnsi="Times New Roman" w:cs="Times New Roman"/>
                <w:lang w:val="en-US"/>
              </w:rPr>
              <w:t xml:space="preserve"> AIPA</w:t>
            </w:r>
            <w:r w:rsidR="00A3178B">
              <w:rPr>
                <w:rFonts w:ascii="Times New Roman" w:hAnsi="Times New Roman" w:cs="Times New Roman"/>
                <w:lang w:val="en-US"/>
              </w:rPr>
              <w:t xml:space="preserve"> cu </w:t>
            </w:r>
            <w:proofErr w:type="spellStart"/>
            <w:r w:rsidR="00A3178B">
              <w:rPr>
                <w:rFonts w:ascii="Times New Roman" w:hAnsi="Times New Roman" w:cs="Times New Roman"/>
                <w:lang w:val="en-US"/>
              </w:rPr>
              <w:t>documentele</w:t>
            </w:r>
            <w:proofErr w:type="spellEnd"/>
            <w:r w:rsidR="00A3178B">
              <w:rPr>
                <w:rFonts w:ascii="Times New Roman" w:hAnsi="Times New Roman" w:cs="Times New Roman"/>
                <w:lang w:val="en-US"/>
              </w:rPr>
              <w:t xml:space="preserve"> confirmative</w:t>
            </w:r>
            <w:r w:rsidR="009E5E14" w:rsidRPr="00A3178B">
              <w:rPr>
                <w:rFonts w:ascii="Times New Roman" w:hAnsi="Times New Roman" w:cs="Times New Roman"/>
                <w:lang w:val="en-US"/>
              </w:rPr>
              <w:t xml:space="preserve"> se </w:t>
            </w:r>
            <w:proofErr w:type="spellStart"/>
            <w:r w:rsidR="009E5E14" w:rsidRPr="00A3178B">
              <w:rPr>
                <w:rFonts w:ascii="Times New Roman" w:hAnsi="Times New Roman" w:cs="Times New Roman"/>
                <w:lang w:val="en-US"/>
              </w:rPr>
              <w:t>anexază</w:t>
            </w:r>
            <w:proofErr w:type="spellEnd"/>
            <w:r w:rsidR="009E5E14" w:rsidRPr="00A3178B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004262" w:rsidRPr="00A3178B" w14:paraId="5E8238BB" w14:textId="77777777" w:rsidTr="00A3178B">
        <w:tc>
          <w:tcPr>
            <w:tcW w:w="585" w:type="dxa"/>
          </w:tcPr>
          <w:p w14:paraId="0064B552" w14:textId="1F390076" w:rsidR="00004262" w:rsidRPr="002756D9" w:rsidRDefault="00004262" w:rsidP="0053645D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756D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3521" w:type="dxa"/>
          </w:tcPr>
          <w:p w14:paraId="6A0BD6A4" w14:textId="75FE86FD" w:rsidR="00004262" w:rsidRPr="00A3178B" w:rsidRDefault="00004262" w:rsidP="00D449BB">
            <w:pPr>
              <w:pStyle w:val="NoSpacing"/>
              <w:jc w:val="both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A3178B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Să identifice soluții viabile și conforme privitor la obligațiile asumate față de producătorii agricoli, în sumă de 24,7 mii lei, care la zi nu au acoperire financiară (pct. 4.2.6).</w:t>
            </w:r>
          </w:p>
        </w:tc>
        <w:tc>
          <w:tcPr>
            <w:tcW w:w="6804" w:type="dxa"/>
          </w:tcPr>
          <w:p w14:paraId="31894619" w14:textId="77777777" w:rsidR="00A3178B" w:rsidRPr="00A3178B" w:rsidRDefault="00A3178B" w:rsidP="00A3178B">
            <w:pPr>
              <w:pStyle w:val="NoSpacing"/>
              <w:jc w:val="both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A3178B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1.</w:t>
            </w:r>
            <w:proofErr w:type="spellStart"/>
            <w:r w:rsidRPr="00A3178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Întocmirea</w:t>
            </w:r>
            <w:proofErr w:type="spellEnd"/>
            <w:r w:rsidRPr="00A3178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A3178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și</w:t>
            </w:r>
            <w:proofErr w:type="spellEnd"/>
            <w:r w:rsidRPr="00A3178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A3178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remiterea</w:t>
            </w:r>
            <w:proofErr w:type="spellEnd"/>
            <w:r w:rsidRPr="00A3178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A3178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către</w:t>
            </w:r>
            <w:proofErr w:type="spellEnd"/>
            <w:r w:rsidRPr="00A3178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A3178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Ministerul</w:t>
            </w:r>
            <w:proofErr w:type="spellEnd"/>
            <w:r w:rsidRPr="00A3178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A3178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Agriculturii</w:t>
            </w:r>
            <w:proofErr w:type="spellEnd"/>
            <w:r w:rsidRPr="00A3178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A3178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și</w:t>
            </w:r>
            <w:proofErr w:type="spellEnd"/>
            <w:r w:rsidRPr="00A3178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A3178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Industriei</w:t>
            </w:r>
            <w:proofErr w:type="spellEnd"/>
            <w:r w:rsidRPr="00A3178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A3178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Alimentare</w:t>
            </w:r>
            <w:proofErr w:type="spellEnd"/>
            <w:r w:rsidRPr="00A3178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a </w:t>
            </w:r>
            <w:proofErr w:type="spellStart"/>
            <w:r w:rsidRPr="00A3178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unui</w:t>
            </w:r>
            <w:proofErr w:type="spellEnd"/>
            <w:r w:rsidRPr="00A3178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A3178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demers</w:t>
            </w:r>
            <w:proofErr w:type="spellEnd"/>
            <w:r w:rsidRPr="00A3178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A3178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privind</w:t>
            </w:r>
            <w:proofErr w:type="spellEnd"/>
            <w:r w:rsidRPr="00A3178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A3178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identificarea</w:t>
            </w:r>
            <w:proofErr w:type="spellEnd"/>
            <w:r w:rsidRPr="00A3178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A3178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surselor</w:t>
            </w:r>
            <w:proofErr w:type="spellEnd"/>
            <w:r w:rsidRPr="00A3178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A3178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financiare</w:t>
            </w:r>
            <w:proofErr w:type="spellEnd"/>
            <w:r w:rsidRPr="00A3178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A3178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necesare</w:t>
            </w:r>
            <w:proofErr w:type="spellEnd"/>
            <w:r w:rsidRPr="00A3178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</w:t>
            </w:r>
            <w:r w:rsidRPr="00A3178B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pentru stingerea obligațiilor asumate față de producătorii agricoli (î</w:t>
            </w:r>
            <w:r w:rsidRPr="00A3178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n </w:t>
            </w:r>
            <w:proofErr w:type="spellStart"/>
            <w:r w:rsidRPr="00A3178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cazul</w:t>
            </w:r>
            <w:proofErr w:type="spellEnd"/>
            <w:r w:rsidRPr="00A3178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A3178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parvenirii</w:t>
            </w:r>
            <w:proofErr w:type="spellEnd"/>
            <w:r w:rsidRPr="00A3178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A3178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cererilor</w:t>
            </w:r>
            <w:proofErr w:type="spellEnd"/>
            <w:r w:rsidRPr="00A3178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A3178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prealabile</w:t>
            </w:r>
            <w:proofErr w:type="spellEnd"/>
            <w:r w:rsidRPr="00A3178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);</w:t>
            </w:r>
          </w:p>
          <w:p w14:paraId="790D41DD" w14:textId="7A53092A" w:rsidR="00004262" w:rsidRPr="00A3178B" w:rsidRDefault="00A3178B" w:rsidP="00A3178B">
            <w:pPr>
              <w:pStyle w:val="NoSpacing"/>
              <w:jc w:val="both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  <w:r w:rsidRPr="00A3178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2. </w:t>
            </w:r>
            <w:proofErr w:type="spellStart"/>
            <w:r w:rsidRPr="00A3178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Casarea</w:t>
            </w:r>
            <w:proofErr w:type="spellEnd"/>
            <w:r w:rsidRPr="00A3178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A3178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datoriei</w:t>
            </w:r>
            <w:proofErr w:type="spellEnd"/>
            <w:r w:rsidRPr="00A3178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A3178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față</w:t>
            </w:r>
            <w:proofErr w:type="spellEnd"/>
            <w:r w:rsidRPr="00A3178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de </w:t>
            </w:r>
            <w:proofErr w:type="spellStart"/>
            <w:r w:rsidRPr="00A3178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producătorii</w:t>
            </w:r>
            <w:proofErr w:type="spellEnd"/>
            <w:r w:rsidRPr="00A3178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A3178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agricoli</w:t>
            </w:r>
            <w:proofErr w:type="spellEnd"/>
            <w:r w:rsidRPr="00A3178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, </w:t>
            </w:r>
            <w:r w:rsidRPr="00A3178B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în cazul expirării termenului general de prescripție și lipsa de cereri prealabile.</w:t>
            </w:r>
          </w:p>
          <w:p w14:paraId="63363F0C" w14:textId="1440125D" w:rsidR="00C50604" w:rsidRPr="00A3178B" w:rsidRDefault="00C50604" w:rsidP="00FD19FF">
            <w:pPr>
              <w:pStyle w:val="NoSpacing"/>
              <w:jc w:val="both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4507" w:type="dxa"/>
          </w:tcPr>
          <w:p w14:paraId="331D97A9" w14:textId="7FE05A22" w:rsidR="00004262" w:rsidRPr="00A3178B" w:rsidRDefault="009E5E14" w:rsidP="00734C13">
            <w:pPr>
              <w:rPr>
                <w:rFonts w:ascii="Times New Roman" w:hAnsi="Times New Roman" w:cs="Times New Roman"/>
                <w:lang w:val="en-US"/>
              </w:rPr>
            </w:pPr>
            <w:r w:rsidRPr="00A3178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3178B">
              <w:rPr>
                <w:rFonts w:ascii="Times New Roman" w:hAnsi="Times New Roman" w:cs="Times New Roman"/>
                <w:lang w:val="ro-RO"/>
              </w:rPr>
              <w:t xml:space="preserve">Cereri prealabile privitor la obligațiile asumate </w:t>
            </w:r>
            <w:r w:rsidR="00A3178B">
              <w:rPr>
                <w:rFonts w:ascii="Times New Roman" w:hAnsi="Times New Roman" w:cs="Times New Roman"/>
                <w:lang w:val="ro-RO"/>
              </w:rPr>
              <w:t xml:space="preserve">de AIPA </w:t>
            </w:r>
            <w:r w:rsidRPr="00A3178B">
              <w:rPr>
                <w:rFonts w:ascii="Times New Roman" w:hAnsi="Times New Roman" w:cs="Times New Roman"/>
                <w:lang w:val="ro-RO"/>
              </w:rPr>
              <w:t xml:space="preserve">față de producătorii agricoli </w:t>
            </w:r>
            <w:r w:rsidR="00734C13" w:rsidRPr="00A3178B">
              <w:rPr>
                <w:rFonts w:ascii="Times New Roman" w:hAnsi="Times New Roman" w:cs="Times New Roman"/>
                <w:lang w:val="ro-RO"/>
              </w:rPr>
              <w:t>pentru</w:t>
            </w:r>
            <w:r w:rsidRPr="00A3178B">
              <w:rPr>
                <w:rFonts w:ascii="Times New Roman" w:hAnsi="Times New Roman" w:cs="Times New Roman"/>
                <w:lang w:val="ro-RO"/>
              </w:rPr>
              <w:t xml:space="preserve"> sumă de 24,7 mii lei nu au parvenit</w:t>
            </w:r>
            <w:r w:rsidR="00734C13" w:rsidRPr="00A3178B">
              <w:rPr>
                <w:rFonts w:ascii="Times New Roman" w:hAnsi="Times New Roman" w:cs="Times New Roman"/>
                <w:lang w:val="ro-RO"/>
              </w:rPr>
              <w:t>.</w:t>
            </w:r>
            <w:r w:rsidRPr="00A3178B">
              <w:rPr>
                <w:rFonts w:ascii="Times New Roman" w:hAnsi="Times New Roman" w:cs="Times New Roman"/>
                <w:lang w:val="ro-RO"/>
              </w:rPr>
              <w:t xml:space="preserve"> </w:t>
            </w:r>
          </w:p>
        </w:tc>
      </w:tr>
    </w:tbl>
    <w:p w14:paraId="30E5C9C7" w14:textId="77777777" w:rsidR="006E2F0E" w:rsidRPr="002F42DC" w:rsidRDefault="006E2F0E">
      <w:pPr>
        <w:rPr>
          <w:sz w:val="26"/>
          <w:szCs w:val="26"/>
          <w:lang w:val="en-US"/>
        </w:rPr>
      </w:pPr>
    </w:p>
    <w:sectPr w:rsidR="006E2F0E" w:rsidRPr="002F42DC" w:rsidSect="002729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F06EA"/>
    <w:multiLevelType w:val="hybridMultilevel"/>
    <w:tmpl w:val="63D8CA4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56A69"/>
    <w:multiLevelType w:val="hybridMultilevel"/>
    <w:tmpl w:val="7DF80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D3726F5E">
      <w:start w:val="1"/>
      <w:numFmt w:val="decimal"/>
      <w:lvlText w:val="%3."/>
      <w:lvlJc w:val="right"/>
      <w:pPr>
        <w:ind w:left="2160" w:hanging="180"/>
      </w:pPr>
      <w:rPr>
        <w:rFonts w:ascii="Calibri Light" w:eastAsia="Calibri" w:hAnsi="Calibri Light" w:cs="Calibri Light"/>
        <w:b/>
        <w:color w:val="auto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E718E"/>
    <w:multiLevelType w:val="hybridMultilevel"/>
    <w:tmpl w:val="9508D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2B3DE8"/>
    <w:multiLevelType w:val="hybridMultilevel"/>
    <w:tmpl w:val="47F887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E800B7"/>
    <w:multiLevelType w:val="hybridMultilevel"/>
    <w:tmpl w:val="855A5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CF0457"/>
    <w:multiLevelType w:val="hybridMultilevel"/>
    <w:tmpl w:val="69B00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1891448">
    <w:abstractNumId w:val="1"/>
  </w:num>
  <w:num w:numId="2" w16cid:durableId="1612084001">
    <w:abstractNumId w:val="2"/>
  </w:num>
  <w:num w:numId="3" w16cid:durableId="2039307038">
    <w:abstractNumId w:val="5"/>
  </w:num>
  <w:num w:numId="4" w16cid:durableId="1684553590">
    <w:abstractNumId w:val="0"/>
  </w:num>
  <w:num w:numId="5" w16cid:durableId="1553150520">
    <w:abstractNumId w:val="4"/>
  </w:num>
  <w:num w:numId="6" w16cid:durableId="17995686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F0E"/>
    <w:rsid w:val="00004262"/>
    <w:rsid w:val="00021C0E"/>
    <w:rsid w:val="000759D2"/>
    <w:rsid w:val="000847DB"/>
    <w:rsid w:val="000A60EC"/>
    <w:rsid w:val="000B1C20"/>
    <w:rsid w:val="001651F7"/>
    <w:rsid w:val="00272997"/>
    <w:rsid w:val="002756D9"/>
    <w:rsid w:val="002F42DC"/>
    <w:rsid w:val="004645F5"/>
    <w:rsid w:val="00515FEF"/>
    <w:rsid w:val="0053645D"/>
    <w:rsid w:val="005A7B08"/>
    <w:rsid w:val="005E4E75"/>
    <w:rsid w:val="005F46A4"/>
    <w:rsid w:val="00612732"/>
    <w:rsid w:val="006E2F0E"/>
    <w:rsid w:val="00734C13"/>
    <w:rsid w:val="00750EA7"/>
    <w:rsid w:val="008802F1"/>
    <w:rsid w:val="008873F6"/>
    <w:rsid w:val="009E5E14"/>
    <w:rsid w:val="00A15D2B"/>
    <w:rsid w:val="00A3178B"/>
    <w:rsid w:val="00B55AA3"/>
    <w:rsid w:val="00C30DB8"/>
    <w:rsid w:val="00C50604"/>
    <w:rsid w:val="00C51A5B"/>
    <w:rsid w:val="00C818A8"/>
    <w:rsid w:val="00D25357"/>
    <w:rsid w:val="00D449BB"/>
    <w:rsid w:val="00DE1A3D"/>
    <w:rsid w:val="00E27B3F"/>
    <w:rsid w:val="00E65800"/>
    <w:rsid w:val="00EC2ABC"/>
    <w:rsid w:val="00EF1135"/>
    <w:rsid w:val="00EF2020"/>
    <w:rsid w:val="00FD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D32A9"/>
  <w15:docId w15:val="{6CD009EB-8066-4356-BD39-66D146FF3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 1,standaard met opsomming,Scriptoria bullet points,Абзац списка1,strikethrough"/>
    <w:basedOn w:val="Normal"/>
    <w:link w:val="ListParagraphChar"/>
    <w:uiPriority w:val="34"/>
    <w:qFormat/>
    <w:rsid w:val="006E2F0E"/>
    <w:pPr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ListParagraphChar">
    <w:name w:val="List Paragraph Char"/>
    <w:aliases w:val="List Paragraph 1 Char,standaard met opsomming Char,Scriptoria bullet points Char,Абзац списка1 Char,strikethrough Char"/>
    <w:link w:val="ListParagraph"/>
    <w:uiPriority w:val="34"/>
    <w:locked/>
    <w:rsid w:val="006E2F0E"/>
    <w:rPr>
      <w:rFonts w:ascii="Calibri" w:eastAsia="Calibri" w:hAnsi="Calibri" w:cs="Times New Roman"/>
      <w:lang w:val="en-US"/>
    </w:rPr>
  </w:style>
  <w:style w:type="paragraph" w:styleId="NoSpacing">
    <w:name w:val="No Spacing"/>
    <w:uiPriority w:val="1"/>
    <w:qFormat/>
    <w:rsid w:val="004645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Popusoi</dc:creator>
  <cp:keywords/>
  <dc:description/>
  <cp:lastModifiedBy>Maria Popusoi</cp:lastModifiedBy>
  <cp:revision>3</cp:revision>
  <cp:lastPrinted>2023-01-24T10:38:00Z</cp:lastPrinted>
  <dcterms:created xsi:type="dcterms:W3CDTF">2023-04-12T06:34:00Z</dcterms:created>
  <dcterms:modified xsi:type="dcterms:W3CDTF">2023-04-12T06:35:00Z</dcterms:modified>
</cp:coreProperties>
</file>