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8F63DA" w:rsidP="008F63DA">
      <w:pPr>
        <w:spacing w:after="0" w:line="276" w:lineRule="auto"/>
        <w:jc w:val="right"/>
        <w:rPr>
          <w:rFonts w:ascii="Times New Roman" w:eastAsia="Times New Roman" w:hAnsi="Times New Roman" w:cs="Times New Roman"/>
          <w:b/>
          <w:bCs/>
          <w:sz w:val="24"/>
          <w:szCs w:val="24"/>
          <w:lang w:val="ro-MD"/>
        </w:rPr>
      </w:pPr>
      <w:r w:rsidRPr="00E86C0B">
        <w:rPr>
          <w:rFonts w:ascii="Calibri Light" w:hAnsi="Calibri Light" w:cs="Calibri Light"/>
          <w:b/>
          <w:noProof/>
          <w:sz w:val="24"/>
          <w:szCs w:val="24"/>
          <w:u w:val="single"/>
          <w:lang w:val="ru-MD"/>
        </w:rPr>
        <w:t>ПЕРЕВОД</w:t>
      </w:r>
    </w:p>
    <w:p w:rsidR="008F63DA" w:rsidRPr="00E83370" w:rsidRDefault="008F63DA" w:rsidP="008F63DA">
      <w:pPr>
        <w:pStyle w:val="af"/>
        <w:rPr>
          <w:rFonts w:ascii="Calibri Light" w:hAnsi="Calibri Light" w:cs="Calibri Light"/>
          <w:i w:val="0"/>
          <w:iCs/>
          <w:noProof/>
          <w:sz w:val="24"/>
          <w:szCs w:val="24"/>
          <w:lang w:val="ru-MD"/>
        </w:rPr>
      </w:pPr>
      <w:r w:rsidRPr="00E83370">
        <w:rPr>
          <w:rFonts w:ascii="Calibri Light" w:hAnsi="Calibri Light" w:cs="Calibri Light"/>
          <w:i w:val="0"/>
          <w:iCs/>
          <w:noProof/>
          <w:sz w:val="24"/>
          <w:szCs w:val="24"/>
          <w:lang w:val="ru-MD"/>
        </w:rPr>
        <w:t>СЧЕТНАЯ ПАЛАТА РЕСПУБЛИКИ МОЛДОВА</w:t>
      </w:r>
    </w:p>
    <w:p w:rsidR="008F63DA" w:rsidRPr="00E83370" w:rsidRDefault="008F63DA" w:rsidP="008F63DA">
      <w:pPr>
        <w:pStyle w:val="af"/>
        <w:rPr>
          <w:rFonts w:ascii="Calibri Light" w:hAnsi="Calibri Light" w:cs="Calibri Light"/>
          <w:bCs/>
          <w:i w:val="0"/>
          <w:iCs/>
          <w:noProof/>
          <w:sz w:val="24"/>
          <w:szCs w:val="24"/>
          <w:lang w:val="ru-MD"/>
        </w:rPr>
      </w:pPr>
    </w:p>
    <w:p w:rsidR="008F63DA" w:rsidRPr="00E83370" w:rsidRDefault="008F63DA" w:rsidP="008F63DA">
      <w:pPr>
        <w:pStyle w:val="af"/>
        <w:rPr>
          <w:rFonts w:ascii="Calibri Light" w:hAnsi="Calibri Light" w:cs="Calibri Light"/>
          <w:bCs/>
          <w:i w:val="0"/>
          <w:iCs/>
          <w:noProof/>
          <w:sz w:val="24"/>
          <w:szCs w:val="24"/>
          <w:lang w:val="ru-MD"/>
        </w:rPr>
      </w:pPr>
      <w:r w:rsidRPr="00E83370">
        <w:rPr>
          <w:rFonts w:ascii="Calibri Light" w:hAnsi="Calibri Light" w:cs="Calibri Light"/>
          <w:bCs/>
          <w:i w:val="0"/>
          <w:iCs/>
          <w:noProof/>
          <w:sz w:val="24"/>
          <w:szCs w:val="24"/>
          <w:lang w:val="ru-MD"/>
        </w:rPr>
        <w:t>ПОСТАНОВЛЕНИЕ №</w:t>
      </w:r>
      <w:r>
        <w:rPr>
          <w:rFonts w:ascii="Calibri Light" w:hAnsi="Calibri Light" w:cs="Calibri Light"/>
          <w:bCs/>
          <w:i w:val="0"/>
          <w:iCs/>
          <w:noProof/>
          <w:sz w:val="24"/>
          <w:szCs w:val="24"/>
          <w:lang w:val="ru-MD"/>
        </w:rPr>
        <w:t>22</w:t>
      </w:r>
    </w:p>
    <w:p w:rsidR="008F63DA" w:rsidRPr="00E83370" w:rsidRDefault="008F63DA" w:rsidP="008F63DA">
      <w:pPr>
        <w:pStyle w:val="af"/>
        <w:rPr>
          <w:rFonts w:ascii="Calibri Light" w:hAnsi="Calibri Light" w:cs="Calibri Light"/>
          <w:b w:val="0"/>
          <w:i w:val="0"/>
          <w:iCs/>
          <w:noProof/>
          <w:sz w:val="24"/>
          <w:szCs w:val="24"/>
          <w:lang w:val="ru-MD"/>
        </w:rPr>
      </w:pPr>
      <w:r w:rsidRPr="00E83370">
        <w:rPr>
          <w:rFonts w:ascii="Calibri Light" w:hAnsi="Calibri Light" w:cs="Calibri Light"/>
          <w:b w:val="0"/>
          <w:i w:val="0"/>
          <w:iCs/>
          <w:noProof/>
          <w:sz w:val="24"/>
          <w:szCs w:val="24"/>
          <w:lang w:val="ru-MD"/>
        </w:rPr>
        <w:t xml:space="preserve">от </w:t>
      </w:r>
      <w:r>
        <w:rPr>
          <w:rFonts w:ascii="Calibri Light" w:hAnsi="Calibri Light" w:cs="Calibri Light"/>
          <w:b w:val="0"/>
          <w:i w:val="0"/>
          <w:iCs/>
          <w:noProof/>
          <w:sz w:val="24"/>
          <w:szCs w:val="24"/>
          <w:lang w:val="ru-MD"/>
        </w:rPr>
        <w:t>27</w:t>
      </w:r>
      <w:r w:rsidRPr="00E83370">
        <w:rPr>
          <w:rFonts w:ascii="Calibri Light" w:hAnsi="Calibri Light" w:cs="Calibri Light"/>
          <w:b w:val="0"/>
          <w:i w:val="0"/>
          <w:iCs/>
          <w:noProof/>
          <w:sz w:val="24"/>
          <w:szCs w:val="24"/>
          <w:lang w:val="ru-MD"/>
        </w:rPr>
        <w:t xml:space="preserve"> ма</w:t>
      </w:r>
      <w:r>
        <w:rPr>
          <w:rFonts w:ascii="Calibri Light" w:hAnsi="Calibri Light" w:cs="Calibri Light"/>
          <w:b w:val="0"/>
          <w:i w:val="0"/>
          <w:iCs/>
          <w:noProof/>
          <w:sz w:val="24"/>
          <w:szCs w:val="24"/>
          <w:lang w:val="ru-MD"/>
        </w:rPr>
        <w:t>я</w:t>
      </w:r>
      <w:r w:rsidRPr="00E83370">
        <w:rPr>
          <w:rFonts w:ascii="Calibri Light" w:hAnsi="Calibri Light" w:cs="Calibri Light"/>
          <w:b w:val="0"/>
          <w:i w:val="0"/>
          <w:iCs/>
          <w:noProof/>
          <w:sz w:val="24"/>
          <w:szCs w:val="24"/>
          <w:lang w:val="ru-MD"/>
        </w:rPr>
        <w:t xml:space="preserve"> 2022 года</w:t>
      </w:r>
    </w:p>
    <w:p w:rsidR="008F63DA" w:rsidRPr="00E83370" w:rsidRDefault="008F63DA" w:rsidP="008F63DA">
      <w:pPr>
        <w:pStyle w:val="af"/>
        <w:rPr>
          <w:rFonts w:ascii="Calibri Light" w:hAnsi="Calibri Light" w:cs="Calibri Light"/>
          <w:bCs/>
          <w:i w:val="0"/>
          <w:iCs/>
          <w:noProof/>
          <w:sz w:val="24"/>
          <w:szCs w:val="24"/>
          <w:lang w:val="ru-MD"/>
        </w:rPr>
      </w:pPr>
      <w:bookmarkStart w:id="0" w:name="_GoBack"/>
    </w:p>
    <w:bookmarkEnd w:id="0"/>
    <w:p w:rsidR="008F63DA" w:rsidRDefault="008F63DA" w:rsidP="008F63DA">
      <w:pPr>
        <w:pStyle w:val="af"/>
        <w:rPr>
          <w:rFonts w:ascii="Calibri Light" w:hAnsi="Calibri Light" w:cs="Calibri Light"/>
          <w:i w:val="0"/>
          <w:iCs/>
          <w:noProof/>
          <w:sz w:val="24"/>
          <w:szCs w:val="24"/>
          <w:lang w:val="ru-MD"/>
        </w:rPr>
      </w:pPr>
      <w:r w:rsidRPr="00E83370">
        <w:rPr>
          <w:rFonts w:ascii="Calibri Light" w:hAnsi="Calibri Light" w:cs="Calibri Light"/>
          <w:i w:val="0"/>
          <w:iCs/>
          <w:noProof/>
          <w:sz w:val="24"/>
          <w:szCs w:val="24"/>
          <w:lang w:val="ru-MD"/>
        </w:rPr>
        <w:t xml:space="preserve">по Отчету аудита </w:t>
      </w:r>
      <w:r>
        <w:rPr>
          <w:rFonts w:ascii="Calibri Light" w:hAnsi="Calibri Light" w:cs="Calibri Light"/>
          <w:i w:val="0"/>
          <w:iCs/>
          <w:noProof/>
          <w:sz w:val="24"/>
          <w:szCs w:val="24"/>
          <w:lang w:val="ru-MD"/>
        </w:rPr>
        <w:t xml:space="preserve">консолидированной </w:t>
      </w:r>
      <w:r w:rsidRPr="00E83370">
        <w:rPr>
          <w:rFonts w:ascii="Calibri Light" w:hAnsi="Calibri Light" w:cs="Calibri Light"/>
          <w:i w:val="0"/>
          <w:iCs/>
          <w:noProof/>
          <w:sz w:val="24"/>
          <w:szCs w:val="24"/>
          <w:lang w:val="ru-MD"/>
        </w:rPr>
        <w:t>финансовой отчетности Министерств</w:t>
      </w:r>
      <w:r>
        <w:rPr>
          <w:rFonts w:ascii="Calibri Light" w:hAnsi="Calibri Light" w:cs="Calibri Light"/>
          <w:i w:val="0"/>
          <w:iCs/>
          <w:noProof/>
          <w:sz w:val="24"/>
          <w:szCs w:val="24"/>
          <w:lang w:val="ru-MD"/>
        </w:rPr>
        <w:t>а</w:t>
      </w:r>
    </w:p>
    <w:p w:rsidR="008F63DA" w:rsidRPr="00E86C0B" w:rsidRDefault="008F63DA" w:rsidP="008F63DA">
      <w:pPr>
        <w:pStyle w:val="af"/>
        <w:rPr>
          <w:rFonts w:ascii="Calibri Light" w:hAnsi="Calibri Light" w:cs="Calibri Light"/>
          <w:i w:val="0"/>
          <w:iCs/>
          <w:noProof/>
          <w:szCs w:val="28"/>
          <w:lang w:val="ru-MD"/>
        </w:rPr>
      </w:pPr>
      <w:r w:rsidRPr="00E83370">
        <w:rPr>
          <w:rFonts w:ascii="Calibri Light" w:hAnsi="Calibri Light" w:cs="Calibri Light"/>
          <w:i w:val="0"/>
          <w:iCs/>
          <w:noProof/>
          <w:sz w:val="24"/>
          <w:szCs w:val="24"/>
          <w:lang w:val="ru-MD"/>
        </w:rPr>
        <w:t xml:space="preserve">инфраструктуры </w:t>
      </w:r>
      <w:r>
        <w:rPr>
          <w:rFonts w:ascii="Calibri Light" w:hAnsi="Calibri Light" w:cs="Calibri Light"/>
          <w:i w:val="0"/>
          <w:iCs/>
          <w:noProof/>
          <w:sz w:val="24"/>
          <w:szCs w:val="24"/>
          <w:lang w:val="ru-MD"/>
        </w:rPr>
        <w:t xml:space="preserve">и регионального развития </w:t>
      </w:r>
      <w:r w:rsidRPr="00E83370">
        <w:rPr>
          <w:rFonts w:ascii="Calibri Light" w:hAnsi="Calibri Light" w:cs="Calibri Light"/>
          <w:i w:val="0"/>
          <w:iCs/>
          <w:noProof/>
          <w:sz w:val="24"/>
          <w:szCs w:val="24"/>
          <w:lang w:val="ru-MD"/>
        </w:rPr>
        <w:t>по состоянию на 31 декабря 2021 года</w:t>
      </w:r>
      <w:r>
        <w:rPr>
          <w:rFonts w:ascii="Calibri Light" w:hAnsi="Calibri Light" w:cs="Calibri Light"/>
          <w:i w:val="0"/>
          <w:iCs/>
          <w:noProof/>
          <w:sz w:val="24"/>
          <w:szCs w:val="24"/>
          <w:lang w:val="ru-MD"/>
        </w:rPr>
        <w:t xml:space="preserve"> </w:t>
      </w:r>
    </w:p>
    <w:p w:rsidR="008F63DA" w:rsidRDefault="008F63DA" w:rsidP="009E4B84">
      <w:pPr>
        <w:spacing w:after="0" w:line="276" w:lineRule="auto"/>
        <w:jc w:val="center"/>
        <w:rPr>
          <w:rFonts w:ascii="Calibri Light" w:eastAsia="Times New Roman" w:hAnsi="Calibri Light" w:cs="Calibri Light"/>
          <w:bCs/>
          <w:sz w:val="24"/>
          <w:szCs w:val="24"/>
          <w:lang w:val="ru-MD"/>
        </w:rPr>
      </w:pPr>
    </w:p>
    <w:p w:rsidR="009E4B84" w:rsidRPr="00F00C85" w:rsidRDefault="005C09C6" w:rsidP="009E4B84">
      <w:pPr>
        <w:spacing w:after="0" w:line="276" w:lineRule="auto"/>
        <w:ind w:firstLine="567"/>
        <w:jc w:val="both"/>
        <w:rPr>
          <w:rFonts w:asciiTheme="majorHAnsi" w:eastAsia="Times New Roman" w:hAnsiTheme="majorHAnsi" w:cstheme="majorHAnsi"/>
          <w:bCs/>
          <w:sz w:val="24"/>
          <w:szCs w:val="24"/>
          <w:lang w:val="ro-MD" w:eastAsia="ru-RU"/>
        </w:rPr>
      </w:pPr>
      <w:r w:rsidRPr="00702059">
        <w:rPr>
          <w:rFonts w:asciiTheme="majorHAnsi" w:hAnsiTheme="majorHAnsi" w:cstheme="majorHAnsi"/>
          <w:sz w:val="24"/>
          <w:szCs w:val="24"/>
          <w:lang w:val="ru-MD"/>
        </w:rPr>
        <w:t>Счетная</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палата</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с</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участием</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w:t>
      </w:r>
      <w:r w:rsidRPr="005C09C6">
        <w:rPr>
          <w:rFonts w:asciiTheme="majorHAnsi" w:hAnsiTheme="majorHAnsi" w:cstheme="majorHAnsi"/>
          <w:sz w:val="24"/>
          <w:szCs w:val="24"/>
          <w:lang w:val="ru-MD"/>
        </w:rPr>
        <w:t>-</w:t>
      </w:r>
      <w:r w:rsidRPr="00702059">
        <w:rPr>
          <w:rFonts w:asciiTheme="majorHAnsi" w:hAnsiTheme="majorHAnsi" w:cstheme="majorHAnsi"/>
          <w:sz w:val="24"/>
          <w:szCs w:val="24"/>
          <w:lang w:val="ru-MD"/>
        </w:rPr>
        <w:t>жи</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Лилии</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Дабижа</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Генерального</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секретаря</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Министерства</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инфраструктуры</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и</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регионального</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развития</w:t>
      </w:r>
      <w:r w:rsidRPr="005C09C6">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г-на Александра Отгона, начальника Управления институционального менеджмента Министерства инфраструктуры и регионального развития</w:t>
      </w:r>
      <w:r>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г-на Раду Роговей, начальника Управления транспортной инфраструктуры Министерства инфраструктуры и регионального развития</w:t>
      </w:r>
      <w:r>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г-на Николая Олар</w:t>
      </w:r>
      <w:r w:rsidR="009C2D30">
        <w:rPr>
          <w:rFonts w:asciiTheme="majorHAnsi" w:hAnsiTheme="majorHAnsi" w:cstheme="majorHAnsi"/>
          <w:sz w:val="24"/>
          <w:szCs w:val="24"/>
          <w:lang w:val="ru-MD"/>
        </w:rPr>
        <w:t>я</w:t>
      </w:r>
      <w:r w:rsidRPr="00702059">
        <w:rPr>
          <w:rFonts w:asciiTheme="majorHAnsi" w:hAnsiTheme="majorHAnsi" w:cstheme="majorHAnsi"/>
          <w:sz w:val="24"/>
          <w:szCs w:val="24"/>
          <w:lang w:val="ru-MD"/>
        </w:rPr>
        <w:t>, начальника Управления энергетической политики Министерства инфраструктуры и регионального развития</w:t>
      </w:r>
      <w:r>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г-на Ион Коропчан</w:t>
      </w:r>
      <w:r w:rsidR="00E553BE">
        <w:rPr>
          <w:rFonts w:asciiTheme="majorHAnsi" w:hAnsiTheme="majorHAnsi" w:cstheme="majorHAnsi"/>
          <w:sz w:val="24"/>
          <w:szCs w:val="24"/>
        </w:rPr>
        <w:t>a</w:t>
      </w:r>
      <w:r w:rsidRPr="00702059">
        <w:rPr>
          <w:rFonts w:asciiTheme="majorHAnsi" w:hAnsiTheme="majorHAnsi" w:cstheme="majorHAnsi"/>
          <w:sz w:val="24"/>
          <w:szCs w:val="24"/>
          <w:lang w:val="ru-MD"/>
        </w:rPr>
        <w:t>, заместителя начальника Управления градостроительства, строительства и жилищного строительства Министерства инфраструктуры и регионального развития</w:t>
      </w:r>
      <w:r>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г-на Андрея Черный, начальника Юридического отдела Министерства инфраструктуры и регионального развития</w:t>
      </w:r>
      <w:r>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г-жи Екатерины Цуркану, начальника Финансово-административного отдела, главного бухгалтера Министерства инфраструктуры и регионального развития</w:t>
      </w:r>
      <w:r>
        <w:rPr>
          <w:rFonts w:asciiTheme="majorHAnsi" w:hAnsiTheme="majorHAnsi" w:cstheme="majorHAnsi"/>
          <w:sz w:val="24"/>
          <w:szCs w:val="24"/>
          <w:lang w:val="ru-MD"/>
        </w:rPr>
        <w:t xml:space="preserve">, </w:t>
      </w:r>
      <w:r w:rsidRPr="005C09C6">
        <w:rPr>
          <w:rFonts w:asciiTheme="majorHAnsi" w:hAnsiTheme="majorHAnsi" w:cstheme="majorHAnsi"/>
          <w:sz w:val="24"/>
          <w:szCs w:val="24"/>
          <w:lang w:val="ru-MD"/>
        </w:rPr>
        <w:t xml:space="preserve"> г-н</w:t>
      </w:r>
      <w:r>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Михаил</w:t>
      </w:r>
      <w:r>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Кроитору, директор</w:t>
      </w:r>
      <w:r>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w:t>
      </w:r>
      <w:r>
        <w:rPr>
          <w:rFonts w:asciiTheme="majorHAnsi" w:hAnsiTheme="majorHAnsi" w:cstheme="majorHAnsi"/>
          <w:sz w:val="24"/>
          <w:szCs w:val="24"/>
          <w:lang w:val="ru-MD"/>
        </w:rPr>
        <w:t>П</w:t>
      </w:r>
      <w:r w:rsidRPr="005C09C6">
        <w:rPr>
          <w:rFonts w:asciiTheme="majorHAnsi" w:hAnsiTheme="majorHAnsi" w:cstheme="majorHAnsi"/>
          <w:sz w:val="24"/>
          <w:szCs w:val="24"/>
          <w:lang w:val="ru-MD"/>
        </w:rPr>
        <w:t>убличного учреждения Национальное бюро регионального и местного развития</w:t>
      </w:r>
      <w:r w:rsidR="00720C4B">
        <w:rPr>
          <w:rFonts w:asciiTheme="majorHAnsi" w:hAnsiTheme="majorHAnsi" w:cstheme="majorHAnsi"/>
          <w:sz w:val="24"/>
          <w:szCs w:val="24"/>
          <w:lang w:val="ru-MD"/>
        </w:rPr>
        <w:t xml:space="preserve"> </w:t>
      </w:r>
      <w:r w:rsidRPr="0003367A">
        <w:rPr>
          <w:rFonts w:asciiTheme="majorHAnsi" w:hAnsiTheme="majorHAnsi" w:cstheme="majorHAnsi"/>
          <w:i/>
          <w:sz w:val="24"/>
          <w:szCs w:val="24"/>
          <w:lang w:val="ru-MD"/>
        </w:rPr>
        <w:t xml:space="preserve">(преемник </w:t>
      </w:r>
      <w:r w:rsidR="00720C4B" w:rsidRPr="0003367A">
        <w:rPr>
          <w:rFonts w:asciiTheme="majorHAnsi" w:hAnsiTheme="majorHAnsi" w:cstheme="majorHAnsi"/>
          <w:i/>
          <w:sz w:val="24"/>
          <w:szCs w:val="24"/>
          <w:lang w:val="ru-MD"/>
        </w:rPr>
        <w:t xml:space="preserve">прав </w:t>
      </w:r>
      <w:r w:rsidRPr="0003367A">
        <w:rPr>
          <w:rFonts w:asciiTheme="majorHAnsi" w:hAnsiTheme="majorHAnsi" w:cstheme="majorHAnsi"/>
          <w:i/>
          <w:sz w:val="24"/>
          <w:szCs w:val="24"/>
          <w:lang w:val="ru-MD"/>
        </w:rPr>
        <w:t>и обязанност</w:t>
      </w:r>
      <w:r w:rsidR="00720C4B" w:rsidRPr="0003367A">
        <w:rPr>
          <w:rFonts w:asciiTheme="majorHAnsi" w:hAnsiTheme="majorHAnsi" w:cstheme="majorHAnsi"/>
          <w:i/>
          <w:sz w:val="24"/>
          <w:szCs w:val="24"/>
          <w:lang w:val="ru-MD"/>
        </w:rPr>
        <w:t>ей</w:t>
      </w:r>
      <w:r w:rsidRPr="0003367A">
        <w:rPr>
          <w:rFonts w:asciiTheme="majorHAnsi" w:hAnsiTheme="majorHAnsi" w:cstheme="majorHAnsi"/>
          <w:i/>
          <w:sz w:val="24"/>
          <w:szCs w:val="24"/>
          <w:lang w:val="ru-MD"/>
        </w:rPr>
        <w:t xml:space="preserve"> </w:t>
      </w:r>
      <w:r w:rsidR="00720C4B" w:rsidRPr="0003367A">
        <w:rPr>
          <w:rFonts w:asciiTheme="majorHAnsi" w:hAnsiTheme="majorHAnsi" w:cstheme="majorHAnsi"/>
          <w:i/>
          <w:sz w:val="24"/>
          <w:szCs w:val="24"/>
          <w:lang w:val="ru-MD"/>
        </w:rPr>
        <w:t>П</w:t>
      </w:r>
      <w:r w:rsidRPr="0003367A">
        <w:rPr>
          <w:rFonts w:asciiTheme="majorHAnsi" w:hAnsiTheme="majorHAnsi" w:cstheme="majorHAnsi"/>
          <w:i/>
          <w:sz w:val="24"/>
          <w:szCs w:val="24"/>
          <w:lang w:val="ru-MD"/>
        </w:rPr>
        <w:t>убличного учреждения Фонд социальных инвестиций Молдовы)</w:t>
      </w:r>
      <w:r w:rsidRPr="005C09C6">
        <w:rPr>
          <w:rFonts w:asciiTheme="majorHAnsi" w:hAnsiTheme="majorHAnsi" w:cstheme="majorHAnsi"/>
          <w:sz w:val="24"/>
          <w:szCs w:val="24"/>
          <w:lang w:val="ru-MD"/>
        </w:rPr>
        <w:t>; г-ж</w:t>
      </w:r>
      <w:r w:rsidR="00DB3261">
        <w:rPr>
          <w:rFonts w:asciiTheme="majorHAnsi" w:hAnsiTheme="majorHAnsi" w:cstheme="majorHAnsi"/>
          <w:sz w:val="24"/>
          <w:szCs w:val="24"/>
          <w:lang w:val="ru-MD"/>
        </w:rPr>
        <w:t>и</w:t>
      </w:r>
      <w:r w:rsidRPr="005C09C6">
        <w:rPr>
          <w:rFonts w:asciiTheme="majorHAnsi" w:hAnsiTheme="majorHAnsi" w:cstheme="majorHAnsi"/>
          <w:sz w:val="24"/>
          <w:szCs w:val="24"/>
          <w:lang w:val="ru-MD"/>
        </w:rPr>
        <w:t xml:space="preserve"> Елен</w:t>
      </w:r>
      <w:r w:rsidR="00720C4B">
        <w:rPr>
          <w:rFonts w:asciiTheme="majorHAnsi" w:hAnsiTheme="majorHAnsi" w:cstheme="majorHAnsi"/>
          <w:sz w:val="24"/>
          <w:szCs w:val="24"/>
          <w:lang w:val="ru-MD"/>
        </w:rPr>
        <w:t>ы</w:t>
      </w:r>
      <w:r w:rsidRPr="005C09C6">
        <w:rPr>
          <w:rFonts w:asciiTheme="majorHAnsi" w:hAnsiTheme="majorHAnsi" w:cstheme="majorHAnsi"/>
          <w:sz w:val="24"/>
          <w:szCs w:val="24"/>
          <w:lang w:val="ru-MD"/>
        </w:rPr>
        <w:t xml:space="preserve"> Гудумак, главн</w:t>
      </w:r>
      <w:r w:rsidR="00720C4B">
        <w:rPr>
          <w:rFonts w:asciiTheme="majorHAnsi" w:hAnsiTheme="majorHAnsi" w:cstheme="majorHAnsi"/>
          <w:sz w:val="24"/>
          <w:szCs w:val="24"/>
          <w:lang w:val="ru-MD"/>
        </w:rPr>
        <w:t>ого</w:t>
      </w:r>
      <w:r w:rsidRPr="005C09C6">
        <w:rPr>
          <w:rFonts w:asciiTheme="majorHAnsi" w:hAnsiTheme="majorHAnsi" w:cstheme="majorHAnsi"/>
          <w:sz w:val="24"/>
          <w:szCs w:val="24"/>
          <w:lang w:val="ru-MD"/>
        </w:rPr>
        <w:t xml:space="preserve"> бухгалтер</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убличного учреждения Фонд социальных инвестиций Молдовы; г-ж</w:t>
      </w:r>
      <w:r w:rsidR="00720C4B">
        <w:rPr>
          <w:rFonts w:asciiTheme="majorHAnsi" w:hAnsiTheme="majorHAnsi" w:cstheme="majorHAnsi"/>
          <w:sz w:val="24"/>
          <w:szCs w:val="24"/>
          <w:lang w:val="ru-MD"/>
        </w:rPr>
        <w:t>и</w:t>
      </w:r>
      <w:r w:rsidRPr="005C09C6">
        <w:rPr>
          <w:rFonts w:asciiTheme="majorHAnsi" w:hAnsiTheme="majorHAnsi" w:cstheme="majorHAnsi"/>
          <w:sz w:val="24"/>
          <w:szCs w:val="24"/>
          <w:lang w:val="ru-MD"/>
        </w:rPr>
        <w:t xml:space="preserve"> Юнон</w:t>
      </w:r>
      <w:r w:rsidR="00720C4B">
        <w:rPr>
          <w:rFonts w:asciiTheme="majorHAnsi" w:hAnsiTheme="majorHAnsi" w:cstheme="majorHAnsi"/>
          <w:sz w:val="24"/>
          <w:szCs w:val="24"/>
          <w:lang w:val="ru-MD"/>
        </w:rPr>
        <w:t>ы</w:t>
      </w:r>
      <w:r w:rsidRPr="005C09C6">
        <w:rPr>
          <w:rFonts w:asciiTheme="majorHAnsi" w:hAnsiTheme="majorHAnsi" w:cstheme="majorHAnsi"/>
          <w:sz w:val="24"/>
          <w:szCs w:val="24"/>
          <w:lang w:val="ru-MD"/>
        </w:rPr>
        <w:t xml:space="preserve"> Лунг</w:t>
      </w:r>
      <w:r w:rsidR="00720C4B">
        <w:rPr>
          <w:rFonts w:asciiTheme="majorHAnsi" w:hAnsiTheme="majorHAnsi" w:cstheme="majorHAnsi"/>
          <w:sz w:val="24"/>
          <w:szCs w:val="24"/>
          <w:lang w:val="ru-MD"/>
        </w:rPr>
        <w:t>ул</w:t>
      </w:r>
      <w:r w:rsidRPr="005C09C6">
        <w:rPr>
          <w:rFonts w:asciiTheme="majorHAnsi" w:hAnsiTheme="majorHAnsi" w:cstheme="majorHAnsi"/>
          <w:sz w:val="24"/>
          <w:szCs w:val="24"/>
          <w:lang w:val="ru-MD"/>
        </w:rPr>
        <w:t>, директор</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 xml:space="preserve">убличного учреждения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 xml:space="preserve">одразделение по </w:t>
      </w:r>
      <w:r w:rsidR="00720C4B">
        <w:rPr>
          <w:rFonts w:asciiTheme="majorHAnsi" w:hAnsiTheme="majorHAnsi" w:cstheme="majorHAnsi"/>
          <w:sz w:val="24"/>
          <w:szCs w:val="24"/>
          <w:lang w:val="ru-MD"/>
        </w:rPr>
        <w:t>внедрению</w:t>
      </w:r>
      <w:r w:rsidRPr="005C09C6">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 xml:space="preserve">роекта строительства жилья для социально уязвимых слоев </w:t>
      </w:r>
      <w:r w:rsidR="00720C4B">
        <w:rPr>
          <w:rFonts w:asciiTheme="majorHAnsi" w:hAnsiTheme="majorHAnsi" w:cstheme="majorHAnsi"/>
          <w:sz w:val="24"/>
          <w:szCs w:val="24"/>
          <w:lang w:val="ru-MD"/>
        </w:rPr>
        <w:t xml:space="preserve">населения </w:t>
      </w:r>
      <w:r w:rsidRPr="005C09C6">
        <w:rPr>
          <w:rFonts w:asciiTheme="majorHAnsi" w:hAnsiTheme="majorHAnsi" w:cstheme="majorHAnsi"/>
          <w:sz w:val="24"/>
          <w:szCs w:val="24"/>
          <w:lang w:val="ru-MD"/>
        </w:rPr>
        <w:t>II; г-н</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Игор</w:t>
      </w:r>
      <w:r w:rsidR="00720C4B">
        <w:rPr>
          <w:rFonts w:asciiTheme="majorHAnsi" w:hAnsiTheme="majorHAnsi" w:cstheme="majorHAnsi"/>
          <w:sz w:val="24"/>
          <w:szCs w:val="24"/>
          <w:lang w:val="ru-MD"/>
        </w:rPr>
        <w:t>я</w:t>
      </w:r>
      <w:r w:rsidRPr="005C09C6">
        <w:rPr>
          <w:rFonts w:asciiTheme="majorHAnsi" w:hAnsiTheme="majorHAnsi" w:cstheme="majorHAnsi"/>
          <w:sz w:val="24"/>
          <w:szCs w:val="24"/>
          <w:lang w:val="ru-MD"/>
        </w:rPr>
        <w:t xml:space="preserve"> Виеру, юрист</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 xml:space="preserve">убличного учреждения </w:t>
      </w:r>
      <w:r w:rsidR="00720C4B">
        <w:rPr>
          <w:rFonts w:asciiTheme="majorHAnsi" w:hAnsiTheme="majorHAnsi" w:cstheme="majorHAnsi"/>
          <w:sz w:val="24"/>
          <w:szCs w:val="24"/>
          <w:lang w:val="ru-MD"/>
        </w:rPr>
        <w:t>П</w:t>
      </w:r>
      <w:r w:rsidRPr="005C09C6">
        <w:rPr>
          <w:rFonts w:asciiTheme="majorHAnsi" w:hAnsiTheme="majorHAnsi" w:cstheme="majorHAnsi"/>
          <w:sz w:val="24"/>
          <w:szCs w:val="24"/>
          <w:lang w:val="ru-MD"/>
        </w:rPr>
        <w:t xml:space="preserve">одразделение по </w:t>
      </w:r>
      <w:r w:rsidR="00720C4B">
        <w:rPr>
          <w:rFonts w:asciiTheme="majorHAnsi" w:hAnsiTheme="majorHAnsi" w:cstheme="majorHAnsi"/>
          <w:sz w:val="24"/>
          <w:szCs w:val="24"/>
          <w:lang w:val="ru-MD"/>
        </w:rPr>
        <w:t>внедрению</w:t>
      </w:r>
      <w:r w:rsidR="00720C4B" w:rsidRPr="005C09C6">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П</w:t>
      </w:r>
      <w:r w:rsidR="00720C4B" w:rsidRPr="005C09C6">
        <w:rPr>
          <w:rFonts w:asciiTheme="majorHAnsi" w:hAnsiTheme="majorHAnsi" w:cstheme="majorHAnsi"/>
          <w:sz w:val="24"/>
          <w:szCs w:val="24"/>
          <w:lang w:val="ru-MD"/>
        </w:rPr>
        <w:t xml:space="preserve">роекта строительства жилья для социально уязвимых слоев </w:t>
      </w:r>
      <w:r w:rsidR="00720C4B">
        <w:rPr>
          <w:rFonts w:asciiTheme="majorHAnsi" w:hAnsiTheme="majorHAnsi" w:cstheme="majorHAnsi"/>
          <w:sz w:val="24"/>
          <w:szCs w:val="24"/>
          <w:lang w:val="ru-MD"/>
        </w:rPr>
        <w:t>населения</w:t>
      </w:r>
      <w:r w:rsidRPr="005C09C6">
        <w:rPr>
          <w:rFonts w:asciiTheme="majorHAnsi" w:hAnsiTheme="majorHAnsi" w:cstheme="majorHAnsi"/>
          <w:sz w:val="24"/>
          <w:szCs w:val="24"/>
          <w:lang w:val="ru-MD"/>
        </w:rPr>
        <w:t xml:space="preserve"> II; г-н</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Владимир</w:t>
      </w:r>
      <w:r w:rsidR="00720C4B">
        <w:rPr>
          <w:rFonts w:asciiTheme="majorHAnsi" w:hAnsiTheme="majorHAnsi" w:cstheme="majorHAnsi"/>
          <w:sz w:val="24"/>
          <w:szCs w:val="24"/>
          <w:lang w:val="ru-MD"/>
        </w:rPr>
        <w:t>а</w:t>
      </w:r>
      <w:r w:rsidRPr="005C09C6">
        <w:rPr>
          <w:rFonts w:asciiTheme="majorHAnsi" w:hAnsiTheme="majorHAnsi" w:cstheme="majorHAnsi"/>
          <w:sz w:val="24"/>
          <w:szCs w:val="24"/>
          <w:lang w:val="ru-MD"/>
        </w:rPr>
        <w:t xml:space="preserve"> Чебан</w:t>
      </w:r>
      <w:r w:rsidR="00E553BE">
        <w:rPr>
          <w:rFonts w:asciiTheme="majorHAnsi" w:hAnsiTheme="majorHAnsi" w:cstheme="majorHAnsi"/>
          <w:sz w:val="24"/>
          <w:szCs w:val="24"/>
        </w:rPr>
        <w:t>a</w:t>
      </w:r>
      <w:r w:rsidRPr="00720C4B">
        <w:rPr>
          <w:rFonts w:asciiTheme="majorHAnsi" w:hAnsiTheme="majorHAnsi" w:cstheme="majorHAnsi"/>
          <w:sz w:val="24"/>
          <w:szCs w:val="24"/>
          <w:lang w:val="ru-MD"/>
        </w:rPr>
        <w:t xml:space="preserve">, </w:t>
      </w:r>
      <w:r w:rsidRPr="005C09C6">
        <w:rPr>
          <w:rFonts w:asciiTheme="majorHAnsi" w:hAnsiTheme="majorHAnsi" w:cstheme="majorHAnsi"/>
          <w:sz w:val="24"/>
          <w:szCs w:val="24"/>
          <w:lang w:val="ru-MD"/>
        </w:rPr>
        <w:t>начальник</w:t>
      </w:r>
      <w:r w:rsidR="00720C4B">
        <w:rPr>
          <w:rFonts w:asciiTheme="majorHAnsi" w:hAnsiTheme="majorHAnsi" w:cstheme="majorHAnsi"/>
          <w:sz w:val="24"/>
          <w:szCs w:val="24"/>
          <w:lang w:val="ru-MD"/>
        </w:rPr>
        <w:t>а</w:t>
      </w:r>
      <w:r w:rsidRPr="00720C4B">
        <w:rPr>
          <w:rFonts w:asciiTheme="majorHAnsi" w:hAnsiTheme="majorHAnsi" w:cstheme="majorHAnsi"/>
          <w:sz w:val="24"/>
          <w:szCs w:val="24"/>
          <w:lang w:val="ru-MD"/>
        </w:rPr>
        <w:t xml:space="preserve"> </w:t>
      </w:r>
      <w:r w:rsidR="00720C4B">
        <w:rPr>
          <w:rFonts w:asciiTheme="majorHAnsi" w:hAnsiTheme="majorHAnsi" w:cstheme="majorHAnsi"/>
          <w:sz w:val="24"/>
          <w:szCs w:val="24"/>
          <w:lang w:val="ru-MD"/>
        </w:rPr>
        <w:t>С</w:t>
      </w:r>
      <w:r w:rsidRPr="005C09C6">
        <w:rPr>
          <w:rFonts w:asciiTheme="majorHAnsi" w:hAnsiTheme="majorHAnsi" w:cstheme="majorHAnsi"/>
          <w:sz w:val="24"/>
          <w:szCs w:val="24"/>
          <w:lang w:val="ru-MD"/>
        </w:rPr>
        <w:t>лужбы</w:t>
      </w:r>
      <w:r w:rsidRPr="00720C4B">
        <w:rPr>
          <w:rFonts w:asciiTheme="majorHAnsi" w:hAnsiTheme="majorHAnsi" w:cstheme="majorHAnsi"/>
          <w:sz w:val="24"/>
          <w:szCs w:val="24"/>
          <w:lang w:val="ru-MD"/>
        </w:rPr>
        <w:t xml:space="preserve"> </w:t>
      </w:r>
      <w:r w:rsidR="0003367A" w:rsidRPr="00702059">
        <w:rPr>
          <w:rFonts w:asciiTheme="majorHAnsi" w:hAnsiTheme="majorHAnsi" w:cstheme="majorHAnsi"/>
          <w:sz w:val="24"/>
          <w:szCs w:val="24"/>
          <w:lang w:val="ru-MD"/>
        </w:rPr>
        <w:t>бухгалтерского учета и иностранных инвестиций Государственного предприятия  „Государственная администрация дорог”</w:t>
      </w:r>
      <w:r w:rsidR="00B52A28">
        <w:rPr>
          <w:rFonts w:asciiTheme="majorHAnsi" w:hAnsiTheme="majorHAnsi" w:cstheme="majorHAnsi"/>
          <w:sz w:val="24"/>
          <w:szCs w:val="24"/>
          <w:lang w:val="ro-MD"/>
        </w:rPr>
        <w:t>,</w:t>
      </w:r>
      <w:r w:rsidR="0098623D">
        <w:rPr>
          <w:rFonts w:asciiTheme="majorHAnsi" w:hAnsiTheme="majorHAnsi" w:cstheme="majorHAnsi"/>
          <w:sz w:val="24"/>
          <w:szCs w:val="24"/>
          <w:lang w:val="ro-MD"/>
        </w:rPr>
        <w:t xml:space="preserve"> </w:t>
      </w:r>
      <w:r w:rsidR="0003367A" w:rsidRPr="00702059">
        <w:rPr>
          <w:rFonts w:asciiTheme="majorHAnsi" w:hAnsiTheme="majorHAnsi" w:cstheme="majorHAnsi"/>
          <w:sz w:val="24"/>
          <w:szCs w:val="24"/>
          <w:lang w:val="ru-MD"/>
        </w:rPr>
        <w:t>в рамках видео-заседания</w:t>
      </w:r>
      <w:r w:rsidR="0003367A" w:rsidRPr="00702059">
        <w:rPr>
          <w:rFonts w:asciiTheme="majorHAnsi" w:hAnsiTheme="majorHAnsi" w:cstheme="majorHAnsi"/>
          <w:noProof/>
          <w:sz w:val="24"/>
          <w:szCs w:val="24"/>
          <w:lang w:val="ru-MD"/>
        </w:rPr>
        <w:t>,</w:t>
      </w:r>
      <w:r w:rsidR="0003367A" w:rsidRPr="00702059">
        <w:rPr>
          <w:rFonts w:asciiTheme="majorHAnsi" w:hAnsiTheme="majorHAnsi" w:cstheme="majorHAnsi"/>
          <w:sz w:val="24"/>
          <w:szCs w:val="24"/>
          <w:lang w:val="ru-MD"/>
        </w:rPr>
        <w:t xml:space="preserve"> </w:t>
      </w:r>
      <w:r w:rsidR="0003367A" w:rsidRPr="00702059">
        <w:rPr>
          <w:rFonts w:ascii="Calibri Light" w:hAnsi="Calibri Light" w:cs="Calibri Light"/>
          <w:noProof/>
          <w:sz w:val="24"/>
          <w:szCs w:val="24"/>
          <w:lang w:val="ru-MD"/>
        </w:rPr>
        <w:t>руководствуясь ст.3 (1) и ст.5 (1) а) Закона об организации и функционировании Счетной палаты Республики Молдова</w:t>
      </w:r>
      <w:r w:rsidR="0003367A" w:rsidRPr="00702059">
        <w:rPr>
          <w:rStyle w:val="ac"/>
          <w:rFonts w:ascii="Calibri Light" w:hAnsi="Calibri Light" w:cs="Calibri Light"/>
          <w:noProof/>
          <w:sz w:val="24"/>
          <w:szCs w:val="24"/>
          <w:lang w:val="ru-MD"/>
        </w:rPr>
        <w:footnoteReference w:id="1"/>
      </w:r>
      <w:r w:rsidR="0003367A" w:rsidRPr="00702059">
        <w:rPr>
          <w:rFonts w:ascii="Calibri Light" w:hAnsi="Calibri Light" w:cs="Calibri Light"/>
          <w:noProof/>
          <w:sz w:val="24"/>
          <w:szCs w:val="24"/>
          <w:lang w:val="ru-MD"/>
        </w:rPr>
        <w:t xml:space="preserve">, рассмотрела </w:t>
      </w:r>
      <w:r w:rsidR="0003367A" w:rsidRPr="00702059">
        <w:rPr>
          <w:rFonts w:asciiTheme="majorHAnsi" w:hAnsiTheme="majorHAnsi" w:cstheme="majorHAnsi"/>
          <w:iCs/>
          <w:sz w:val="24"/>
          <w:szCs w:val="24"/>
          <w:lang w:val="ru-MD"/>
        </w:rPr>
        <w:t>Отчет аудита консолидированной финансовой отчетности Министерства</w:t>
      </w:r>
      <w:r w:rsidR="0003367A" w:rsidRPr="00702059">
        <w:rPr>
          <w:rFonts w:asciiTheme="majorHAnsi" w:hAnsiTheme="majorHAnsi" w:cstheme="majorHAnsi"/>
          <w:b/>
          <w:iCs/>
          <w:sz w:val="24"/>
          <w:szCs w:val="24"/>
          <w:lang w:val="ru-MD"/>
        </w:rPr>
        <w:t xml:space="preserve"> </w:t>
      </w:r>
      <w:r w:rsidR="0003367A" w:rsidRPr="00702059">
        <w:rPr>
          <w:rFonts w:asciiTheme="majorHAnsi" w:hAnsiTheme="majorHAnsi" w:cstheme="majorHAnsi"/>
          <w:iCs/>
          <w:sz w:val="24"/>
          <w:szCs w:val="24"/>
          <w:lang w:val="ru-MD"/>
        </w:rPr>
        <w:t xml:space="preserve">инфраструктуры </w:t>
      </w:r>
      <w:r w:rsidR="0003367A">
        <w:rPr>
          <w:rFonts w:asciiTheme="majorHAnsi" w:hAnsiTheme="majorHAnsi" w:cstheme="majorHAnsi"/>
          <w:iCs/>
          <w:sz w:val="24"/>
          <w:szCs w:val="24"/>
          <w:lang w:val="ru-MD"/>
        </w:rPr>
        <w:t xml:space="preserve">и регионального развития </w:t>
      </w:r>
      <w:r w:rsidR="0003367A" w:rsidRPr="00702059">
        <w:rPr>
          <w:rFonts w:asciiTheme="majorHAnsi" w:hAnsiTheme="majorHAnsi" w:cstheme="majorHAnsi"/>
          <w:iCs/>
          <w:sz w:val="24"/>
          <w:szCs w:val="24"/>
          <w:lang w:val="ru-MD"/>
        </w:rPr>
        <w:t>по состоянию на 31 декабря 2021 года</w:t>
      </w:r>
      <w:r w:rsidR="009E4B84" w:rsidRPr="00CB40C6">
        <w:rPr>
          <w:rFonts w:asciiTheme="majorHAnsi" w:eastAsia="Times New Roman" w:hAnsiTheme="majorHAnsi" w:cstheme="majorHAnsi"/>
          <w:bCs/>
          <w:sz w:val="24"/>
          <w:szCs w:val="24"/>
          <w:lang w:val="ro-MD" w:eastAsia="ru-RU"/>
        </w:rPr>
        <w:t>.</w:t>
      </w:r>
    </w:p>
    <w:p w:rsidR="009E4B84" w:rsidRPr="0003367A" w:rsidRDefault="0003367A" w:rsidP="009E4B84">
      <w:pPr>
        <w:spacing w:after="0" w:line="276" w:lineRule="auto"/>
        <w:ind w:firstLine="567"/>
        <w:jc w:val="both"/>
        <w:rPr>
          <w:rFonts w:asciiTheme="majorHAnsi" w:hAnsiTheme="majorHAnsi" w:cs="Times New Roman"/>
          <w:sz w:val="24"/>
          <w:szCs w:val="24"/>
          <w:lang w:val="ru-MD"/>
        </w:rPr>
      </w:pPr>
      <w:r w:rsidRPr="0003367A">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03367A">
        <w:rPr>
          <w:rFonts w:asciiTheme="majorHAnsi" w:hAnsiTheme="majorHAnsi" w:cs="Times New Roman"/>
          <w:sz w:val="24"/>
          <w:szCs w:val="24"/>
          <w:lang w:val="ru-MD"/>
        </w:rPr>
        <w:t>2021 и 2022 годы</w:t>
      </w:r>
      <w:r w:rsidRPr="0003367A">
        <w:rPr>
          <w:rStyle w:val="FootnoteReference1"/>
          <w:rFonts w:asciiTheme="majorHAnsi" w:hAnsiTheme="majorHAnsi" w:cs="Times New Roman"/>
          <w:sz w:val="24"/>
          <w:szCs w:val="24"/>
          <w:lang w:val="ru-MD"/>
        </w:rPr>
        <w:footnoteReference w:id="2"/>
      </w:r>
      <w:r w:rsidRPr="0003367A">
        <w:rPr>
          <w:rFonts w:asciiTheme="majorHAnsi" w:eastAsia="Times New Roman" w:hAnsiTheme="majorHAnsi" w:cs="Times New Roman"/>
          <w:sz w:val="24"/>
          <w:szCs w:val="24"/>
          <w:lang w:val="ru-MD" w:eastAsia="ro-MD"/>
        </w:rPr>
        <w:t xml:space="preserve">, с целью предоставления </w:t>
      </w:r>
      <w:r w:rsidRPr="0003367A">
        <w:rPr>
          <w:rFonts w:asciiTheme="majorHAnsi" w:eastAsia="Times New Roman" w:hAnsiTheme="majorHAnsi" w:cs="Times New Roman"/>
          <w:sz w:val="24"/>
          <w:szCs w:val="24"/>
          <w:lang w:val="ru-MD" w:eastAsia="ro-MD"/>
        </w:rPr>
        <w:lastRenderedPageBreak/>
        <w:t xml:space="preserve">разумной уверенности в том, что консолидированная финансовая отчетность </w:t>
      </w:r>
      <w:r w:rsidRPr="0003367A">
        <w:rPr>
          <w:rFonts w:asciiTheme="majorHAnsi" w:hAnsiTheme="majorHAnsi" w:cstheme="majorHAnsi"/>
          <w:iCs/>
          <w:sz w:val="24"/>
          <w:szCs w:val="24"/>
          <w:lang w:val="ru-MD"/>
        </w:rPr>
        <w:t>Министерства</w:t>
      </w:r>
      <w:r w:rsidRPr="0003367A">
        <w:rPr>
          <w:rFonts w:asciiTheme="majorHAnsi" w:hAnsiTheme="majorHAnsi" w:cstheme="majorHAnsi"/>
          <w:b/>
          <w:iCs/>
          <w:sz w:val="24"/>
          <w:szCs w:val="24"/>
          <w:lang w:val="ru-MD"/>
        </w:rPr>
        <w:t xml:space="preserve"> </w:t>
      </w:r>
      <w:r w:rsidRPr="0003367A">
        <w:rPr>
          <w:rFonts w:asciiTheme="majorHAnsi" w:hAnsiTheme="majorHAnsi" w:cstheme="majorHAnsi"/>
          <w:iCs/>
          <w:sz w:val="24"/>
          <w:szCs w:val="24"/>
          <w:lang w:val="ru-MD"/>
        </w:rPr>
        <w:t>инфраструктуры и регионального развития по состоянию на 31 декабря 2021 года</w:t>
      </w:r>
      <w:r w:rsidRPr="0003367A">
        <w:rPr>
          <w:rFonts w:asciiTheme="majorHAnsi" w:eastAsia="Times New Roman" w:hAnsiTheme="majorHAnsi" w:cs="Times New Roman"/>
          <w:sz w:val="24"/>
          <w:szCs w:val="24"/>
          <w:lang w:val="ru-MD" w:eastAsia="ro-MD"/>
        </w:rPr>
        <w:t xml:space="preserve"> не содержит, в целом, существенных искажений, обусловленных мошенничеством или ошибками, а также вынесения соответствующего мнения</w:t>
      </w:r>
      <w:r w:rsidR="009E4B84" w:rsidRPr="0003367A">
        <w:rPr>
          <w:rFonts w:asciiTheme="majorHAnsi" w:hAnsiTheme="majorHAnsi" w:cs="Times New Roman"/>
          <w:sz w:val="24"/>
          <w:szCs w:val="24"/>
          <w:lang w:val="ru-MD"/>
        </w:rPr>
        <w:t>.</w:t>
      </w:r>
    </w:p>
    <w:p w:rsidR="009E4B84" w:rsidRPr="005C4E69" w:rsidRDefault="0003367A" w:rsidP="009E4B84">
      <w:pPr>
        <w:spacing w:after="0" w:line="276" w:lineRule="auto"/>
        <w:ind w:firstLine="567"/>
        <w:jc w:val="both"/>
        <w:rPr>
          <w:rFonts w:asciiTheme="majorHAnsi" w:eastAsia="Times New Roman" w:hAnsiTheme="majorHAnsi" w:cs="Times New Roman"/>
          <w:sz w:val="24"/>
          <w:szCs w:val="24"/>
          <w:lang w:val="ro-MD"/>
        </w:rPr>
      </w:pPr>
      <w:r w:rsidRPr="00702059">
        <w:rPr>
          <w:rFonts w:ascii="Calibri Light" w:hAnsi="Calibri Light" w:cs="Calibri Light"/>
          <w:noProof/>
          <w:sz w:val="24"/>
          <w:szCs w:val="24"/>
          <w:lang w:val="ru-MD" w:bidi="ro-RO"/>
        </w:rPr>
        <w:t>Внешний публичный аудит был проведен в соответствии с Международными стандартами Высших органов аудита, применяемыми Счетной палатой</w:t>
      </w:r>
      <w:r w:rsidRPr="00702059">
        <w:rPr>
          <w:rStyle w:val="ac"/>
          <w:rFonts w:ascii="Calibri Light" w:hAnsi="Calibri Light" w:cs="Calibri Light"/>
          <w:noProof/>
          <w:sz w:val="24"/>
          <w:szCs w:val="24"/>
          <w:lang w:val="ru-MD"/>
        </w:rPr>
        <w:footnoteReference w:id="3"/>
      </w:r>
      <w:r w:rsidR="009E4B84" w:rsidRPr="005C4E69">
        <w:rPr>
          <w:rFonts w:asciiTheme="majorHAnsi" w:eastAsia="Times New Roman" w:hAnsiTheme="majorHAnsi" w:cs="Times New Roman"/>
          <w:sz w:val="24"/>
          <w:szCs w:val="24"/>
          <w:lang w:val="ro-MD"/>
        </w:rPr>
        <w:t xml:space="preserve">. </w:t>
      </w:r>
    </w:p>
    <w:p w:rsidR="0003367A" w:rsidRPr="00702059" w:rsidRDefault="0003367A" w:rsidP="0003367A">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702059">
        <w:rPr>
          <w:rFonts w:ascii="Calibri Light" w:hAnsi="Calibri Light" w:cs="Calibri Light"/>
          <w:noProof/>
          <w:sz w:val="24"/>
          <w:szCs w:val="24"/>
          <w:lang w:val="ru-MD" w:eastAsia="ru-RU"/>
        </w:rPr>
        <w:t xml:space="preserve">Рассмотрев Отчет аудита, Счетная палата </w:t>
      </w:r>
    </w:p>
    <w:p w:rsidR="009E4B84" w:rsidRPr="009A0402" w:rsidRDefault="0003367A" w:rsidP="0003367A">
      <w:pPr>
        <w:spacing w:after="0" w:line="276" w:lineRule="auto"/>
        <w:jc w:val="center"/>
        <w:rPr>
          <w:rFonts w:asciiTheme="majorHAnsi" w:eastAsia="Times New Roman" w:hAnsiTheme="majorHAnsi" w:cs="Times New Roman"/>
          <w:b/>
          <w:bCs/>
          <w:sz w:val="24"/>
          <w:szCs w:val="24"/>
          <w:lang w:val="ru-MD"/>
        </w:rPr>
      </w:pPr>
      <w:r w:rsidRPr="009A0402">
        <w:rPr>
          <w:rFonts w:ascii="Calibri Light" w:hAnsi="Calibri Light" w:cs="Calibri Light"/>
          <w:b/>
          <w:bCs/>
          <w:noProof/>
          <w:sz w:val="24"/>
          <w:szCs w:val="24"/>
          <w:lang w:val="ru-MD" w:eastAsia="ru-RU"/>
        </w:rPr>
        <w:t>УСТАНОВИЛА</w:t>
      </w:r>
      <w:r w:rsidR="009E4B84" w:rsidRPr="009A0402">
        <w:rPr>
          <w:rFonts w:asciiTheme="majorHAnsi" w:eastAsia="Times New Roman" w:hAnsiTheme="majorHAnsi" w:cs="Times New Roman"/>
          <w:b/>
          <w:bCs/>
          <w:sz w:val="24"/>
          <w:szCs w:val="24"/>
          <w:lang w:val="ru-MD"/>
        </w:rPr>
        <w:t>:</w:t>
      </w:r>
    </w:p>
    <w:p w:rsidR="009E4B84" w:rsidRPr="009A0402" w:rsidRDefault="0003367A" w:rsidP="009E4B84">
      <w:pPr>
        <w:pStyle w:val="a4"/>
        <w:spacing w:line="276" w:lineRule="auto"/>
        <w:rPr>
          <w:rFonts w:asciiTheme="majorHAnsi" w:hAnsiTheme="majorHAnsi"/>
          <w:lang w:val="ru-MD"/>
        </w:rPr>
      </w:pPr>
      <w:r w:rsidRPr="009A0402">
        <w:rPr>
          <w:rFonts w:asciiTheme="majorHAnsi" w:hAnsiTheme="majorHAnsi"/>
          <w:lang w:val="ru-MD" w:eastAsia="ro-MD"/>
        </w:rPr>
        <w:t xml:space="preserve">Консолидированная финансовая отчетность </w:t>
      </w:r>
      <w:r w:rsidRPr="009A0402">
        <w:rPr>
          <w:rFonts w:asciiTheme="majorHAnsi" w:eastAsiaTheme="minorHAnsi" w:hAnsiTheme="majorHAnsi" w:cstheme="majorHAnsi"/>
          <w:iCs/>
          <w:lang w:val="ru-MD"/>
        </w:rPr>
        <w:t>Министерства</w:t>
      </w:r>
      <w:r w:rsidRPr="009A0402">
        <w:rPr>
          <w:rFonts w:asciiTheme="majorHAnsi" w:hAnsiTheme="majorHAnsi" w:cstheme="majorHAnsi"/>
          <w:b/>
          <w:iCs/>
          <w:lang w:val="ru-MD"/>
        </w:rPr>
        <w:t xml:space="preserve"> </w:t>
      </w:r>
      <w:r w:rsidRPr="009A0402">
        <w:rPr>
          <w:rFonts w:asciiTheme="majorHAnsi" w:hAnsiTheme="majorHAnsi" w:cstheme="majorHAnsi"/>
          <w:iCs/>
          <w:lang w:val="ru-MD"/>
        </w:rPr>
        <w:t xml:space="preserve">инфраструктуры и регионального развития по состоянию на 31 декабря 2021 года, </w:t>
      </w:r>
      <w:r w:rsidRPr="009A0402">
        <w:rPr>
          <w:rFonts w:ascii="Calibri Light" w:hAnsi="Calibri Light" w:cs="Calibri Light"/>
          <w:lang w:val="ru-MD" w:eastAsia="ru-RU" w:bidi="ro-RO"/>
        </w:rPr>
        <w:t>за исключением возможного воздействия некоторых аспектов, описанных в разделе Основание для условного мнения, представляет, во всех существенных аспектах, правильную и достоверную ситуацию,</w:t>
      </w:r>
      <w:r w:rsidRPr="009A0402">
        <w:rPr>
          <w:rFonts w:ascii="Calibri Light" w:hAnsi="Calibri Light" w:cs="Calibri Light"/>
          <w:i/>
          <w:lang w:val="ru-MD" w:eastAsia="ru-RU" w:bidi="ro-RO"/>
        </w:rPr>
        <w:t xml:space="preserve"> </w:t>
      </w:r>
      <w:r w:rsidRPr="009A0402">
        <w:rPr>
          <w:rFonts w:ascii="Calibri Light" w:hAnsi="Calibri Light" w:cs="Calibri Light"/>
          <w:lang w:val="ru-MD" w:eastAsia="ru-RU" w:bidi="ro-RO"/>
        </w:rPr>
        <w:t>в соответствии с требованиями норм бухгалтерского учета и финансовой отчетности в бюджетной системе Республики Молдова</w:t>
      </w:r>
      <w:r w:rsidRPr="009A0402">
        <w:rPr>
          <w:rStyle w:val="FootnoteReference1"/>
          <w:rFonts w:asciiTheme="majorHAnsi" w:hAnsiTheme="majorHAnsi"/>
          <w:lang w:val="ru-MD"/>
        </w:rPr>
        <w:footnoteReference w:id="4"/>
      </w:r>
      <w:r w:rsidR="009E4B84" w:rsidRPr="009A0402">
        <w:rPr>
          <w:rFonts w:asciiTheme="majorHAnsi" w:hAnsiTheme="majorHAnsi"/>
          <w:lang w:val="ru-MD"/>
        </w:rPr>
        <w:t>.</w:t>
      </w:r>
    </w:p>
    <w:p w:rsidR="009E4B84" w:rsidRPr="009A0402" w:rsidRDefault="0003367A" w:rsidP="009E4B84">
      <w:pPr>
        <w:pStyle w:val="a4"/>
        <w:spacing w:line="276" w:lineRule="auto"/>
        <w:rPr>
          <w:rFonts w:asciiTheme="majorHAnsi" w:hAnsiTheme="majorHAnsi"/>
          <w:lang w:val="ru-MD" w:eastAsia="ro-MD"/>
        </w:rPr>
      </w:pPr>
      <w:r w:rsidRPr="009A0402">
        <w:rPr>
          <w:rFonts w:asciiTheme="majorHAnsi" w:hAnsiTheme="majorHAnsi"/>
          <w:lang w:val="ru-MD" w:eastAsia="ro-MD"/>
        </w:rPr>
        <w:t xml:space="preserve">Аудиторские наблюдения послужили основанием для выражения условного мнения по консолидированной финансовой отчетности </w:t>
      </w:r>
      <w:r w:rsidRPr="009A0402">
        <w:rPr>
          <w:rFonts w:asciiTheme="majorHAnsi" w:eastAsiaTheme="minorHAnsi" w:hAnsiTheme="majorHAnsi" w:cstheme="majorHAnsi"/>
          <w:iCs/>
          <w:lang w:val="ru-MD"/>
        </w:rPr>
        <w:t>Министерства</w:t>
      </w:r>
      <w:r w:rsidRPr="009A0402">
        <w:rPr>
          <w:rFonts w:asciiTheme="majorHAnsi" w:hAnsiTheme="majorHAnsi" w:cstheme="majorHAnsi"/>
          <w:b/>
          <w:iCs/>
          <w:lang w:val="ru-MD"/>
        </w:rPr>
        <w:t xml:space="preserve"> </w:t>
      </w:r>
      <w:r w:rsidRPr="009A0402">
        <w:rPr>
          <w:rFonts w:asciiTheme="majorHAnsi" w:hAnsiTheme="majorHAnsi" w:cstheme="majorHAnsi"/>
          <w:iCs/>
          <w:lang w:val="ru-MD"/>
        </w:rPr>
        <w:t>инфраструктуры и регионального развития по состоянию на 31 декабря 2021 года</w:t>
      </w:r>
      <w:r w:rsidR="009E4B84" w:rsidRPr="009A0402">
        <w:rPr>
          <w:rFonts w:asciiTheme="majorHAnsi" w:hAnsiTheme="majorHAnsi"/>
          <w:lang w:val="ru-MD" w:eastAsia="ro-MD"/>
        </w:rPr>
        <w:t>.</w:t>
      </w:r>
      <w:r w:rsidR="008340AE" w:rsidRPr="009A0402">
        <w:rPr>
          <w:rFonts w:asciiTheme="majorHAnsi" w:hAnsiTheme="majorHAnsi"/>
          <w:lang w:val="ru-MD" w:eastAsia="ro-MD"/>
        </w:rPr>
        <w:t xml:space="preserve"> </w:t>
      </w:r>
    </w:p>
    <w:p w:rsidR="00595FB4" w:rsidRPr="009A0402" w:rsidRDefault="00595FB4" w:rsidP="00595FB4">
      <w:pPr>
        <w:pStyle w:val="a4"/>
        <w:rPr>
          <w:rFonts w:asciiTheme="majorHAnsi" w:hAnsiTheme="majorHAnsi"/>
          <w:lang w:val="ru-MD"/>
        </w:rPr>
      </w:pPr>
      <w:r w:rsidRPr="009A0402">
        <w:rPr>
          <w:rFonts w:asciiTheme="majorHAnsi" w:hAnsiTheme="majorHAnsi"/>
          <w:lang w:val="ru-MD"/>
        </w:rPr>
        <w:t xml:space="preserve">Исходя из вышеизложенного, на основании ст.14 (2), ст.15 d) и ст.37 (2) Закона №260 от 07.12.2017, Счетная палата </w:t>
      </w:r>
    </w:p>
    <w:p w:rsidR="009E4B84" w:rsidRPr="009A0402" w:rsidRDefault="00595FB4" w:rsidP="00595FB4">
      <w:pPr>
        <w:pStyle w:val="cp"/>
        <w:spacing w:line="276" w:lineRule="auto"/>
        <w:rPr>
          <w:rFonts w:asciiTheme="majorHAnsi" w:hAnsiTheme="majorHAnsi"/>
          <w:lang w:val="ru-MD"/>
        </w:rPr>
      </w:pPr>
      <w:r w:rsidRPr="009A0402">
        <w:rPr>
          <w:rFonts w:asciiTheme="majorHAnsi" w:hAnsiTheme="majorHAnsi"/>
          <w:lang w:val="ru-MD"/>
        </w:rPr>
        <w:t>ПОСТАНОВЛЯЕТ</w:t>
      </w:r>
      <w:r w:rsidR="009E4B84" w:rsidRPr="009A0402">
        <w:rPr>
          <w:rFonts w:asciiTheme="majorHAnsi" w:hAnsiTheme="majorHAnsi"/>
          <w:lang w:val="ru-MD"/>
        </w:rPr>
        <w:t>:</w:t>
      </w:r>
    </w:p>
    <w:p w:rsidR="009E4B84" w:rsidRPr="009A0402" w:rsidRDefault="009E4B84" w:rsidP="009E4B84">
      <w:pPr>
        <w:pStyle w:val="a4"/>
        <w:spacing w:after="240" w:line="276" w:lineRule="auto"/>
        <w:rPr>
          <w:rFonts w:asciiTheme="majorHAnsi" w:hAnsiTheme="majorHAnsi"/>
          <w:lang w:val="ru-MD"/>
        </w:rPr>
      </w:pPr>
      <w:r w:rsidRPr="009A0402">
        <w:rPr>
          <w:rFonts w:asciiTheme="majorHAnsi" w:hAnsiTheme="majorHAnsi"/>
          <w:b/>
          <w:bCs/>
          <w:lang w:val="ru-MD"/>
        </w:rPr>
        <w:t>1.</w:t>
      </w:r>
      <w:r w:rsidRPr="009A0402">
        <w:rPr>
          <w:rFonts w:asciiTheme="majorHAnsi" w:hAnsiTheme="majorHAnsi"/>
          <w:lang w:val="ru-MD"/>
        </w:rPr>
        <w:t xml:space="preserve"> </w:t>
      </w:r>
      <w:r w:rsidR="00595FB4" w:rsidRPr="009A0402">
        <w:rPr>
          <w:rFonts w:asciiTheme="majorHAnsi" w:hAnsiTheme="majorHAnsi"/>
          <w:lang w:val="ru-MD"/>
        </w:rPr>
        <w:t xml:space="preserve">Утвердить </w:t>
      </w:r>
      <w:r w:rsidR="00595FB4" w:rsidRPr="009A0402">
        <w:rPr>
          <w:rFonts w:asciiTheme="majorHAnsi" w:eastAsiaTheme="minorHAnsi" w:hAnsiTheme="majorHAnsi" w:cstheme="majorHAnsi"/>
          <w:iCs/>
          <w:lang w:val="ru-MD"/>
        </w:rPr>
        <w:t>Отчет аудита консолидированной финансовой отчетности Министерства</w:t>
      </w:r>
      <w:r w:rsidR="00595FB4" w:rsidRPr="009A0402">
        <w:rPr>
          <w:rFonts w:asciiTheme="majorHAnsi" w:hAnsiTheme="majorHAnsi" w:cstheme="majorHAnsi"/>
          <w:b/>
          <w:iCs/>
          <w:lang w:val="ru-MD"/>
        </w:rPr>
        <w:t xml:space="preserve"> </w:t>
      </w:r>
      <w:r w:rsidR="00B341FD" w:rsidRPr="009A0402">
        <w:rPr>
          <w:rFonts w:asciiTheme="majorHAnsi" w:hAnsiTheme="majorHAnsi" w:cstheme="majorHAnsi"/>
          <w:iCs/>
          <w:lang w:val="ru-MD"/>
        </w:rPr>
        <w:t>инфраструктуры и регионального развития</w:t>
      </w:r>
      <w:r w:rsidR="00595FB4" w:rsidRPr="009A0402">
        <w:rPr>
          <w:rFonts w:asciiTheme="majorHAnsi" w:hAnsiTheme="majorHAnsi" w:cstheme="majorHAnsi"/>
          <w:iCs/>
          <w:lang w:val="ru-MD"/>
        </w:rPr>
        <w:t xml:space="preserve"> по состоянию на 31 декабря 2021 года, </w:t>
      </w:r>
      <w:r w:rsidR="00595FB4" w:rsidRPr="009A0402">
        <w:rPr>
          <w:rFonts w:ascii="Calibri Light" w:hAnsi="Calibri Light" w:cs="Calibri Light"/>
          <w:bCs/>
          <w:noProof/>
          <w:lang w:val="ru-MD"/>
        </w:rPr>
        <w:t>приложенный к настоящему Постановлению</w:t>
      </w:r>
      <w:r w:rsidRPr="009A0402">
        <w:rPr>
          <w:rFonts w:asciiTheme="majorHAnsi" w:hAnsiTheme="majorHAnsi"/>
          <w:lang w:val="ru-MD"/>
        </w:rPr>
        <w:t>.</w:t>
      </w:r>
    </w:p>
    <w:p w:rsidR="009E4B84" w:rsidRPr="009A0402" w:rsidRDefault="009E4B84" w:rsidP="009E4B84">
      <w:pPr>
        <w:pStyle w:val="a4"/>
        <w:spacing w:after="240" w:line="276" w:lineRule="auto"/>
        <w:rPr>
          <w:rFonts w:asciiTheme="majorHAnsi" w:hAnsiTheme="majorHAnsi"/>
          <w:lang w:val="ru-MD"/>
        </w:rPr>
      </w:pPr>
      <w:r w:rsidRPr="009A0402">
        <w:rPr>
          <w:rFonts w:asciiTheme="majorHAnsi" w:hAnsiTheme="majorHAnsi"/>
          <w:b/>
          <w:bCs/>
          <w:lang w:val="ru-MD"/>
        </w:rPr>
        <w:t>2.</w:t>
      </w:r>
      <w:r w:rsidRPr="009A0402">
        <w:rPr>
          <w:rFonts w:asciiTheme="majorHAnsi" w:hAnsiTheme="majorHAnsi"/>
          <w:lang w:val="ru-MD"/>
        </w:rPr>
        <w:t xml:space="preserve"> </w:t>
      </w:r>
      <w:r w:rsidR="00B341FD" w:rsidRPr="009A0402">
        <w:rPr>
          <w:rFonts w:asciiTheme="majorHAnsi" w:eastAsiaTheme="minorHAnsi" w:hAnsiTheme="majorHAnsi" w:cstheme="minorBidi"/>
          <w:bCs/>
          <w:lang w:val="ru-MD"/>
        </w:rPr>
        <w:t>Настоящее Постановление и Отчет аудита направить</w:t>
      </w:r>
      <w:r w:rsidRPr="009A0402">
        <w:rPr>
          <w:rFonts w:asciiTheme="majorHAnsi" w:hAnsiTheme="majorHAnsi"/>
          <w:lang w:val="ru-MD"/>
        </w:rPr>
        <w:t>:</w:t>
      </w:r>
    </w:p>
    <w:p w:rsidR="00DA2C85" w:rsidRPr="009A0402" w:rsidRDefault="00DA2C85" w:rsidP="00DA2C85">
      <w:pPr>
        <w:pStyle w:val="a4"/>
        <w:spacing w:after="240"/>
        <w:rPr>
          <w:rFonts w:ascii="Calibri Light" w:hAnsi="Calibri Light" w:cs="Calibri Light"/>
          <w:noProof/>
          <w:lang w:val="ru-MD"/>
        </w:rPr>
      </w:pPr>
      <w:r w:rsidRPr="009A0402">
        <w:rPr>
          <w:rFonts w:ascii="Calibri Light" w:hAnsi="Calibri Light" w:cs="Calibri Light"/>
          <w:b/>
          <w:noProof/>
          <w:lang w:val="ru-MD"/>
        </w:rPr>
        <w:t>2.1.</w:t>
      </w:r>
      <w:r w:rsidRPr="009A0402">
        <w:rPr>
          <w:rFonts w:ascii="Calibri Light" w:hAnsi="Calibri Light" w:cs="Calibri Light"/>
          <w:noProof/>
          <w:lang w:val="ru-MD"/>
        </w:rPr>
        <w:t xml:space="preserve"> </w:t>
      </w:r>
      <w:r w:rsidR="00B341FD" w:rsidRPr="009A0402">
        <w:rPr>
          <w:rFonts w:ascii="Calibri Light" w:hAnsi="Calibri Light" w:cs="Calibri Light"/>
          <w:b/>
          <w:bCs/>
          <w:lang w:val="ru-MD"/>
        </w:rPr>
        <w:t>Парламенту Республики Молдова</w:t>
      </w:r>
      <w:r w:rsidR="00B341FD" w:rsidRPr="009A0402">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9A0402">
        <w:rPr>
          <w:rFonts w:ascii="Calibri Light" w:hAnsi="Calibri Light" w:cs="Calibri Light"/>
          <w:noProof/>
          <w:lang w:val="ru-MD"/>
        </w:rPr>
        <w:t>;</w:t>
      </w:r>
    </w:p>
    <w:p w:rsidR="00DA2C85" w:rsidRPr="009A0402" w:rsidRDefault="00DA2C85" w:rsidP="00DA2C85">
      <w:pPr>
        <w:pStyle w:val="a4"/>
        <w:spacing w:after="240"/>
        <w:rPr>
          <w:rFonts w:ascii="Calibri Light" w:hAnsi="Calibri Light" w:cs="Calibri Light"/>
          <w:noProof/>
          <w:lang w:val="ru-MD"/>
        </w:rPr>
      </w:pPr>
      <w:r w:rsidRPr="009A0402">
        <w:rPr>
          <w:rFonts w:ascii="Calibri Light" w:hAnsi="Calibri Light" w:cs="Calibri Light"/>
          <w:b/>
          <w:noProof/>
          <w:lang w:val="ru-MD"/>
        </w:rPr>
        <w:t>2.2.</w:t>
      </w:r>
      <w:r w:rsidRPr="009A0402">
        <w:rPr>
          <w:rFonts w:ascii="Calibri Light" w:hAnsi="Calibri Light" w:cs="Calibri Light"/>
          <w:noProof/>
          <w:lang w:val="ru-MD"/>
        </w:rPr>
        <w:t xml:space="preserve">  </w:t>
      </w:r>
      <w:r w:rsidR="00B341FD" w:rsidRPr="009A0402">
        <w:rPr>
          <w:rFonts w:ascii="Calibri Light" w:hAnsi="Calibri Light" w:cs="Calibri Light"/>
          <w:b/>
          <w:bCs/>
          <w:lang w:val="ru-MD"/>
        </w:rPr>
        <w:t>Президенту Республики Молдова</w:t>
      </w:r>
      <w:r w:rsidR="00B341FD" w:rsidRPr="009A0402">
        <w:rPr>
          <w:rFonts w:ascii="Calibri Light" w:hAnsi="Calibri Light" w:cs="Calibri Light"/>
          <w:lang w:val="ru-MD"/>
        </w:rPr>
        <w:t xml:space="preserve"> для информирования</w:t>
      </w:r>
      <w:r w:rsidRPr="009A0402">
        <w:rPr>
          <w:rFonts w:ascii="Calibri Light" w:hAnsi="Calibri Light" w:cs="Calibri Light"/>
          <w:noProof/>
          <w:lang w:val="ru-MD"/>
        </w:rPr>
        <w:t>;</w:t>
      </w:r>
    </w:p>
    <w:p w:rsidR="00DA2C85" w:rsidRPr="009A0402" w:rsidRDefault="00DA2C85" w:rsidP="00DA2C85">
      <w:pPr>
        <w:pStyle w:val="a4"/>
        <w:spacing w:after="240"/>
        <w:rPr>
          <w:rFonts w:ascii="Calibri Light" w:hAnsi="Calibri Light" w:cs="Calibri Light"/>
          <w:noProof/>
          <w:lang w:val="ru-MD"/>
        </w:rPr>
      </w:pPr>
      <w:r w:rsidRPr="009A0402">
        <w:rPr>
          <w:rFonts w:ascii="Calibri Light" w:hAnsi="Calibri Light" w:cs="Calibri Light"/>
          <w:b/>
          <w:noProof/>
          <w:lang w:val="ru-MD"/>
        </w:rPr>
        <w:t>2.3.</w:t>
      </w:r>
      <w:r w:rsidRPr="009A0402">
        <w:rPr>
          <w:rFonts w:ascii="Calibri Light" w:hAnsi="Calibri Light" w:cs="Calibri Light"/>
          <w:noProof/>
          <w:lang w:val="ru-MD"/>
        </w:rPr>
        <w:t xml:space="preserve"> </w:t>
      </w:r>
      <w:r w:rsidR="00B341FD" w:rsidRPr="009A0402">
        <w:rPr>
          <w:rFonts w:ascii="Calibri Light" w:hAnsi="Calibri Light" w:cs="Calibri Light"/>
          <w:b/>
          <w:bCs/>
          <w:lang w:val="ru-MD"/>
        </w:rPr>
        <w:t>Правительству Республики Молдова</w:t>
      </w:r>
      <w:r w:rsidR="00B341FD" w:rsidRPr="009A0402">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Pr="009A0402">
        <w:rPr>
          <w:rFonts w:ascii="Calibri Light" w:hAnsi="Calibri Light" w:cs="Calibri Light"/>
          <w:noProof/>
          <w:lang w:val="ru-MD"/>
        </w:rPr>
        <w:t>;</w:t>
      </w:r>
    </w:p>
    <w:p w:rsidR="00DA2C85" w:rsidRPr="009A0402" w:rsidRDefault="00DA2C85" w:rsidP="00DA2C85">
      <w:pPr>
        <w:pStyle w:val="a4"/>
        <w:spacing w:after="240" w:line="276" w:lineRule="auto"/>
        <w:rPr>
          <w:rFonts w:asciiTheme="majorHAnsi" w:hAnsiTheme="majorHAnsi"/>
          <w:lang w:val="ru-MD"/>
        </w:rPr>
      </w:pPr>
      <w:r w:rsidRPr="009A0402">
        <w:rPr>
          <w:rFonts w:asciiTheme="majorHAnsi" w:hAnsiTheme="majorHAnsi"/>
          <w:b/>
          <w:lang w:val="ru-MD"/>
        </w:rPr>
        <w:t>2.4.</w:t>
      </w:r>
      <w:r w:rsidRPr="009A0402">
        <w:rPr>
          <w:rFonts w:asciiTheme="majorHAnsi" w:hAnsiTheme="majorHAnsi"/>
          <w:lang w:val="ru-MD"/>
        </w:rPr>
        <w:t xml:space="preserve"> </w:t>
      </w:r>
      <w:r w:rsidR="00B341FD" w:rsidRPr="009A0402">
        <w:rPr>
          <w:rFonts w:asciiTheme="majorHAnsi" w:hAnsiTheme="majorHAnsi" w:cstheme="majorHAnsi"/>
          <w:b/>
          <w:lang w:val="ru-MD"/>
        </w:rPr>
        <w:t>Министерству инфраструктуры и регионального развития</w:t>
      </w:r>
      <w:r w:rsidRPr="009A0402">
        <w:rPr>
          <w:rFonts w:asciiTheme="majorHAnsi" w:hAnsiTheme="majorHAnsi"/>
          <w:lang w:val="ru-MD"/>
        </w:rPr>
        <w:t xml:space="preserve"> </w:t>
      </w:r>
      <w:r w:rsidR="00B341FD" w:rsidRPr="009A0402">
        <w:rPr>
          <w:rFonts w:asciiTheme="majorHAnsi" w:hAnsiTheme="majorHAnsi"/>
          <w:lang w:val="ru-MD"/>
        </w:rPr>
        <w:t>для принятия к сведению и обеспечения внедрения следующих рекомендаций аудита</w:t>
      </w:r>
      <w:r w:rsidRPr="009A0402">
        <w:rPr>
          <w:rFonts w:asciiTheme="majorHAnsi" w:hAnsiTheme="majorHAnsi"/>
          <w:lang w:val="ru-MD"/>
        </w:rPr>
        <w:t>:</w:t>
      </w:r>
    </w:p>
    <w:p w:rsidR="00D5261F" w:rsidRPr="001A0304" w:rsidRDefault="00A86FE5" w:rsidP="00D5261F">
      <w:pPr>
        <w:pStyle w:val="a4"/>
        <w:spacing w:after="240" w:line="276" w:lineRule="auto"/>
        <w:rPr>
          <w:rFonts w:asciiTheme="majorHAnsi" w:hAnsiTheme="majorHAnsi"/>
          <w:lang w:val="ru-MD"/>
        </w:rPr>
      </w:pPr>
      <w:r w:rsidRPr="001A0304">
        <w:rPr>
          <w:rFonts w:asciiTheme="majorHAnsi" w:hAnsiTheme="majorHAnsi"/>
          <w:b/>
          <w:lang w:val="ru-MD"/>
        </w:rPr>
        <w:t>2.4.1.</w:t>
      </w:r>
      <w:r w:rsidRPr="001A0304">
        <w:rPr>
          <w:rFonts w:asciiTheme="majorHAnsi" w:hAnsiTheme="majorHAnsi"/>
          <w:lang w:val="ru-MD"/>
        </w:rPr>
        <w:t xml:space="preserve"> </w:t>
      </w:r>
      <w:r w:rsidR="009A0402" w:rsidRPr="001A0304">
        <w:rPr>
          <w:rFonts w:asciiTheme="majorHAnsi" w:hAnsiTheme="majorHAnsi"/>
          <w:lang w:val="ru-MD"/>
        </w:rPr>
        <w:t xml:space="preserve">разработка </w:t>
      </w:r>
      <w:r w:rsidR="009A0402" w:rsidRPr="001A0304">
        <w:rPr>
          <w:rFonts w:asciiTheme="majorHAnsi" w:hAnsiTheme="majorHAnsi"/>
          <w:b/>
          <w:lang w:val="ru-MD"/>
        </w:rPr>
        <w:t>руководством Публичного учреждения Фонд социальных инвестиций Молдовы</w:t>
      </w:r>
      <w:r w:rsidR="009A0402" w:rsidRPr="001A0304">
        <w:rPr>
          <w:rFonts w:asciiTheme="majorHAnsi" w:hAnsiTheme="majorHAnsi"/>
          <w:lang w:val="ru-MD"/>
        </w:rPr>
        <w:t xml:space="preserve"> внутренних нормативных актов относительно способа определения и передачи незавершенных инвестиций сообщества</w:t>
      </w:r>
      <w:r w:rsidR="00FF090C" w:rsidRPr="001A0304">
        <w:rPr>
          <w:rFonts w:asciiTheme="majorHAnsi" w:hAnsiTheme="majorHAnsi"/>
          <w:lang w:val="ru-MD"/>
        </w:rPr>
        <w:t>м-</w:t>
      </w:r>
      <w:r w:rsidR="009A0402" w:rsidRPr="001A0304">
        <w:rPr>
          <w:rFonts w:asciiTheme="majorHAnsi" w:hAnsiTheme="majorHAnsi"/>
          <w:lang w:val="ru-MD"/>
        </w:rPr>
        <w:t>бенефициар</w:t>
      </w:r>
      <w:r w:rsidR="00FF090C" w:rsidRPr="001A0304">
        <w:rPr>
          <w:rFonts w:asciiTheme="majorHAnsi" w:hAnsiTheme="majorHAnsi"/>
          <w:lang w:val="ru-MD"/>
        </w:rPr>
        <w:t>ам,</w:t>
      </w:r>
      <w:r w:rsidR="009A0402" w:rsidRPr="001A0304">
        <w:rPr>
          <w:rFonts w:asciiTheme="majorHAnsi" w:hAnsiTheme="majorHAnsi"/>
          <w:lang w:val="ru-MD"/>
        </w:rPr>
        <w:t xml:space="preserve"> и пров</w:t>
      </w:r>
      <w:r w:rsidR="00FF090C" w:rsidRPr="001A0304">
        <w:rPr>
          <w:rFonts w:asciiTheme="majorHAnsi" w:hAnsiTheme="majorHAnsi"/>
          <w:lang w:val="ru-MD"/>
        </w:rPr>
        <w:t>едение</w:t>
      </w:r>
      <w:r w:rsidR="009A0402" w:rsidRPr="001A0304">
        <w:rPr>
          <w:rFonts w:asciiTheme="majorHAnsi" w:hAnsiTheme="majorHAnsi"/>
          <w:lang w:val="ru-MD"/>
        </w:rPr>
        <w:t xml:space="preserve"> инвентаризаци</w:t>
      </w:r>
      <w:r w:rsidR="00FF090C" w:rsidRPr="001A0304">
        <w:rPr>
          <w:rFonts w:asciiTheme="majorHAnsi" w:hAnsiTheme="majorHAnsi"/>
          <w:lang w:val="ru-MD"/>
        </w:rPr>
        <w:t>и</w:t>
      </w:r>
      <w:r w:rsidR="009A0402" w:rsidRPr="001A0304">
        <w:rPr>
          <w:rFonts w:asciiTheme="majorHAnsi" w:hAnsiTheme="majorHAnsi"/>
          <w:lang w:val="ru-MD"/>
        </w:rPr>
        <w:t xml:space="preserve"> всех управляемых проектов</w:t>
      </w:r>
      <w:r w:rsidR="00FF090C" w:rsidRPr="001A0304">
        <w:rPr>
          <w:rFonts w:asciiTheme="majorHAnsi" w:hAnsiTheme="majorHAnsi"/>
          <w:lang w:val="ru-MD"/>
        </w:rPr>
        <w:t>,</w:t>
      </w:r>
      <w:r w:rsidR="009A0402" w:rsidRPr="001A0304">
        <w:rPr>
          <w:rFonts w:asciiTheme="majorHAnsi" w:hAnsiTheme="majorHAnsi"/>
          <w:lang w:val="ru-MD"/>
        </w:rPr>
        <w:t xml:space="preserve"> для </w:t>
      </w:r>
      <w:r w:rsidR="00FF090C" w:rsidRPr="001A0304">
        <w:rPr>
          <w:rFonts w:asciiTheme="majorHAnsi" w:hAnsiTheme="majorHAnsi"/>
          <w:lang w:val="ru-MD"/>
        </w:rPr>
        <w:t>актуализации</w:t>
      </w:r>
      <w:r w:rsidR="009A0402" w:rsidRPr="001A0304">
        <w:rPr>
          <w:rFonts w:asciiTheme="majorHAnsi" w:hAnsiTheme="majorHAnsi"/>
          <w:lang w:val="ru-MD"/>
        </w:rPr>
        <w:t xml:space="preserve"> </w:t>
      </w:r>
      <w:r w:rsidR="00FF090C" w:rsidRPr="001A0304">
        <w:rPr>
          <w:rFonts w:asciiTheme="majorHAnsi" w:hAnsiTheme="majorHAnsi"/>
          <w:lang w:val="ru-MD"/>
        </w:rPr>
        <w:t xml:space="preserve">данных </w:t>
      </w:r>
      <w:r w:rsidR="009A0402" w:rsidRPr="001A0304">
        <w:rPr>
          <w:rFonts w:asciiTheme="majorHAnsi" w:hAnsiTheme="majorHAnsi"/>
          <w:lang w:val="ru-MD"/>
        </w:rPr>
        <w:t>бухгалтерско</w:t>
      </w:r>
      <w:r w:rsidR="00FF090C" w:rsidRPr="001A0304">
        <w:rPr>
          <w:rFonts w:asciiTheme="majorHAnsi" w:hAnsiTheme="majorHAnsi"/>
          <w:lang w:val="ru-MD"/>
        </w:rPr>
        <w:t>го учета</w:t>
      </w:r>
      <w:r w:rsidR="00F856E7" w:rsidRPr="001A0304">
        <w:rPr>
          <w:rFonts w:asciiTheme="majorHAnsi" w:hAnsiTheme="majorHAnsi"/>
          <w:lang w:val="ru-MD"/>
        </w:rPr>
        <w:t>;</w:t>
      </w:r>
    </w:p>
    <w:p w:rsidR="000664F1" w:rsidRPr="001A0304" w:rsidRDefault="00DA4AFE" w:rsidP="009E4B84">
      <w:pPr>
        <w:pStyle w:val="a4"/>
        <w:spacing w:after="240" w:line="276" w:lineRule="auto"/>
        <w:rPr>
          <w:rFonts w:asciiTheme="majorHAnsi" w:hAnsiTheme="majorHAnsi"/>
          <w:lang w:val="ru-MD"/>
        </w:rPr>
      </w:pPr>
      <w:r w:rsidRPr="001A0304">
        <w:rPr>
          <w:rFonts w:asciiTheme="majorHAnsi" w:hAnsiTheme="majorHAnsi"/>
          <w:b/>
          <w:lang w:val="ru-MD"/>
        </w:rPr>
        <w:t>2.4.2.</w:t>
      </w:r>
      <w:r w:rsidR="00E70517" w:rsidRPr="001A0304">
        <w:rPr>
          <w:rFonts w:asciiTheme="majorHAnsi" w:hAnsiTheme="majorHAnsi"/>
          <w:lang w:val="ru-MD"/>
        </w:rPr>
        <w:t xml:space="preserve"> </w:t>
      </w:r>
      <w:r w:rsidR="009A0402" w:rsidRPr="001A0304">
        <w:rPr>
          <w:rFonts w:asciiTheme="majorHAnsi" w:hAnsiTheme="majorHAnsi"/>
          <w:lang w:val="ru-MD"/>
        </w:rPr>
        <w:t xml:space="preserve">установление </w:t>
      </w:r>
      <w:r w:rsidR="009A0402" w:rsidRPr="001A0304">
        <w:rPr>
          <w:rFonts w:asciiTheme="majorHAnsi" w:hAnsiTheme="majorHAnsi"/>
          <w:b/>
          <w:lang w:val="ru-MD"/>
        </w:rPr>
        <w:t xml:space="preserve">директором Государственного предприятия </w:t>
      </w:r>
      <w:r w:rsidR="00FF090C" w:rsidRPr="001A0304">
        <w:rPr>
          <w:rFonts w:asciiTheme="majorHAnsi" w:hAnsiTheme="majorHAnsi"/>
          <w:b/>
          <w:lang w:val="ru-MD"/>
        </w:rPr>
        <w:t>„Г</w:t>
      </w:r>
      <w:r w:rsidR="009A0402" w:rsidRPr="001A0304">
        <w:rPr>
          <w:rFonts w:asciiTheme="majorHAnsi" w:hAnsiTheme="majorHAnsi"/>
          <w:b/>
          <w:lang w:val="ru-MD"/>
        </w:rPr>
        <w:t>осударственная администрация дорог</w:t>
      </w:r>
      <w:r w:rsidR="00FF090C" w:rsidRPr="001A0304">
        <w:rPr>
          <w:rFonts w:asciiTheme="majorHAnsi" w:hAnsiTheme="majorHAnsi"/>
          <w:b/>
          <w:lang w:val="ru-MD"/>
        </w:rPr>
        <w:t>”</w:t>
      </w:r>
      <w:r w:rsidR="009A0402" w:rsidRPr="001A0304">
        <w:rPr>
          <w:rFonts w:asciiTheme="majorHAnsi" w:hAnsiTheme="majorHAnsi"/>
          <w:lang w:val="ru-MD"/>
        </w:rPr>
        <w:t xml:space="preserve"> эффективных </w:t>
      </w:r>
      <w:r w:rsidR="00FF090C" w:rsidRPr="001A0304">
        <w:rPr>
          <w:rFonts w:asciiTheme="majorHAnsi" w:hAnsiTheme="majorHAnsi"/>
          <w:lang w:val="ru-MD"/>
        </w:rPr>
        <w:t>контролей, в целях</w:t>
      </w:r>
      <w:r w:rsidR="009A0402" w:rsidRPr="001A0304">
        <w:rPr>
          <w:rFonts w:asciiTheme="majorHAnsi" w:hAnsiTheme="majorHAnsi"/>
          <w:lang w:val="ru-MD"/>
        </w:rPr>
        <w:t xml:space="preserve"> недопущения ошибок в финансово-бухгалтерском процессе, в том числе путем графического и/или повествовательного описания процесса </w:t>
      </w:r>
      <w:r w:rsidR="00FF090C" w:rsidRPr="001A0304">
        <w:rPr>
          <w:rFonts w:asciiTheme="majorHAnsi" w:hAnsiTheme="majorHAnsi"/>
          <w:lang w:val="ru-MD"/>
        </w:rPr>
        <w:t xml:space="preserve">ведения </w:t>
      </w:r>
      <w:r w:rsidR="009A0402" w:rsidRPr="001A0304">
        <w:rPr>
          <w:rFonts w:asciiTheme="majorHAnsi" w:hAnsiTheme="majorHAnsi"/>
          <w:lang w:val="ru-MD"/>
        </w:rPr>
        <w:t xml:space="preserve">учета ущерба, </w:t>
      </w:r>
      <w:r w:rsidR="00FF090C" w:rsidRPr="001A0304">
        <w:rPr>
          <w:rFonts w:asciiTheme="majorHAnsi" w:hAnsiTheme="majorHAnsi"/>
          <w:lang w:val="ru-MD"/>
        </w:rPr>
        <w:t>опреде</w:t>
      </w:r>
      <w:r w:rsidR="009A0402" w:rsidRPr="001A0304">
        <w:rPr>
          <w:rFonts w:asciiTheme="majorHAnsi" w:hAnsiTheme="majorHAnsi"/>
          <w:lang w:val="ru-MD"/>
        </w:rPr>
        <w:t>ленного суд</w:t>
      </w:r>
      <w:r w:rsidR="00FF090C" w:rsidRPr="001A0304">
        <w:rPr>
          <w:rFonts w:asciiTheme="majorHAnsi" w:hAnsiTheme="majorHAnsi"/>
          <w:lang w:val="ru-MD"/>
        </w:rPr>
        <w:t>ебными инстанция</w:t>
      </w:r>
      <w:r w:rsidR="009A0402" w:rsidRPr="001A0304">
        <w:rPr>
          <w:rFonts w:asciiTheme="majorHAnsi" w:hAnsiTheme="majorHAnsi"/>
          <w:lang w:val="ru-MD"/>
        </w:rPr>
        <w:t xml:space="preserve">ми, с выявлением решений по смягчению </w:t>
      </w:r>
      <w:r w:rsidR="00FF090C" w:rsidRPr="001A0304">
        <w:rPr>
          <w:rFonts w:asciiTheme="majorHAnsi" w:hAnsiTheme="majorHAnsi"/>
          <w:lang w:val="ru-MD"/>
        </w:rPr>
        <w:t>воздействия</w:t>
      </w:r>
      <w:r w:rsidR="00F856E7" w:rsidRPr="001A0304">
        <w:rPr>
          <w:rFonts w:asciiTheme="majorHAnsi" w:hAnsiTheme="majorHAnsi" w:cstheme="majorHAnsi"/>
          <w:lang w:val="ru-MD"/>
        </w:rPr>
        <w:t>;</w:t>
      </w:r>
    </w:p>
    <w:p w:rsidR="0036239C" w:rsidRPr="004D40E7" w:rsidRDefault="000664F1" w:rsidP="009E4B84">
      <w:pPr>
        <w:pStyle w:val="a4"/>
        <w:spacing w:after="240" w:line="276" w:lineRule="auto"/>
        <w:rPr>
          <w:rFonts w:asciiTheme="majorHAnsi" w:hAnsiTheme="majorHAnsi" w:cstheme="majorHAnsi"/>
          <w:lang w:val="ru-MD"/>
        </w:rPr>
      </w:pPr>
      <w:r w:rsidRPr="000664F1">
        <w:rPr>
          <w:rFonts w:asciiTheme="majorHAnsi" w:hAnsiTheme="majorHAnsi"/>
          <w:b/>
          <w:lang w:val="ro-MD"/>
        </w:rPr>
        <w:t xml:space="preserve">2.4.3. </w:t>
      </w:r>
      <w:r w:rsidR="006C79DE">
        <w:rPr>
          <w:rFonts w:asciiTheme="majorHAnsi" w:hAnsiTheme="majorHAnsi"/>
          <w:b/>
          <w:lang w:val="ro-MD"/>
        </w:rPr>
        <w:t xml:space="preserve"> </w:t>
      </w:r>
      <w:r w:rsidR="009A0402" w:rsidRPr="004D40E7">
        <w:rPr>
          <w:rFonts w:asciiTheme="majorHAnsi" w:hAnsiTheme="majorHAnsi"/>
          <w:lang w:val="ru-MD"/>
        </w:rPr>
        <w:t xml:space="preserve">передача </w:t>
      </w:r>
      <w:r w:rsidR="00FF090C" w:rsidRPr="004D40E7">
        <w:rPr>
          <w:rFonts w:asciiTheme="majorHAnsi" w:hAnsiTheme="majorHAnsi"/>
          <w:b/>
          <w:lang w:val="ru-MD"/>
        </w:rPr>
        <w:t>П</w:t>
      </w:r>
      <w:r w:rsidR="009A0402" w:rsidRPr="004D40E7">
        <w:rPr>
          <w:rFonts w:asciiTheme="majorHAnsi" w:hAnsiTheme="majorHAnsi"/>
          <w:b/>
          <w:lang w:val="ru-MD"/>
        </w:rPr>
        <w:t xml:space="preserve">одразделением по </w:t>
      </w:r>
      <w:r w:rsidR="001B1DC9" w:rsidRPr="004D40E7">
        <w:rPr>
          <w:rFonts w:asciiTheme="majorHAnsi" w:hAnsiTheme="majorHAnsi"/>
          <w:b/>
          <w:lang w:val="ru-MD"/>
        </w:rPr>
        <w:t>внедрению</w:t>
      </w:r>
      <w:r w:rsidR="009A0402" w:rsidRPr="004D40E7">
        <w:rPr>
          <w:rFonts w:asciiTheme="majorHAnsi" w:hAnsiTheme="majorHAnsi"/>
          <w:b/>
          <w:lang w:val="ru-MD"/>
        </w:rPr>
        <w:t xml:space="preserve"> </w:t>
      </w:r>
      <w:r w:rsidR="001B1DC9" w:rsidRPr="004D40E7">
        <w:rPr>
          <w:rFonts w:asciiTheme="majorHAnsi" w:hAnsiTheme="majorHAnsi"/>
          <w:b/>
          <w:lang w:val="ru-MD"/>
        </w:rPr>
        <w:t>П</w:t>
      </w:r>
      <w:r w:rsidR="009A0402" w:rsidRPr="004D40E7">
        <w:rPr>
          <w:rFonts w:asciiTheme="majorHAnsi" w:hAnsiTheme="majorHAnsi"/>
          <w:b/>
          <w:lang w:val="ru-MD"/>
        </w:rPr>
        <w:t xml:space="preserve">роекта строительства жилья для социально уязвимых слоев </w:t>
      </w:r>
      <w:r w:rsidR="001B1DC9" w:rsidRPr="004D40E7">
        <w:rPr>
          <w:rFonts w:asciiTheme="majorHAnsi" w:hAnsiTheme="majorHAnsi"/>
          <w:b/>
          <w:lang w:val="ru-MD"/>
        </w:rPr>
        <w:t>населения</w:t>
      </w:r>
      <w:r w:rsidR="001B1DC9" w:rsidRPr="004D40E7">
        <w:rPr>
          <w:rFonts w:asciiTheme="majorHAnsi" w:hAnsiTheme="majorHAnsi"/>
          <w:lang w:val="ru-MD"/>
        </w:rPr>
        <w:t xml:space="preserve"> </w:t>
      </w:r>
      <w:r w:rsidR="009A0402" w:rsidRPr="004D40E7">
        <w:rPr>
          <w:rFonts w:asciiTheme="majorHAnsi" w:hAnsiTheme="majorHAnsi"/>
          <w:lang w:val="ru-MD"/>
        </w:rPr>
        <w:t xml:space="preserve">социальных квартир </w:t>
      </w:r>
      <w:r w:rsidR="001B1DC9" w:rsidRPr="004D40E7">
        <w:rPr>
          <w:rFonts w:asciiTheme="majorHAnsi" w:hAnsiTheme="majorHAnsi"/>
          <w:lang w:val="ru-MD"/>
        </w:rPr>
        <w:t>Р</w:t>
      </w:r>
      <w:r w:rsidR="009A0402" w:rsidRPr="004D40E7">
        <w:rPr>
          <w:rFonts w:asciiTheme="majorHAnsi" w:hAnsiTheme="majorHAnsi"/>
          <w:lang w:val="ru-MD"/>
        </w:rPr>
        <w:t xml:space="preserve">айонному </w:t>
      </w:r>
      <w:r w:rsidR="001B1DC9" w:rsidRPr="004D40E7">
        <w:rPr>
          <w:rFonts w:asciiTheme="majorHAnsi" w:hAnsiTheme="majorHAnsi"/>
          <w:lang w:val="ru-MD"/>
        </w:rPr>
        <w:t>с</w:t>
      </w:r>
      <w:r w:rsidR="009A0402" w:rsidRPr="004D40E7">
        <w:rPr>
          <w:rFonts w:asciiTheme="majorHAnsi" w:hAnsiTheme="majorHAnsi"/>
          <w:lang w:val="ru-MD"/>
        </w:rPr>
        <w:t>овету Яловень</w:t>
      </w:r>
      <w:r w:rsidR="00746F91">
        <w:rPr>
          <w:rFonts w:asciiTheme="majorHAnsi" w:hAnsiTheme="majorHAnsi"/>
          <w:lang w:val="ru-MD"/>
        </w:rPr>
        <w:t>,</w:t>
      </w:r>
      <w:r w:rsidR="009A0402" w:rsidRPr="004D40E7">
        <w:rPr>
          <w:rFonts w:asciiTheme="majorHAnsi" w:hAnsiTheme="majorHAnsi"/>
          <w:lang w:val="ru-MD"/>
        </w:rPr>
        <w:t xml:space="preserve"> в соответствии с положениями примен</w:t>
      </w:r>
      <w:r w:rsidR="004D40E7" w:rsidRPr="004D40E7">
        <w:rPr>
          <w:rFonts w:asciiTheme="majorHAnsi" w:hAnsiTheme="majorHAnsi"/>
          <w:lang w:val="ru-MD"/>
        </w:rPr>
        <w:t>яе</w:t>
      </w:r>
      <w:r w:rsidR="009A0402" w:rsidRPr="004D40E7">
        <w:rPr>
          <w:rFonts w:asciiTheme="majorHAnsi" w:hAnsiTheme="majorHAnsi"/>
          <w:lang w:val="ru-MD"/>
        </w:rPr>
        <w:t>мой нормативной баз</w:t>
      </w:r>
      <w:r w:rsidR="00746F91">
        <w:rPr>
          <w:rFonts w:asciiTheme="majorHAnsi" w:hAnsiTheme="majorHAnsi"/>
          <w:lang w:val="ru-MD"/>
        </w:rPr>
        <w:t>ы</w:t>
      </w:r>
      <w:r w:rsidR="0036239C" w:rsidRPr="004D40E7">
        <w:rPr>
          <w:rFonts w:asciiTheme="majorHAnsi" w:hAnsiTheme="majorHAnsi" w:cstheme="majorHAnsi"/>
          <w:lang w:val="ru-MD"/>
        </w:rPr>
        <w:t>.</w:t>
      </w:r>
    </w:p>
    <w:p w:rsidR="009E4B84" w:rsidRPr="00755D18" w:rsidRDefault="002D4DEF" w:rsidP="009E4B84">
      <w:pPr>
        <w:pStyle w:val="a4"/>
        <w:spacing w:after="240" w:line="276" w:lineRule="auto"/>
        <w:rPr>
          <w:rFonts w:asciiTheme="majorHAnsi" w:hAnsiTheme="majorHAnsi"/>
          <w:bCs/>
          <w:lang w:val="ro-MD"/>
        </w:rPr>
      </w:pPr>
      <w:r>
        <w:rPr>
          <w:rFonts w:asciiTheme="majorHAnsi" w:hAnsiTheme="majorHAnsi"/>
          <w:b/>
          <w:bCs/>
          <w:lang w:val="ro-RO"/>
        </w:rPr>
        <w:t>3</w:t>
      </w:r>
      <w:r w:rsidR="009E4B84" w:rsidRPr="00755D18">
        <w:rPr>
          <w:rFonts w:asciiTheme="majorHAnsi" w:hAnsiTheme="majorHAnsi"/>
          <w:b/>
          <w:bCs/>
          <w:lang w:val="ro-RO"/>
        </w:rPr>
        <w:t>.</w:t>
      </w:r>
      <w:r w:rsidR="009E4B84" w:rsidRPr="00755D18">
        <w:rPr>
          <w:rFonts w:asciiTheme="majorHAnsi" w:hAnsiTheme="majorHAnsi"/>
          <w:bCs/>
          <w:lang w:val="ro-RO"/>
        </w:rPr>
        <w:t xml:space="preserve"> </w:t>
      </w:r>
      <w:r w:rsidR="00C60AC0" w:rsidRPr="009A0402">
        <w:rPr>
          <w:rFonts w:asciiTheme="majorHAnsi" w:hAnsiTheme="majorHAnsi"/>
          <w:bCs/>
          <w:lang w:val="ru-MD"/>
        </w:rPr>
        <w:t xml:space="preserve">Уполномочить Вице-Председателя Счетной палаты правом подписания Письма к руководству </w:t>
      </w:r>
      <w:r w:rsidR="00C60AC0" w:rsidRPr="009A0402">
        <w:rPr>
          <w:rFonts w:asciiTheme="majorHAnsi" w:hAnsiTheme="majorHAnsi" w:cstheme="majorHAnsi"/>
          <w:lang w:val="ru-MD"/>
        </w:rPr>
        <w:t>Министерства инфраструктуры и регионального развития</w:t>
      </w:r>
      <w:r w:rsidR="009E4B84" w:rsidRPr="00B63CED">
        <w:rPr>
          <w:rFonts w:asciiTheme="majorHAnsi" w:hAnsiTheme="majorHAnsi"/>
          <w:bCs/>
          <w:lang w:val="ro-MD"/>
        </w:rPr>
        <w:t>.</w:t>
      </w:r>
    </w:p>
    <w:p w:rsidR="009E4B84" w:rsidRDefault="00505A80" w:rsidP="009E4B84">
      <w:pPr>
        <w:pStyle w:val="a4"/>
        <w:spacing w:after="240" w:line="276" w:lineRule="auto"/>
        <w:rPr>
          <w:rFonts w:asciiTheme="majorHAnsi" w:hAnsiTheme="majorHAnsi" w:cstheme="majorHAnsi"/>
          <w:lang w:val="ro-MD"/>
        </w:rPr>
      </w:pPr>
      <w:r>
        <w:rPr>
          <w:rFonts w:asciiTheme="majorHAnsi" w:hAnsiTheme="majorHAnsi"/>
          <w:b/>
          <w:bCs/>
          <w:lang w:val="ro-MD"/>
        </w:rPr>
        <w:t>4</w:t>
      </w:r>
      <w:r w:rsidR="009E4B84" w:rsidRPr="00755D18">
        <w:rPr>
          <w:rFonts w:asciiTheme="majorHAnsi" w:eastAsiaTheme="minorHAnsi" w:hAnsiTheme="majorHAnsi" w:cstheme="minorBidi"/>
          <w:bCs/>
          <w:lang w:val="ro-MD"/>
        </w:rPr>
        <w:t xml:space="preserve">. </w:t>
      </w:r>
      <w:r w:rsidR="00C60AC0" w:rsidRPr="00702059">
        <w:rPr>
          <w:rFonts w:ascii="Calibri Light" w:hAnsi="Calibri Light" w:cs="Calibri Light"/>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E4B84" w:rsidRPr="00755D18">
        <w:rPr>
          <w:rFonts w:asciiTheme="majorHAnsi" w:hAnsiTheme="majorHAnsi" w:cstheme="majorHAnsi"/>
          <w:lang w:val="ro-MD"/>
        </w:rPr>
        <w:t>.</w:t>
      </w:r>
      <w:r w:rsidR="008340AE">
        <w:rPr>
          <w:rFonts w:asciiTheme="majorHAnsi" w:hAnsiTheme="majorHAnsi" w:cstheme="majorHAnsi"/>
          <w:lang w:val="ro-MD"/>
        </w:rPr>
        <w:t xml:space="preserve"> </w:t>
      </w:r>
    </w:p>
    <w:p w:rsidR="003D2BE5" w:rsidRPr="009A0402" w:rsidRDefault="00505A80" w:rsidP="009E4B84">
      <w:pPr>
        <w:pStyle w:val="a4"/>
        <w:spacing w:after="240" w:line="276" w:lineRule="auto"/>
        <w:rPr>
          <w:rFonts w:asciiTheme="majorHAnsi" w:hAnsiTheme="majorHAnsi" w:cstheme="majorHAnsi"/>
          <w:lang w:val="ru-MD"/>
        </w:rPr>
      </w:pPr>
      <w:r>
        <w:rPr>
          <w:rFonts w:asciiTheme="majorHAnsi" w:hAnsiTheme="majorHAnsi" w:cstheme="majorHAnsi"/>
          <w:b/>
          <w:lang w:val="ro-MD"/>
        </w:rPr>
        <w:t>5</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C60AC0" w:rsidRPr="009A0402">
        <w:rPr>
          <w:rFonts w:asciiTheme="majorHAnsi" w:hAnsiTheme="majorHAnsi" w:cstheme="majorHAnsi"/>
          <w:bCs/>
          <w:lang w:val="ru-MD"/>
        </w:rPr>
        <w:t>О принятых мерах по выполнению подпункт</w:t>
      </w:r>
      <w:r w:rsidR="009F5DA1" w:rsidRPr="009A0402">
        <w:rPr>
          <w:rFonts w:asciiTheme="majorHAnsi" w:hAnsiTheme="majorHAnsi" w:cstheme="majorHAnsi"/>
          <w:bCs/>
          <w:lang w:val="ru-MD"/>
        </w:rPr>
        <w:t>ов</w:t>
      </w:r>
      <w:r w:rsidR="00C60AC0" w:rsidRPr="009A0402">
        <w:rPr>
          <w:rFonts w:asciiTheme="majorHAnsi" w:hAnsiTheme="majorHAnsi" w:cstheme="majorHAnsi"/>
          <w:bCs/>
          <w:lang w:val="ru-MD"/>
        </w:rPr>
        <w:t xml:space="preserve"> </w:t>
      </w:r>
      <w:r w:rsidR="009F5DA1" w:rsidRPr="009A0402">
        <w:rPr>
          <w:rFonts w:ascii="Calibri Light" w:hAnsi="Calibri Light" w:cs="Calibri Light"/>
          <w:noProof/>
          <w:lang w:val="ru-MD"/>
        </w:rPr>
        <w:t xml:space="preserve">2.4.1.; 2.4.2. и 2.4.3. </w:t>
      </w:r>
      <w:r w:rsidR="00C60AC0" w:rsidRPr="009A0402">
        <w:rPr>
          <w:rFonts w:asciiTheme="majorHAnsi" w:hAnsiTheme="majorHAnsi" w:cstheme="majorHAnsi"/>
          <w:bCs/>
          <w:lang w:val="ru-MD"/>
        </w:rPr>
        <w:t xml:space="preserve"> настоящего Постановления проинформировать Счетную палату в течение 6 месяцев со дня опубликования Постановления в Официальном мониторе Республики Молдова</w:t>
      </w:r>
      <w:r w:rsidR="003D2BE5" w:rsidRPr="009A0402">
        <w:rPr>
          <w:rFonts w:ascii="Calibri Light" w:hAnsi="Calibri Light" w:cs="Calibri Light"/>
          <w:noProof/>
          <w:lang w:val="ru-MD"/>
        </w:rPr>
        <w:t>.</w:t>
      </w:r>
    </w:p>
    <w:p w:rsidR="009E4B84" w:rsidRPr="009A0402" w:rsidRDefault="00505A80" w:rsidP="009E4B84">
      <w:pPr>
        <w:spacing w:after="0" w:line="276" w:lineRule="auto"/>
        <w:ind w:firstLine="567"/>
        <w:jc w:val="both"/>
        <w:rPr>
          <w:rFonts w:asciiTheme="majorHAnsi" w:hAnsiTheme="majorHAnsi"/>
          <w:bCs/>
          <w:sz w:val="24"/>
          <w:szCs w:val="24"/>
          <w:lang w:val="ru-MD"/>
        </w:rPr>
      </w:pPr>
      <w:r w:rsidRPr="009A0402">
        <w:rPr>
          <w:rFonts w:asciiTheme="majorHAnsi" w:hAnsiTheme="majorHAnsi"/>
          <w:b/>
          <w:bCs/>
          <w:sz w:val="24"/>
          <w:szCs w:val="24"/>
          <w:lang w:val="ru-MD"/>
        </w:rPr>
        <w:t>6</w:t>
      </w:r>
      <w:r w:rsidR="009E4B84" w:rsidRPr="009A0402">
        <w:rPr>
          <w:rFonts w:asciiTheme="majorHAnsi" w:hAnsiTheme="majorHAnsi"/>
          <w:b/>
          <w:bCs/>
          <w:sz w:val="24"/>
          <w:szCs w:val="24"/>
          <w:lang w:val="ru-MD"/>
        </w:rPr>
        <w:t>.</w:t>
      </w:r>
      <w:r w:rsidR="001376A5" w:rsidRPr="009A0402">
        <w:rPr>
          <w:rFonts w:asciiTheme="majorHAnsi" w:eastAsia="Times New Roman" w:hAnsiTheme="majorHAnsi" w:cs="Times New Roman"/>
          <w:sz w:val="28"/>
          <w:szCs w:val="28"/>
          <w:lang w:val="ru-MD" w:eastAsia="ro-MD"/>
        </w:rPr>
        <w:t xml:space="preserve"> </w:t>
      </w:r>
      <w:r w:rsidR="002F3981" w:rsidRPr="009A0402">
        <w:rPr>
          <w:rFonts w:asciiTheme="majorHAnsi" w:eastAsia="Times New Roman" w:hAnsiTheme="majorHAnsi" w:cs="Times New Roman"/>
          <w:sz w:val="24"/>
          <w:szCs w:val="24"/>
          <w:lang w:val="ru-MD" w:eastAsia="ro-MD"/>
        </w:rPr>
        <w:t xml:space="preserve">Принять к сведению, что в ходе </w:t>
      </w:r>
      <w:r w:rsidR="009F5DA1" w:rsidRPr="009A0402">
        <w:rPr>
          <w:rFonts w:asciiTheme="majorHAnsi" w:eastAsia="Times New Roman" w:hAnsiTheme="majorHAnsi" w:cs="Times New Roman"/>
          <w:sz w:val="24"/>
          <w:szCs w:val="24"/>
          <w:lang w:val="ru-MD" w:eastAsia="ro-MD"/>
        </w:rPr>
        <w:t>провед</w:t>
      </w:r>
      <w:r w:rsidR="002F3981" w:rsidRPr="009A0402">
        <w:rPr>
          <w:rFonts w:asciiTheme="majorHAnsi" w:eastAsia="Times New Roman" w:hAnsiTheme="majorHAnsi" w:cs="Times New Roman"/>
          <w:sz w:val="24"/>
          <w:szCs w:val="24"/>
          <w:lang w:val="ru-MD" w:eastAsia="ro-MD"/>
        </w:rPr>
        <w:t>ения аудиторской миссии Министерство инфраструктуры и регионального развития</w:t>
      </w:r>
      <w:r w:rsidR="009F5DA1" w:rsidRPr="009A0402">
        <w:rPr>
          <w:rFonts w:asciiTheme="majorHAnsi" w:eastAsia="Times New Roman" w:hAnsiTheme="majorHAnsi" w:cs="Times New Roman"/>
          <w:sz w:val="24"/>
          <w:szCs w:val="24"/>
          <w:lang w:val="ru-MD" w:eastAsia="ro-MD"/>
        </w:rPr>
        <w:t>,</w:t>
      </w:r>
      <w:r w:rsidR="002F3981" w:rsidRPr="009A0402">
        <w:rPr>
          <w:rFonts w:asciiTheme="majorHAnsi" w:eastAsia="Times New Roman" w:hAnsiTheme="majorHAnsi" w:cs="Times New Roman"/>
          <w:sz w:val="24"/>
          <w:szCs w:val="24"/>
          <w:lang w:val="ru-MD" w:eastAsia="ro-MD"/>
        </w:rPr>
        <w:t xml:space="preserve"> совместно с под</w:t>
      </w:r>
      <w:r w:rsidR="009F5DA1" w:rsidRPr="009A0402">
        <w:rPr>
          <w:rFonts w:asciiTheme="majorHAnsi" w:eastAsia="Times New Roman" w:hAnsiTheme="majorHAnsi" w:cs="Times New Roman"/>
          <w:sz w:val="24"/>
          <w:szCs w:val="24"/>
          <w:lang w:val="ru-MD" w:eastAsia="ro-MD"/>
        </w:rPr>
        <w:t>ведомств</w:t>
      </w:r>
      <w:r w:rsidR="002F3981" w:rsidRPr="009A0402">
        <w:rPr>
          <w:rFonts w:asciiTheme="majorHAnsi" w:eastAsia="Times New Roman" w:hAnsiTheme="majorHAnsi" w:cs="Times New Roman"/>
          <w:sz w:val="24"/>
          <w:szCs w:val="24"/>
          <w:lang w:val="ru-MD" w:eastAsia="ro-MD"/>
        </w:rPr>
        <w:t xml:space="preserve">енными </w:t>
      </w:r>
      <w:r w:rsidR="009F5DA1" w:rsidRPr="009A0402">
        <w:rPr>
          <w:rFonts w:asciiTheme="majorHAnsi" w:eastAsia="Times New Roman" w:hAnsiTheme="majorHAnsi" w:cs="Times New Roman"/>
          <w:sz w:val="24"/>
          <w:szCs w:val="24"/>
          <w:lang w:val="ru-MD" w:eastAsia="ro-MD"/>
        </w:rPr>
        <w:t>учрежден</w:t>
      </w:r>
      <w:r w:rsidR="002F3981" w:rsidRPr="009A0402">
        <w:rPr>
          <w:rFonts w:asciiTheme="majorHAnsi" w:eastAsia="Times New Roman" w:hAnsiTheme="majorHAnsi" w:cs="Times New Roman"/>
          <w:sz w:val="24"/>
          <w:szCs w:val="24"/>
          <w:lang w:val="ru-MD" w:eastAsia="ro-MD"/>
        </w:rPr>
        <w:t>иями</w:t>
      </w:r>
      <w:r w:rsidR="009F5DA1" w:rsidRPr="009A0402">
        <w:rPr>
          <w:rFonts w:asciiTheme="majorHAnsi" w:eastAsia="Times New Roman" w:hAnsiTheme="majorHAnsi" w:cs="Times New Roman"/>
          <w:sz w:val="24"/>
          <w:szCs w:val="24"/>
          <w:lang w:val="ru-MD" w:eastAsia="ro-MD"/>
        </w:rPr>
        <w:t>,</w:t>
      </w:r>
      <w:r w:rsidR="002F3981" w:rsidRPr="009A0402">
        <w:rPr>
          <w:rFonts w:asciiTheme="majorHAnsi" w:eastAsia="Times New Roman" w:hAnsiTheme="majorHAnsi" w:cs="Times New Roman"/>
          <w:sz w:val="24"/>
          <w:szCs w:val="24"/>
          <w:lang w:val="ru-MD" w:eastAsia="ro-MD"/>
        </w:rPr>
        <w:t xml:space="preserve"> обеспечил</w:t>
      </w:r>
      <w:r w:rsidR="008F40FE">
        <w:rPr>
          <w:rFonts w:asciiTheme="majorHAnsi" w:eastAsia="Times New Roman" w:hAnsiTheme="majorHAnsi" w:cs="Times New Roman"/>
          <w:sz w:val="24"/>
          <w:szCs w:val="24"/>
          <w:lang w:val="ru-MD" w:eastAsia="ro-MD"/>
        </w:rPr>
        <w:t>и</w:t>
      </w:r>
      <w:r w:rsidR="002F3981" w:rsidRPr="009A0402">
        <w:rPr>
          <w:rFonts w:asciiTheme="majorHAnsi" w:eastAsia="Times New Roman" w:hAnsiTheme="majorHAnsi" w:cs="Times New Roman"/>
          <w:sz w:val="24"/>
          <w:szCs w:val="24"/>
          <w:lang w:val="ru-MD" w:eastAsia="ro-MD"/>
        </w:rPr>
        <w:t xml:space="preserve"> надлежащий учет: i) расходов</w:t>
      </w:r>
      <w:r w:rsidR="008F40FE">
        <w:rPr>
          <w:rFonts w:asciiTheme="majorHAnsi" w:eastAsia="Times New Roman" w:hAnsiTheme="majorHAnsi" w:cs="Times New Roman"/>
          <w:sz w:val="24"/>
          <w:szCs w:val="24"/>
          <w:lang w:val="ru-MD" w:eastAsia="ro-MD"/>
        </w:rPr>
        <w:t>, связанных с</w:t>
      </w:r>
      <w:r w:rsidR="002F3981" w:rsidRPr="009A0402">
        <w:rPr>
          <w:rFonts w:asciiTheme="majorHAnsi" w:eastAsia="Times New Roman" w:hAnsiTheme="majorHAnsi" w:cs="Times New Roman"/>
          <w:sz w:val="24"/>
          <w:szCs w:val="24"/>
          <w:lang w:val="ru-MD" w:eastAsia="ro-MD"/>
        </w:rPr>
        <w:t xml:space="preserve"> признание</w:t>
      </w:r>
      <w:r w:rsidR="008F40FE">
        <w:rPr>
          <w:rFonts w:asciiTheme="majorHAnsi" w:eastAsia="Times New Roman" w:hAnsiTheme="majorHAnsi" w:cs="Times New Roman"/>
          <w:sz w:val="24"/>
          <w:szCs w:val="24"/>
          <w:lang w:val="ru-MD" w:eastAsia="ro-MD"/>
        </w:rPr>
        <w:t>м</w:t>
      </w:r>
      <w:r w:rsidR="002F3981" w:rsidRPr="009A0402">
        <w:rPr>
          <w:rFonts w:asciiTheme="majorHAnsi" w:eastAsia="Times New Roman" w:hAnsiTheme="majorHAnsi" w:cs="Times New Roman"/>
          <w:sz w:val="24"/>
          <w:szCs w:val="24"/>
          <w:lang w:val="ru-MD" w:eastAsia="ro-MD"/>
        </w:rPr>
        <w:t xml:space="preserve"> </w:t>
      </w:r>
      <w:r w:rsidR="009F5DA1" w:rsidRPr="009A0402">
        <w:rPr>
          <w:rFonts w:asciiTheme="majorHAnsi" w:eastAsia="Times New Roman" w:hAnsiTheme="majorHAnsi" w:cs="Times New Roman"/>
          <w:sz w:val="24"/>
          <w:szCs w:val="24"/>
          <w:lang w:val="ru-MD" w:eastAsia="ro-MD"/>
        </w:rPr>
        <w:t>И</w:t>
      </w:r>
      <w:r w:rsidR="002F3981" w:rsidRPr="009A0402">
        <w:rPr>
          <w:rFonts w:asciiTheme="majorHAnsi" w:eastAsia="Times New Roman" w:hAnsiTheme="majorHAnsi" w:cs="Times New Roman"/>
          <w:sz w:val="24"/>
          <w:szCs w:val="24"/>
          <w:lang w:val="ru-MD" w:eastAsia="ro-MD"/>
        </w:rPr>
        <w:t xml:space="preserve">ностранного арбитражного решения о взыскании </w:t>
      </w:r>
      <w:r w:rsidR="009F5DA1" w:rsidRPr="009A0402">
        <w:rPr>
          <w:rFonts w:asciiTheme="majorHAnsi" w:eastAsia="Times New Roman" w:hAnsiTheme="majorHAnsi" w:cs="Times New Roman"/>
          <w:sz w:val="24"/>
          <w:szCs w:val="24"/>
          <w:lang w:val="ru-MD" w:eastAsia="ro-MD"/>
        </w:rPr>
        <w:t>пеней</w:t>
      </w:r>
      <w:r w:rsidR="002F3981" w:rsidRPr="009A0402">
        <w:rPr>
          <w:rFonts w:asciiTheme="majorHAnsi" w:eastAsia="Times New Roman" w:hAnsiTheme="majorHAnsi" w:cs="Times New Roman"/>
          <w:sz w:val="24"/>
          <w:szCs w:val="24"/>
          <w:lang w:val="ru-MD" w:eastAsia="ro-MD"/>
        </w:rPr>
        <w:t xml:space="preserve"> и процентов (73,9 млн. ле</w:t>
      </w:r>
      <w:r w:rsidR="009F5DA1" w:rsidRPr="009A0402">
        <w:rPr>
          <w:rFonts w:asciiTheme="majorHAnsi" w:eastAsia="Times New Roman" w:hAnsiTheme="majorHAnsi" w:cs="Times New Roman"/>
          <w:sz w:val="24"/>
          <w:szCs w:val="24"/>
          <w:lang w:val="ru-MD" w:eastAsia="ro-MD"/>
        </w:rPr>
        <w:t>ев</w:t>
      </w:r>
      <w:r w:rsidR="002F3981" w:rsidRPr="009A0402">
        <w:rPr>
          <w:rFonts w:asciiTheme="majorHAnsi" w:eastAsia="Times New Roman" w:hAnsiTheme="majorHAnsi" w:cs="Times New Roman"/>
          <w:sz w:val="24"/>
          <w:szCs w:val="24"/>
          <w:lang w:val="ru-MD" w:eastAsia="ro-MD"/>
        </w:rPr>
        <w:t>); ii) долг</w:t>
      </w:r>
      <w:r w:rsidR="009F5DA1" w:rsidRPr="009A0402">
        <w:rPr>
          <w:rFonts w:asciiTheme="majorHAnsi" w:eastAsia="Times New Roman" w:hAnsiTheme="majorHAnsi" w:cs="Times New Roman"/>
          <w:sz w:val="24"/>
          <w:szCs w:val="24"/>
          <w:lang w:val="ru-MD" w:eastAsia="ro-MD"/>
        </w:rPr>
        <w:t>а</w:t>
      </w:r>
      <w:r w:rsidR="002F3981" w:rsidRPr="009A0402">
        <w:rPr>
          <w:rFonts w:asciiTheme="majorHAnsi" w:eastAsia="Times New Roman" w:hAnsiTheme="majorHAnsi" w:cs="Times New Roman"/>
          <w:sz w:val="24"/>
          <w:szCs w:val="24"/>
          <w:lang w:val="ru-MD" w:eastAsia="ro-MD"/>
        </w:rPr>
        <w:t xml:space="preserve"> перед п</w:t>
      </w:r>
      <w:r w:rsidR="009F5DA1" w:rsidRPr="009A0402">
        <w:rPr>
          <w:rFonts w:asciiTheme="majorHAnsi" w:eastAsia="Times New Roman" w:hAnsiTheme="majorHAnsi" w:cs="Times New Roman"/>
          <w:sz w:val="24"/>
          <w:szCs w:val="24"/>
          <w:lang w:val="ru-MD" w:eastAsia="ro-MD"/>
        </w:rPr>
        <w:t>одрядчико</w:t>
      </w:r>
      <w:r w:rsidR="002F3981" w:rsidRPr="009A0402">
        <w:rPr>
          <w:rFonts w:asciiTheme="majorHAnsi" w:eastAsia="Times New Roman" w:hAnsiTheme="majorHAnsi" w:cs="Times New Roman"/>
          <w:sz w:val="24"/>
          <w:szCs w:val="24"/>
          <w:lang w:val="ru-MD" w:eastAsia="ro-MD"/>
        </w:rPr>
        <w:t xml:space="preserve">м (70,6 млн. </w:t>
      </w:r>
      <w:r w:rsidR="009F5DA1" w:rsidRPr="009A0402">
        <w:rPr>
          <w:rFonts w:asciiTheme="majorHAnsi" w:eastAsia="Times New Roman" w:hAnsiTheme="majorHAnsi" w:cs="Times New Roman"/>
          <w:sz w:val="24"/>
          <w:szCs w:val="24"/>
          <w:lang w:val="ru-MD" w:eastAsia="ro-MD"/>
        </w:rPr>
        <w:t>леев</w:t>
      </w:r>
      <w:r w:rsidR="002F3981" w:rsidRPr="009A0402">
        <w:rPr>
          <w:rFonts w:asciiTheme="majorHAnsi" w:eastAsia="Times New Roman" w:hAnsiTheme="majorHAnsi" w:cs="Times New Roman"/>
          <w:sz w:val="24"/>
          <w:szCs w:val="24"/>
          <w:lang w:val="ru-MD" w:eastAsia="ro-MD"/>
        </w:rPr>
        <w:t xml:space="preserve">); iii) </w:t>
      </w:r>
      <w:r w:rsidR="009F5DA1" w:rsidRPr="009A0402">
        <w:rPr>
          <w:rFonts w:asciiTheme="majorHAnsi" w:eastAsia="Times New Roman" w:hAnsiTheme="majorHAnsi" w:cs="Times New Roman"/>
          <w:sz w:val="24"/>
          <w:szCs w:val="24"/>
          <w:lang w:val="ru-MD" w:eastAsia="ro-MD"/>
        </w:rPr>
        <w:t>Т</w:t>
      </w:r>
      <w:r w:rsidR="002F3981" w:rsidRPr="009A0402">
        <w:rPr>
          <w:rFonts w:asciiTheme="majorHAnsi" w:eastAsia="Times New Roman" w:hAnsiTheme="majorHAnsi" w:cs="Times New Roman"/>
          <w:sz w:val="24"/>
          <w:szCs w:val="24"/>
          <w:lang w:val="ru-MD" w:eastAsia="ro-MD"/>
        </w:rPr>
        <w:t>ехническ</w:t>
      </w:r>
      <w:r w:rsidR="009F5DA1" w:rsidRPr="009A0402">
        <w:rPr>
          <w:rFonts w:asciiTheme="majorHAnsi" w:eastAsia="Times New Roman" w:hAnsiTheme="majorHAnsi" w:cs="Times New Roman"/>
          <w:sz w:val="24"/>
          <w:szCs w:val="24"/>
          <w:lang w:val="ru-MD" w:eastAsia="ro-MD"/>
        </w:rPr>
        <w:t>ого</w:t>
      </w:r>
      <w:r w:rsidR="002F3981" w:rsidRPr="009A0402">
        <w:rPr>
          <w:rFonts w:asciiTheme="majorHAnsi" w:eastAsia="Times New Roman" w:hAnsiTheme="majorHAnsi" w:cs="Times New Roman"/>
          <w:sz w:val="24"/>
          <w:szCs w:val="24"/>
          <w:lang w:val="ru-MD" w:eastAsia="ro-MD"/>
        </w:rPr>
        <w:t xml:space="preserve"> проект</w:t>
      </w:r>
      <w:r w:rsidR="009F5DA1" w:rsidRPr="009A0402">
        <w:rPr>
          <w:rFonts w:asciiTheme="majorHAnsi" w:eastAsia="Times New Roman" w:hAnsiTheme="majorHAnsi" w:cs="Times New Roman"/>
          <w:sz w:val="24"/>
          <w:szCs w:val="24"/>
          <w:lang w:val="ru-MD" w:eastAsia="ro-MD"/>
        </w:rPr>
        <w:t>а</w:t>
      </w:r>
      <w:r w:rsidR="002F3981" w:rsidRPr="009A0402">
        <w:rPr>
          <w:rFonts w:asciiTheme="majorHAnsi" w:eastAsia="Times New Roman" w:hAnsiTheme="majorHAnsi" w:cs="Times New Roman"/>
          <w:sz w:val="24"/>
          <w:szCs w:val="24"/>
          <w:lang w:val="ru-MD" w:eastAsia="ro-MD"/>
        </w:rPr>
        <w:t xml:space="preserve"> </w:t>
      </w:r>
      <w:r w:rsidR="009F5DA1" w:rsidRPr="009A0402">
        <w:rPr>
          <w:rFonts w:asciiTheme="majorHAnsi" w:hAnsiTheme="majorHAnsi" w:cstheme="majorHAnsi"/>
          <w:sz w:val="24"/>
          <w:szCs w:val="24"/>
          <w:lang w:val="ru-MD"/>
        </w:rPr>
        <w:t>„</w:t>
      </w:r>
      <w:r w:rsidR="009A0402" w:rsidRPr="009A0402">
        <w:rPr>
          <w:rFonts w:asciiTheme="majorHAnsi" w:hAnsiTheme="majorHAnsi" w:cstheme="majorHAnsi"/>
          <w:sz w:val="24"/>
          <w:szCs w:val="24"/>
          <w:lang w:val="ru-MD"/>
        </w:rPr>
        <w:t>Т</w:t>
      </w:r>
      <w:r w:rsidR="002F3981" w:rsidRPr="009A0402">
        <w:rPr>
          <w:rFonts w:asciiTheme="majorHAnsi" w:eastAsia="Times New Roman" w:hAnsiTheme="majorHAnsi" w:cs="Times New Roman"/>
          <w:sz w:val="24"/>
          <w:szCs w:val="24"/>
          <w:lang w:val="ru-MD" w:eastAsia="ro-MD"/>
        </w:rPr>
        <w:t xml:space="preserve">рубопровод для </w:t>
      </w:r>
      <w:r w:rsidR="009A0402" w:rsidRPr="009A0402">
        <w:rPr>
          <w:rFonts w:asciiTheme="majorHAnsi" w:eastAsia="Times New Roman" w:hAnsiTheme="majorHAnsi" w:cs="Times New Roman"/>
          <w:sz w:val="24"/>
          <w:szCs w:val="24"/>
          <w:lang w:val="ru-MD" w:eastAsia="ro-MD"/>
        </w:rPr>
        <w:t>взаимоподключ</w:t>
      </w:r>
      <w:r w:rsidR="002F3981" w:rsidRPr="009A0402">
        <w:rPr>
          <w:rFonts w:asciiTheme="majorHAnsi" w:eastAsia="Times New Roman" w:hAnsiTheme="majorHAnsi" w:cs="Times New Roman"/>
          <w:sz w:val="24"/>
          <w:szCs w:val="24"/>
          <w:lang w:val="ru-MD" w:eastAsia="ro-MD"/>
        </w:rPr>
        <w:t xml:space="preserve">ения </w:t>
      </w:r>
      <w:r w:rsidR="009A0402" w:rsidRPr="009A0402">
        <w:rPr>
          <w:rFonts w:asciiTheme="majorHAnsi" w:eastAsia="Times New Roman" w:hAnsiTheme="majorHAnsi" w:cs="Times New Roman"/>
          <w:sz w:val="24"/>
          <w:szCs w:val="24"/>
          <w:lang w:val="ru-MD" w:eastAsia="ro-MD"/>
        </w:rPr>
        <w:t>С</w:t>
      </w:r>
      <w:r w:rsidR="002F3981" w:rsidRPr="009A0402">
        <w:rPr>
          <w:rFonts w:asciiTheme="majorHAnsi" w:eastAsia="Times New Roman" w:hAnsiTheme="majorHAnsi" w:cs="Times New Roman"/>
          <w:sz w:val="24"/>
          <w:szCs w:val="24"/>
          <w:lang w:val="ru-MD" w:eastAsia="ro-MD"/>
        </w:rPr>
        <w:t xml:space="preserve">истемы транспортировки природного газа из Румынии с </w:t>
      </w:r>
      <w:r w:rsidR="009A0402" w:rsidRPr="009A0402">
        <w:rPr>
          <w:rFonts w:asciiTheme="majorHAnsi" w:eastAsia="Times New Roman" w:hAnsiTheme="majorHAnsi" w:cs="Times New Roman"/>
          <w:sz w:val="24"/>
          <w:szCs w:val="24"/>
          <w:lang w:val="ru-MD" w:eastAsia="ro-MD"/>
        </w:rPr>
        <w:t>С</w:t>
      </w:r>
      <w:r w:rsidR="002F3981" w:rsidRPr="009A0402">
        <w:rPr>
          <w:rFonts w:asciiTheme="majorHAnsi" w:eastAsia="Times New Roman" w:hAnsiTheme="majorHAnsi" w:cs="Times New Roman"/>
          <w:sz w:val="24"/>
          <w:szCs w:val="24"/>
          <w:lang w:val="ru-MD" w:eastAsia="ro-MD"/>
        </w:rPr>
        <w:t xml:space="preserve">истемой транспортировки природного газа из Республики Молдова, </w:t>
      </w:r>
      <w:r w:rsidR="009A0402" w:rsidRPr="009A0402">
        <w:rPr>
          <w:rFonts w:asciiTheme="majorHAnsi" w:eastAsia="Times New Roman" w:hAnsiTheme="majorHAnsi" w:cs="Times New Roman"/>
          <w:sz w:val="24"/>
          <w:szCs w:val="24"/>
          <w:lang w:val="ru-MD" w:eastAsia="ro-MD"/>
        </w:rPr>
        <w:t xml:space="preserve">II </w:t>
      </w:r>
      <w:r w:rsidR="002F3981" w:rsidRPr="009A0402">
        <w:rPr>
          <w:rFonts w:asciiTheme="majorHAnsi" w:eastAsia="Times New Roman" w:hAnsiTheme="majorHAnsi" w:cs="Times New Roman"/>
          <w:sz w:val="24"/>
          <w:szCs w:val="24"/>
          <w:lang w:val="ru-MD" w:eastAsia="ro-MD"/>
        </w:rPr>
        <w:t>этап, по направлению Унгень-Кишин</w:t>
      </w:r>
      <w:r w:rsidR="009A0402" w:rsidRPr="009A0402">
        <w:rPr>
          <w:rFonts w:asciiTheme="majorHAnsi" w:eastAsia="Times New Roman" w:hAnsiTheme="majorHAnsi" w:cs="Times New Roman"/>
          <w:sz w:val="24"/>
          <w:szCs w:val="24"/>
          <w:lang w:val="ru-MD" w:eastAsia="ro-MD"/>
        </w:rPr>
        <w:t>эу</w:t>
      </w:r>
      <w:r w:rsidR="002F3981" w:rsidRPr="009A0402">
        <w:rPr>
          <w:rFonts w:asciiTheme="majorHAnsi" w:eastAsia="Times New Roman" w:hAnsiTheme="majorHAnsi" w:cs="Times New Roman"/>
          <w:sz w:val="24"/>
          <w:szCs w:val="24"/>
          <w:lang w:val="ru-MD" w:eastAsia="ro-MD"/>
        </w:rPr>
        <w:t>”11,7 млн. ле</w:t>
      </w:r>
      <w:r w:rsidR="009A0402" w:rsidRPr="009A0402">
        <w:rPr>
          <w:rFonts w:asciiTheme="majorHAnsi" w:eastAsia="Times New Roman" w:hAnsiTheme="majorHAnsi" w:cs="Times New Roman"/>
          <w:sz w:val="24"/>
          <w:szCs w:val="24"/>
          <w:lang w:val="ru-MD" w:eastAsia="ro-MD"/>
        </w:rPr>
        <w:t>ев</w:t>
      </w:r>
      <w:r w:rsidR="002F3981" w:rsidRPr="009A0402">
        <w:rPr>
          <w:rFonts w:asciiTheme="majorHAnsi" w:eastAsia="Times New Roman" w:hAnsiTheme="majorHAnsi" w:cs="Times New Roman"/>
          <w:sz w:val="24"/>
          <w:szCs w:val="24"/>
          <w:lang w:val="ru-MD" w:eastAsia="ro-MD"/>
        </w:rPr>
        <w:t xml:space="preserve">); iv) </w:t>
      </w:r>
      <w:r w:rsidR="009A0402" w:rsidRPr="009A0402">
        <w:rPr>
          <w:rFonts w:asciiTheme="majorHAnsi" w:eastAsia="Times New Roman" w:hAnsiTheme="majorHAnsi" w:cs="Times New Roman"/>
          <w:sz w:val="24"/>
          <w:szCs w:val="24"/>
          <w:lang w:val="ru-MD" w:eastAsia="ro-MD"/>
        </w:rPr>
        <w:t>обязательств и долгов</w:t>
      </w:r>
      <w:r w:rsidR="002F3981" w:rsidRPr="009A0402">
        <w:rPr>
          <w:rFonts w:asciiTheme="majorHAnsi" w:eastAsia="Times New Roman" w:hAnsiTheme="majorHAnsi" w:cs="Times New Roman"/>
          <w:sz w:val="24"/>
          <w:szCs w:val="24"/>
          <w:lang w:val="ru-MD" w:eastAsia="ro-MD"/>
        </w:rPr>
        <w:t xml:space="preserve"> по </w:t>
      </w:r>
      <w:r w:rsidR="009A0402" w:rsidRPr="009A0402">
        <w:rPr>
          <w:rFonts w:asciiTheme="majorHAnsi" w:eastAsia="Times New Roman" w:hAnsiTheme="majorHAnsi" w:cs="Times New Roman"/>
          <w:sz w:val="24"/>
          <w:szCs w:val="24"/>
          <w:lang w:val="ru-MD" w:eastAsia="ro-MD"/>
        </w:rPr>
        <w:t>П</w:t>
      </w:r>
      <w:r w:rsidR="002F3981" w:rsidRPr="009A0402">
        <w:rPr>
          <w:rFonts w:asciiTheme="majorHAnsi" w:eastAsia="Times New Roman" w:hAnsiTheme="majorHAnsi" w:cs="Times New Roman"/>
          <w:sz w:val="24"/>
          <w:szCs w:val="24"/>
          <w:lang w:val="ru-MD" w:eastAsia="ro-MD"/>
        </w:rPr>
        <w:t xml:space="preserve">роекту </w:t>
      </w:r>
      <w:r w:rsidR="009A0402" w:rsidRPr="009A0402">
        <w:rPr>
          <w:rFonts w:asciiTheme="majorHAnsi" w:hAnsiTheme="majorHAnsi" w:cstheme="majorHAnsi"/>
          <w:sz w:val="24"/>
          <w:szCs w:val="24"/>
          <w:lang w:val="ru-MD"/>
        </w:rPr>
        <w:t>„</w:t>
      </w:r>
      <w:r w:rsidR="002F3981" w:rsidRPr="009A0402">
        <w:rPr>
          <w:rFonts w:asciiTheme="majorHAnsi" w:eastAsia="Times New Roman" w:hAnsiTheme="majorHAnsi" w:cs="Times New Roman"/>
          <w:sz w:val="24"/>
          <w:szCs w:val="24"/>
          <w:lang w:val="ru-MD" w:eastAsia="ro-MD"/>
        </w:rPr>
        <w:t>Энергия и биомасса</w:t>
      </w:r>
      <w:r w:rsidR="009A0402" w:rsidRPr="009A0402">
        <w:rPr>
          <w:rFonts w:asciiTheme="majorHAnsi" w:hAnsiTheme="majorHAnsi" w:cstheme="majorHAnsi"/>
          <w:sz w:val="24"/>
          <w:szCs w:val="24"/>
          <w:lang w:val="ru-MD"/>
        </w:rPr>
        <w:t xml:space="preserve">” </w:t>
      </w:r>
      <w:r w:rsidR="002F3981" w:rsidRPr="009A0402">
        <w:rPr>
          <w:rFonts w:asciiTheme="majorHAnsi" w:eastAsia="Times New Roman" w:hAnsiTheme="majorHAnsi" w:cs="Times New Roman"/>
          <w:sz w:val="24"/>
          <w:szCs w:val="24"/>
          <w:lang w:val="ru-MD" w:eastAsia="ro-MD"/>
        </w:rPr>
        <w:t>(0,75 млн. ле</w:t>
      </w:r>
      <w:r w:rsidR="009A0402" w:rsidRPr="009A0402">
        <w:rPr>
          <w:rFonts w:asciiTheme="majorHAnsi" w:eastAsia="Times New Roman" w:hAnsiTheme="majorHAnsi" w:cs="Times New Roman"/>
          <w:sz w:val="24"/>
          <w:szCs w:val="24"/>
          <w:lang w:val="ru-MD" w:eastAsia="ro-MD"/>
        </w:rPr>
        <w:t>ев</w:t>
      </w:r>
      <w:r w:rsidR="002F3981" w:rsidRPr="009A0402">
        <w:rPr>
          <w:rFonts w:asciiTheme="majorHAnsi" w:eastAsia="Times New Roman" w:hAnsiTheme="majorHAnsi" w:cs="Times New Roman"/>
          <w:sz w:val="24"/>
          <w:szCs w:val="24"/>
          <w:lang w:val="ru-MD" w:eastAsia="ro-MD"/>
        </w:rPr>
        <w:t xml:space="preserve"> и 0,96 млн. ле</w:t>
      </w:r>
      <w:r w:rsidR="009A0402" w:rsidRPr="009A0402">
        <w:rPr>
          <w:rFonts w:asciiTheme="majorHAnsi" w:eastAsia="Times New Roman" w:hAnsiTheme="majorHAnsi" w:cs="Times New Roman"/>
          <w:sz w:val="24"/>
          <w:szCs w:val="24"/>
          <w:lang w:val="ru-MD" w:eastAsia="ro-MD"/>
        </w:rPr>
        <w:t>ев</w:t>
      </w:r>
      <w:r w:rsidR="002F3981" w:rsidRPr="009A0402">
        <w:rPr>
          <w:rFonts w:asciiTheme="majorHAnsi" w:eastAsia="Times New Roman" w:hAnsiTheme="majorHAnsi" w:cs="Times New Roman"/>
          <w:sz w:val="24"/>
          <w:szCs w:val="24"/>
          <w:lang w:val="ru-MD" w:eastAsia="ro-MD"/>
        </w:rPr>
        <w:t>)</w:t>
      </w:r>
      <w:r w:rsidR="00AB12DB" w:rsidRPr="009A0402">
        <w:rPr>
          <w:rFonts w:asciiTheme="majorHAnsi" w:hAnsiTheme="majorHAnsi" w:cstheme="majorHAnsi"/>
          <w:sz w:val="24"/>
          <w:szCs w:val="24"/>
          <w:lang w:val="ru-MD"/>
        </w:rPr>
        <w:t>.</w:t>
      </w:r>
      <w:r w:rsidR="00E426BA" w:rsidRPr="009A0402">
        <w:rPr>
          <w:rFonts w:asciiTheme="majorHAnsi" w:hAnsiTheme="majorHAnsi" w:cstheme="majorHAnsi"/>
          <w:sz w:val="24"/>
          <w:szCs w:val="24"/>
          <w:lang w:val="ru-MD"/>
        </w:rPr>
        <w:t xml:space="preserve"> </w:t>
      </w:r>
    </w:p>
    <w:p w:rsidR="009E4B84" w:rsidRPr="009A0402" w:rsidRDefault="009E4B84" w:rsidP="009E4B84">
      <w:pPr>
        <w:spacing w:after="0" w:line="276" w:lineRule="auto"/>
        <w:ind w:firstLine="567"/>
        <w:jc w:val="both"/>
        <w:rPr>
          <w:rFonts w:asciiTheme="majorHAnsi" w:hAnsiTheme="majorHAnsi"/>
          <w:b/>
          <w:bCs/>
          <w:lang w:val="ru-MD"/>
        </w:rPr>
      </w:pPr>
    </w:p>
    <w:p w:rsidR="009E4B84" w:rsidRPr="000F0D60" w:rsidRDefault="00505A80" w:rsidP="009E4B84">
      <w:pPr>
        <w:spacing w:after="0" w:line="276" w:lineRule="auto"/>
        <w:ind w:firstLine="567"/>
        <w:jc w:val="both"/>
        <w:rPr>
          <w:rFonts w:asciiTheme="majorHAnsi" w:eastAsia="Times New Roman" w:hAnsiTheme="majorHAnsi" w:cs="Times New Roman"/>
          <w:sz w:val="24"/>
          <w:szCs w:val="24"/>
          <w:lang w:val="ro-RO" w:eastAsia="ro-MD"/>
        </w:rPr>
      </w:pPr>
      <w:r w:rsidRPr="009A0402">
        <w:rPr>
          <w:rFonts w:asciiTheme="majorHAnsi" w:hAnsiTheme="majorHAnsi"/>
          <w:b/>
          <w:sz w:val="24"/>
          <w:szCs w:val="24"/>
          <w:lang w:val="ru-MD"/>
        </w:rPr>
        <w:t>7</w:t>
      </w:r>
      <w:r w:rsidR="009E4B84" w:rsidRPr="009A0402">
        <w:rPr>
          <w:rFonts w:asciiTheme="majorHAnsi" w:hAnsiTheme="majorHAnsi"/>
          <w:b/>
          <w:sz w:val="24"/>
          <w:szCs w:val="24"/>
          <w:lang w:val="ru-MD"/>
        </w:rPr>
        <w:t>.</w:t>
      </w:r>
      <w:r w:rsidR="009E4B84" w:rsidRPr="009A0402">
        <w:rPr>
          <w:rFonts w:asciiTheme="majorHAnsi" w:hAnsiTheme="majorHAnsi"/>
          <w:sz w:val="24"/>
          <w:szCs w:val="24"/>
          <w:lang w:val="ru-MD"/>
        </w:rPr>
        <w:t xml:space="preserve"> </w:t>
      </w:r>
      <w:r w:rsidR="00B447A2" w:rsidRPr="009A0402">
        <w:rPr>
          <w:rFonts w:asciiTheme="majorHAnsi" w:hAnsiTheme="majorHAnsi"/>
          <w:sz w:val="24"/>
          <w:szCs w:val="24"/>
          <w:lang w:val="ru-MD"/>
        </w:rPr>
        <w:t xml:space="preserve"> </w:t>
      </w:r>
      <w:r w:rsidR="00C60AC0" w:rsidRPr="009A0402">
        <w:rPr>
          <w:rFonts w:asciiTheme="majorHAnsi" w:hAnsiTheme="majorHAnsi"/>
          <w:sz w:val="24"/>
          <w:szCs w:val="24"/>
          <w:lang w:val="ru-MD"/>
        </w:rPr>
        <w:t xml:space="preserve">Постановление и </w:t>
      </w:r>
      <w:r w:rsidR="00C60AC0" w:rsidRPr="009A0402">
        <w:rPr>
          <w:rFonts w:asciiTheme="majorHAnsi" w:hAnsiTheme="majorHAnsi" w:cstheme="majorHAnsi"/>
          <w:iCs/>
          <w:sz w:val="24"/>
          <w:szCs w:val="24"/>
          <w:lang w:val="ru-MD"/>
        </w:rPr>
        <w:t>Отчет аудита консолидированной финансовой отчетности Министерства</w:t>
      </w:r>
      <w:r w:rsidR="00C60AC0" w:rsidRPr="009A0402">
        <w:rPr>
          <w:rFonts w:asciiTheme="majorHAnsi" w:hAnsiTheme="majorHAnsi" w:cstheme="majorHAnsi"/>
          <w:b/>
          <w:iCs/>
          <w:sz w:val="24"/>
          <w:szCs w:val="24"/>
          <w:lang w:val="ru-MD"/>
        </w:rPr>
        <w:t xml:space="preserve"> </w:t>
      </w:r>
      <w:r w:rsidR="00C60AC0" w:rsidRPr="009A0402">
        <w:rPr>
          <w:rFonts w:asciiTheme="majorHAnsi" w:hAnsiTheme="majorHAnsi" w:cstheme="majorHAnsi"/>
          <w:iCs/>
          <w:sz w:val="24"/>
          <w:szCs w:val="24"/>
          <w:lang w:val="ru-MD"/>
        </w:rPr>
        <w:t xml:space="preserve">инфраструктуры </w:t>
      </w:r>
      <w:r w:rsidR="009A0402">
        <w:rPr>
          <w:rFonts w:asciiTheme="majorHAnsi" w:hAnsiTheme="majorHAnsi" w:cstheme="majorHAnsi"/>
          <w:iCs/>
          <w:sz w:val="24"/>
          <w:szCs w:val="24"/>
          <w:lang w:val="ru-MD"/>
        </w:rPr>
        <w:t xml:space="preserve">и регионального развития </w:t>
      </w:r>
      <w:r w:rsidR="00C60AC0" w:rsidRPr="009A0402">
        <w:rPr>
          <w:rFonts w:asciiTheme="majorHAnsi" w:hAnsiTheme="majorHAnsi" w:cstheme="majorHAnsi"/>
          <w:iCs/>
          <w:sz w:val="24"/>
          <w:szCs w:val="24"/>
          <w:lang w:val="ru-MD"/>
        </w:rPr>
        <w:t>по состоянию на 31 декабря 2021 года</w:t>
      </w:r>
      <w:r w:rsidR="00C60AC0" w:rsidRPr="009A0402">
        <w:rPr>
          <w:rFonts w:asciiTheme="majorHAnsi" w:hAnsiTheme="majorHAnsi"/>
          <w:sz w:val="24"/>
          <w:szCs w:val="24"/>
          <w:lang w:val="ru-MD"/>
        </w:rPr>
        <w:t xml:space="preserve">  опубликовать на официальном сайте Счетной палаты</w:t>
      </w:r>
      <w:r w:rsidR="00C60AC0" w:rsidRPr="000F0D60">
        <w:rPr>
          <w:rFonts w:asciiTheme="majorHAnsi" w:hAnsiTheme="majorHAnsi"/>
          <w:sz w:val="24"/>
          <w:szCs w:val="24"/>
          <w:lang w:val="ro-MD"/>
        </w:rPr>
        <w:t xml:space="preserve"> </w:t>
      </w:r>
      <w:r w:rsidR="0032788C" w:rsidRPr="000F0D60">
        <w:rPr>
          <w:rFonts w:ascii="Calibri Light" w:hAnsi="Calibri Light" w:cs="Calibri Light"/>
          <w:sz w:val="24"/>
          <w:szCs w:val="24"/>
          <w:lang w:val="ro-MD"/>
        </w:rPr>
        <w:t>(</w:t>
      </w:r>
      <w:hyperlink r:id="rId8" w:history="1">
        <w:r w:rsidR="0032788C" w:rsidRPr="002106E3">
          <w:rPr>
            <w:rStyle w:val="a3"/>
            <w:rFonts w:ascii="Calibri Light" w:eastAsiaTheme="majorEastAsia" w:hAnsi="Calibri Light" w:cs="Calibri Light"/>
            <w:sz w:val="24"/>
            <w:szCs w:val="24"/>
            <w:lang w:val="ro-MD"/>
          </w:rPr>
          <w:t>http://www.ccrm.md</w:t>
        </w:r>
      </w:hyperlink>
      <w:r w:rsidR="0032788C" w:rsidRPr="000F0D60">
        <w:rPr>
          <w:rFonts w:ascii="Calibri Light" w:hAnsi="Calibri Light" w:cs="Calibri Light"/>
          <w:sz w:val="24"/>
          <w:szCs w:val="24"/>
          <w:lang w:val="ro-MD"/>
        </w:rPr>
        <w:t>).</w:t>
      </w:r>
    </w:p>
    <w:p w:rsidR="009E4B84" w:rsidRDefault="009E4B84" w:rsidP="009E4B84">
      <w:pPr>
        <w:pStyle w:val="a4"/>
        <w:spacing w:line="276" w:lineRule="auto"/>
        <w:rPr>
          <w:rFonts w:asciiTheme="majorHAnsi" w:hAnsiTheme="majorHAnsi"/>
          <w:lang w:val="ro-MD"/>
        </w:rPr>
      </w:pPr>
    </w:p>
    <w:p w:rsidR="00C60AC0" w:rsidRPr="00702059" w:rsidRDefault="00C60AC0" w:rsidP="00C60AC0">
      <w:pPr>
        <w:spacing w:line="276" w:lineRule="auto"/>
        <w:jc w:val="right"/>
        <w:rPr>
          <w:rFonts w:asciiTheme="majorHAnsi" w:eastAsia="Times New Roman" w:hAnsiTheme="majorHAnsi" w:cs="Times New Roman"/>
          <w:b/>
          <w:sz w:val="24"/>
          <w:szCs w:val="24"/>
          <w:lang w:val="ru-MD"/>
        </w:rPr>
      </w:pPr>
      <w:r w:rsidRPr="00702059">
        <w:rPr>
          <w:rFonts w:asciiTheme="majorHAnsi" w:eastAsia="Times New Roman" w:hAnsiTheme="majorHAnsi" w:cs="Times New Roman"/>
          <w:b/>
          <w:sz w:val="24"/>
          <w:szCs w:val="24"/>
          <w:lang w:val="ru-MD"/>
        </w:rPr>
        <w:t>Мариан ЛУПУ,</w:t>
      </w:r>
    </w:p>
    <w:p w:rsidR="005230A2" w:rsidRDefault="00C60AC0" w:rsidP="00C60AC0">
      <w:pPr>
        <w:spacing w:after="0" w:line="276" w:lineRule="auto"/>
        <w:jc w:val="right"/>
        <w:rPr>
          <w:rFonts w:asciiTheme="majorHAnsi" w:hAnsiTheme="majorHAnsi" w:cs="Times New Roman"/>
          <w:sz w:val="24"/>
          <w:szCs w:val="24"/>
          <w:lang w:val="ro-MD"/>
        </w:rPr>
      </w:pPr>
      <w:r w:rsidRPr="00702059">
        <w:rPr>
          <w:rFonts w:asciiTheme="majorHAnsi" w:eastAsia="Times New Roman" w:hAnsiTheme="majorHAnsi" w:cs="Times New Roman"/>
          <w:b/>
          <w:sz w:val="24"/>
          <w:szCs w:val="24"/>
          <w:lang w:val="ru-MD"/>
        </w:rPr>
        <w:t>Председатель</w:t>
      </w:r>
    </w:p>
    <w:sectPr w:rsidR="005230A2" w:rsidSect="001A7862">
      <w:headerReference w:type="default" r:id="rId9"/>
      <w:footerReference w:type="default" r:id="rId10"/>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B7" w:rsidRDefault="005924B7" w:rsidP="009E4B84">
      <w:pPr>
        <w:spacing w:after="0" w:line="240" w:lineRule="auto"/>
      </w:pPr>
      <w:r>
        <w:separator/>
      </w:r>
    </w:p>
  </w:endnote>
  <w:endnote w:type="continuationSeparator" w:id="0">
    <w:p w:rsidR="005924B7" w:rsidRDefault="005924B7"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5924B7">
          <w:rPr>
            <w:noProof/>
          </w:rPr>
          <w:t>1</w:t>
        </w:r>
        <w:r>
          <w:rPr>
            <w:noProof/>
          </w:rPr>
          <w:fldChar w:fldCharType="end"/>
        </w:r>
      </w:p>
    </w:sdtContent>
  </w:sdt>
  <w:p w:rsidR="007A3208" w:rsidRDefault="005924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B7" w:rsidRDefault="005924B7" w:rsidP="009E4B84">
      <w:pPr>
        <w:spacing w:after="0" w:line="240" w:lineRule="auto"/>
      </w:pPr>
      <w:r>
        <w:separator/>
      </w:r>
    </w:p>
  </w:footnote>
  <w:footnote w:type="continuationSeparator" w:id="0">
    <w:p w:rsidR="005924B7" w:rsidRDefault="005924B7" w:rsidP="009E4B84">
      <w:pPr>
        <w:spacing w:after="0" w:line="240" w:lineRule="auto"/>
      </w:pPr>
      <w:r>
        <w:continuationSeparator/>
      </w:r>
    </w:p>
  </w:footnote>
  <w:footnote w:id="1">
    <w:p w:rsidR="0003367A" w:rsidRPr="004C4A9F" w:rsidRDefault="0003367A" w:rsidP="0003367A">
      <w:pPr>
        <w:pStyle w:val="a7"/>
        <w:jc w:val="both"/>
        <w:rPr>
          <w:rFonts w:ascii="Calibri Light" w:hAnsi="Calibri Light" w:cs="Calibri Light"/>
          <w:lang w:val="ru-MD"/>
        </w:rPr>
      </w:pPr>
      <w:r w:rsidRPr="004C4A9F">
        <w:rPr>
          <w:rFonts w:ascii="Calibri Light" w:eastAsia="Times New Roman" w:hAnsi="Calibri Light" w:cs="Calibri Light"/>
          <w:vertAlign w:val="superscript"/>
          <w:lang w:val="ru-MD"/>
        </w:rPr>
        <w:footnoteRef/>
      </w:r>
      <w:r w:rsidRPr="004C4A9F">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03367A" w:rsidRPr="004C4A9F" w:rsidRDefault="0003367A" w:rsidP="0003367A">
      <w:pPr>
        <w:spacing w:after="0" w:line="240" w:lineRule="auto"/>
        <w:jc w:val="both"/>
        <w:rPr>
          <w:rFonts w:asciiTheme="majorHAnsi" w:hAnsiTheme="majorHAnsi" w:cstheme="majorHAnsi"/>
          <w:sz w:val="20"/>
          <w:szCs w:val="20"/>
          <w:lang w:val="ru-MD"/>
        </w:rPr>
      </w:pPr>
      <w:r w:rsidRPr="004C4A9F">
        <w:rPr>
          <w:rStyle w:val="FootnoteReference1"/>
          <w:rFonts w:asciiTheme="majorHAnsi" w:hAnsiTheme="majorHAnsi" w:cstheme="majorHAnsi"/>
          <w:sz w:val="20"/>
          <w:szCs w:val="20"/>
          <w:lang w:val="ru-MD"/>
        </w:rPr>
        <w:footnoteRef/>
      </w:r>
      <w:r w:rsidRPr="004C4A9F">
        <w:rPr>
          <w:rFonts w:asciiTheme="majorHAnsi" w:hAnsiTheme="majorHAnsi" w:cstheme="majorHAnsi"/>
          <w:sz w:val="20"/>
          <w:szCs w:val="20"/>
          <w:lang w:val="ru-MD"/>
        </w:rPr>
        <w:t xml:space="preserve"> Постановления Счетной Палаты №62 от 10.12.2020 „Об утверждении Программы аудиторской деятельности Счетной палаты на 2021 год” и №75 от 28.12.2021 „Об утверждении Программы аудиторской деятельности Счетной палаты на 2022 год”</w:t>
      </w:r>
      <w:r w:rsidRPr="004C4A9F">
        <w:rPr>
          <w:rFonts w:asciiTheme="majorHAnsi" w:eastAsia="Times New Roman" w:hAnsiTheme="majorHAnsi" w:cstheme="majorHAnsi"/>
          <w:sz w:val="20"/>
          <w:szCs w:val="20"/>
          <w:lang w:val="ru-MD"/>
        </w:rPr>
        <w:t>.</w:t>
      </w:r>
    </w:p>
  </w:footnote>
  <w:footnote w:id="3">
    <w:p w:rsidR="0003367A" w:rsidRPr="004C4A9F" w:rsidRDefault="0003367A" w:rsidP="0003367A">
      <w:pPr>
        <w:pStyle w:val="1"/>
        <w:rPr>
          <w:rFonts w:cs="Calibri Light"/>
          <w:sz w:val="20"/>
          <w:szCs w:val="20"/>
          <w:lang w:val="ru-MD"/>
        </w:rPr>
      </w:pPr>
      <w:r w:rsidRPr="004C4A9F">
        <w:rPr>
          <w:rStyle w:val="ac"/>
          <w:rFonts w:cs="Calibri Light"/>
          <w:sz w:val="20"/>
          <w:szCs w:val="20"/>
          <w:lang w:val="ru-MD"/>
        </w:rPr>
        <w:footnoteRef/>
      </w:r>
      <w:r w:rsidRPr="004C4A9F">
        <w:rPr>
          <w:rFonts w:cs="Calibri Light"/>
          <w:sz w:val="20"/>
          <w:szCs w:val="20"/>
          <w:lang w:val="ru-MD"/>
        </w:rPr>
        <w:t xml:space="preserve"> Постановление Счетной палаты №2 от 24.01.2020 „О Системе профессиональных деклараций INTOSAI”.</w:t>
      </w:r>
    </w:p>
  </w:footnote>
  <w:footnote w:id="4">
    <w:p w:rsidR="0003367A" w:rsidRPr="004C4A9F" w:rsidRDefault="0003367A" w:rsidP="0003367A">
      <w:pPr>
        <w:pStyle w:val="a7"/>
        <w:jc w:val="both"/>
        <w:rPr>
          <w:rFonts w:eastAsia="Times New Roman" w:cs="Times New Roman"/>
          <w:lang w:val="ru-MD"/>
        </w:rPr>
      </w:pPr>
      <w:r w:rsidRPr="004C4A9F">
        <w:rPr>
          <w:rStyle w:val="FootnoteReference1"/>
          <w:rFonts w:asciiTheme="majorHAnsi" w:hAnsiTheme="majorHAnsi" w:cstheme="majorHAnsi"/>
          <w:lang w:val="ru-MD"/>
        </w:rPr>
        <w:footnoteRef/>
      </w:r>
      <w:r w:rsidRPr="004C4A9F">
        <w:rPr>
          <w:rFonts w:asciiTheme="majorHAnsi" w:hAnsiTheme="majorHAnsi" w:cstheme="majorHAnsi"/>
          <w:lang w:val="ru-MD"/>
        </w:rPr>
        <w:t xml:space="preserve"> Закон о бухгалтерском учете №</w:t>
      </w:r>
      <w:r w:rsidRPr="004C4A9F">
        <w:rPr>
          <w:rFonts w:asciiTheme="majorHAnsi" w:eastAsia="Times New Roman" w:hAnsiTheme="majorHAnsi" w:cstheme="majorHAnsi"/>
          <w:lang w:val="ru-MD"/>
        </w:rPr>
        <w:t>113-XVI от 27.04.2007;</w:t>
      </w:r>
      <w:r w:rsidRPr="004C4A9F">
        <w:rPr>
          <w:rFonts w:asciiTheme="majorHAnsi" w:hAnsiTheme="majorHAnsi" w:cstheme="majorHAnsi"/>
          <w:lang w:val="ru-MD"/>
        </w:rPr>
        <w:t xml:space="preserve"> </w:t>
      </w:r>
      <w:r w:rsidRPr="004C4A9F">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C4A9F">
        <w:rPr>
          <w:rFonts w:ascii="Calibri Light" w:hAnsi="Calibri Light" w:cs="Calibri Light"/>
          <w:lang w:val="ru-MD"/>
        </w:rPr>
        <w:t>, утвержденные Приказом министра финансов №216 от 28.12.2015</w:t>
      </w:r>
      <w:r w:rsidRPr="004C4A9F">
        <w:rPr>
          <w:rFonts w:asciiTheme="majorHAnsi" w:eastAsia="Times New Roman" w:hAnsiTheme="majorHAnsi" w:cstheme="majorHAnsi"/>
          <w:lang w:val="ru-MD"/>
        </w:rPr>
        <w:t xml:space="preserve">; Приказ министра финансов №6 </w:t>
      </w:r>
      <w:r w:rsidRPr="004C4A9F">
        <w:rPr>
          <w:rFonts w:asciiTheme="majorHAnsi" w:eastAsia="Times New Roman" w:hAnsiTheme="majorHAnsi" w:cs="Times New Roman"/>
          <w:lang w:val="ru-MD"/>
        </w:rPr>
        <w:t>от 10.01.2018 „</w:t>
      </w:r>
      <w:r w:rsidRPr="004C4A9F">
        <w:rPr>
          <w:rFonts w:asciiTheme="majorHAnsi" w:eastAsia="Times New Roman" w:hAnsiTheme="majorHAnsi" w:cs="Times New Roman"/>
          <w:bCs/>
          <w:lang w:val="ru-MD"/>
        </w:rPr>
        <w:t>Об утверждении сроков представления финансовых отчетов за 2017 год</w:t>
      </w:r>
      <w:r w:rsidRPr="004C4A9F">
        <w:rPr>
          <w:rFonts w:asciiTheme="majorHAnsi" w:eastAsia="Times New Roman" w:hAnsiTheme="majorHAnsi" w:cs="Times New Roman"/>
          <w:lang w:val="ru-MD"/>
        </w:rPr>
        <w:t xml:space="preserve">”; </w:t>
      </w:r>
      <w:r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imes New Roman"/>
          <w:lang w:val="ru-MD"/>
        </w:rPr>
        <w:t>164 от 30.12.2016 „</w:t>
      </w:r>
      <w:r w:rsidRPr="004C4A9F">
        <w:rPr>
          <w:rFonts w:asciiTheme="majorHAnsi" w:eastAsia="Times New Roman"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C4A9F">
        <w:rPr>
          <w:rFonts w:asciiTheme="majorHAnsi" w:eastAsia="Times New Roman" w:hAnsiTheme="majorHAnsi" w:cs="Times New Roman"/>
          <w:lang w:val="ru-MD"/>
        </w:rPr>
        <w:t>”</w:t>
      </w:r>
      <w:r w:rsidRPr="004C4A9F">
        <w:rPr>
          <w:rFonts w:asciiTheme="majorHAnsi" w:hAnsiTheme="majorHAnsi" w:cs="Times New Roman"/>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3367A"/>
    <w:rsid w:val="00037BF5"/>
    <w:rsid w:val="00055FDF"/>
    <w:rsid w:val="000664F1"/>
    <w:rsid w:val="000C2E87"/>
    <w:rsid w:val="000E0767"/>
    <w:rsid w:val="000E2E1A"/>
    <w:rsid w:val="00102F29"/>
    <w:rsid w:val="001068AF"/>
    <w:rsid w:val="00113129"/>
    <w:rsid w:val="001376A5"/>
    <w:rsid w:val="00143DD8"/>
    <w:rsid w:val="001541C9"/>
    <w:rsid w:val="001554A9"/>
    <w:rsid w:val="001922A7"/>
    <w:rsid w:val="001A0304"/>
    <w:rsid w:val="001A5CB0"/>
    <w:rsid w:val="001A7862"/>
    <w:rsid w:val="001B1DC9"/>
    <w:rsid w:val="001C3DB4"/>
    <w:rsid w:val="001D544A"/>
    <w:rsid w:val="002B711B"/>
    <w:rsid w:val="002C20EF"/>
    <w:rsid w:val="002C4E43"/>
    <w:rsid w:val="002C56B4"/>
    <w:rsid w:val="002D176F"/>
    <w:rsid w:val="002D4DEF"/>
    <w:rsid w:val="002D57F8"/>
    <w:rsid w:val="002E10D3"/>
    <w:rsid w:val="002F3981"/>
    <w:rsid w:val="00302241"/>
    <w:rsid w:val="003111DB"/>
    <w:rsid w:val="0031372A"/>
    <w:rsid w:val="0031794D"/>
    <w:rsid w:val="0032788C"/>
    <w:rsid w:val="003327D9"/>
    <w:rsid w:val="003403DB"/>
    <w:rsid w:val="00340DED"/>
    <w:rsid w:val="0036239C"/>
    <w:rsid w:val="00376827"/>
    <w:rsid w:val="003C1925"/>
    <w:rsid w:val="003D042C"/>
    <w:rsid w:val="003D2BE5"/>
    <w:rsid w:val="00406D0F"/>
    <w:rsid w:val="00410385"/>
    <w:rsid w:val="00432405"/>
    <w:rsid w:val="004369FE"/>
    <w:rsid w:val="0044763B"/>
    <w:rsid w:val="0048585A"/>
    <w:rsid w:val="00497084"/>
    <w:rsid w:val="004C27B0"/>
    <w:rsid w:val="004D40E7"/>
    <w:rsid w:val="004D6605"/>
    <w:rsid w:val="004E529E"/>
    <w:rsid w:val="004F2C2E"/>
    <w:rsid w:val="00505A80"/>
    <w:rsid w:val="005230A2"/>
    <w:rsid w:val="00526532"/>
    <w:rsid w:val="005265DD"/>
    <w:rsid w:val="00526B7C"/>
    <w:rsid w:val="00527239"/>
    <w:rsid w:val="00542B5F"/>
    <w:rsid w:val="005924B7"/>
    <w:rsid w:val="00595FB4"/>
    <w:rsid w:val="005B51C4"/>
    <w:rsid w:val="005C09C6"/>
    <w:rsid w:val="005C2788"/>
    <w:rsid w:val="005D2A9E"/>
    <w:rsid w:val="0062327B"/>
    <w:rsid w:val="00635948"/>
    <w:rsid w:val="00636D98"/>
    <w:rsid w:val="00646163"/>
    <w:rsid w:val="006B4365"/>
    <w:rsid w:val="006C79DE"/>
    <w:rsid w:val="00720C4B"/>
    <w:rsid w:val="00746F91"/>
    <w:rsid w:val="00751837"/>
    <w:rsid w:val="00752728"/>
    <w:rsid w:val="007C3863"/>
    <w:rsid w:val="007D03C2"/>
    <w:rsid w:val="007E0C63"/>
    <w:rsid w:val="007F0952"/>
    <w:rsid w:val="007F66E9"/>
    <w:rsid w:val="00803B67"/>
    <w:rsid w:val="008340AE"/>
    <w:rsid w:val="008445E0"/>
    <w:rsid w:val="00851445"/>
    <w:rsid w:val="00892A51"/>
    <w:rsid w:val="008B0DEC"/>
    <w:rsid w:val="008C2454"/>
    <w:rsid w:val="008F0FD2"/>
    <w:rsid w:val="008F40FE"/>
    <w:rsid w:val="008F63DA"/>
    <w:rsid w:val="00911B95"/>
    <w:rsid w:val="009260B6"/>
    <w:rsid w:val="00951E2F"/>
    <w:rsid w:val="00967667"/>
    <w:rsid w:val="009837EB"/>
    <w:rsid w:val="0098623D"/>
    <w:rsid w:val="009A0402"/>
    <w:rsid w:val="009C2D30"/>
    <w:rsid w:val="009D0C40"/>
    <w:rsid w:val="009D4AA9"/>
    <w:rsid w:val="009D7485"/>
    <w:rsid w:val="009E4B84"/>
    <w:rsid w:val="009F5DA1"/>
    <w:rsid w:val="00A01226"/>
    <w:rsid w:val="00A14131"/>
    <w:rsid w:val="00A14965"/>
    <w:rsid w:val="00A42E43"/>
    <w:rsid w:val="00A72E53"/>
    <w:rsid w:val="00A77FF4"/>
    <w:rsid w:val="00A86617"/>
    <w:rsid w:val="00A86FE5"/>
    <w:rsid w:val="00AA33A1"/>
    <w:rsid w:val="00AB12DB"/>
    <w:rsid w:val="00B145A4"/>
    <w:rsid w:val="00B33AF7"/>
    <w:rsid w:val="00B341FD"/>
    <w:rsid w:val="00B421BA"/>
    <w:rsid w:val="00B447A2"/>
    <w:rsid w:val="00B52A28"/>
    <w:rsid w:val="00B72346"/>
    <w:rsid w:val="00B767E2"/>
    <w:rsid w:val="00BB75CB"/>
    <w:rsid w:val="00BC2D41"/>
    <w:rsid w:val="00BF3DD4"/>
    <w:rsid w:val="00C37ED8"/>
    <w:rsid w:val="00C5147F"/>
    <w:rsid w:val="00C542FA"/>
    <w:rsid w:val="00C60AC0"/>
    <w:rsid w:val="00C86609"/>
    <w:rsid w:val="00C944E7"/>
    <w:rsid w:val="00CB40C6"/>
    <w:rsid w:val="00CD2A42"/>
    <w:rsid w:val="00D141B5"/>
    <w:rsid w:val="00D21F35"/>
    <w:rsid w:val="00D25D01"/>
    <w:rsid w:val="00D36E9E"/>
    <w:rsid w:val="00D5261F"/>
    <w:rsid w:val="00D61B04"/>
    <w:rsid w:val="00D63AF9"/>
    <w:rsid w:val="00D76CBB"/>
    <w:rsid w:val="00D90AB4"/>
    <w:rsid w:val="00DA01F3"/>
    <w:rsid w:val="00DA2C85"/>
    <w:rsid w:val="00DA4AFE"/>
    <w:rsid w:val="00DA609C"/>
    <w:rsid w:val="00DB3261"/>
    <w:rsid w:val="00DB4F2A"/>
    <w:rsid w:val="00DB5FAF"/>
    <w:rsid w:val="00DF0507"/>
    <w:rsid w:val="00E07628"/>
    <w:rsid w:val="00E139CE"/>
    <w:rsid w:val="00E426BA"/>
    <w:rsid w:val="00E44B50"/>
    <w:rsid w:val="00E553BE"/>
    <w:rsid w:val="00E70517"/>
    <w:rsid w:val="00E72DEF"/>
    <w:rsid w:val="00EA5574"/>
    <w:rsid w:val="00EB3DAC"/>
    <w:rsid w:val="00EE5730"/>
    <w:rsid w:val="00EE704C"/>
    <w:rsid w:val="00EF1C27"/>
    <w:rsid w:val="00F646C4"/>
    <w:rsid w:val="00F731BE"/>
    <w:rsid w:val="00F856E7"/>
    <w:rsid w:val="00FB0481"/>
    <w:rsid w:val="00FC22D5"/>
    <w:rsid w:val="00FC252D"/>
    <w:rsid w:val="00FD73D9"/>
    <w:rsid w:val="00FF090C"/>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DA2C85"/>
    <w:rPr>
      <w:rFonts w:ascii="Times New Roman" w:eastAsia="Times New Roman" w:hAnsi="Times New Roman" w:cs="Times New Roman"/>
      <w:sz w:val="24"/>
      <w:szCs w:val="24"/>
    </w:rPr>
  </w:style>
  <w:style w:type="paragraph" w:styleId="af">
    <w:name w:val="caption"/>
    <w:basedOn w:val="a"/>
    <w:next w:val="a"/>
    <w:uiPriority w:val="99"/>
    <w:qFormat/>
    <w:rsid w:val="008F63DA"/>
    <w:pPr>
      <w:spacing w:after="0" w:line="240" w:lineRule="auto"/>
      <w:jc w:val="center"/>
    </w:pPr>
    <w:rPr>
      <w:rFonts w:ascii="$ Caslon" w:eastAsia="Times New Roman" w:hAnsi="$ Caslon" w:cs="Times New Roman"/>
      <w:b/>
      <w:i/>
      <w:sz w:val="28"/>
      <w:szCs w:val="20"/>
      <w:lang w:val="ro-RO" w:eastAsia="ru-RU"/>
    </w:rPr>
  </w:style>
  <w:style w:type="paragraph" w:customStyle="1" w:styleId="1">
    <w:name w:val="Стиль1"/>
    <w:basedOn w:val="a4"/>
    <w:link w:val="10"/>
    <w:autoRedefine/>
    <w:qFormat/>
    <w:rsid w:val="0003367A"/>
    <w:pPr>
      <w:ind w:left="180" w:hanging="180"/>
    </w:pPr>
    <w:rPr>
      <w:rFonts w:ascii="Calibri Light" w:hAnsi="Calibri Light"/>
      <w:sz w:val="16"/>
      <w:szCs w:val="16"/>
    </w:rPr>
  </w:style>
  <w:style w:type="character" w:customStyle="1" w:styleId="10">
    <w:name w:val="Стиль1 Знак"/>
    <w:basedOn w:val="a0"/>
    <w:link w:val="1"/>
    <w:rsid w:val="0003367A"/>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0391">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66E7-7BBF-4AF7-8ABD-74C9632F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2022-06-10T09:05:00Z</dcterms:created>
  <dcterms:modified xsi:type="dcterms:W3CDTF">2022-06-10T09:05:00Z</dcterms:modified>
</cp:coreProperties>
</file>