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05B" w:rsidRPr="00AE488A" w:rsidRDefault="00DA205B" w:rsidP="00DA205B">
      <w:pPr>
        <w:tabs>
          <w:tab w:val="left" w:pos="720"/>
        </w:tabs>
        <w:spacing w:after="0" w:line="276" w:lineRule="auto"/>
        <w:jc w:val="right"/>
        <w:rPr>
          <w:rFonts w:asciiTheme="majorHAnsi" w:eastAsia="Times New Roman" w:hAnsiTheme="majorHAnsi" w:cs="Times New Roman"/>
          <w:b/>
          <w:bCs/>
          <w:sz w:val="28"/>
          <w:szCs w:val="28"/>
          <w:u w:val="single"/>
          <w:lang w:val="ru-MD"/>
        </w:rPr>
      </w:pPr>
      <w:bookmarkStart w:id="0" w:name="_GoBack"/>
      <w:bookmarkEnd w:id="0"/>
      <w:r w:rsidRPr="00AE488A">
        <w:rPr>
          <w:rFonts w:asciiTheme="majorHAnsi" w:eastAsia="Times New Roman" w:hAnsiTheme="majorHAnsi" w:cs="Times New Roman"/>
          <w:b/>
          <w:bCs/>
          <w:sz w:val="28"/>
          <w:szCs w:val="28"/>
          <w:u w:val="single"/>
          <w:lang w:val="ru-MD"/>
        </w:rPr>
        <w:t>ПЕРЕВОД</w:t>
      </w:r>
    </w:p>
    <w:p w:rsidR="00DA205B" w:rsidRPr="00AE488A" w:rsidRDefault="00DA205B" w:rsidP="00DA205B">
      <w:pPr>
        <w:tabs>
          <w:tab w:val="left" w:pos="720"/>
        </w:tabs>
        <w:spacing w:after="0" w:line="276" w:lineRule="auto"/>
        <w:jc w:val="right"/>
        <w:rPr>
          <w:rFonts w:asciiTheme="majorHAnsi" w:eastAsia="Times New Roman" w:hAnsiTheme="majorHAnsi" w:cs="Times New Roman"/>
          <w:bCs/>
          <w:i/>
          <w:iCs/>
          <w:sz w:val="28"/>
          <w:szCs w:val="28"/>
          <w:lang w:val="ru-MD"/>
        </w:rPr>
      </w:pPr>
    </w:p>
    <w:p w:rsidR="00DA205B" w:rsidRPr="00AE488A" w:rsidRDefault="00DA205B" w:rsidP="00DA205B">
      <w:pPr>
        <w:tabs>
          <w:tab w:val="left" w:pos="720"/>
        </w:tabs>
        <w:spacing w:after="0" w:line="276" w:lineRule="auto"/>
        <w:jc w:val="right"/>
        <w:rPr>
          <w:rFonts w:asciiTheme="majorHAnsi" w:eastAsia="Times New Roman" w:hAnsiTheme="majorHAnsi" w:cs="Times New Roman"/>
          <w:bCs/>
          <w:i/>
          <w:iCs/>
          <w:sz w:val="28"/>
          <w:szCs w:val="28"/>
          <w:lang w:val="ru-MD"/>
        </w:rPr>
      </w:pPr>
      <w:r w:rsidRPr="00AE488A">
        <w:rPr>
          <w:rFonts w:asciiTheme="majorHAnsi" w:eastAsia="Times New Roman" w:hAnsiTheme="majorHAnsi" w:cs="Times New Roman"/>
          <w:bCs/>
          <w:i/>
          <w:iCs/>
          <w:sz w:val="28"/>
          <w:szCs w:val="28"/>
          <w:lang w:val="ru-MD"/>
        </w:rPr>
        <w:t>Приложение</w:t>
      </w:r>
    </w:p>
    <w:p w:rsidR="00DA205B" w:rsidRPr="00AE488A" w:rsidRDefault="00DA205B" w:rsidP="00DA205B">
      <w:pPr>
        <w:tabs>
          <w:tab w:val="left" w:pos="720"/>
        </w:tabs>
        <w:spacing w:after="0" w:line="276" w:lineRule="auto"/>
        <w:jc w:val="right"/>
        <w:rPr>
          <w:rFonts w:asciiTheme="majorHAnsi" w:eastAsia="Times New Roman" w:hAnsiTheme="majorHAnsi" w:cs="Times New Roman"/>
          <w:bCs/>
          <w:sz w:val="28"/>
          <w:szCs w:val="28"/>
          <w:lang w:val="ru-MD"/>
        </w:rPr>
      </w:pPr>
      <w:r w:rsidRPr="00AE488A">
        <w:rPr>
          <w:rFonts w:asciiTheme="majorHAnsi" w:eastAsia="Times New Roman" w:hAnsiTheme="majorHAnsi" w:cs="Times New Roman"/>
          <w:bCs/>
          <w:sz w:val="28"/>
          <w:szCs w:val="28"/>
          <w:lang w:val="ru-MD"/>
        </w:rPr>
        <w:t>к Постановлению Счетной палаты</w:t>
      </w:r>
    </w:p>
    <w:p w:rsidR="00DA205B" w:rsidRPr="00AE488A" w:rsidRDefault="00DA205B" w:rsidP="00DA205B">
      <w:pPr>
        <w:tabs>
          <w:tab w:val="left" w:pos="720"/>
        </w:tabs>
        <w:spacing w:after="0" w:line="276" w:lineRule="auto"/>
        <w:jc w:val="right"/>
        <w:rPr>
          <w:rFonts w:asciiTheme="majorHAnsi" w:eastAsia="Times New Roman" w:hAnsiTheme="majorHAnsi" w:cs="Times New Roman"/>
          <w:bCs/>
          <w:sz w:val="28"/>
          <w:szCs w:val="28"/>
          <w:lang w:val="ru-MD"/>
        </w:rPr>
      </w:pPr>
      <w:r w:rsidRPr="00AE488A">
        <w:rPr>
          <w:rFonts w:asciiTheme="majorHAnsi" w:eastAsia="Times New Roman" w:hAnsiTheme="majorHAnsi" w:cs="Times New Roman"/>
          <w:bCs/>
          <w:sz w:val="28"/>
          <w:szCs w:val="28"/>
          <w:lang w:val="ru-MD"/>
        </w:rPr>
        <w:t xml:space="preserve">№22 от 27 мая 2022 года </w:t>
      </w:r>
    </w:p>
    <w:p w:rsidR="00125D9C" w:rsidRPr="00AE488A" w:rsidRDefault="00125D9C" w:rsidP="00125D9C">
      <w:pPr>
        <w:spacing w:after="0" w:line="276" w:lineRule="auto"/>
        <w:rPr>
          <w:rFonts w:asciiTheme="majorHAnsi" w:hAnsiTheme="majorHAnsi"/>
          <w:lang w:val="ru-MD"/>
        </w:rPr>
      </w:pPr>
    </w:p>
    <w:p w:rsidR="00125D9C" w:rsidRPr="00AE488A" w:rsidRDefault="00125D9C" w:rsidP="00125D9C">
      <w:pPr>
        <w:spacing w:after="0" w:line="240" w:lineRule="auto"/>
        <w:rPr>
          <w:rFonts w:asciiTheme="majorHAnsi" w:hAnsiTheme="majorHAnsi" w:cstheme="majorHAnsi"/>
          <w:lang w:val="ru-MD"/>
        </w:rPr>
      </w:pPr>
    </w:p>
    <w:p w:rsidR="003E33AE" w:rsidRPr="00AE488A" w:rsidRDefault="003E33AE" w:rsidP="00125D9C">
      <w:pPr>
        <w:spacing w:after="0" w:line="240" w:lineRule="auto"/>
        <w:rPr>
          <w:rFonts w:asciiTheme="majorHAnsi" w:hAnsiTheme="majorHAnsi" w:cstheme="majorHAnsi"/>
          <w:lang w:val="ru-MD"/>
        </w:rPr>
      </w:pPr>
    </w:p>
    <w:p w:rsidR="00125D9C" w:rsidRPr="00AE488A" w:rsidRDefault="00125D9C" w:rsidP="00125D9C">
      <w:pPr>
        <w:spacing w:after="0" w:line="240" w:lineRule="auto"/>
        <w:rPr>
          <w:rFonts w:asciiTheme="majorHAnsi" w:hAnsiTheme="majorHAnsi" w:cstheme="majorHAnsi"/>
          <w:lang w:val="ru-MD"/>
        </w:rPr>
      </w:pPr>
    </w:p>
    <w:p w:rsidR="00125D9C" w:rsidRPr="00AE488A" w:rsidRDefault="00125D9C" w:rsidP="00125D9C">
      <w:pPr>
        <w:spacing w:after="0" w:line="240" w:lineRule="auto"/>
        <w:jc w:val="center"/>
        <w:rPr>
          <w:rFonts w:asciiTheme="majorHAnsi" w:hAnsiTheme="majorHAnsi" w:cstheme="majorHAnsi"/>
          <w:b/>
          <w:sz w:val="28"/>
          <w:szCs w:val="28"/>
          <w:lang w:val="ru-MD"/>
        </w:rPr>
      </w:pPr>
    </w:p>
    <w:p w:rsidR="00125D9C" w:rsidRPr="00AE488A" w:rsidRDefault="00AB34DC" w:rsidP="00113C19">
      <w:pPr>
        <w:spacing w:after="0" w:line="240" w:lineRule="auto"/>
        <w:rPr>
          <w:rFonts w:asciiTheme="majorHAnsi" w:hAnsiTheme="majorHAnsi" w:cstheme="majorHAnsi"/>
          <w:b/>
          <w:sz w:val="28"/>
          <w:szCs w:val="28"/>
          <w:lang w:val="ru-MD"/>
        </w:rPr>
      </w:pPr>
      <w:r w:rsidRPr="00AE488A">
        <w:rPr>
          <w:rFonts w:asciiTheme="majorHAnsi" w:hAnsiTheme="majorHAnsi" w:cstheme="majorHAnsi"/>
          <w:b/>
          <w:noProof/>
          <w:sz w:val="28"/>
          <w:szCs w:val="28"/>
        </w:rPr>
        <w:drawing>
          <wp:anchor distT="0" distB="0" distL="114300" distR="114300" simplePos="0" relativeHeight="251658240" behindDoc="0" locked="0" layoutInCell="1" allowOverlap="1">
            <wp:simplePos x="0" y="0"/>
            <wp:positionH relativeFrom="column">
              <wp:posOffset>2278380</wp:posOffset>
            </wp:positionH>
            <wp:positionV relativeFrom="paragraph">
              <wp:posOffset>106824</wp:posOffset>
            </wp:positionV>
            <wp:extent cx="1037492" cy="1041795"/>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7492" cy="1041795"/>
                    </a:xfrm>
                    <a:prstGeom prst="rect">
                      <a:avLst/>
                    </a:prstGeom>
                    <a:noFill/>
                  </pic:spPr>
                </pic:pic>
              </a:graphicData>
            </a:graphic>
          </wp:anchor>
        </w:drawing>
      </w:r>
      <w:r w:rsidR="00113C19" w:rsidRPr="00AE488A">
        <w:rPr>
          <w:rFonts w:asciiTheme="majorHAnsi" w:hAnsiTheme="majorHAnsi" w:cstheme="majorHAnsi"/>
          <w:b/>
          <w:sz w:val="28"/>
          <w:szCs w:val="28"/>
          <w:lang w:val="ru-MD"/>
        </w:rPr>
        <w:br w:type="textWrapping" w:clear="all"/>
      </w:r>
    </w:p>
    <w:p w:rsidR="00125D9C" w:rsidRPr="00AE488A" w:rsidRDefault="00125D9C" w:rsidP="00125D9C">
      <w:pPr>
        <w:spacing w:after="0" w:line="240" w:lineRule="auto"/>
        <w:jc w:val="center"/>
        <w:rPr>
          <w:rFonts w:asciiTheme="majorHAnsi" w:hAnsiTheme="majorHAnsi" w:cstheme="majorHAnsi"/>
          <w:b/>
          <w:sz w:val="28"/>
          <w:szCs w:val="28"/>
          <w:lang w:val="ru-MD"/>
        </w:rPr>
      </w:pPr>
    </w:p>
    <w:p w:rsidR="00125D9C" w:rsidRPr="00AE488A" w:rsidRDefault="00125D9C" w:rsidP="00125D9C">
      <w:pPr>
        <w:spacing w:after="0" w:line="240" w:lineRule="auto"/>
        <w:jc w:val="center"/>
        <w:rPr>
          <w:rFonts w:asciiTheme="majorHAnsi" w:hAnsiTheme="majorHAnsi" w:cstheme="majorHAnsi"/>
          <w:b/>
          <w:sz w:val="28"/>
          <w:szCs w:val="28"/>
          <w:lang w:val="ru-MD"/>
        </w:rPr>
      </w:pPr>
    </w:p>
    <w:p w:rsidR="00125D9C" w:rsidRPr="00AE488A" w:rsidRDefault="00125D9C" w:rsidP="00125D9C">
      <w:pPr>
        <w:spacing w:after="0" w:line="240" w:lineRule="auto"/>
        <w:jc w:val="center"/>
        <w:rPr>
          <w:rFonts w:asciiTheme="majorHAnsi" w:hAnsiTheme="majorHAnsi" w:cstheme="majorHAnsi"/>
          <w:b/>
          <w:sz w:val="28"/>
          <w:szCs w:val="28"/>
          <w:lang w:val="ru-MD"/>
        </w:rPr>
      </w:pPr>
    </w:p>
    <w:p w:rsidR="004C7B62" w:rsidRPr="00AE488A" w:rsidRDefault="004C7B62" w:rsidP="004C7B62">
      <w:pPr>
        <w:spacing w:after="0" w:line="240" w:lineRule="auto"/>
        <w:jc w:val="center"/>
        <w:rPr>
          <w:rFonts w:asciiTheme="majorHAnsi" w:hAnsiTheme="majorHAnsi" w:cstheme="majorHAnsi"/>
          <w:b/>
          <w:sz w:val="28"/>
          <w:szCs w:val="28"/>
          <w:lang w:val="ru-MD"/>
        </w:rPr>
      </w:pPr>
      <w:r w:rsidRPr="00AE488A">
        <w:rPr>
          <w:rFonts w:asciiTheme="majorHAnsi" w:hAnsiTheme="majorHAnsi" w:cstheme="majorHAnsi"/>
          <w:b/>
          <w:bCs/>
          <w:iCs/>
          <w:sz w:val="28"/>
          <w:szCs w:val="28"/>
          <w:lang w:val="ru-MD"/>
        </w:rPr>
        <w:t>СЧЕТНАЯ ПАЛАТА РЕСПУБЛИКИ МОЛДОВА</w:t>
      </w:r>
      <w:r w:rsidRPr="00AE488A">
        <w:rPr>
          <w:rFonts w:asciiTheme="majorHAnsi" w:hAnsiTheme="majorHAnsi" w:cstheme="majorHAnsi"/>
          <w:b/>
          <w:sz w:val="28"/>
          <w:szCs w:val="28"/>
          <w:lang w:val="ru-MD"/>
        </w:rPr>
        <w:t xml:space="preserve"> </w:t>
      </w: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25D9C" w:rsidRPr="00AE488A" w:rsidTr="00923B6C">
        <w:trPr>
          <w:trHeight w:val="435"/>
        </w:trPr>
        <w:tc>
          <w:tcPr>
            <w:tcW w:w="9026" w:type="dxa"/>
          </w:tcPr>
          <w:p w:rsidR="00125D9C" w:rsidRPr="00AE488A" w:rsidRDefault="00125D9C" w:rsidP="00923B6C">
            <w:pPr>
              <w:tabs>
                <w:tab w:val="left" w:pos="0"/>
              </w:tabs>
              <w:spacing w:line="276" w:lineRule="auto"/>
              <w:jc w:val="center"/>
              <w:rPr>
                <w:rFonts w:asciiTheme="majorHAnsi" w:hAnsiTheme="majorHAnsi" w:cstheme="majorHAnsi"/>
                <w:b/>
                <w:i/>
                <w:lang w:val="ru-MD"/>
              </w:rPr>
            </w:pPr>
            <w:r w:rsidRPr="00AE488A">
              <w:rPr>
                <w:rFonts w:asciiTheme="majorHAnsi" w:hAnsiTheme="majorHAnsi" w:cstheme="majorHAnsi"/>
                <w:sz w:val="24"/>
                <w:lang w:val="ru-MD"/>
              </w:rPr>
              <w:t xml:space="preserve">MD-2001, mun. Chișinău, bd. Ștefan cel Mare și Sfânt nr.69, tel. (+373 22) 26 60 02, fax: (+373 22) 26 61 00, web: </w:t>
            </w:r>
            <w:hyperlink r:id="rId9" w:history="1">
              <w:r w:rsidRPr="00AE488A">
                <w:rPr>
                  <w:rStyle w:val="Hyperlink"/>
                  <w:rFonts w:asciiTheme="majorHAnsi" w:hAnsiTheme="majorHAnsi" w:cstheme="majorHAnsi"/>
                  <w:i/>
                  <w:sz w:val="24"/>
                  <w:lang w:val="ru-MD"/>
                </w:rPr>
                <w:t>www.ccrm.md</w:t>
              </w:r>
            </w:hyperlink>
            <w:r w:rsidRPr="00AE488A">
              <w:rPr>
                <w:rFonts w:asciiTheme="majorHAnsi" w:hAnsiTheme="majorHAnsi" w:cstheme="majorHAnsi"/>
                <w:sz w:val="24"/>
                <w:lang w:val="ru-MD"/>
              </w:rPr>
              <w:t xml:space="preserve">, e-mail: </w:t>
            </w:r>
            <w:hyperlink r:id="rId10" w:history="1">
              <w:r w:rsidRPr="00AE488A">
                <w:rPr>
                  <w:rStyle w:val="Hyperlink"/>
                  <w:rFonts w:asciiTheme="majorHAnsi" w:hAnsiTheme="majorHAnsi" w:cstheme="majorHAnsi"/>
                  <w:i/>
                  <w:sz w:val="24"/>
                  <w:lang w:val="ru-MD"/>
                </w:rPr>
                <w:t>ccrm@ccrm.md</w:t>
              </w:r>
            </w:hyperlink>
          </w:p>
        </w:tc>
      </w:tr>
    </w:tbl>
    <w:p w:rsidR="00125D9C" w:rsidRPr="00AE488A" w:rsidRDefault="00125D9C" w:rsidP="00125D9C">
      <w:pPr>
        <w:tabs>
          <w:tab w:val="left" w:pos="720"/>
        </w:tabs>
        <w:spacing w:after="0" w:line="276" w:lineRule="auto"/>
        <w:jc w:val="right"/>
        <w:rPr>
          <w:rFonts w:asciiTheme="majorHAnsi" w:eastAsia="Times New Roman" w:hAnsiTheme="majorHAnsi" w:cs="Times New Roman"/>
          <w:b/>
          <w:bCs/>
          <w:sz w:val="24"/>
          <w:szCs w:val="24"/>
          <w:lang w:val="ru-MD"/>
        </w:rPr>
      </w:pPr>
    </w:p>
    <w:p w:rsidR="00125D9C" w:rsidRPr="00AE488A" w:rsidRDefault="00125D9C" w:rsidP="00125D9C">
      <w:pPr>
        <w:tabs>
          <w:tab w:val="left" w:pos="720"/>
        </w:tabs>
        <w:spacing w:after="0" w:line="276" w:lineRule="auto"/>
        <w:jc w:val="right"/>
        <w:rPr>
          <w:rFonts w:asciiTheme="majorHAnsi" w:eastAsia="Times New Roman" w:hAnsiTheme="majorHAnsi" w:cs="Times New Roman"/>
          <w:b/>
          <w:bCs/>
          <w:sz w:val="24"/>
          <w:szCs w:val="24"/>
          <w:lang w:val="ru-MD"/>
        </w:rPr>
      </w:pPr>
    </w:p>
    <w:p w:rsidR="00125D9C" w:rsidRPr="00AE488A" w:rsidRDefault="00125D9C" w:rsidP="00125D9C">
      <w:pPr>
        <w:tabs>
          <w:tab w:val="left" w:pos="720"/>
        </w:tabs>
        <w:spacing w:after="0" w:line="276" w:lineRule="auto"/>
        <w:ind w:firstLine="720"/>
        <w:jc w:val="center"/>
        <w:rPr>
          <w:rFonts w:asciiTheme="majorHAnsi" w:eastAsia="Times New Roman" w:hAnsiTheme="majorHAnsi" w:cs="Times New Roman"/>
          <w:b/>
          <w:bCs/>
          <w:sz w:val="28"/>
          <w:szCs w:val="28"/>
          <w:lang w:val="ru-MD"/>
        </w:rPr>
      </w:pPr>
    </w:p>
    <w:p w:rsidR="004C7B62" w:rsidRPr="00AE488A" w:rsidRDefault="004C7B62" w:rsidP="004C7B62">
      <w:pPr>
        <w:tabs>
          <w:tab w:val="left" w:pos="720"/>
        </w:tabs>
        <w:spacing w:after="0" w:line="276" w:lineRule="auto"/>
        <w:jc w:val="center"/>
        <w:rPr>
          <w:rFonts w:asciiTheme="majorHAnsi" w:eastAsia="Times New Roman" w:hAnsiTheme="majorHAnsi" w:cs="Times New Roman"/>
          <w:b/>
          <w:bCs/>
          <w:sz w:val="28"/>
          <w:szCs w:val="28"/>
          <w:lang w:val="ru-MD"/>
        </w:rPr>
      </w:pPr>
      <w:r w:rsidRPr="00AE488A">
        <w:rPr>
          <w:rFonts w:asciiTheme="majorHAnsi" w:eastAsia="Times New Roman" w:hAnsiTheme="majorHAnsi" w:cs="Times New Roman"/>
          <w:b/>
          <w:bCs/>
          <w:sz w:val="28"/>
          <w:szCs w:val="28"/>
          <w:lang w:val="ru-MD"/>
        </w:rPr>
        <w:t xml:space="preserve">ОТЧЕТ </w:t>
      </w:r>
    </w:p>
    <w:p w:rsidR="004C7B62" w:rsidRPr="00AE488A" w:rsidRDefault="004C7B62" w:rsidP="004C7B62">
      <w:pPr>
        <w:tabs>
          <w:tab w:val="left" w:pos="720"/>
        </w:tabs>
        <w:spacing w:after="0" w:line="276" w:lineRule="auto"/>
        <w:jc w:val="center"/>
        <w:rPr>
          <w:rFonts w:asciiTheme="majorHAnsi" w:eastAsia="Times New Roman" w:hAnsiTheme="majorHAnsi" w:cs="Times New Roman"/>
          <w:b/>
          <w:bCs/>
          <w:sz w:val="28"/>
          <w:szCs w:val="28"/>
          <w:lang w:val="ru-MD"/>
        </w:rPr>
      </w:pPr>
    </w:p>
    <w:p w:rsidR="004C7B62" w:rsidRPr="00AE488A" w:rsidRDefault="004C7B62" w:rsidP="004C7B62">
      <w:pPr>
        <w:tabs>
          <w:tab w:val="left" w:pos="720"/>
        </w:tabs>
        <w:spacing w:after="0" w:line="276" w:lineRule="auto"/>
        <w:jc w:val="center"/>
        <w:rPr>
          <w:rFonts w:asciiTheme="majorHAnsi" w:eastAsia="Times New Roman" w:hAnsiTheme="majorHAnsi" w:cs="Times New Roman"/>
          <w:bCs/>
          <w:sz w:val="28"/>
          <w:szCs w:val="28"/>
          <w:lang w:val="ru-MD"/>
        </w:rPr>
      </w:pPr>
      <w:r w:rsidRPr="00AE488A">
        <w:rPr>
          <w:rFonts w:asciiTheme="majorHAnsi" w:eastAsia="Times New Roman" w:hAnsiTheme="majorHAnsi" w:cs="Times New Roman"/>
          <w:bCs/>
          <w:sz w:val="28"/>
          <w:szCs w:val="28"/>
          <w:lang w:val="ru-MD"/>
        </w:rPr>
        <w:t>аудита консолидированной финансовой отчетности Министерства инфраструктуры и регионального развития по состоянию на</w:t>
      </w:r>
    </w:p>
    <w:p w:rsidR="004C7B62" w:rsidRPr="00AE488A" w:rsidRDefault="004C7B62" w:rsidP="004C7B62">
      <w:pPr>
        <w:tabs>
          <w:tab w:val="left" w:pos="720"/>
        </w:tabs>
        <w:spacing w:after="0" w:line="276" w:lineRule="auto"/>
        <w:jc w:val="center"/>
        <w:rPr>
          <w:rFonts w:asciiTheme="majorHAnsi" w:eastAsia="Times New Roman" w:hAnsiTheme="majorHAnsi" w:cs="Times New Roman"/>
          <w:bCs/>
          <w:sz w:val="28"/>
          <w:szCs w:val="28"/>
          <w:lang w:val="ru-MD"/>
        </w:rPr>
      </w:pPr>
      <w:r w:rsidRPr="00AE488A">
        <w:rPr>
          <w:rFonts w:asciiTheme="majorHAnsi" w:eastAsia="Times New Roman" w:hAnsiTheme="majorHAnsi" w:cs="Times New Roman"/>
          <w:bCs/>
          <w:sz w:val="28"/>
          <w:szCs w:val="28"/>
          <w:lang w:val="ru-MD"/>
        </w:rPr>
        <w:t xml:space="preserve"> 31 декабря 2021 года </w:t>
      </w:r>
    </w:p>
    <w:p w:rsidR="00125D9C" w:rsidRPr="00AE488A" w:rsidRDefault="00125D9C" w:rsidP="00125D9C">
      <w:pPr>
        <w:rPr>
          <w:rFonts w:asciiTheme="majorHAnsi" w:eastAsia="Times New Roman" w:hAnsiTheme="majorHAnsi" w:cs="Times New Roman"/>
          <w:b/>
          <w:bCs/>
          <w:sz w:val="28"/>
          <w:szCs w:val="28"/>
          <w:lang w:val="ru-MD"/>
        </w:rPr>
      </w:pPr>
      <w:r w:rsidRPr="00AE488A">
        <w:rPr>
          <w:rFonts w:asciiTheme="majorHAnsi" w:eastAsia="Times New Roman" w:hAnsiTheme="majorHAnsi" w:cs="Times New Roman"/>
          <w:b/>
          <w:bCs/>
          <w:sz w:val="28"/>
          <w:szCs w:val="28"/>
          <w:lang w:val="ru-MD"/>
        </w:rPr>
        <w:br w:type="page"/>
      </w:r>
    </w:p>
    <w:p w:rsidR="00125D9C" w:rsidRPr="00AE488A" w:rsidRDefault="00522E36" w:rsidP="00125D9C">
      <w:pPr>
        <w:pStyle w:val="ListParagraph"/>
        <w:numPr>
          <w:ilvl w:val="0"/>
          <w:numId w:val="1"/>
        </w:numPr>
        <w:spacing w:after="0" w:line="276" w:lineRule="auto"/>
        <w:ind w:left="993"/>
        <w:outlineLvl w:val="0"/>
        <w:rPr>
          <w:rFonts w:asciiTheme="majorHAnsi" w:hAnsiTheme="majorHAnsi" w:cs="Times New Roman"/>
          <w:b/>
          <w:sz w:val="28"/>
          <w:szCs w:val="28"/>
          <w:lang w:val="ru-MD"/>
        </w:rPr>
      </w:pPr>
      <w:bookmarkStart w:id="1" w:name="_Toc530056756"/>
      <w:bookmarkStart w:id="2" w:name="_Toc532292925"/>
      <w:r w:rsidRPr="00AE488A">
        <w:rPr>
          <w:rFonts w:asciiTheme="majorHAnsi" w:eastAsia="Calibri" w:hAnsiTheme="majorHAnsi" w:cstheme="majorHAnsi"/>
          <w:b/>
          <w:sz w:val="28"/>
          <w:szCs w:val="28"/>
          <w:lang w:val="ru-MD"/>
        </w:rPr>
        <w:lastRenderedPageBreak/>
        <w:t>УСЛОВНОЕ МНЕНИЕ</w:t>
      </w:r>
      <w:r w:rsidRPr="00AE488A">
        <w:rPr>
          <w:rFonts w:asciiTheme="majorHAnsi" w:hAnsiTheme="majorHAnsi" w:cs="Times New Roman"/>
          <w:b/>
          <w:sz w:val="28"/>
          <w:szCs w:val="28"/>
          <w:lang w:val="ru-MD"/>
        </w:rPr>
        <w:t xml:space="preserve"> </w:t>
      </w:r>
      <w:bookmarkEnd w:id="1"/>
      <w:bookmarkEnd w:id="2"/>
    </w:p>
    <w:p w:rsidR="00522E36" w:rsidRPr="00AE488A" w:rsidRDefault="00522E36" w:rsidP="00522E36">
      <w:pPr>
        <w:pStyle w:val="FootnoteText"/>
        <w:spacing w:line="276" w:lineRule="auto"/>
        <w:jc w:val="both"/>
        <w:rPr>
          <w:rFonts w:asciiTheme="majorHAnsi" w:hAnsiTheme="majorHAnsi" w:cstheme="majorHAnsi"/>
          <w:sz w:val="24"/>
          <w:szCs w:val="24"/>
          <w:lang w:val="ru-MD"/>
        </w:rPr>
      </w:pPr>
      <w:r w:rsidRPr="00AE488A">
        <w:rPr>
          <w:rFonts w:asciiTheme="majorHAnsi" w:hAnsiTheme="majorHAnsi" w:cstheme="majorHAnsi"/>
          <w:sz w:val="24"/>
          <w:szCs w:val="24"/>
          <w:lang w:val="ru-MD"/>
        </w:rPr>
        <w:t xml:space="preserve">Мы провели аудит консолидированной финансовой отчетности Министерства </w:t>
      </w:r>
      <w:r w:rsidR="003B6B4D" w:rsidRPr="00AE488A">
        <w:rPr>
          <w:rFonts w:asciiTheme="majorHAnsi" w:hAnsiTheme="majorHAnsi" w:cs="Times New Roman"/>
          <w:sz w:val="24"/>
          <w:szCs w:val="24"/>
          <w:lang w:val="ru-MD"/>
        </w:rPr>
        <w:t>инфраструктуры</w:t>
      </w:r>
      <w:r w:rsidRPr="00AE488A">
        <w:rPr>
          <w:rFonts w:asciiTheme="majorHAnsi" w:hAnsiTheme="majorHAnsi" w:cstheme="majorHAnsi"/>
          <w:sz w:val="24"/>
          <w:szCs w:val="24"/>
          <w:lang w:val="ru-MD"/>
        </w:rPr>
        <w:t xml:space="preserve"> </w:t>
      </w:r>
      <w:r w:rsidR="003B6B4D" w:rsidRPr="00AE488A">
        <w:rPr>
          <w:rFonts w:asciiTheme="majorHAnsi" w:hAnsiTheme="majorHAnsi" w:cstheme="majorHAnsi"/>
          <w:sz w:val="24"/>
          <w:szCs w:val="24"/>
          <w:lang w:val="ru-MD"/>
        </w:rPr>
        <w:t xml:space="preserve">и регионального развития </w:t>
      </w:r>
      <w:r w:rsidRPr="00AE488A">
        <w:rPr>
          <w:rFonts w:asciiTheme="majorHAnsi" w:hAnsiTheme="majorHAnsi" w:cstheme="majorHAnsi"/>
          <w:sz w:val="24"/>
          <w:szCs w:val="24"/>
          <w:lang w:val="ru-MD"/>
        </w:rPr>
        <w:t xml:space="preserve">за бюджетный год, завершившийся 31 декабря 2021 года, которая включает Бухгалтерский баланс, Отчет о доходах и расходах, Отчет о движении денежных средств, Отчет об исполнении бюджета, Пояснительную записку об исполнении бюджета, включая краткое изложение существенных аспектов Учетной политики. </w:t>
      </w:r>
    </w:p>
    <w:p w:rsidR="00125D9C" w:rsidRPr="00AE488A" w:rsidRDefault="00522E36" w:rsidP="00522E36">
      <w:pPr>
        <w:pStyle w:val="FootnoteText"/>
        <w:spacing w:line="276" w:lineRule="auto"/>
        <w:jc w:val="both"/>
        <w:rPr>
          <w:rFonts w:asciiTheme="majorHAnsi" w:hAnsiTheme="majorHAnsi" w:cs="Times New Roman"/>
          <w:sz w:val="24"/>
          <w:szCs w:val="24"/>
          <w:lang w:val="ru-MD"/>
        </w:rPr>
      </w:pPr>
      <w:r w:rsidRPr="00AE488A">
        <w:rPr>
          <w:rFonts w:asciiTheme="majorHAnsi" w:hAnsiTheme="majorHAnsi" w:cstheme="majorHAnsi"/>
          <w:sz w:val="24"/>
          <w:szCs w:val="24"/>
          <w:lang w:val="ru-MD"/>
        </w:rPr>
        <w:t xml:space="preserve">По нашему мнению, </w:t>
      </w:r>
      <w:r w:rsidRPr="00AE488A">
        <w:rPr>
          <w:rFonts w:asciiTheme="majorHAnsi" w:eastAsia="Times New Roman" w:hAnsiTheme="majorHAnsi" w:cstheme="majorHAnsi"/>
          <w:sz w:val="24"/>
          <w:szCs w:val="24"/>
          <w:lang w:val="ru-MD"/>
        </w:rPr>
        <w:t xml:space="preserve">за исключением возможного воздействия аспектов, изложенных в разделе </w:t>
      </w:r>
      <w:r w:rsidRPr="00AE488A">
        <w:rPr>
          <w:rFonts w:asciiTheme="majorHAnsi" w:eastAsia="Times New Roman" w:hAnsiTheme="majorHAnsi" w:cstheme="majorHAnsi"/>
          <w:i/>
          <w:sz w:val="24"/>
          <w:szCs w:val="24"/>
          <w:lang w:val="ru-MD"/>
        </w:rPr>
        <w:t>Основание для условного мнения,</w:t>
      </w:r>
      <w:r w:rsidRPr="00AE488A">
        <w:rPr>
          <w:rFonts w:asciiTheme="majorHAnsi" w:eastAsia="Times New Roman" w:hAnsiTheme="majorHAnsi" w:cstheme="majorHAnsi"/>
          <w:sz w:val="24"/>
          <w:szCs w:val="24"/>
          <w:lang w:val="ru-MD"/>
        </w:rPr>
        <w:t xml:space="preserve"> </w:t>
      </w:r>
      <w:r w:rsidRPr="00AE488A">
        <w:rPr>
          <w:rFonts w:asciiTheme="majorHAnsi" w:hAnsiTheme="majorHAnsi" w:cstheme="majorHAnsi"/>
          <w:sz w:val="24"/>
          <w:szCs w:val="24"/>
          <w:lang w:val="ru-MD"/>
        </w:rPr>
        <w:t>финансовая отчетность представляет, во всех существенных аспектах, правильное и достоверное отражение ситуации, в соответствии с применяемой базой по финансовой отчетности</w:t>
      </w:r>
      <w:r w:rsidR="003B6B4D" w:rsidRPr="00AE488A">
        <w:rPr>
          <w:sz w:val="24"/>
          <w:szCs w:val="24"/>
          <w:vertAlign w:val="superscript"/>
          <w:lang w:val="ru-MD"/>
        </w:rPr>
        <w:footnoteReference w:id="1"/>
      </w:r>
      <w:r w:rsidR="00125D9C" w:rsidRPr="00AE488A">
        <w:rPr>
          <w:rFonts w:asciiTheme="majorHAnsi" w:eastAsia="Times New Roman" w:hAnsiTheme="majorHAnsi" w:cs="Times New Roman"/>
          <w:sz w:val="24"/>
          <w:szCs w:val="24"/>
          <w:lang w:val="ru-MD"/>
        </w:rPr>
        <w:t xml:space="preserve">. </w:t>
      </w:r>
    </w:p>
    <w:p w:rsidR="00995CCF" w:rsidRPr="00AE488A" w:rsidRDefault="00995CCF" w:rsidP="00125D9C">
      <w:pPr>
        <w:pStyle w:val="FootnoteText"/>
        <w:spacing w:line="276" w:lineRule="auto"/>
        <w:jc w:val="both"/>
        <w:rPr>
          <w:rFonts w:asciiTheme="majorHAnsi" w:hAnsiTheme="majorHAnsi" w:cs="Times New Roman"/>
          <w:sz w:val="24"/>
          <w:szCs w:val="24"/>
          <w:lang w:val="ru-MD"/>
        </w:rPr>
      </w:pPr>
    </w:p>
    <w:p w:rsidR="00125D9C" w:rsidRPr="00AE488A" w:rsidRDefault="00522E36" w:rsidP="00125D9C">
      <w:pPr>
        <w:pStyle w:val="ListParagraph"/>
        <w:numPr>
          <w:ilvl w:val="0"/>
          <w:numId w:val="1"/>
        </w:numPr>
        <w:spacing w:after="0" w:line="276" w:lineRule="auto"/>
        <w:ind w:left="992" w:hanging="357"/>
        <w:outlineLvl w:val="0"/>
        <w:rPr>
          <w:rFonts w:asciiTheme="majorHAnsi" w:hAnsiTheme="majorHAnsi" w:cs="Times New Roman"/>
          <w:b/>
          <w:caps/>
          <w:sz w:val="28"/>
          <w:szCs w:val="28"/>
          <w:lang w:val="ru-MD"/>
        </w:rPr>
      </w:pPr>
      <w:bookmarkStart w:id="3" w:name="_Toc529533666"/>
      <w:bookmarkStart w:id="4" w:name="_Toc530056757"/>
      <w:bookmarkStart w:id="5" w:name="_Toc532292926"/>
      <w:r w:rsidRPr="00AE488A">
        <w:rPr>
          <w:rFonts w:asciiTheme="majorHAnsi" w:eastAsia="Times New Roman" w:hAnsiTheme="majorHAnsi" w:cstheme="majorHAnsi"/>
          <w:b/>
          <w:sz w:val="28"/>
          <w:szCs w:val="28"/>
          <w:lang w:val="ru-MD"/>
        </w:rPr>
        <w:t>ОСНОВАНИЕ ДЛЯ УСЛОВНОГО МНЕНИЯ</w:t>
      </w:r>
      <w:bookmarkEnd w:id="3"/>
      <w:r w:rsidRPr="00AE488A">
        <w:rPr>
          <w:rFonts w:asciiTheme="majorHAnsi" w:hAnsiTheme="majorHAnsi" w:cs="Times New Roman"/>
          <w:b/>
          <w:sz w:val="28"/>
          <w:szCs w:val="28"/>
          <w:lang w:val="ru-MD"/>
        </w:rPr>
        <w:t xml:space="preserve"> </w:t>
      </w:r>
      <w:bookmarkEnd w:id="4"/>
      <w:bookmarkEnd w:id="5"/>
    </w:p>
    <w:p w:rsidR="00812312" w:rsidRPr="00AE488A" w:rsidRDefault="003B6B4D" w:rsidP="00125D9C">
      <w:pPr>
        <w:pStyle w:val="FootnoteText"/>
        <w:tabs>
          <w:tab w:val="left" w:pos="270"/>
        </w:tabs>
        <w:spacing w:line="276" w:lineRule="auto"/>
        <w:jc w:val="both"/>
        <w:rPr>
          <w:rFonts w:asciiTheme="majorHAnsi" w:eastAsia="Times New Roman" w:hAnsiTheme="majorHAnsi" w:cstheme="majorHAnsi"/>
          <w:sz w:val="24"/>
          <w:szCs w:val="24"/>
          <w:lang w:val="ru-MD"/>
        </w:rPr>
      </w:pPr>
      <w:r w:rsidRPr="00AE488A">
        <w:rPr>
          <w:rFonts w:asciiTheme="majorHAnsi" w:hAnsiTheme="majorHAnsi" w:cs="Times New Roman"/>
          <w:sz w:val="24"/>
          <w:szCs w:val="24"/>
          <w:lang w:val="ru-MD"/>
        </w:rPr>
        <w:t xml:space="preserve">ПУ Фонд социальных инвестиций Молдовы не отразил в бухгалтерском учете передачу инвестиций, осуществленных с целью улучшения условий деятельности в учебных заведениях, сообществам-бенефициарам, что привело к </w:t>
      </w:r>
      <w:r w:rsidR="00DF6992" w:rsidRPr="00AE488A">
        <w:rPr>
          <w:rFonts w:asciiTheme="majorHAnsi" w:hAnsiTheme="majorHAnsi" w:cs="Times New Roman"/>
          <w:sz w:val="24"/>
          <w:szCs w:val="24"/>
          <w:lang w:val="ru-MD"/>
        </w:rPr>
        <w:t>завышению стоимости</w:t>
      </w:r>
      <w:r w:rsidRPr="00AE488A">
        <w:rPr>
          <w:rFonts w:asciiTheme="majorHAnsi" w:hAnsiTheme="majorHAnsi" w:cs="Times New Roman"/>
          <w:sz w:val="24"/>
          <w:szCs w:val="24"/>
          <w:lang w:val="ru-MD"/>
        </w:rPr>
        <w:t xml:space="preserve"> основных средств не менее чем на </w:t>
      </w:r>
      <w:r w:rsidRPr="00AE488A">
        <w:rPr>
          <w:rFonts w:asciiTheme="majorHAnsi" w:hAnsiTheme="majorHAnsi" w:cs="Times New Roman"/>
          <w:b/>
          <w:sz w:val="24"/>
          <w:szCs w:val="24"/>
          <w:lang w:val="ru-MD"/>
        </w:rPr>
        <w:t>67,88</w:t>
      </w:r>
      <w:r w:rsidRPr="00AE488A">
        <w:rPr>
          <w:rFonts w:asciiTheme="majorHAnsi" w:hAnsiTheme="majorHAnsi" w:cs="Times New Roman"/>
          <w:sz w:val="24"/>
          <w:szCs w:val="24"/>
          <w:lang w:val="ru-MD"/>
        </w:rPr>
        <w:t xml:space="preserve"> млн. ле</w:t>
      </w:r>
      <w:r w:rsidR="00DF6992" w:rsidRPr="00AE488A">
        <w:rPr>
          <w:rFonts w:asciiTheme="majorHAnsi" w:hAnsiTheme="majorHAnsi" w:cs="Times New Roman"/>
          <w:sz w:val="24"/>
          <w:szCs w:val="24"/>
          <w:lang w:val="ru-MD"/>
        </w:rPr>
        <w:t>ев,</w:t>
      </w:r>
      <w:r w:rsidRPr="00AE488A">
        <w:rPr>
          <w:rFonts w:asciiTheme="majorHAnsi" w:hAnsiTheme="majorHAnsi" w:cs="Times New Roman"/>
          <w:sz w:val="24"/>
          <w:szCs w:val="24"/>
          <w:lang w:val="ru-MD"/>
        </w:rPr>
        <w:t xml:space="preserve"> и </w:t>
      </w:r>
      <w:r w:rsidR="00DF6992" w:rsidRPr="00AE488A">
        <w:rPr>
          <w:rFonts w:asciiTheme="majorHAnsi" w:hAnsiTheme="majorHAnsi" w:cs="Times New Roman"/>
          <w:sz w:val="24"/>
          <w:szCs w:val="24"/>
          <w:lang w:val="ru-MD"/>
        </w:rPr>
        <w:t>занижению</w:t>
      </w:r>
      <w:r w:rsidRPr="00AE488A">
        <w:rPr>
          <w:rFonts w:asciiTheme="majorHAnsi" w:hAnsiTheme="majorHAnsi" w:cs="Times New Roman"/>
          <w:sz w:val="24"/>
          <w:szCs w:val="24"/>
          <w:lang w:val="ru-MD"/>
        </w:rPr>
        <w:t xml:space="preserve"> </w:t>
      </w:r>
      <w:r w:rsidR="00DF6992" w:rsidRPr="00AE488A">
        <w:rPr>
          <w:rFonts w:asciiTheme="majorHAnsi" w:hAnsiTheme="majorHAnsi" w:cs="Times New Roman"/>
          <w:sz w:val="24"/>
          <w:szCs w:val="24"/>
          <w:lang w:val="ru-MD"/>
        </w:rPr>
        <w:t xml:space="preserve">на ту же сумму </w:t>
      </w:r>
      <w:r w:rsidRPr="00AE488A">
        <w:rPr>
          <w:rFonts w:asciiTheme="majorHAnsi" w:hAnsiTheme="majorHAnsi" w:cs="Times New Roman"/>
          <w:sz w:val="24"/>
          <w:szCs w:val="24"/>
          <w:lang w:val="ru-MD"/>
        </w:rPr>
        <w:t xml:space="preserve">расходов и </w:t>
      </w:r>
      <w:r w:rsidR="00DF6992" w:rsidRPr="00AE488A">
        <w:rPr>
          <w:rFonts w:asciiTheme="majorHAnsi" w:hAnsiTheme="majorHAnsi" w:cs="Times New Roman"/>
          <w:sz w:val="24"/>
          <w:szCs w:val="24"/>
          <w:lang w:val="ru-MD"/>
        </w:rPr>
        <w:t>исправлений</w:t>
      </w:r>
      <w:r w:rsidRPr="00AE488A">
        <w:rPr>
          <w:rFonts w:asciiTheme="majorHAnsi" w:hAnsiTheme="majorHAnsi" w:cs="Times New Roman"/>
          <w:sz w:val="24"/>
          <w:szCs w:val="24"/>
          <w:lang w:val="ru-MD"/>
        </w:rPr>
        <w:t xml:space="preserve"> результатов предыдущих лет. Одновременно</w:t>
      </w:r>
      <w:r w:rsidR="00DF6992" w:rsidRPr="00AE488A">
        <w:rPr>
          <w:rFonts w:asciiTheme="majorHAnsi" w:hAnsiTheme="majorHAnsi" w:cs="Times New Roman"/>
          <w:sz w:val="24"/>
          <w:szCs w:val="24"/>
          <w:lang w:val="ru-MD"/>
        </w:rPr>
        <w:t>,</w:t>
      </w:r>
      <w:r w:rsidRPr="00AE488A">
        <w:rPr>
          <w:rFonts w:asciiTheme="majorHAnsi" w:hAnsiTheme="majorHAnsi" w:cs="Times New Roman"/>
          <w:sz w:val="24"/>
          <w:szCs w:val="24"/>
          <w:lang w:val="ru-MD"/>
        </w:rPr>
        <w:t xml:space="preserve"> был искажен </w:t>
      </w:r>
      <w:r w:rsidR="00DF6992" w:rsidRPr="00AE488A">
        <w:rPr>
          <w:rFonts w:asciiTheme="majorHAnsi" w:hAnsiTheme="majorHAnsi" w:cs="Times New Roman"/>
          <w:sz w:val="24"/>
          <w:szCs w:val="24"/>
          <w:lang w:val="ru-MD"/>
        </w:rPr>
        <w:t xml:space="preserve">и </w:t>
      </w:r>
      <w:r w:rsidRPr="00AE488A">
        <w:rPr>
          <w:rFonts w:asciiTheme="majorHAnsi" w:hAnsiTheme="majorHAnsi" w:cs="Times New Roman"/>
          <w:sz w:val="24"/>
          <w:szCs w:val="24"/>
          <w:lang w:val="ru-MD"/>
        </w:rPr>
        <w:t xml:space="preserve">финансовый результат отчетного года примерно на </w:t>
      </w:r>
      <w:r w:rsidRPr="00AE488A">
        <w:rPr>
          <w:rFonts w:asciiTheme="majorHAnsi" w:hAnsiTheme="majorHAnsi" w:cs="Times New Roman"/>
          <w:b/>
          <w:sz w:val="24"/>
          <w:szCs w:val="24"/>
          <w:lang w:val="ru-MD"/>
        </w:rPr>
        <w:t>55,04</w:t>
      </w:r>
      <w:r w:rsidRPr="00AE488A">
        <w:rPr>
          <w:rFonts w:asciiTheme="majorHAnsi" w:hAnsiTheme="majorHAnsi" w:cs="Times New Roman"/>
          <w:sz w:val="24"/>
          <w:szCs w:val="24"/>
          <w:lang w:val="ru-MD"/>
        </w:rPr>
        <w:t xml:space="preserve"> млн. ле</w:t>
      </w:r>
      <w:r w:rsidR="00DF6992" w:rsidRPr="00AE488A">
        <w:rPr>
          <w:rFonts w:asciiTheme="majorHAnsi" w:hAnsiTheme="majorHAnsi" w:cs="Times New Roman"/>
          <w:sz w:val="24"/>
          <w:szCs w:val="24"/>
          <w:lang w:val="ru-MD"/>
        </w:rPr>
        <w:t>ев.</w:t>
      </w:r>
      <w:r w:rsidR="00AB3617" w:rsidRPr="00AE488A">
        <w:rPr>
          <w:rFonts w:asciiTheme="majorHAnsi" w:eastAsia="Times New Roman" w:hAnsiTheme="majorHAnsi" w:cstheme="majorHAnsi"/>
          <w:sz w:val="24"/>
          <w:szCs w:val="24"/>
          <w:lang w:val="ru-MD"/>
        </w:rPr>
        <w:t xml:space="preserve"> </w:t>
      </w:r>
    </w:p>
    <w:p w:rsidR="00812312" w:rsidRPr="00AE488A" w:rsidRDefault="00812312" w:rsidP="00125D9C">
      <w:pPr>
        <w:pStyle w:val="FootnoteText"/>
        <w:tabs>
          <w:tab w:val="left" w:pos="270"/>
        </w:tabs>
        <w:spacing w:line="276" w:lineRule="auto"/>
        <w:jc w:val="both"/>
        <w:rPr>
          <w:rFonts w:asciiTheme="majorHAnsi" w:eastAsia="Times New Roman" w:hAnsiTheme="majorHAnsi" w:cstheme="majorHAnsi"/>
          <w:sz w:val="24"/>
          <w:szCs w:val="24"/>
          <w:lang w:val="ru-MD"/>
        </w:rPr>
      </w:pPr>
    </w:p>
    <w:p w:rsidR="006B0D9C" w:rsidRPr="00AE488A" w:rsidRDefault="003B6B4D" w:rsidP="00125D9C">
      <w:pPr>
        <w:pStyle w:val="FootnoteText"/>
        <w:tabs>
          <w:tab w:val="left" w:pos="270"/>
        </w:tabs>
        <w:spacing w:line="276" w:lineRule="auto"/>
        <w:jc w:val="both"/>
        <w:rPr>
          <w:rFonts w:asciiTheme="majorHAnsi" w:eastAsia="Times New Roman" w:hAnsiTheme="majorHAnsi" w:cstheme="majorHAnsi"/>
          <w:sz w:val="24"/>
          <w:szCs w:val="24"/>
          <w:lang w:val="ru-MD"/>
        </w:rPr>
      </w:pPr>
      <w:r w:rsidRPr="00AE488A">
        <w:rPr>
          <w:rFonts w:asciiTheme="majorHAnsi" w:eastAsia="Times New Roman" w:hAnsiTheme="majorHAnsi" w:cstheme="majorHAnsi"/>
          <w:sz w:val="24"/>
          <w:szCs w:val="24"/>
          <w:lang w:val="ru-MD"/>
        </w:rPr>
        <w:t xml:space="preserve">ГП „Государственная администрация дорог”, из-за ошибочного толкования Исполнительного листа о признании </w:t>
      </w:r>
      <w:r w:rsidR="00DF6992" w:rsidRPr="00AE488A">
        <w:rPr>
          <w:rFonts w:asciiTheme="majorHAnsi" w:eastAsia="Times New Roman" w:hAnsiTheme="majorHAnsi" w:cstheme="majorHAnsi"/>
          <w:sz w:val="24"/>
          <w:szCs w:val="24"/>
          <w:lang w:val="ru-MD"/>
        </w:rPr>
        <w:t>Постановл</w:t>
      </w:r>
      <w:r w:rsidRPr="00AE488A">
        <w:rPr>
          <w:rFonts w:asciiTheme="majorHAnsi" w:eastAsia="Times New Roman" w:hAnsiTheme="majorHAnsi" w:cstheme="majorHAnsi"/>
          <w:sz w:val="24"/>
          <w:szCs w:val="24"/>
          <w:lang w:val="ru-MD"/>
        </w:rPr>
        <w:t xml:space="preserve">ения иностранного Арбитражного суда и соглашении с принудительным возмещением ущерба, неправильно рассчитало начисленные проценты и штрафы, что обусловило </w:t>
      </w:r>
      <w:r w:rsidR="00DF6992" w:rsidRPr="00AE488A">
        <w:rPr>
          <w:rFonts w:asciiTheme="majorHAnsi" w:eastAsia="Times New Roman" w:hAnsiTheme="majorHAnsi" w:cstheme="majorHAnsi"/>
          <w:sz w:val="24"/>
          <w:szCs w:val="24"/>
          <w:lang w:val="ru-MD"/>
        </w:rPr>
        <w:t xml:space="preserve">завышение </w:t>
      </w:r>
      <w:r w:rsidRPr="00AE488A">
        <w:rPr>
          <w:rFonts w:asciiTheme="majorHAnsi" w:eastAsia="Times New Roman" w:hAnsiTheme="majorHAnsi" w:cstheme="majorHAnsi"/>
          <w:sz w:val="24"/>
          <w:szCs w:val="24"/>
          <w:lang w:val="ru-MD"/>
        </w:rPr>
        <w:t>расходов отчетн</w:t>
      </w:r>
      <w:r w:rsidR="00DF6992" w:rsidRPr="00AE488A">
        <w:rPr>
          <w:rFonts w:asciiTheme="majorHAnsi" w:eastAsia="Times New Roman" w:hAnsiTheme="majorHAnsi" w:cstheme="majorHAnsi"/>
          <w:sz w:val="24"/>
          <w:szCs w:val="24"/>
          <w:lang w:val="ru-MD"/>
        </w:rPr>
        <w:t>ого</w:t>
      </w:r>
      <w:r w:rsidRPr="00AE488A">
        <w:rPr>
          <w:rFonts w:asciiTheme="majorHAnsi" w:eastAsia="Times New Roman" w:hAnsiTheme="majorHAnsi" w:cstheme="majorHAnsi"/>
          <w:sz w:val="24"/>
          <w:szCs w:val="24"/>
          <w:lang w:val="ru-MD"/>
        </w:rPr>
        <w:t xml:space="preserve"> период</w:t>
      </w:r>
      <w:r w:rsidR="00DF6992" w:rsidRPr="00AE488A">
        <w:rPr>
          <w:rFonts w:asciiTheme="majorHAnsi" w:eastAsia="Times New Roman" w:hAnsiTheme="majorHAnsi" w:cstheme="majorHAnsi"/>
          <w:sz w:val="24"/>
          <w:szCs w:val="24"/>
          <w:lang w:val="ru-MD"/>
        </w:rPr>
        <w:t>а</w:t>
      </w:r>
      <w:r w:rsidRPr="00AE488A">
        <w:rPr>
          <w:rFonts w:asciiTheme="majorHAnsi" w:eastAsia="Times New Roman" w:hAnsiTheme="majorHAnsi" w:cstheme="majorHAnsi"/>
          <w:sz w:val="24"/>
          <w:szCs w:val="24"/>
          <w:lang w:val="ru-MD"/>
        </w:rPr>
        <w:t xml:space="preserve"> и </w:t>
      </w:r>
      <w:r w:rsidR="00DF6992" w:rsidRPr="00AE488A">
        <w:rPr>
          <w:rFonts w:asciiTheme="majorHAnsi" w:eastAsia="Times New Roman" w:hAnsiTheme="majorHAnsi" w:cstheme="majorHAnsi"/>
          <w:sz w:val="24"/>
          <w:szCs w:val="24"/>
          <w:lang w:val="ru-MD"/>
        </w:rPr>
        <w:t xml:space="preserve">занижение </w:t>
      </w:r>
      <w:r w:rsidRPr="00AE488A">
        <w:rPr>
          <w:rFonts w:asciiTheme="majorHAnsi" w:eastAsia="Times New Roman" w:hAnsiTheme="majorHAnsi" w:cstheme="majorHAnsi"/>
          <w:sz w:val="24"/>
          <w:szCs w:val="24"/>
          <w:lang w:val="ru-MD"/>
        </w:rPr>
        <w:t xml:space="preserve">финансового результата </w:t>
      </w:r>
      <w:r w:rsidR="00DF6992" w:rsidRPr="00AE488A">
        <w:rPr>
          <w:rFonts w:asciiTheme="majorHAnsi" w:eastAsia="Times New Roman" w:hAnsiTheme="majorHAnsi" w:cstheme="majorHAnsi"/>
          <w:sz w:val="24"/>
          <w:szCs w:val="24"/>
          <w:lang w:val="ru-MD"/>
        </w:rPr>
        <w:t xml:space="preserve">примерно на </w:t>
      </w:r>
      <w:r w:rsidR="00DF6992" w:rsidRPr="00AE488A">
        <w:rPr>
          <w:rFonts w:asciiTheme="majorHAnsi" w:eastAsia="Times New Roman" w:hAnsiTheme="majorHAnsi" w:cstheme="majorHAnsi"/>
          <w:b/>
          <w:sz w:val="24"/>
          <w:szCs w:val="24"/>
          <w:lang w:val="ru-MD"/>
        </w:rPr>
        <w:t>73,9</w:t>
      </w:r>
      <w:r w:rsidR="00DF6992" w:rsidRPr="00AE488A">
        <w:rPr>
          <w:rFonts w:asciiTheme="majorHAnsi" w:eastAsia="Times New Roman" w:hAnsiTheme="majorHAnsi" w:cstheme="majorHAnsi"/>
          <w:sz w:val="24"/>
          <w:szCs w:val="24"/>
          <w:lang w:val="ru-MD"/>
        </w:rPr>
        <w:t xml:space="preserve"> млн. леев. Так же, долг перед предпринимателем был </w:t>
      </w:r>
      <w:r w:rsidR="00AE488A">
        <w:rPr>
          <w:rFonts w:asciiTheme="majorHAnsi" w:eastAsia="Times New Roman" w:hAnsiTheme="majorHAnsi" w:cstheme="majorHAnsi"/>
          <w:sz w:val="24"/>
          <w:szCs w:val="24"/>
          <w:lang w:val="ru-MD"/>
        </w:rPr>
        <w:t>за</w:t>
      </w:r>
      <w:r w:rsidR="00AE0115" w:rsidRPr="00AE488A">
        <w:rPr>
          <w:rFonts w:asciiTheme="majorHAnsi" w:eastAsia="Times New Roman" w:hAnsiTheme="majorHAnsi" w:cstheme="majorHAnsi"/>
          <w:sz w:val="24"/>
          <w:szCs w:val="24"/>
          <w:lang w:val="ru-MD"/>
        </w:rPr>
        <w:t>выш</w:t>
      </w:r>
      <w:r w:rsidR="00DF6992" w:rsidRPr="00AE488A">
        <w:rPr>
          <w:rFonts w:asciiTheme="majorHAnsi" w:eastAsia="Times New Roman" w:hAnsiTheme="majorHAnsi" w:cstheme="majorHAnsi"/>
          <w:sz w:val="24"/>
          <w:szCs w:val="24"/>
          <w:lang w:val="ru-MD"/>
        </w:rPr>
        <w:t xml:space="preserve">ен на </w:t>
      </w:r>
      <w:r w:rsidR="00DF6992" w:rsidRPr="00AE488A">
        <w:rPr>
          <w:rFonts w:asciiTheme="majorHAnsi" w:eastAsia="Times New Roman" w:hAnsiTheme="majorHAnsi" w:cstheme="majorHAnsi"/>
          <w:b/>
          <w:sz w:val="24"/>
          <w:szCs w:val="24"/>
          <w:lang w:val="ru-MD"/>
        </w:rPr>
        <w:t>70,6</w:t>
      </w:r>
      <w:r w:rsidR="00DF6992" w:rsidRPr="00AE488A">
        <w:rPr>
          <w:rFonts w:asciiTheme="majorHAnsi" w:eastAsia="Times New Roman" w:hAnsiTheme="majorHAnsi" w:cstheme="majorHAnsi"/>
          <w:sz w:val="24"/>
          <w:szCs w:val="24"/>
          <w:lang w:val="ru-MD"/>
        </w:rPr>
        <w:t xml:space="preserve"> млн. ле</w:t>
      </w:r>
      <w:r w:rsidR="00AE0115" w:rsidRPr="00AE488A">
        <w:rPr>
          <w:rFonts w:asciiTheme="majorHAnsi" w:eastAsia="Times New Roman" w:hAnsiTheme="majorHAnsi" w:cstheme="majorHAnsi"/>
          <w:sz w:val="24"/>
          <w:szCs w:val="24"/>
          <w:lang w:val="ru-MD"/>
        </w:rPr>
        <w:t>ев</w:t>
      </w:r>
      <w:r w:rsidR="005269A6" w:rsidRPr="00AE488A">
        <w:rPr>
          <w:rFonts w:asciiTheme="majorHAnsi" w:eastAsia="Times New Roman" w:hAnsiTheme="majorHAnsi" w:cstheme="majorHAnsi"/>
          <w:sz w:val="24"/>
          <w:szCs w:val="24"/>
          <w:lang w:val="ru-MD"/>
        </w:rPr>
        <w:t>.</w:t>
      </w:r>
    </w:p>
    <w:p w:rsidR="00D76589" w:rsidRPr="00AE488A" w:rsidRDefault="00D76589" w:rsidP="00125D9C">
      <w:pPr>
        <w:pStyle w:val="FootnoteText"/>
        <w:tabs>
          <w:tab w:val="left" w:pos="270"/>
        </w:tabs>
        <w:spacing w:line="276" w:lineRule="auto"/>
        <w:jc w:val="both"/>
        <w:rPr>
          <w:rFonts w:asciiTheme="majorHAnsi" w:eastAsia="Times New Roman" w:hAnsiTheme="majorHAnsi" w:cstheme="majorHAnsi"/>
          <w:sz w:val="24"/>
          <w:szCs w:val="24"/>
          <w:lang w:val="ru-MD"/>
        </w:rPr>
      </w:pPr>
    </w:p>
    <w:p w:rsidR="00EC649A" w:rsidRPr="00AE488A" w:rsidRDefault="003B6B4D" w:rsidP="00EC649A">
      <w:pPr>
        <w:pStyle w:val="FootnoteText"/>
        <w:tabs>
          <w:tab w:val="left" w:pos="270"/>
        </w:tabs>
        <w:spacing w:line="276" w:lineRule="auto"/>
        <w:jc w:val="both"/>
        <w:rPr>
          <w:rFonts w:asciiTheme="majorHAnsi" w:eastAsia="Times New Roman" w:hAnsiTheme="majorHAnsi" w:cstheme="majorHAnsi"/>
          <w:sz w:val="24"/>
          <w:szCs w:val="24"/>
          <w:lang w:val="ru-MD"/>
        </w:rPr>
      </w:pPr>
      <w:r w:rsidRPr="00AE488A">
        <w:rPr>
          <w:rFonts w:asciiTheme="majorHAnsi" w:eastAsia="Times New Roman" w:hAnsiTheme="majorHAnsi" w:cstheme="majorHAnsi"/>
          <w:sz w:val="24"/>
          <w:szCs w:val="24"/>
          <w:lang w:val="ru-MD"/>
        </w:rPr>
        <w:t xml:space="preserve">ИП </w:t>
      </w:r>
      <w:r w:rsidR="00AE0115" w:rsidRPr="00AE488A">
        <w:rPr>
          <w:rFonts w:asciiTheme="majorHAnsi" w:eastAsia="Times New Roman" w:hAnsiTheme="majorHAnsi" w:cstheme="majorHAnsi"/>
          <w:sz w:val="24"/>
          <w:szCs w:val="24"/>
          <w:lang w:val="ru-MD"/>
        </w:rPr>
        <w:t>П</w:t>
      </w:r>
      <w:r w:rsidRPr="00AE488A">
        <w:rPr>
          <w:rFonts w:asciiTheme="majorHAnsi" w:eastAsia="Times New Roman" w:hAnsiTheme="majorHAnsi" w:cstheme="majorHAnsi"/>
          <w:sz w:val="24"/>
          <w:szCs w:val="24"/>
          <w:lang w:val="ru-MD"/>
        </w:rPr>
        <w:t xml:space="preserve">одразделение по внедрению </w:t>
      </w:r>
      <w:r w:rsidR="00AE0115" w:rsidRPr="00AE488A">
        <w:rPr>
          <w:rFonts w:asciiTheme="majorHAnsi" w:eastAsia="Times New Roman" w:hAnsiTheme="majorHAnsi" w:cstheme="majorHAnsi"/>
          <w:sz w:val="24"/>
          <w:szCs w:val="24"/>
          <w:lang w:val="ru-MD"/>
        </w:rPr>
        <w:t>II П</w:t>
      </w:r>
      <w:r w:rsidRPr="00AE488A">
        <w:rPr>
          <w:rFonts w:asciiTheme="majorHAnsi" w:eastAsia="Times New Roman" w:hAnsiTheme="majorHAnsi" w:cstheme="majorHAnsi"/>
          <w:sz w:val="24"/>
          <w:szCs w:val="24"/>
          <w:lang w:val="ru-MD"/>
        </w:rPr>
        <w:t xml:space="preserve">роекта </w:t>
      </w:r>
      <w:r w:rsidR="00AE0115" w:rsidRPr="00AE488A">
        <w:rPr>
          <w:rFonts w:asciiTheme="majorHAnsi" w:eastAsia="Times New Roman" w:hAnsiTheme="majorHAnsi" w:cstheme="majorHAnsi"/>
          <w:sz w:val="24"/>
          <w:szCs w:val="24"/>
          <w:lang w:val="ru-MD"/>
        </w:rPr>
        <w:t xml:space="preserve">по </w:t>
      </w:r>
      <w:r w:rsidRPr="00AE488A">
        <w:rPr>
          <w:rFonts w:asciiTheme="majorHAnsi" w:eastAsia="Times New Roman" w:hAnsiTheme="majorHAnsi" w:cstheme="majorHAnsi"/>
          <w:sz w:val="24"/>
          <w:szCs w:val="24"/>
          <w:lang w:val="ru-MD"/>
        </w:rPr>
        <w:t>строительств</w:t>
      </w:r>
      <w:r w:rsidR="00AE0115" w:rsidRPr="00AE488A">
        <w:rPr>
          <w:rFonts w:asciiTheme="majorHAnsi" w:eastAsia="Times New Roman" w:hAnsiTheme="majorHAnsi" w:cstheme="majorHAnsi"/>
          <w:sz w:val="24"/>
          <w:szCs w:val="24"/>
          <w:lang w:val="ru-MD"/>
        </w:rPr>
        <w:t>у</w:t>
      </w:r>
      <w:r w:rsidRPr="00AE488A">
        <w:rPr>
          <w:rFonts w:asciiTheme="majorHAnsi" w:eastAsia="Times New Roman" w:hAnsiTheme="majorHAnsi" w:cstheme="majorHAnsi"/>
          <w:sz w:val="24"/>
          <w:szCs w:val="24"/>
          <w:lang w:val="ru-MD"/>
        </w:rPr>
        <w:t xml:space="preserve"> жилья для социально уязвимых слоев</w:t>
      </w:r>
      <w:r w:rsidR="00AE0115" w:rsidRPr="00AE488A">
        <w:rPr>
          <w:rFonts w:asciiTheme="majorHAnsi" w:eastAsia="Times New Roman" w:hAnsiTheme="majorHAnsi" w:cstheme="majorHAnsi"/>
          <w:sz w:val="24"/>
          <w:szCs w:val="24"/>
          <w:lang w:val="ru-MD"/>
        </w:rPr>
        <w:t>,</w:t>
      </w:r>
      <w:r w:rsidRPr="00AE488A">
        <w:rPr>
          <w:rFonts w:asciiTheme="majorHAnsi" w:eastAsia="Times New Roman" w:hAnsiTheme="majorHAnsi" w:cstheme="majorHAnsi"/>
          <w:sz w:val="24"/>
          <w:szCs w:val="24"/>
          <w:lang w:val="ru-MD"/>
        </w:rPr>
        <w:t xml:space="preserve"> из-за </w:t>
      </w:r>
      <w:r w:rsidR="00AE0115" w:rsidRPr="00AE488A">
        <w:rPr>
          <w:rFonts w:asciiTheme="majorHAnsi" w:eastAsia="Times New Roman" w:hAnsiTheme="majorHAnsi" w:cstheme="majorHAnsi"/>
          <w:sz w:val="24"/>
          <w:szCs w:val="24"/>
          <w:lang w:val="ru-MD"/>
        </w:rPr>
        <w:t>неустановления</w:t>
      </w:r>
      <w:r w:rsidRPr="00AE488A">
        <w:rPr>
          <w:rFonts w:asciiTheme="majorHAnsi" w:eastAsia="Times New Roman" w:hAnsiTheme="majorHAnsi" w:cstheme="majorHAnsi"/>
          <w:sz w:val="24"/>
          <w:szCs w:val="24"/>
          <w:lang w:val="ru-MD"/>
        </w:rPr>
        <w:t xml:space="preserve"> эффективн</w:t>
      </w:r>
      <w:r w:rsidR="00AE0115" w:rsidRPr="00AE488A">
        <w:rPr>
          <w:rFonts w:asciiTheme="majorHAnsi" w:eastAsia="Times New Roman" w:hAnsiTheme="majorHAnsi" w:cstheme="majorHAnsi"/>
          <w:sz w:val="24"/>
          <w:szCs w:val="24"/>
          <w:lang w:val="ru-MD"/>
        </w:rPr>
        <w:t>ых</w:t>
      </w:r>
      <w:r w:rsidRPr="00AE488A">
        <w:rPr>
          <w:rFonts w:asciiTheme="majorHAnsi" w:eastAsia="Times New Roman" w:hAnsiTheme="majorHAnsi" w:cstheme="majorHAnsi"/>
          <w:sz w:val="24"/>
          <w:szCs w:val="24"/>
          <w:lang w:val="ru-MD"/>
        </w:rPr>
        <w:t xml:space="preserve"> ключев</w:t>
      </w:r>
      <w:r w:rsidR="00AE0115" w:rsidRPr="00AE488A">
        <w:rPr>
          <w:rFonts w:asciiTheme="majorHAnsi" w:eastAsia="Times New Roman" w:hAnsiTheme="majorHAnsi" w:cstheme="majorHAnsi"/>
          <w:sz w:val="24"/>
          <w:szCs w:val="24"/>
          <w:lang w:val="ru-MD"/>
        </w:rPr>
        <w:t>ых</w:t>
      </w:r>
      <w:r w:rsidRPr="00AE488A">
        <w:rPr>
          <w:rFonts w:asciiTheme="majorHAnsi" w:eastAsia="Times New Roman" w:hAnsiTheme="majorHAnsi" w:cstheme="majorHAnsi"/>
          <w:sz w:val="24"/>
          <w:szCs w:val="24"/>
          <w:lang w:val="ru-MD"/>
        </w:rPr>
        <w:t xml:space="preserve"> контрол</w:t>
      </w:r>
      <w:r w:rsidR="00AE0115" w:rsidRPr="00AE488A">
        <w:rPr>
          <w:rFonts w:asciiTheme="majorHAnsi" w:eastAsia="Times New Roman" w:hAnsiTheme="majorHAnsi" w:cstheme="majorHAnsi"/>
          <w:sz w:val="24"/>
          <w:szCs w:val="24"/>
          <w:lang w:val="ru-MD"/>
        </w:rPr>
        <w:t>ей,</w:t>
      </w:r>
      <w:r w:rsidRPr="00AE488A">
        <w:rPr>
          <w:rFonts w:asciiTheme="majorHAnsi" w:eastAsia="Times New Roman" w:hAnsiTheme="majorHAnsi" w:cstheme="majorHAnsi"/>
          <w:sz w:val="24"/>
          <w:szCs w:val="24"/>
          <w:lang w:val="ru-MD"/>
        </w:rPr>
        <w:t xml:space="preserve"> не </w:t>
      </w:r>
      <w:r w:rsidR="00AE0115" w:rsidRPr="00AE488A">
        <w:rPr>
          <w:rFonts w:asciiTheme="majorHAnsi" w:eastAsia="Times New Roman" w:hAnsiTheme="majorHAnsi" w:cstheme="majorHAnsi"/>
          <w:sz w:val="24"/>
          <w:szCs w:val="24"/>
          <w:lang w:val="ru-MD"/>
        </w:rPr>
        <w:t xml:space="preserve">обеспечило </w:t>
      </w:r>
      <w:r w:rsidRPr="00AE488A">
        <w:rPr>
          <w:rFonts w:asciiTheme="majorHAnsi" w:eastAsia="Times New Roman" w:hAnsiTheme="majorHAnsi" w:cstheme="majorHAnsi"/>
          <w:sz w:val="24"/>
          <w:szCs w:val="24"/>
          <w:lang w:val="ru-MD"/>
        </w:rPr>
        <w:t>переда</w:t>
      </w:r>
      <w:r w:rsidR="00AE0115" w:rsidRPr="00AE488A">
        <w:rPr>
          <w:rFonts w:asciiTheme="majorHAnsi" w:eastAsia="Times New Roman" w:hAnsiTheme="majorHAnsi" w:cstheme="majorHAnsi"/>
          <w:sz w:val="24"/>
          <w:szCs w:val="24"/>
          <w:lang w:val="ru-MD"/>
        </w:rPr>
        <w:t>чу</w:t>
      </w:r>
      <w:r w:rsidRPr="00AE488A">
        <w:rPr>
          <w:rFonts w:asciiTheme="majorHAnsi" w:eastAsia="Times New Roman" w:hAnsiTheme="majorHAnsi" w:cstheme="majorHAnsi"/>
          <w:sz w:val="24"/>
          <w:szCs w:val="24"/>
          <w:lang w:val="ru-MD"/>
        </w:rPr>
        <w:t xml:space="preserve"> 31 социальн</w:t>
      </w:r>
      <w:r w:rsidR="00AE0115" w:rsidRPr="00AE488A">
        <w:rPr>
          <w:rFonts w:asciiTheme="majorHAnsi" w:eastAsia="Times New Roman" w:hAnsiTheme="majorHAnsi" w:cstheme="majorHAnsi"/>
          <w:sz w:val="24"/>
          <w:szCs w:val="24"/>
          <w:lang w:val="ru-MD"/>
        </w:rPr>
        <w:t>ой</w:t>
      </w:r>
      <w:r w:rsidRPr="00AE488A">
        <w:rPr>
          <w:rFonts w:asciiTheme="majorHAnsi" w:eastAsia="Times New Roman" w:hAnsiTheme="majorHAnsi" w:cstheme="majorHAnsi"/>
          <w:sz w:val="24"/>
          <w:szCs w:val="24"/>
          <w:lang w:val="ru-MD"/>
        </w:rPr>
        <w:t xml:space="preserve"> квартир</w:t>
      </w:r>
      <w:r w:rsidR="00AE0115" w:rsidRPr="00AE488A">
        <w:rPr>
          <w:rFonts w:asciiTheme="majorHAnsi" w:eastAsia="Times New Roman" w:hAnsiTheme="majorHAnsi" w:cstheme="majorHAnsi"/>
          <w:sz w:val="24"/>
          <w:szCs w:val="24"/>
          <w:lang w:val="ru-MD"/>
        </w:rPr>
        <w:t>ы</w:t>
      </w:r>
      <w:r w:rsidRPr="00AE488A">
        <w:rPr>
          <w:rFonts w:asciiTheme="majorHAnsi" w:eastAsia="Times New Roman" w:hAnsiTheme="majorHAnsi" w:cstheme="majorHAnsi"/>
          <w:sz w:val="24"/>
          <w:szCs w:val="24"/>
          <w:lang w:val="ru-MD"/>
        </w:rPr>
        <w:t xml:space="preserve"> </w:t>
      </w:r>
      <w:r w:rsidR="00AE0115" w:rsidRPr="00AE488A">
        <w:rPr>
          <w:rFonts w:asciiTheme="majorHAnsi" w:eastAsia="Times New Roman" w:hAnsiTheme="majorHAnsi" w:cstheme="majorHAnsi"/>
          <w:sz w:val="24"/>
          <w:szCs w:val="24"/>
          <w:lang w:val="ru-MD"/>
        </w:rPr>
        <w:t>в</w:t>
      </w:r>
      <w:r w:rsidRPr="00AE488A">
        <w:rPr>
          <w:rFonts w:asciiTheme="majorHAnsi" w:eastAsia="Times New Roman" w:hAnsiTheme="majorHAnsi" w:cstheme="majorHAnsi"/>
          <w:sz w:val="24"/>
          <w:szCs w:val="24"/>
          <w:lang w:val="ru-MD"/>
        </w:rPr>
        <w:t xml:space="preserve"> жило</w:t>
      </w:r>
      <w:r w:rsidR="00AE0115" w:rsidRPr="00AE488A">
        <w:rPr>
          <w:rFonts w:asciiTheme="majorHAnsi" w:eastAsia="Times New Roman" w:hAnsiTheme="majorHAnsi" w:cstheme="majorHAnsi"/>
          <w:sz w:val="24"/>
          <w:szCs w:val="24"/>
          <w:lang w:val="ru-MD"/>
        </w:rPr>
        <w:t>м</w:t>
      </w:r>
      <w:r w:rsidRPr="00AE488A">
        <w:rPr>
          <w:rFonts w:asciiTheme="majorHAnsi" w:eastAsia="Times New Roman" w:hAnsiTheme="majorHAnsi" w:cstheme="majorHAnsi"/>
          <w:sz w:val="24"/>
          <w:szCs w:val="24"/>
          <w:lang w:val="ru-MD"/>
        </w:rPr>
        <w:t xml:space="preserve"> комплекс</w:t>
      </w:r>
      <w:r w:rsidR="00AE0115" w:rsidRPr="00AE488A">
        <w:rPr>
          <w:rFonts w:asciiTheme="majorHAnsi" w:eastAsia="Times New Roman" w:hAnsiTheme="majorHAnsi" w:cstheme="majorHAnsi"/>
          <w:sz w:val="24"/>
          <w:szCs w:val="24"/>
          <w:lang w:val="ru-MD"/>
        </w:rPr>
        <w:t>е</w:t>
      </w:r>
      <w:r w:rsidRPr="00AE488A">
        <w:rPr>
          <w:rFonts w:asciiTheme="majorHAnsi" w:eastAsia="Times New Roman" w:hAnsiTheme="majorHAnsi" w:cstheme="majorHAnsi"/>
          <w:sz w:val="24"/>
          <w:szCs w:val="24"/>
          <w:lang w:val="ru-MD"/>
        </w:rPr>
        <w:t xml:space="preserve"> в г. Яловен</w:t>
      </w:r>
      <w:r w:rsidR="00AE0115" w:rsidRPr="00AE488A">
        <w:rPr>
          <w:rFonts w:asciiTheme="majorHAnsi" w:eastAsia="Times New Roman" w:hAnsiTheme="majorHAnsi" w:cstheme="majorHAnsi"/>
          <w:sz w:val="24"/>
          <w:szCs w:val="24"/>
          <w:lang w:val="ru-MD"/>
        </w:rPr>
        <w:t>ь</w:t>
      </w:r>
      <w:r w:rsidRPr="00AE488A">
        <w:rPr>
          <w:rFonts w:asciiTheme="majorHAnsi" w:eastAsia="Times New Roman" w:hAnsiTheme="majorHAnsi" w:cstheme="majorHAnsi"/>
          <w:sz w:val="24"/>
          <w:szCs w:val="24"/>
          <w:lang w:val="ru-MD"/>
        </w:rPr>
        <w:t xml:space="preserve">, </w:t>
      </w:r>
      <w:r w:rsidR="00AE0115" w:rsidRPr="00AE488A">
        <w:rPr>
          <w:rFonts w:asciiTheme="majorHAnsi" w:eastAsia="Times New Roman" w:hAnsiTheme="majorHAnsi" w:cstheme="majorHAnsi"/>
          <w:sz w:val="24"/>
          <w:szCs w:val="24"/>
          <w:lang w:val="ru-MD"/>
        </w:rPr>
        <w:t>учитывая, что</w:t>
      </w:r>
      <w:r w:rsidRPr="00AE488A">
        <w:rPr>
          <w:rFonts w:asciiTheme="majorHAnsi" w:eastAsia="Times New Roman" w:hAnsiTheme="majorHAnsi" w:cstheme="majorHAnsi"/>
          <w:sz w:val="24"/>
          <w:szCs w:val="24"/>
          <w:lang w:val="ru-MD"/>
        </w:rPr>
        <w:t xml:space="preserve"> он был за</w:t>
      </w:r>
      <w:r w:rsidR="00AE0115" w:rsidRPr="00AE488A">
        <w:rPr>
          <w:rFonts w:asciiTheme="majorHAnsi" w:eastAsia="Times New Roman" w:hAnsiTheme="majorHAnsi" w:cstheme="majorHAnsi"/>
          <w:sz w:val="24"/>
          <w:szCs w:val="24"/>
          <w:lang w:val="ru-MD"/>
        </w:rPr>
        <w:t>верш</w:t>
      </w:r>
      <w:r w:rsidRPr="00AE488A">
        <w:rPr>
          <w:rFonts w:asciiTheme="majorHAnsi" w:eastAsia="Times New Roman" w:hAnsiTheme="majorHAnsi" w:cstheme="majorHAnsi"/>
          <w:sz w:val="24"/>
          <w:szCs w:val="24"/>
          <w:lang w:val="ru-MD"/>
        </w:rPr>
        <w:t xml:space="preserve">ен в 2018 году и </w:t>
      </w:r>
      <w:r w:rsidR="00AE0115" w:rsidRPr="00AE488A">
        <w:rPr>
          <w:rFonts w:asciiTheme="majorHAnsi" w:eastAsia="Times New Roman" w:hAnsiTheme="majorHAnsi" w:cstheme="majorHAnsi"/>
          <w:sz w:val="24"/>
          <w:szCs w:val="24"/>
          <w:lang w:val="ru-MD"/>
        </w:rPr>
        <w:t>квартиры распределены</w:t>
      </w:r>
      <w:r w:rsidRPr="00AE488A">
        <w:rPr>
          <w:rFonts w:asciiTheme="majorHAnsi" w:eastAsia="Times New Roman" w:hAnsiTheme="majorHAnsi" w:cstheme="majorHAnsi"/>
          <w:sz w:val="24"/>
          <w:szCs w:val="24"/>
          <w:lang w:val="ru-MD"/>
        </w:rPr>
        <w:t xml:space="preserve"> жи</w:t>
      </w:r>
      <w:r w:rsidR="00AE0115" w:rsidRPr="00AE488A">
        <w:rPr>
          <w:rFonts w:asciiTheme="majorHAnsi" w:eastAsia="Times New Roman" w:hAnsiTheme="majorHAnsi" w:cstheme="majorHAnsi"/>
          <w:sz w:val="24"/>
          <w:szCs w:val="24"/>
          <w:lang w:val="ru-MD"/>
        </w:rPr>
        <w:t>льца</w:t>
      </w:r>
      <w:r w:rsidRPr="00AE488A">
        <w:rPr>
          <w:rFonts w:asciiTheme="majorHAnsi" w:eastAsia="Times New Roman" w:hAnsiTheme="majorHAnsi" w:cstheme="majorHAnsi"/>
          <w:sz w:val="24"/>
          <w:szCs w:val="24"/>
          <w:lang w:val="ru-MD"/>
        </w:rPr>
        <w:t xml:space="preserve">м. Отмечается, что </w:t>
      </w:r>
      <w:r w:rsidR="00AE0115" w:rsidRPr="00AE488A">
        <w:rPr>
          <w:rFonts w:asciiTheme="majorHAnsi" w:eastAsia="Times New Roman" w:hAnsiTheme="majorHAnsi" w:cstheme="majorHAnsi"/>
          <w:sz w:val="24"/>
          <w:szCs w:val="24"/>
          <w:lang w:val="ru-MD"/>
        </w:rPr>
        <w:t xml:space="preserve">до </w:t>
      </w:r>
      <w:r w:rsidRPr="00AE488A">
        <w:rPr>
          <w:rFonts w:asciiTheme="majorHAnsi" w:eastAsia="Times New Roman" w:hAnsiTheme="majorHAnsi" w:cstheme="majorHAnsi"/>
          <w:sz w:val="24"/>
          <w:szCs w:val="24"/>
          <w:lang w:val="ru-MD"/>
        </w:rPr>
        <w:t>на</w:t>
      </w:r>
      <w:r w:rsidR="00AE0115" w:rsidRPr="00AE488A">
        <w:rPr>
          <w:rFonts w:asciiTheme="majorHAnsi" w:eastAsia="Times New Roman" w:hAnsiTheme="majorHAnsi" w:cstheme="majorHAnsi"/>
          <w:sz w:val="24"/>
          <w:szCs w:val="24"/>
          <w:lang w:val="ru-MD"/>
        </w:rPr>
        <w:t>стоящего времени</w:t>
      </w:r>
      <w:r w:rsidRPr="00AE488A">
        <w:rPr>
          <w:rFonts w:asciiTheme="majorHAnsi" w:eastAsia="Times New Roman" w:hAnsiTheme="majorHAnsi" w:cstheme="majorHAnsi"/>
          <w:sz w:val="24"/>
          <w:szCs w:val="24"/>
          <w:lang w:val="ru-MD"/>
        </w:rPr>
        <w:t xml:space="preserve"> квартиры неправильно отражаются в составе </w:t>
      </w:r>
      <w:r w:rsidR="00AE0115" w:rsidRPr="00AE488A">
        <w:rPr>
          <w:rFonts w:asciiTheme="majorHAnsi" w:eastAsia="Times New Roman" w:hAnsiTheme="majorHAnsi" w:cstheme="majorHAnsi"/>
          <w:sz w:val="24"/>
          <w:szCs w:val="24"/>
          <w:lang w:val="ru-MD"/>
        </w:rPr>
        <w:t xml:space="preserve">незавершенных </w:t>
      </w:r>
      <w:r w:rsidRPr="00AE488A">
        <w:rPr>
          <w:rFonts w:asciiTheme="majorHAnsi" w:eastAsia="Times New Roman" w:hAnsiTheme="majorHAnsi" w:cstheme="majorHAnsi"/>
          <w:sz w:val="24"/>
          <w:szCs w:val="24"/>
          <w:lang w:val="ru-MD"/>
        </w:rPr>
        <w:t xml:space="preserve">инвестиций в активы, что </w:t>
      </w:r>
      <w:r w:rsidR="00AE0115" w:rsidRPr="00AE488A">
        <w:rPr>
          <w:rFonts w:asciiTheme="majorHAnsi" w:eastAsia="Times New Roman" w:hAnsiTheme="majorHAnsi" w:cstheme="majorHAnsi"/>
          <w:sz w:val="24"/>
          <w:szCs w:val="24"/>
          <w:lang w:val="ru-MD"/>
        </w:rPr>
        <w:t>обуслови</w:t>
      </w:r>
      <w:r w:rsidRPr="00AE488A">
        <w:rPr>
          <w:rFonts w:asciiTheme="majorHAnsi" w:eastAsia="Times New Roman" w:hAnsiTheme="majorHAnsi" w:cstheme="majorHAnsi"/>
          <w:sz w:val="24"/>
          <w:szCs w:val="24"/>
          <w:lang w:val="ru-MD"/>
        </w:rPr>
        <w:t xml:space="preserve">ло </w:t>
      </w:r>
      <w:r w:rsidR="00AE0115" w:rsidRPr="00AE488A">
        <w:rPr>
          <w:rFonts w:asciiTheme="majorHAnsi" w:eastAsia="Times New Roman" w:hAnsiTheme="majorHAnsi" w:cstheme="majorHAnsi"/>
          <w:sz w:val="24"/>
          <w:szCs w:val="24"/>
          <w:lang w:val="ru-MD"/>
        </w:rPr>
        <w:t xml:space="preserve">завышение </w:t>
      </w:r>
      <w:r w:rsidRPr="00AE488A">
        <w:rPr>
          <w:rFonts w:asciiTheme="majorHAnsi" w:eastAsia="Times New Roman" w:hAnsiTheme="majorHAnsi" w:cstheme="majorHAnsi"/>
          <w:sz w:val="24"/>
          <w:szCs w:val="24"/>
          <w:lang w:val="ru-MD"/>
        </w:rPr>
        <w:t xml:space="preserve">их </w:t>
      </w:r>
      <w:r w:rsidR="00AE0115" w:rsidRPr="00AE488A">
        <w:rPr>
          <w:rFonts w:asciiTheme="majorHAnsi" w:eastAsia="Times New Roman" w:hAnsiTheme="majorHAnsi" w:cstheme="majorHAnsi"/>
          <w:sz w:val="24"/>
          <w:szCs w:val="24"/>
          <w:lang w:val="ru-MD"/>
        </w:rPr>
        <w:t>стоимости</w:t>
      </w:r>
      <w:r w:rsidRPr="00AE488A">
        <w:rPr>
          <w:rFonts w:asciiTheme="majorHAnsi" w:eastAsia="Times New Roman" w:hAnsiTheme="majorHAnsi" w:cstheme="majorHAnsi"/>
          <w:sz w:val="24"/>
          <w:szCs w:val="24"/>
          <w:lang w:val="ru-MD"/>
        </w:rPr>
        <w:t xml:space="preserve"> на 19,9 млн. ле</w:t>
      </w:r>
      <w:r w:rsidR="00AE0115" w:rsidRPr="00AE488A">
        <w:rPr>
          <w:rFonts w:asciiTheme="majorHAnsi" w:eastAsia="Times New Roman" w:hAnsiTheme="majorHAnsi" w:cstheme="majorHAnsi"/>
          <w:sz w:val="24"/>
          <w:szCs w:val="24"/>
          <w:lang w:val="ru-MD"/>
        </w:rPr>
        <w:t>ев</w:t>
      </w:r>
      <w:r w:rsidRPr="00AE488A">
        <w:rPr>
          <w:rFonts w:asciiTheme="majorHAnsi" w:eastAsia="Times New Roman" w:hAnsiTheme="majorHAnsi" w:cstheme="majorHAnsi"/>
          <w:sz w:val="24"/>
          <w:szCs w:val="24"/>
          <w:lang w:val="ru-MD"/>
        </w:rPr>
        <w:t xml:space="preserve"> и </w:t>
      </w:r>
      <w:r w:rsidR="00AE0115" w:rsidRPr="00AE488A">
        <w:rPr>
          <w:rFonts w:asciiTheme="majorHAnsi" w:eastAsia="Times New Roman" w:hAnsiTheme="majorHAnsi" w:cstheme="majorHAnsi"/>
          <w:sz w:val="24"/>
          <w:szCs w:val="24"/>
          <w:lang w:val="ru-MD"/>
        </w:rPr>
        <w:t>занижение</w:t>
      </w:r>
      <w:r w:rsidRPr="00AE488A">
        <w:rPr>
          <w:rFonts w:asciiTheme="majorHAnsi" w:eastAsia="Times New Roman" w:hAnsiTheme="majorHAnsi" w:cstheme="majorHAnsi"/>
          <w:sz w:val="24"/>
          <w:szCs w:val="24"/>
          <w:lang w:val="ru-MD"/>
        </w:rPr>
        <w:t xml:space="preserve"> </w:t>
      </w:r>
      <w:r w:rsidR="00AE0115" w:rsidRPr="00AE488A">
        <w:rPr>
          <w:rFonts w:asciiTheme="majorHAnsi" w:eastAsia="Times New Roman" w:hAnsiTheme="majorHAnsi" w:cstheme="majorHAnsi"/>
          <w:sz w:val="24"/>
          <w:szCs w:val="24"/>
          <w:lang w:val="ru-MD"/>
        </w:rPr>
        <w:t>на ту же сумму исправлений</w:t>
      </w:r>
      <w:r w:rsidRPr="00AE488A">
        <w:rPr>
          <w:rFonts w:asciiTheme="majorHAnsi" w:eastAsia="Times New Roman" w:hAnsiTheme="majorHAnsi" w:cstheme="majorHAnsi"/>
          <w:sz w:val="24"/>
          <w:szCs w:val="24"/>
          <w:lang w:val="ru-MD"/>
        </w:rPr>
        <w:t xml:space="preserve"> результатов предыдущих лет</w:t>
      </w:r>
      <w:r w:rsidR="00EC649A" w:rsidRPr="00AE488A">
        <w:rPr>
          <w:rFonts w:asciiTheme="majorHAnsi" w:eastAsia="Times New Roman" w:hAnsiTheme="majorHAnsi" w:cstheme="majorHAnsi"/>
          <w:sz w:val="24"/>
          <w:szCs w:val="24"/>
          <w:lang w:val="ru-MD"/>
        </w:rPr>
        <w:t>.</w:t>
      </w:r>
    </w:p>
    <w:p w:rsidR="006B0D9C" w:rsidRPr="00AE488A" w:rsidRDefault="006B0D9C" w:rsidP="00125D9C">
      <w:pPr>
        <w:pStyle w:val="FootnoteText"/>
        <w:tabs>
          <w:tab w:val="left" w:pos="270"/>
        </w:tabs>
        <w:spacing w:line="276" w:lineRule="auto"/>
        <w:jc w:val="both"/>
        <w:rPr>
          <w:rFonts w:asciiTheme="majorHAnsi" w:eastAsia="Times New Roman" w:hAnsiTheme="majorHAnsi" w:cstheme="majorHAnsi"/>
          <w:sz w:val="24"/>
          <w:szCs w:val="24"/>
          <w:lang w:val="ru-MD"/>
        </w:rPr>
      </w:pPr>
    </w:p>
    <w:p w:rsidR="00995CCF" w:rsidRPr="00AE488A" w:rsidRDefault="00812F47" w:rsidP="00995CCF">
      <w:pPr>
        <w:spacing w:after="120" w:line="276" w:lineRule="auto"/>
        <w:jc w:val="both"/>
        <w:rPr>
          <w:rFonts w:asciiTheme="majorHAnsi" w:eastAsia="Times New Roman" w:hAnsiTheme="majorHAnsi"/>
          <w:color w:val="000000" w:themeColor="text1"/>
          <w:sz w:val="24"/>
          <w:szCs w:val="24"/>
          <w:lang w:val="ru-MD"/>
        </w:rPr>
      </w:pPr>
      <w:r w:rsidRPr="00AE488A">
        <w:rPr>
          <w:rFonts w:ascii="Calibri Light" w:hAnsi="Calibri Light" w:cstheme="majorHAnsi"/>
          <w:sz w:val="24"/>
          <w:szCs w:val="24"/>
          <w:shd w:val="clear" w:color="auto" w:fill="FFFFFF" w:themeFill="background1"/>
          <w:lang w:val="ru-MD"/>
        </w:rPr>
        <w:t>Мы провели миссию внешнего публичного аудита в соответствии с Международными стандартами Высших органов аудита, применяемыми Счетной палатой</w:t>
      </w:r>
      <w:r w:rsidRPr="00AE488A">
        <w:rPr>
          <w:rStyle w:val="FootnoteReference"/>
          <w:rFonts w:asciiTheme="majorHAnsi" w:eastAsia="Times New Roman" w:hAnsiTheme="majorHAnsi" w:cs="Times New Roman"/>
          <w:sz w:val="24"/>
          <w:szCs w:val="24"/>
          <w:lang w:val="ru-MD"/>
        </w:rPr>
        <w:footnoteReference w:id="2"/>
      </w:r>
      <w:r w:rsidRPr="00AE488A">
        <w:rPr>
          <w:rFonts w:ascii="Calibri Light" w:hAnsi="Calibri Light" w:cstheme="majorHAnsi"/>
          <w:sz w:val="24"/>
          <w:szCs w:val="24"/>
          <w:shd w:val="clear" w:color="auto" w:fill="FFFFFF" w:themeFill="background1"/>
          <w:lang w:val="ru-MD"/>
        </w:rPr>
        <w:t xml:space="preserve">. Наши </w:t>
      </w:r>
      <w:r w:rsidRPr="00AE488A">
        <w:rPr>
          <w:rFonts w:ascii="Calibri Light" w:hAnsi="Calibri Light" w:cstheme="majorHAnsi"/>
          <w:sz w:val="24"/>
          <w:szCs w:val="24"/>
          <w:shd w:val="clear" w:color="auto" w:fill="FFFFFF" w:themeFill="background1"/>
          <w:lang w:val="ru-MD"/>
        </w:rPr>
        <w:lastRenderedPageBreak/>
        <w:t>обязанности, согласно указанным стандартам, описаны в разделе</w:t>
      </w:r>
      <w:r w:rsidRPr="00AE488A">
        <w:rPr>
          <w:rFonts w:ascii="Calibri Light" w:hAnsi="Calibri Light" w:cstheme="majorHAnsi"/>
          <w:i/>
          <w:sz w:val="24"/>
          <w:szCs w:val="24"/>
          <w:shd w:val="clear" w:color="auto" w:fill="FFFFFF" w:themeFill="background1"/>
          <w:lang w:val="ru-MD"/>
        </w:rPr>
        <w:t xml:space="preserve"> Обязанности аудитора в рамках аудита финансовой отчетности </w:t>
      </w:r>
      <w:r w:rsidRPr="00AE488A">
        <w:rPr>
          <w:rFonts w:ascii="Calibri Light" w:hAnsi="Calibri Light" w:cstheme="majorHAnsi"/>
          <w:sz w:val="24"/>
          <w:szCs w:val="24"/>
          <w:shd w:val="clear" w:color="auto" w:fill="FFFFFF" w:themeFill="background1"/>
          <w:lang w:val="ru-MD"/>
        </w:rPr>
        <w:t>настоящего Отчета. Мы являемся независимыми от аудируемого субъекта и выполняем обязанности по этике в соответствии с требованиями Кодекса этики Счетной палаты. Считаем, что полученные аудито</w:t>
      </w:r>
      <w:r w:rsidR="00AB3615" w:rsidRPr="00AE488A">
        <w:rPr>
          <w:rFonts w:ascii="Calibri Light" w:hAnsi="Calibri Light" w:cstheme="majorHAnsi"/>
          <w:sz w:val="24"/>
          <w:szCs w:val="24"/>
          <w:shd w:val="clear" w:color="auto" w:fill="FFFFFF" w:themeFill="background1"/>
          <w:lang w:val="ru-MD"/>
        </w:rPr>
        <w:t>рские</w:t>
      </w:r>
      <w:r w:rsidRPr="00AE488A">
        <w:rPr>
          <w:rFonts w:ascii="Calibri Light" w:hAnsi="Calibri Light" w:cstheme="majorHAnsi"/>
          <w:sz w:val="24"/>
          <w:szCs w:val="24"/>
          <w:shd w:val="clear" w:color="auto" w:fill="FFFFFF" w:themeFill="background1"/>
          <w:lang w:val="ru-MD"/>
        </w:rPr>
        <w:t xml:space="preserve"> доказательства являются достаточными и уместными, чтобы служить основанием для нашего мнения</w:t>
      </w:r>
      <w:r w:rsidR="00995CCF" w:rsidRPr="00AE488A">
        <w:rPr>
          <w:rFonts w:asciiTheme="majorHAnsi" w:eastAsia="Times New Roman" w:hAnsiTheme="majorHAnsi"/>
          <w:color w:val="000000" w:themeColor="text1"/>
          <w:sz w:val="24"/>
          <w:szCs w:val="24"/>
          <w:lang w:val="ru-MD"/>
        </w:rPr>
        <w:t xml:space="preserve">. </w:t>
      </w:r>
    </w:p>
    <w:p w:rsidR="00125D9C" w:rsidRPr="00AE488A" w:rsidRDefault="00812F47" w:rsidP="00125D9C">
      <w:pPr>
        <w:pStyle w:val="ListParagraph"/>
        <w:numPr>
          <w:ilvl w:val="0"/>
          <w:numId w:val="1"/>
        </w:numPr>
        <w:spacing w:after="0" w:line="276" w:lineRule="auto"/>
        <w:ind w:left="992" w:hanging="357"/>
        <w:outlineLvl w:val="0"/>
        <w:rPr>
          <w:rFonts w:asciiTheme="majorHAnsi" w:hAnsiTheme="majorHAnsi" w:cs="Times New Roman"/>
          <w:b/>
          <w:caps/>
          <w:sz w:val="28"/>
          <w:szCs w:val="28"/>
          <w:lang w:val="ru-MD"/>
        </w:rPr>
      </w:pPr>
      <w:bookmarkStart w:id="6" w:name="_Toc532292927"/>
      <w:r w:rsidRPr="00AE488A">
        <w:rPr>
          <w:rFonts w:asciiTheme="majorHAnsi" w:hAnsiTheme="majorHAnsi" w:cstheme="majorHAnsi"/>
          <w:b/>
          <w:bCs/>
          <w:sz w:val="28"/>
          <w:szCs w:val="28"/>
          <w:lang w:val="ru-MD"/>
        </w:rPr>
        <w:t>КЛЮЧЕВЫЕ АСПЕКТЫ АУДИТА</w:t>
      </w:r>
      <w:r w:rsidRPr="00AE488A">
        <w:rPr>
          <w:rFonts w:asciiTheme="majorHAnsi" w:hAnsiTheme="majorHAnsi" w:cs="Times New Roman"/>
          <w:b/>
          <w:caps/>
          <w:sz w:val="28"/>
          <w:szCs w:val="28"/>
          <w:lang w:val="ru-MD"/>
        </w:rPr>
        <w:t xml:space="preserve"> </w:t>
      </w:r>
    </w:p>
    <w:p w:rsidR="00125D9C" w:rsidRPr="00AE488A" w:rsidRDefault="00C508BE" w:rsidP="00125D9C">
      <w:pPr>
        <w:pStyle w:val="FootnoteText"/>
        <w:spacing w:line="276" w:lineRule="auto"/>
        <w:jc w:val="both"/>
        <w:rPr>
          <w:rFonts w:asciiTheme="majorHAnsi" w:hAnsiTheme="majorHAnsi" w:cs="Times New Roman"/>
          <w:sz w:val="24"/>
          <w:szCs w:val="24"/>
          <w:lang w:val="ru-MD"/>
        </w:rPr>
      </w:pPr>
      <w:r w:rsidRPr="00AE488A">
        <w:rPr>
          <w:rFonts w:asciiTheme="majorHAnsi" w:hAnsiTheme="majorHAnsi" w:cstheme="majorHAnsi"/>
          <w:sz w:val="24"/>
          <w:szCs w:val="24"/>
          <w:lang w:val="ru-MD"/>
        </w:rPr>
        <w:t xml:space="preserve">Ключевыми аспектами аудита являются те аспекты, которые, согласно нашему профессиональному суждению, имели наиболее важное значение для аудита консолидированной финансовой отчетности Министерства инфраструктуры и регионального развития по состоянию на 31 декабря 2021 года. Эти аспекты были рассмотрены в контексте аудита финансовой отчетности в целом, без выражения особого мнения по ним. За исключением аспектов, описанных в разделе </w:t>
      </w:r>
      <w:r w:rsidRPr="00AE488A">
        <w:rPr>
          <w:rFonts w:asciiTheme="majorHAnsi" w:hAnsiTheme="majorHAnsi" w:cstheme="majorHAnsi"/>
          <w:i/>
          <w:sz w:val="24"/>
          <w:szCs w:val="24"/>
          <w:lang w:val="ru-MD"/>
        </w:rPr>
        <w:t>Основание для условного мнения</w:t>
      </w:r>
      <w:r w:rsidRPr="00AE488A">
        <w:rPr>
          <w:rFonts w:asciiTheme="majorHAnsi" w:hAnsiTheme="majorHAnsi" w:cstheme="majorHAnsi"/>
          <w:sz w:val="24"/>
          <w:szCs w:val="24"/>
          <w:lang w:val="ru-MD"/>
        </w:rPr>
        <w:t xml:space="preserve">, мы установили, что нет других ключевых аспектов аудита, которые должны быть </w:t>
      </w:r>
      <w:r w:rsidR="004C288D" w:rsidRPr="00AE488A">
        <w:rPr>
          <w:rFonts w:asciiTheme="majorHAnsi" w:hAnsiTheme="majorHAnsi" w:cstheme="majorHAnsi"/>
          <w:sz w:val="24"/>
          <w:szCs w:val="24"/>
          <w:lang w:val="ru-MD"/>
        </w:rPr>
        <w:t>отраж</w:t>
      </w:r>
      <w:r w:rsidRPr="00AE488A">
        <w:rPr>
          <w:rFonts w:asciiTheme="majorHAnsi" w:hAnsiTheme="majorHAnsi" w:cstheme="majorHAnsi"/>
          <w:sz w:val="24"/>
          <w:szCs w:val="24"/>
          <w:lang w:val="ru-MD"/>
        </w:rPr>
        <w:t>ены в Отчете аудита</w:t>
      </w:r>
      <w:r w:rsidR="004A0564" w:rsidRPr="00AE488A">
        <w:rPr>
          <w:rFonts w:asciiTheme="majorHAnsi" w:hAnsiTheme="majorHAnsi" w:cs="Times New Roman"/>
          <w:sz w:val="24"/>
          <w:szCs w:val="24"/>
          <w:lang w:val="ru-MD"/>
        </w:rPr>
        <w:t>.</w:t>
      </w:r>
    </w:p>
    <w:p w:rsidR="00665398" w:rsidRPr="00AE488A" w:rsidRDefault="00665398" w:rsidP="00125D9C">
      <w:pPr>
        <w:pStyle w:val="FootnoteText"/>
        <w:spacing w:line="276" w:lineRule="auto"/>
        <w:jc w:val="both"/>
        <w:rPr>
          <w:rFonts w:asciiTheme="majorHAnsi" w:hAnsiTheme="majorHAnsi" w:cs="Times New Roman"/>
          <w:sz w:val="24"/>
          <w:szCs w:val="24"/>
          <w:lang w:val="ru-MD"/>
        </w:rPr>
      </w:pPr>
    </w:p>
    <w:bookmarkEnd w:id="6"/>
    <w:p w:rsidR="00E4413D" w:rsidRPr="00AE488A" w:rsidRDefault="00E7136C" w:rsidP="00E4413D">
      <w:pPr>
        <w:pStyle w:val="ListParagraph"/>
        <w:numPr>
          <w:ilvl w:val="0"/>
          <w:numId w:val="1"/>
        </w:numPr>
        <w:spacing w:after="0" w:line="276" w:lineRule="auto"/>
        <w:ind w:left="992" w:hanging="357"/>
        <w:outlineLvl w:val="0"/>
        <w:rPr>
          <w:rFonts w:asciiTheme="majorHAnsi" w:hAnsiTheme="majorHAnsi" w:cs="Times New Roman"/>
          <w:b/>
          <w:caps/>
          <w:sz w:val="28"/>
          <w:szCs w:val="28"/>
          <w:lang w:val="ru-MD"/>
        </w:rPr>
      </w:pPr>
      <w:r w:rsidRPr="00AE488A">
        <w:rPr>
          <w:rFonts w:asciiTheme="majorHAnsi" w:hAnsiTheme="majorHAnsi" w:cstheme="majorHAnsi"/>
          <w:b/>
          <w:sz w:val="28"/>
          <w:szCs w:val="28"/>
          <w:lang w:val="ru-MD"/>
        </w:rPr>
        <w:t>ДРУГАЯ ИНФОРМАЦИЯ</w:t>
      </w:r>
      <w:r w:rsidRPr="00AE488A">
        <w:rPr>
          <w:rFonts w:asciiTheme="majorHAnsi" w:hAnsiTheme="majorHAnsi" w:cs="Times New Roman"/>
          <w:b/>
          <w:caps/>
          <w:sz w:val="28"/>
          <w:szCs w:val="28"/>
          <w:lang w:val="ru-MD"/>
        </w:rPr>
        <w:t xml:space="preserve"> </w:t>
      </w:r>
    </w:p>
    <w:p w:rsidR="00E4413D" w:rsidRPr="00AE488A" w:rsidRDefault="00E7136C" w:rsidP="00E4413D">
      <w:pPr>
        <w:tabs>
          <w:tab w:val="left" w:pos="0"/>
        </w:tabs>
        <w:spacing w:after="0" w:line="276" w:lineRule="auto"/>
        <w:jc w:val="both"/>
        <w:rPr>
          <w:rFonts w:asciiTheme="majorHAnsi" w:hAnsiTheme="majorHAnsi" w:cstheme="majorHAnsi"/>
          <w:sz w:val="24"/>
          <w:szCs w:val="24"/>
          <w:lang w:val="ru-MD"/>
        </w:rPr>
      </w:pPr>
      <w:r w:rsidRPr="00AE488A">
        <w:rPr>
          <w:rFonts w:asciiTheme="majorHAnsi" w:hAnsiTheme="majorHAnsi" w:cstheme="majorHAnsi"/>
          <w:sz w:val="24"/>
          <w:szCs w:val="24"/>
          <w:lang w:val="ru-MD"/>
        </w:rPr>
        <w:t>Из-за несвоевременного внедрения предыдущих рекомендаций Счетной палаты, а также из-за неправильного толкования положений примен</w:t>
      </w:r>
      <w:r w:rsidR="00CA14E1" w:rsidRPr="00AE488A">
        <w:rPr>
          <w:rFonts w:asciiTheme="majorHAnsi" w:hAnsiTheme="majorHAnsi" w:cstheme="majorHAnsi"/>
          <w:sz w:val="24"/>
          <w:szCs w:val="24"/>
          <w:lang w:val="ru-MD"/>
        </w:rPr>
        <w:t>яемой базы по</w:t>
      </w:r>
      <w:r w:rsidRPr="00AE488A">
        <w:rPr>
          <w:rFonts w:asciiTheme="majorHAnsi" w:hAnsiTheme="majorHAnsi" w:cstheme="majorHAnsi"/>
          <w:sz w:val="24"/>
          <w:szCs w:val="24"/>
          <w:lang w:val="ru-MD"/>
        </w:rPr>
        <w:t xml:space="preserve"> финансовой отчетности</w:t>
      </w:r>
      <w:r w:rsidR="00CA14E1" w:rsidRPr="00AE488A">
        <w:rPr>
          <w:rFonts w:asciiTheme="majorHAnsi" w:hAnsiTheme="majorHAnsi" w:cstheme="majorHAnsi"/>
          <w:sz w:val="24"/>
          <w:szCs w:val="24"/>
          <w:lang w:val="ru-MD"/>
        </w:rPr>
        <w:t>,</w:t>
      </w:r>
      <w:r w:rsidRPr="00AE488A">
        <w:rPr>
          <w:rFonts w:asciiTheme="majorHAnsi" w:hAnsiTheme="majorHAnsi" w:cstheme="majorHAnsi"/>
          <w:sz w:val="24"/>
          <w:szCs w:val="24"/>
          <w:lang w:val="ru-MD"/>
        </w:rPr>
        <w:t xml:space="preserve"> были допущены н</w:t>
      </w:r>
      <w:r w:rsidR="00CA14E1" w:rsidRPr="00AE488A">
        <w:rPr>
          <w:rFonts w:asciiTheme="majorHAnsi" w:hAnsiTheme="majorHAnsi" w:cstheme="majorHAnsi"/>
          <w:sz w:val="24"/>
          <w:szCs w:val="24"/>
          <w:lang w:val="ru-MD"/>
        </w:rPr>
        <w:t>арушения, такие, как</w:t>
      </w:r>
      <w:r w:rsidR="003E2A41" w:rsidRPr="00AE488A">
        <w:rPr>
          <w:rFonts w:asciiTheme="majorHAnsi" w:hAnsiTheme="majorHAnsi" w:cstheme="majorHAnsi"/>
          <w:sz w:val="24"/>
          <w:szCs w:val="24"/>
          <w:lang w:val="ru-MD"/>
        </w:rPr>
        <w:t>:</w:t>
      </w:r>
    </w:p>
    <w:p w:rsidR="003053B0" w:rsidRPr="00AE488A" w:rsidRDefault="00E7136C" w:rsidP="003E2A41">
      <w:pPr>
        <w:pStyle w:val="ListParagraph"/>
        <w:numPr>
          <w:ilvl w:val="0"/>
          <w:numId w:val="6"/>
        </w:numPr>
        <w:tabs>
          <w:tab w:val="left" w:pos="0"/>
        </w:tabs>
        <w:spacing w:after="0" w:line="276" w:lineRule="auto"/>
        <w:jc w:val="both"/>
        <w:rPr>
          <w:rFonts w:asciiTheme="majorHAnsi" w:hAnsiTheme="majorHAnsi" w:cs="Times New Roman"/>
          <w:sz w:val="24"/>
          <w:szCs w:val="24"/>
          <w:lang w:val="ru-MD"/>
        </w:rPr>
      </w:pPr>
      <w:r w:rsidRPr="00AE488A">
        <w:rPr>
          <w:rFonts w:asciiTheme="majorHAnsi" w:hAnsiTheme="majorHAnsi" w:cs="Times New Roman"/>
          <w:sz w:val="24"/>
          <w:szCs w:val="24"/>
          <w:lang w:val="ru-MD"/>
        </w:rPr>
        <w:t>непроведени</w:t>
      </w:r>
      <w:r w:rsidR="00CA14E1" w:rsidRPr="00AE488A">
        <w:rPr>
          <w:rFonts w:asciiTheme="majorHAnsi" w:hAnsiTheme="majorHAnsi" w:cs="Times New Roman"/>
          <w:sz w:val="24"/>
          <w:szCs w:val="24"/>
          <w:lang w:val="ru-MD"/>
        </w:rPr>
        <w:t>е</w:t>
      </w:r>
      <w:r w:rsidRPr="00AE488A">
        <w:rPr>
          <w:rFonts w:asciiTheme="majorHAnsi" w:hAnsiTheme="majorHAnsi" w:cs="Times New Roman"/>
          <w:sz w:val="24"/>
          <w:szCs w:val="24"/>
          <w:lang w:val="ru-MD"/>
        </w:rPr>
        <w:t xml:space="preserve"> приемки Технического проекта </w:t>
      </w:r>
      <w:r w:rsidRPr="00AE488A">
        <w:rPr>
          <w:rFonts w:asciiTheme="majorHAnsi" w:hAnsiTheme="majorHAnsi" w:cs="Times New Roman"/>
          <w:i/>
          <w:sz w:val="24"/>
          <w:szCs w:val="24"/>
          <w:lang w:val="ru-MD"/>
        </w:rPr>
        <w:t xml:space="preserve">„Трубопровод для соединения Системы транспортировки природного газа из Румынии с системой транспортировки природного газа из Республики Молдова, этап II, по направлению Унгень-Кишинэу” </w:t>
      </w:r>
      <w:r w:rsidR="00CA14E1" w:rsidRPr="00AE488A">
        <w:rPr>
          <w:rFonts w:asciiTheme="majorHAnsi" w:hAnsiTheme="majorHAnsi" w:cs="Times New Roman"/>
          <w:sz w:val="24"/>
          <w:szCs w:val="24"/>
          <w:lang w:val="ru-MD"/>
        </w:rPr>
        <w:t>обусловило</w:t>
      </w:r>
      <w:r w:rsidR="00CA14E1" w:rsidRPr="00AE488A">
        <w:rPr>
          <w:rFonts w:asciiTheme="majorHAnsi" w:hAnsiTheme="majorHAnsi" w:cs="Times New Roman"/>
          <w:i/>
          <w:sz w:val="24"/>
          <w:szCs w:val="24"/>
          <w:lang w:val="ru-MD"/>
        </w:rPr>
        <w:t xml:space="preserve"> </w:t>
      </w:r>
      <w:r w:rsidR="00CA14E1" w:rsidRPr="00AE488A">
        <w:rPr>
          <w:rFonts w:asciiTheme="majorHAnsi" w:hAnsiTheme="majorHAnsi" w:cs="Times New Roman"/>
          <w:sz w:val="24"/>
          <w:szCs w:val="24"/>
          <w:lang w:val="ru-MD"/>
        </w:rPr>
        <w:t xml:space="preserve">завышение обязательств и занижение стоимости </w:t>
      </w:r>
      <w:r w:rsidR="0027496A" w:rsidRPr="00AE488A">
        <w:rPr>
          <w:rFonts w:asciiTheme="majorHAnsi" w:hAnsiTheme="majorHAnsi" w:cs="Times New Roman"/>
          <w:sz w:val="24"/>
          <w:szCs w:val="24"/>
          <w:lang w:val="ru-MD"/>
        </w:rPr>
        <w:t xml:space="preserve">основных средств министерства </w:t>
      </w:r>
      <w:r w:rsidR="00CA14E1" w:rsidRPr="00AE488A">
        <w:rPr>
          <w:rFonts w:asciiTheme="majorHAnsi" w:hAnsiTheme="majorHAnsi" w:cs="Times New Roman"/>
          <w:sz w:val="24"/>
          <w:szCs w:val="24"/>
          <w:lang w:val="ru-MD"/>
        </w:rPr>
        <w:t xml:space="preserve">на </w:t>
      </w:r>
      <w:r w:rsidR="00CA14E1" w:rsidRPr="00AE488A">
        <w:rPr>
          <w:rFonts w:asciiTheme="majorHAnsi" w:hAnsiTheme="majorHAnsi" w:cs="Times New Roman"/>
          <w:b/>
          <w:sz w:val="24"/>
          <w:szCs w:val="24"/>
          <w:lang w:val="ru-MD"/>
        </w:rPr>
        <w:t xml:space="preserve">11,7 </w:t>
      </w:r>
      <w:r w:rsidR="00CA14E1" w:rsidRPr="00AE488A">
        <w:rPr>
          <w:rFonts w:asciiTheme="majorHAnsi" w:hAnsiTheme="majorHAnsi" w:cs="Times New Roman"/>
          <w:sz w:val="24"/>
          <w:szCs w:val="24"/>
          <w:lang w:val="ru-MD"/>
        </w:rPr>
        <w:t>млн. леев</w:t>
      </w:r>
      <w:r w:rsidR="00FE07C0" w:rsidRPr="00AE488A">
        <w:rPr>
          <w:rFonts w:asciiTheme="majorHAnsi" w:hAnsiTheme="majorHAnsi" w:cstheme="majorHAnsi"/>
          <w:sz w:val="24"/>
          <w:szCs w:val="24"/>
          <w:lang w:val="ru-MD"/>
        </w:rPr>
        <w:t>;</w:t>
      </w:r>
    </w:p>
    <w:p w:rsidR="008E21B7" w:rsidRPr="00AE488A" w:rsidRDefault="00E7136C" w:rsidP="00E7136C">
      <w:pPr>
        <w:pStyle w:val="ListParagraph"/>
        <w:numPr>
          <w:ilvl w:val="0"/>
          <w:numId w:val="6"/>
        </w:numPr>
        <w:tabs>
          <w:tab w:val="left" w:pos="0"/>
        </w:tabs>
        <w:spacing w:after="0" w:line="276" w:lineRule="auto"/>
        <w:jc w:val="both"/>
        <w:rPr>
          <w:rFonts w:asciiTheme="majorHAnsi" w:hAnsiTheme="majorHAnsi" w:cs="Times New Roman"/>
          <w:sz w:val="24"/>
          <w:szCs w:val="24"/>
          <w:lang w:val="ru-MD"/>
        </w:rPr>
      </w:pPr>
      <w:r w:rsidRPr="00AE488A">
        <w:rPr>
          <w:rFonts w:asciiTheme="majorHAnsi" w:eastAsia="Times New Roman" w:hAnsiTheme="majorHAnsi" w:cstheme="majorHAnsi"/>
          <w:sz w:val="24"/>
          <w:szCs w:val="24"/>
          <w:lang w:val="ru-MD"/>
        </w:rPr>
        <w:t>неотраж</w:t>
      </w:r>
      <w:r w:rsidR="0027496A" w:rsidRPr="00AE488A">
        <w:rPr>
          <w:rFonts w:asciiTheme="majorHAnsi" w:eastAsia="Times New Roman" w:hAnsiTheme="majorHAnsi" w:cstheme="majorHAnsi"/>
          <w:sz w:val="24"/>
          <w:szCs w:val="24"/>
          <w:lang w:val="ru-MD"/>
        </w:rPr>
        <w:t>ение</w:t>
      </w:r>
      <w:r w:rsidRPr="00AE488A">
        <w:rPr>
          <w:rFonts w:asciiTheme="majorHAnsi" w:eastAsia="Times New Roman" w:hAnsiTheme="majorHAnsi" w:cstheme="majorHAnsi"/>
          <w:sz w:val="24"/>
          <w:szCs w:val="24"/>
          <w:lang w:val="ru-MD"/>
        </w:rPr>
        <w:t xml:space="preserve"> некоторы</w:t>
      </w:r>
      <w:r w:rsidR="0027496A" w:rsidRPr="00AE488A">
        <w:rPr>
          <w:rFonts w:asciiTheme="majorHAnsi" w:eastAsia="Times New Roman" w:hAnsiTheme="majorHAnsi" w:cstheme="majorHAnsi"/>
          <w:sz w:val="24"/>
          <w:szCs w:val="24"/>
          <w:lang w:val="ru-MD"/>
        </w:rPr>
        <w:t>х</w:t>
      </w:r>
      <w:r w:rsidRPr="00AE488A">
        <w:rPr>
          <w:rFonts w:asciiTheme="majorHAnsi" w:eastAsia="Times New Roman" w:hAnsiTheme="majorHAnsi" w:cstheme="majorHAnsi"/>
          <w:sz w:val="24"/>
          <w:szCs w:val="24"/>
          <w:lang w:val="ru-MD"/>
        </w:rPr>
        <w:t xml:space="preserve"> бухгалтерски</w:t>
      </w:r>
      <w:r w:rsidR="0027496A" w:rsidRPr="00AE488A">
        <w:rPr>
          <w:rFonts w:asciiTheme="majorHAnsi" w:eastAsia="Times New Roman" w:hAnsiTheme="majorHAnsi" w:cstheme="majorHAnsi"/>
          <w:sz w:val="24"/>
          <w:szCs w:val="24"/>
          <w:lang w:val="ru-MD"/>
        </w:rPr>
        <w:t>х</w:t>
      </w:r>
      <w:r w:rsidRPr="00AE488A">
        <w:rPr>
          <w:rFonts w:asciiTheme="majorHAnsi" w:eastAsia="Times New Roman" w:hAnsiTheme="majorHAnsi" w:cstheme="majorHAnsi"/>
          <w:sz w:val="24"/>
          <w:szCs w:val="24"/>
          <w:lang w:val="ru-MD"/>
        </w:rPr>
        <w:t xml:space="preserve"> операци</w:t>
      </w:r>
      <w:r w:rsidR="0027496A" w:rsidRPr="00AE488A">
        <w:rPr>
          <w:rFonts w:asciiTheme="majorHAnsi" w:eastAsia="Times New Roman" w:hAnsiTheme="majorHAnsi" w:cstheme="majorHAnsi"/>
          <w:sz w:val="24"/>
          <w:szCs w:val="24"/>
          <w:lang w:val="ru-MD"/>
        </w:rPr>
        <w:t>й</w:t>
      </w:r>
      <w:r w:rsidRPr="00AE488A">
        <w:rPr>
          <w:rFonts w:asciiTheme="majorHAnsi" w:eastAsia="Times New Roman" w:hAnsiTheme="majorHAnsi" w:cstheme="majorHAnsi"/>
          <w:sz w:val="24"/>
          <w:szCs w:val="24"/>
          <w:lang w:val="ru-MD"/>
        </w:rPr>
        <w:t>, связанны</w:t>
      </w:r>
      <w:r w:rsidR="0027496A" w:rsidRPr="00AE488A">
        <w:rPr>
          <w:rFonts w:asciiTheme="majorHAnsi" w:eastAsia="Times New Roman" w:hAnsiTheme="majorHAnsi" w:cstheme="majorHAnsi"/>
          <w:sz w:val="24"/>
          <w:szCs w:val="24"/>
          <w:lang w:val="ru-MD"/>
        </w:rPr>
        <w:t>х</w:t>
      </w:r>
      <w:r w:rsidRPr="00AE488A">
        <w:rPr>
          <w:rFonts w:asciiTheme="majorHAnsi" w:eastAsia="Times New Roman" w:hAnsiTheme="majorHAnsi" w:cstheme="majorHAnsi"/>
          <w:sz w:val="24"/>
          <w:szCs w:val="24"/>
          <w:lang w:val="ru-MD"/>
        </w:rPr>
        <w:t xml:space="preserve"> с </w:t>
      </w:r>
      <w:r w:rsidR="0027496A" w:rsidRPr="00AE488A">
        <w:rPr>
          <w:rFonts w:asciiTheme="majorHAnsi" w:eastAsia="Times New Roman" w:hAnsiTheme="majorHAnsi" w:cstheme="majorHAnsi"/>
          <w:sz w:val="24"/>
          <w:szCs w:val="24"/>
          <w:lang w:val="ru-MD"/>
        </w:rPr>
        <w:t>П</w:t>
      </w:r>
      <w:r w:rsidRPr="00AE488A">
        <w:rPr>
          <w:rFonts w:asciiTheme="majorHAnsi" w:eastAsia="Times New Roman" w:hAnsiTheme="majorHAnsi" w:cstheme="majorHAnsi"/>
          <w:sz w:val="24"/>
          <w:szCs w:val="24"/>
          <w:lang w:val="ru-MD"/>
        </w:rPr>
        <w:t xml:space="preserve">роектом </w:t>
      </w:r>
      <w:r w:rsidR="0027496A" w:rsidRPr="00AE488A">
        <w:rPr>
          <w:rFonts w:asciiTheme="majorHAnsi" w:eastAsia="Times New Roman" w:hAnsiTheme="majorHAnsi" w:cstheme="majorHAnsi"/>
          <w:sz w:val="24"/>
          <w:szCs w:val="24"/>
          <w:lang w:val="ru-MD"/>
        </w:rPr>
        <w:t>„Э</w:t>
      </w:r>
      <w:r w:rsidRPr="00AE488A">
        <w:rPr>
          <w:rFonts w:asciiTheme="majorHAnsi" w:eastAsia="Times New Roman" w:hAnsiTheme="majorHAnsi" w:cstheme="majorHAnsi"/>
          <w:sz w:val="24"/>
          <w:szCs w:val="24"/>
          <w:lang w:val="ru-MD"/>
        </w:rPr>
        <w:t>нергия и биомасса</w:t>
      </w:r>
      <w:r w:rsidR="0027496A" w:rsidRPr="00AE488A">
        <w:rPr>
          <w:rFonts w:asciiTheme="majorHAnsi" w:eastAsia="Times New Roman" w:hAnsiTheme="majorHAnsi" w:cstheme="majorHAnsi"/>
          <w:sz w:val="24"/>
          <w:szCs w:val="24"/>
          <w:lang w:val="ru-MD"/>
        </w:rPr>
        <w:t>”</w:t>
      </w:r>
      <w:r w:rsidRPr="00AE488A">
        <w:rPr>
          <w:rFonts w:asciiTheme="majorHAnsi" w:eastAsia="Times New Roman" w:hAnsiTheme="majorHAnsi" w:cstheme="majorHAnsi"/>
          <w:sz w:val="24"/>
          <w:szCs w:val="24"/>
          <w:lang w:val="ru-MD"/>
        </w:rPr>
        <w:t xml:space="preserve">, подписанным Правительством Республики Молдова и ПРООН в 2011 году, что привело к завышению </w:t>
      </w:r>
      <w:r w:rsidR="0027496A" w:rsidRPr="00AE488A">
        <w:rPr>
          <w:rFonts w:asciiTheme="majorHAnsi" w:eastAsia="Times New Roman" w:hAnsiTheme="majorHAnsi" w:cstheme="majorHAnsi"/>
          <w:sz w:val="24"/>
          <w:szCs w:val="24"/>
          <w:lang w:val="ru-MD"/>
        </w:rPr>
        <w:t>обязательств</w:t>
      </w:r>
      <w:r w:rsidRPr="00AE488A">
        <w:rPr>
          <w:rFonts w:asciiTheme="majorHAnsi" w:eastAsia="Times New Roman" w:hAnsiTheme="majorHAnsi" w:cstheme="majorHAnsi"/>
          <w:sz w:val="24"/>
          <w:szCs w:val="24"/>
          <w:lang w:val="ru-MD"/>
        </w:rPr>
        <w:t xml:space="preserve"> Агентства по энергоэффективности на </w:t>
      </w:r>
      <w:r w:rsidRPr="00AE488A">
        <w:rPr>
          <w:rFonts w:asciiTheme="majorHAnsi" w:eastAsia="Times New Roman" w:hAnsiTheme="majorHAnsi" w:cstheme="majorHAnsi"/>
          <w:b/>
          <w:sz w:val="24"/>
          <w:szCs w:val="24"/>
          <w:lang w:val="ru-MD"/>
        </w:rPr>
        <w:t>0,75</w:t>
      </w:r>
      <w:r w:rsidRPr="00AE488A">
        <w:rPr>
          <w:rFonts w:asciiTheme="majorHAnsi" w:eastAsia="Times New Roman" w:hAnsiTheme="majorHAnsi" w:cstheme="majorHAnsi"/>
          <w:sz w:val="24"/>
          <w:szCs w:val="24"/>
          <w:lang w:val="ru-MD"/>
        </w:rPr>
        <w:t xml:space="preserve"> млн. ле</w:t>
      </w:r>
      <w:r w:rsidR="0027496A" w:rsidRPr="00AE488A">
        <w:rPr>
          <w:rFonts w:asciiTheme="majorHAnsi" w:eastAsia="Times New Roman" w:hAnsiTheme="majorHAnsi" w:cstheme="majorHAnsi"/>
          <w:sz w:val="24"/>
          <w:szCs w:val="24"/>
          <w:lang w:val="ru-MD"/>
        </w:rPr>
        <w:t>ев</w:t>
      </w:r>
      <w:r w:rsidRPr="00AE488A">
        <w:rPr>
          <w:rFonts w:asciiTheme="majorHAnsi" w:eastAsia="Times New Roman" w:hAnsiTheme="majorHAnsi" w:cstheme="majorHAnsi"/>
          <w:sz w:val="24"/>
          <w:szCs w:val="24"/>
          <w:lang w:val="ru-MD"/>
        </w:rPr>
        <w:t xml:space="preserve"> и </w:t>
      </w:r>
      <w:r w:rsidR="0027496A" w:rsidRPr="00AE488A">
        <w:rPr>
          <w:rFonts w:asciiTheme="majorHAnsi" w:eastAsia="Times New Roman" w:hAnsiTheme="majorHAnsi" w:cstheme="majorHAnsi"/>
          <w:sz w:val="24"/>
          <w:szCs w:val="24"/>
          <w:lang w:val="ru-MD"/>
        </w:rPr>
        <w:t>занижению</w:t>
      </w:r>
      <w:r w:rsidRPr="00AE488A">
        <w:rPr>
          <w:rFonts w:asciiTheme="majorHAnsi" w:eastAsia="Times New Roman" w:hAnsiTheme="majorHAnsi" w:cstheme="majorHAnsi"/>
          <w:sz w:val="24"/>
          <w:szCs w:val="24"/>
          <w:lang w:val="ru-MD"/>
        </w:rPr>
        <w:t xml:space="preserve"> расходов отчетн</w:t>
      </w:r>
      <w:r w:rsidR="0027496A" w:rsidRPr="00AE488A">
        <w:rPr>
          <w:rFonts w:asciiTheme="majorHAnsi" w:eastAsia="Times New Roman" w:hAnsiTheme="majorHAnsi" w:cstheme="majorHAnsi"/>
          <w:sz w:val="24"/>
          <w:szCs w:val="24"/>
          <w:lang w:val="ru-MD"/>
        </w:rPr>
        <w:t>ого</w:t>
      </w:r>
      <w:r w:rsidRPr="00AE488A">
        <w:rPr>
          <w:rFonts w:asciiTheme="majorHAnsi" w:eastAsia="Times New Roman" w:hAnsiTheme="majorHAnsi" w:cstheme="majorHAnsi"/>
          <w:sz w:val="24"/>
          <w:szCs w:val="24"/>
          <w:lang w:val="ru-MD"/>
        </w:rPr>
        <w:t xml:space="preserve"> период</w:t>
      </w:r>
      <w:r w:rsidR="0027496A" w:rsidRPr="00AE488A">
        <w:rPr>
          <w:rFonts w:asciiTheme="majorHAnsi" w:eastAsia="Times New Roman" w:hAnsiTheme="majorHAnsi" w:cstheme="majorHAnsi"/>
          <w:sz w:val="24"/>
          <w:szCs w:val="24"/>
          <w:lang w:val="ru-MD"/>
        </w:rPr>
        <w:t>а</w:t>
      </w:r>
      <w:r w:rsidRPr="00AE488A">
        <w:rPr>
          <w:rFonts w:asciiTheme="majorHAnsi" w:eastAsia="Times New Roman" w:hAnsiTheme="majorHAnsi" w:cstheme="majorHAnsi"/>
          <w:sz w:val="24"/>
          <w:szCs w:val="24"/>
          <w:lang w:val="ru-MD"/>
        </w:rPr>
        <w:t xml:space="preserve"> примерно на </w:t>
      </w:r>
      <w:r w:rsidRPr="00AE488A">
        <w:rPr>
          <w:rFonts w:asciiTheme="majorHAnsi" w:eastAsia="Times New Roman" w:hAnsiTheme="majorHAnsi" w:cstheme="majorHAnsi"/>
          <w:b/>
          <w:sz w:val="24"/>
          <w:szCs w:val="24"/>
          <w:lang w:val="ru-MD"/>
        </w:rPr>
        <w:t>1,28</w:t>
      </w:r>
      <w:r w:rsidRPr="00AE488A">
        <w:rPr>
          <w:rFonts w:asciiTheme="majorHAnsi" w:eastAsia="Times New Roman" w:hAnsiTheme="majorHAnsi" w:cstheme="majorHAnsi"/>
          <w:sz w:val="24"/>
          <w:szCs w:val="24"/>
          <w:lang w:val="ru-MD"/>
        </w:rPr>
        <w:t xml:space="preserve"> млн. ле</w:t>
      </w:r>
      <w:r w:rsidR="0027496A" w:rsidRPr="00AE488A">
        <w:rPr>
          <w:rFonts w:asciiTheme="majorHAnsi" w:eastAsia="Times New Roman" w:hAnsiTheme="majorHAnsi" w:cstheme="majorHAnsi"/>
          <w:sz w:val="24"/>
          <w:szCs w:val="24"/>
          <w:lang w:val="ru-MD"/>
        </w:rPr>
        <w:t>ев</w:t>
      </w:r>
      <w:r w:rsidRPr="00AE488A">
        <w:rPr>
          <w:rFonts w:asciiTheme="majorHAnsi" w:eastAsia="Times New Roman" w:hAnsiTheme="majorHAnsi" w:cstheme="majorHAnsi"/>
          <w:sz w:val="24"/>
          <w:szCs w:val="24"/>
          <w:lang w:val="ru-MD"/>
        </w:rPr>
        <w:t xml:space="preserve">, а также долгов на </w:t>
      </w:r>
      <w:r w:rsidRPr="00AE488A">
        <w:rPr>
          <w:rFonts w:asciiTheme="majorHAnsi" w:eastAsia="Times New Roman" w:hAnsiTheme="majorHAnsi" w:cstheme="majorHAnsi"/>
          <w:b/>
          <w:sz w:val="24"/>
          <w:szCs w:val="24"/>
          <w:lang w:val="ru-MD"/>
        </w:rPr>
        <w:t>0,96</w:t>
      </w:r>
      <w:r w:rsidRPr="00AE488A">
        <w:rPr>
          <w:rFonts w:asciiTheme="majorHAnsi" w:eastAsia="Times New Roman" w:hAnsiTheme="majorHAnsi" w:cstheme="majorHAnsi"/>
          <w:sz w:val="24"/>
          <w:szCs w:val="24"/>
          <w:lang w:val="ru-MD"/>
        </w:rPr>
        <w:t xml:space="preserve"> млн. ле</w:t>
      </w:r>
      <w:r w:rsidR="0027496A" w:rsidRPr="00AE488A">
        <w:rPr>
          <w:rFonts w:asciiTheme="majorHAnsi" w:eastAsia="Times New Roman" w:hAnsiTheme="majorHAnsi" w:cstheme="majorHAnsi"/>
          <w:sz w:val="24"/>
          <w:szCs w:val="24"/>
          <w:lang w:val="ru-MD"/>
        </w:rPr>
        <w:t>ев</w:t>
      </w:r>
      <w:r w:rsidR="00FE07C0" w:rsidRPr="00AE488A">
        <w:rPr>
          <w:rFonts w:asciiTheme="majorHAnsi" w:eastAsia="Times New Roman" w:hAnsiTheme="majorHAnsi" w:cstheme="majorHAnsi"/>
          <w:sz w:val="24"/>
          <w:szCs w:val="24"/>
          <w:lang w:val="ru-MD"/>
        </w:rPr>
        <w:t>;</w:t>
      </w:r>
    </w:p>
    <w:p w:rsidR="00CE1EA9" w:rsidRPr="00AE488A" w:rsidRDefault="00E7136C" w:rsidP="00E7136C">
      <w:pPr>
        <w:pStyle w:val="ListParagraph"/>
        <w:numPr>
          <w:ilvl w:val="0"/>
          <w:numId w:val="6"/>
        </w:numPr>
        <w:tabs>
          <w:tab w:val="left" w:pos="0"/>
        </w:tabs>
        <w:spacing w:after="0" w:line="276" w:lineRule="auto"/>
        <w:jc w:val="both"/>
        <w:rPr>
          <w:rFonts w:asciiTheme="majorHAnsi" w:hAnsiTheme="majorHAnsi" w:cs="Times New Roman"/>
          <w:sz w:val="24"/>
          <w:szCs w:val="24"/>
          <w:lang w:val="ru-MD"/>
        </w:rPr>
      </w:pPr>
      <w:r w:rsidRPr="00AE488A">
        <w:rPr>
          <w:rFonts w:asciiTheme="majorHAnsi" w:eastAsia="Times New Roman" w:hAnsiTheme="majorHAnsi" w:cstheme="majorHAnsi"/>
          <w:sz w:val="24"/>
          <w:szCs w:val="24"/>
          <w:lang w:val="ru-MD"/>
        </w:rPr>
        <w:t xml:space="preserve">непередача фотоэлектрической установки на сумму </w:t>
      </w:r>
      <w:r w:rsidRPr="00AE488A">
        <w:rPr>
          <w:rFonts w:asciiTheme="majorHAnsi" w:eastAsia="Times New Roman" w:hAnsiTheme="majorHAnsi" w:cstheme="majorHAnsi"/>
          <w:b/>
          <w:sz w:val="24"/>
          <w:szCs w:val="24"/>
          <w:lang w:val="ru-MD"/>
        </w:rPr>
        <w:t>2,75</w:t>
      </w:r>
      <w:r w:rsidRPr="00AE488A">
        <w:rPr>
          <w:rFonts w:asciiTheme="majorHAnsi" w:eastAsia="Times New Roman" w:hAnsiTheme="majorHAnsi" w:cstheme="majorHAnsi"/>
          <w:sz w:val="24"/>
          <w:szCs w:val="24"/>
          <w:lang w:val="ru-MD"/>
        </w:rPr>
        <w:t xml:space="preserve"> млн. леев Государственной налоговой службе, что привело к завышению в отчетности стоимости основных средств, находящихся в его ведении</w:t>
      </w:r>
      <w:r w:rsidR="009C4B41" w:rsidRPr="00AE488A">
        <w:rPr>
          <w:rFonts w:asciiTheme="majorHAnsi" w:eastAsia="Times New Roman" w:hAnsiTheme="majorHAnsi" w:cstheme="majorHAnsi"/>
          <w:sz w:val="24"/>
          <w:szCs w:val="24"/>
          <w:lang w:val="ru-MD"/>
        </w:rPr>
        <w:t>.</w:t>
      </w:r>
    </w:p>
    <w:p w:rsidR="004B07DC" w:rsidRPr="00AE488A" w:rsidRDefault="004B07DC" w:rsidP="004B07DC">
      <w:pPr>
        <w:pStyle w:val="ListParagraph"/>
        <w:tabs>
          <w:tab w:val="left" w:pos="0"/>
        </w:tabs>
        <w:spacing w:after="0" w:line="276" w:lineRule="auto"/>
        <w:jc w:val="both"/>
        <w:rPr>
          <w:rFonts w:asciiTheme="majorHAnsi" w:hAnsiTheme="majorHAnsi" w:cs="Times New Roman"/>
          <w:sz w:val="24"/>
          <w:szCs w:val="24"/>
          <w:lang w:val="ru-MD"/>
        </w:rPr>
      </w:pPr>
    </w:p>
    <w:p w:rsidR="00125D9C" w:rsidRPr="00AE488A" w:rsidRDefault="00E7136C" w:rsidP="00125D9C">
      <w:pPr>
        <w:pStyle w:val="ListParagraph"/>
        <w:numPr>
          <w:ilvl w:val="0"/>
          <w:numId w:val="1"/>
        </w:numPr>
        <w:spacing w:after="0" w:line="276" w:lineRule="auto"/>
        <w:ind w:left="992" w:hanging="357"/>
        <w:outlineLvl w:val="0"/>
        <w:rPr>
          <w:rFonts w:asciiTheme="majorHAnsi" w:hAnsiTheme="majorHAnsi" w:cs="Times New Roman"/>
          <w:b/>
          <w:caps/>
          <w:sz w:val="28"/>
          <w:szCs w:val="28"/>
          <w:lang w:val="ru-MD"/>
        </w:rPr>
      </w:pPr>
      <w:r w:rsidRPr="00AE488A">
        <w:rPr>
          <w:rFonts w:asciiTheme="majorHAnsi" w:hAnsiTheme="majorHAnsi" w:cstheme="majorHAnsi"/>
          <w:b/>
          <w:sz w:val="28"/>
          <w:szCs w:val="28"/>
          <w:lang w:val="ru-MD"/>
        </w:rPr>
        <w:t>НАДЛЕЖАЩЕЕ УПРАВЛЕНИЕ</w:t>
      </w:r>
      <w:r w:rsidRPr="00AE488A">
        <w:rPr>
          <w:rFonts w:asciiTheme="majorHAnsi" w:hAnsiTheme="majorHAnsi" w:cs="Times New Roman"/>
          <w:b/>
          <w:sz w:val="28"/>
          <w:szCs w:val="28"/>
          <w:lang w:val="ru-MD"/>
        </w:rPr>
        <w:t xml:space="preserve"> </w:t>
      </w:r>
    </w:p>
    <w:p w:rsidR="00AE488A" w:rsidRDefault="00AE488A" w:rsidP="00AE488A">
      <w:pPr>
        <w:pStyle w:val="ListParagraph"/>
        <w:tabs>
          <w:tab w:val="left" w:pos="0"/>
        </w:tabs>
        <w:spacing w:after="0" w:line="276" w:lineRule="auto"/>
        <w:ind w:left="0"/>
        <w:jc w:val="both"/>
        <w:rPr>
          <w:rFonts w:asciiTheme="majorHAnsi" w:hAnsiTheme="majorHAnsi" w:cstheme="majorHAnsi"/>
          <w:sz w:val="24"/>
          <w:szCs w:val="24"/>
          <w:lang w:val="ru-MD"/>
        </w:rPr>
      </w:pPr>
      <w:r>
        <w:rPr>
          <w:rFonts w:asciiTheme="majorHAnsi" w:hAnsiTheme="majorHAnsi" w:cstheme="majorHAnsi"/>
          <w:sz w:val="24"/>
          <w:szCs w:val="24"/>
          <w:lang w:val="ru-MD"/>
        </w:rPr>
        <w:t>5.1.</w:t>
      </w:r>
      <w:r w:rsidRPr="00AE488A">
        <w:rPr>
          <w:rFonts w:asciiTheme="majorHAnsi" w:hAnsiTheme="majorHAnsi" w:cstheme="majorHAnsi"/>
          <w:sz w:val="24"/>
          <w:szCs w:val="24"/>
          <w:lang w:val="ru-MD"/>
        </w:rPr>
        <w:t xml:space="preserve"> Министерство инфраструктуры и регионального развития установило систему внутреннего управленческого контроля, которая обеспечивает соответствующий уровень функциональности и эффективности ключевых контролей. Вместе с тем, были выявлены некоторые пробелы, в частности, в рамках реорганизованных субъектов в результате реструктуризации центрального отраслевого публичного управления, которые, в основном, и обусловили искажения и/или замечания, отмеченные в настоящем Отчете.</w:t>
      </w:r>
    </w:p>
    <w:p w:rsidR="00AE488A" w:rsidRPr="00AE488A" w:rsidRDefault="00AE488A" w:rsidP="00AE488A">
      <w:pPr>
        <w:pStyle w:val="ListParagraph"/>
        <w:tabs>
          <w:tab w:val="left" w:pos="0"/>
        </w:tabs>
        <w:spacing w:after="0" w:line="276" w:lineRule="auto"/>
        <w:ind w:left="0"/>
        <w:jc w:val="both"/>
        <w:rPr>
          <w:rFonts w:asciiTheme="majorHAnsi" w:hAnsiTheme="majorHAnsi" w:cstheme="majorHAnsi"/>
          <w:sz w:val="24"/>
          <w:szCs w:val="24"/>
          <w:lang w:val="ru-MD"/>
        </w:rPr>
      </w:pPr>
      <w:r>
        <w:rPr>
          <w:rFonts w:asciiTheme="majorHAnsi" w:hAnsiTheme="majorHAnsi" w:cs="Times New Roman"/>
          <w:sz w:val="24"/>
          <w:szCs w:val="24"/>
          <w:lang w:val="ru-MD"/>
        </w:rPr>
        <w:lastRenderedPageBreak/>
        <w:t>5.2.</w:t>
      </w:r>
      <w:r w:rsidRPr="00AE488A">
        <w:rPr>
          <w:rFonts w:asciiTheme="majorHAnsi" w:hAnsiTheme="majorHAnsi" w:cs="Times New Roman"/>
          <w:sz w:val="24"/>
          <w:szCs w:val="24"/>
          <w:lang w:val="ru-MD"/>
        </w:rPr>
        <w:t xml:space="preserve"> Подразделения внутреннего аудита в рамках министерства, а также его подведомственных субъектов, были пополнены персоналом на очень низком уровне, что, как следствие, лишило руководителей инструмента, обеспечивающего прудентное управление рисками, способствующего улучшению внутреннего управленческого контроля, а также повышению уровня эффективности и результативности управляемых процессов.</w:t>
      </w:r>
    </w:p>
    <w:p w:rsidR="00AE488A" w:rsidRPr="00AE488A" w:rsidRDefault="00AE488A" w:rsidP="00AE488A">
      <w:pPr>
        <w:pStyle w:val="ListParagraph"/>
        <w:tabs>
          <w:tab w:val="left" w:pos="0"/>
        </w:tabs>
        <w:spacing w:after="0" w:line="276" w:lineRule="auto"/>
        <w:ind w:left="0"/>
        <w:jc w:val="both"/>
        <w:rPr>
          <w:rFonts w:asciiTheme="majorHAnsi" w:hAnsiTheme="majorHAnsi" w:cstheme="majorHAnsi"/>
          <w:sz w:val="24"/>
          <w:szCs w:val="24"/>
          <w:lang w:val="ru-MD"/>
        </w:rPr>
      </w:pPr>
      <w:r>
        <w:rPr>
          <w:rFonts w:asciiTheme="majorHAnsi" w:hAnsiTheme="majorHAnsi" w:cstheme="majorHAnsi"/>
          <w:sz w:val="24"/>
          <w:szCs w:val="24"/>
          <w:lang w:val="ru-MD"/>
        </w:rPr>
        <w:t>5.3.</w:t>
      </w:r>
      <w:r w:rsidRPr="00AE488A">
        <w:rPr>
          <w:rFonts w:asciiTheme="majorHAnsi" w:hAnsiTheme="majorHAnsi" w:cstheme="majorHAnsi"/>
          <w:sz w:val="24"/>
          <w:szCs w:val="24"/>
          <w:lang w:val="ru-MD"/>
        </w:rPr>
        <w:t>Ранее Счетная палата провела аудит консолидированных финансовых отчетов Министерства экономики и инфраструктуры, составленных по состоянию на 31.12.2020</w:t>
      </w:r>
      <w:r w:rsidRPr="00AE488A">
        <w:rPr>
          <w:rStyle w:val="FootnoteReference"/>
          <w:lang w:val="ru-MD"/>
        </w:rPr>
        <w:footnoteReference w:id="3"/>
      </w:r>
      <w:r w:rsidRPr="00AE488A">
        <w:rPr>
          <w:rFonts w:asciiTheme="majorHAnsi" w:hAnsiTheme="majorHAnsi" w:cstheme="majorHAnsi"/>
          <w:sz w:val="24"/>
          <w:szCs w:val="24"/>
          <w:lang w:val="ru-MD"/>
        </w:rPr>
        <w:t>, в результате которого были представлены 3 рекомендации, которые на данный момент полностью внедрены</w:t>
      </w:r>
      <w:r w:rsidRPr="00AE488A">
        <w:rPr>
          <w:rFonts w:asciiTheme="majorHAnsi" w:hAnsiTheme="majorHAnsi" w:cs="Times New Roman"/>
          <w:sz w:val="24"/>
          <w:szCs w:val="24"/>
          <w:lang w:val="ru-MD"/>
        </w:rPr>
        <w:t>.</w:t>
      </w:r>
    </w:p>
    <w:p w:rsidR="00AE488A" w:rsidRPr="00AE488A" w:rsidRDefault="001402B8" w:rsidP="00AE488A">
      <w:pPr>
        <w:pStyle w:val="ListParagraph"/>
        <w:tabs>
          <w:tab w:val="left" w:pos="0"/>
        </w:tabs>
        <w:spacing w:after="0" w:line="276" w:lineRule="auto"/>
        <w:ind w:left="0"/>
        <w:jc w:val="both"/>
        <w:rPr>
          <w:rFonts w:asciiTheme="majorHAnsi" w:hAnsiTheme="majorHAnsi" w:cstheme="majorHAnsi"/>
          <w:sz w:val="24"/>
          <w:szCs w:val="24"/>
          <w:lang w:val="ru-MD"/>
        </w:rPr>
      </w:pPr>
      <w:r>
        <w:rPr>
          <w:rFonts w:asciiTheme="majorHAnsi" w:hAnsiTheme="majorHAnsi" w:cs="Times New Roman"/>
          <w:sz w:val="24"/>
          <w:szCs w:val="24"/>
          <w:lang w:val="ru-MD"/>
        </w:rPr>
        <w:t>5.4.</w:t>
      </w:r>
      <w:r w:rsidRPr="00AE488A">
        <w:rPr>
          <w:rFonts w:asciiTheme="majorHAnsi" w:hAnsiTheme="majorHAnsi" w:cs="Times New Roman"/>
          <w:sz w:val="24"/>
          <w:szCs w:val="24"/>
          <w:lang w:val="ru-MD"/>
        </w:rPr>
        <w:t xml:space="preserve"> Согласно</w:t>
      </w:r>
      <w:r w:rsidR="00AE488A" w:rsidRPr="00AE488A">
        <w:rPr>
          <w:rFonts w:asciiTheme="majorHAnsi" w:hAnsiTheme="majorHAnsi" w:cs="Times New Roman"/>
          <w:sz w:val="24"/>
          <w:szCs w:val="24"/>
          <w:lang w:val="ru-MD"/>
        </w:rPr>
        <w:t xml:space="preserve"> Рамочному Кредитному соглашению между Республикой Молдова и Банком развития Совета Европы, Подразделение по внедрению II Проекта строительства жилья для социально уязвимых слоев инициировало строительные работы в многоквартирном жилом доме в г. Резина, в 2017 году (сумма инвестиций составляет </w:t>
      </w:r>
      <w:r w:rsidR="00AE488A" w:rsidRPr="00AE488A">
        <w:rPr>
          <w:rFonts w:asciiTheme="majorHAnsi" w:hAnsiTheme="majorHAnsi" w:cs="Times New Roman"/>
          <w:b/>
          <w:sz w:val="24"/>
          <w:szCs w:val="24"/>
          <w:lang w:val="ru-MD"/>
        </w:rPr>
        <w:t>25,3</w:t>
      </w:r>
      <w:r w:rsidR="00AE488A" w:rsidRPr="00AE488A">
        <w:rPr>
          <w:rFonts w:asciiTheme="majorHAnsi" w:hAnsiTheme="majorHAnsi" w:cs="Times New Roman"/>
          <w:sz w:val="24"/>
          <w:szCs w:val="24"/>
          <w:lang w:val="ru-MD"/>
        </w:rPr>
        <w:t xml:space="preserve"> млн. леев) и в многоквартирном жилом доме в г. Чимишлия, в 2018 году (сумма инвестиций составляет </w:t>
      </w:r>
      <w:r w:rsidR="00AE488A" w:rsidRPr="00AE488A">
        <w:rPr>
          <w:rFonts w:asciiTheme="majorHAnsi" w:hAnsiTheme="majorHAnsi" w:cs="Times New Roman"/>
          <w:b/>
          <w:sz w:val="24"/>
          <w:szCs w:val="24"/>
          <w:lang w:val="ru-MD"/>
        </w:rPr>
        <w:t>15,8</w:t>
      </w:r>
      <w:r w:rsidR="00AE488A" w:rsidRPr="00AE488A">
        <w:rPr>
          <w:rFonts w:asciiTheme="majorHAnsi" w:hAnsiTheme="majorHAnsi" w:cs="Times New Roman"/>
          <w:sz w:val="24"/>
          <w:szCs w:val="24"/>
          <w:lang w:val="ru-MD"/>
        </w:rPr>
        <w:t xml:space="preserve"> млн. леев). До настоящего времени, по разным причинам, на которые ссылается Подразделение, в нарушение условий договоров подряда, работы не были завершены, а многоквартирные жилые дома не сданы в эксплуатацию. Соответственно, отмечается затягивание выполнения указанных работ, вызванное низкой вовлеченностью ответственных лиц Подразделения, что до настоящего времени не способствовало достижению цели предоставленного кредита и не улучшило в установленные сроки условия жизни лиц с низким доходом различных категорий</w:t>
      </w:r>
      <w:r>
        <w:rPr>
          <w:rFonts w:asciiTheme="majorHAnsi" w:hAnsiTheme="majorHAnsi" w:cs="Times New Roman"/>
          <w:sz w:val="24"/>
          <w:szCs w:val="24"/>
          <w:lang w:val="ru-MD"/>
        </w:rPr>
        <w:t>.</w:t>
      </w:r>
      <w:r w:rsidR="00AE488A" w:rsidRPr="00AE488A">
        <w:rPr>
          <w:rFonts w:asciiTheme="majorHAnsi" w:eastAsia="Times New Roman" w:hAnsiTheme="majorHAnsi" w:cstheme="majorHAnsi"/>
          <w:sz w:val="24"/>
          <w:szCs w:val="24"/>
          <w:lang w:val="ru-MD"/>
        </w:rPr>
        <w:t xml:space="preserve"> </w:t>
      </w:r>
    </w:p>
    <w:p w:rsidR="00AE488A" w:rsidRPr="00AE488A" w:rsidRDefault="00AE488A" w:rsidP="00AE488A">
      <w:pPr>
        <w:pStyle w:val="ListParagraph"/>
        <w:spacing w:after="0" w:line="276" w:lineRule="auto"/>
        <w:ind w:left="992"/>
        <w:outlineLvl w:val="0"/>
        <w:rPr>
          <w:rFonts w:asciiTheme="majorHAnsi" w:hAnsiTheme="majorHAnsi" w:cs="Times New Roman"/>
          <w:b/>
          <w:caps/>
          <w:sz w:val="28"/>
          <w:szCs w:val="28"/>
          <w:lang w:val="ru-MD"/>
        </w:rPr>
      </w:pPr>
    </w:p>
    <w:p w:rsidR="00AE488A" w:rsidRPr="00AE488A" w:rsidRDefault="006D387A" w:rsidP="00AE488A">
      <w:pPr>
        <w:pStyle w:val="ListParagraph"/>
        <w:numPr>
          <w:ilvl w:val="0"/>
          <w:numId w:val="1"/>
        </w:numPr>
        <w:spacing w:after="0" w:line="276" w:lineRule="auto"/>
        <w:ind w:left="992" w:hanging="357"/>
        <w:outlineLvl w:val="0"/>
        <w:rPr>
          <w:rFonts w:asciiTheme="majorHAnsi" w:hAnsiTheme="majorHAnsi" w:cs="Times New Roman"/>
          <w:b/>
          <w:caps/>
          <w:sz w:val="28"/>
          <w:szCs w:val="28"/>
          <w:lang w:val="ru-MD"/>
        </w:rPr>
      </w:pPr>
      <w:bookmarkStart w:id="7" w:name="_Toc532292932"/>
      <w:bookmarkStart w:id="8" w:name="_Toc530056761"/>
      <w:r w:rsidRPr="00AE488A">
        <w:rPr>
          <w:rFonts w:asciiTheme="majorHAnsi" w:eastAsia="Times New Roman" w:hAnsiTheme="majorHAnsi" w:cstheme="majorHAnsi"/>
          <w:b/>
          <w:sz w:val="28"/>
          <w:szCs w:val="28"/>
          <w:lang w:val="ru-MD"/>
        </w:rPr>
        <w:t>ОТВЕТСТВЕННОСТЬ РУКОВОДСТВА ЗА СОСТАВЛЕНИЕ ФИНАНСОВОЙ ОТЧЕТНОСТИ</w:t>
      </w:r>
      <w:r w:rsidRPr="00AE488A">
        <w:rPr>
          <w:rFonts w:asciiTheme="majorHAnsi" w:hAnsiTheme="majorHAnsi" w:cs="Times New Roman"/>
          <w:b/>
          <w:sz w:val="28"/>
          <w:szCs w:val="28"/>
          <w:lang w:val="ru-MD"/>
        </w:rPr>
        <w:t xml:space="preserve"> </w:t>
      </w:r>
    </w:p>
    <w:p w:rsidR="00AE488A" w:rsidRDefault="00AE488A" w:rsidP="00AE488A">
      <w:pPr>
        <w:pStyle w:val="ListParagraph"/>
        <w:spacing w:after="0" w:line="276" w:lineRule="auto"/>
        <w:ind w:left="0"/>
        <w:jc w:val="both"/>
        <w:outlineLvl w:val="0"/>
        <w:rPr>
          <w:rFonts w:asciiTheme="majorHAnsi" w:hAnsiTheme="majorHAnsi" w:cstheme="majorHAnsi"/>
          <w:color w:val="000000"/>
          <w:sz w:val="24"/>
          <w:szCs w:val="24"/>
          <w:lang w:val="ru-MD"/>
        </w:rPr>
      </w:pPr>
      <w:r w:rsidRPr="00AE488A">
        <w:rPr>
          <w:rFonts w:asciiTheme="majorHAnsi" w:hAnsiTheme="majorHAnsi" w:cs="Times New Roman"/>
          <w:sz w:val="24"/>
          <w:szCs w:val="24"/>
          <w:lang w:val="ru-MD"/>
        </w:rPr>
        <w:t xml:space="preserve">Министр </w:t>
      </w:r>
      <w:r w:rsidRPr="00AE488A">
        <w:rPr>
          <w:rFonts w:asciiTheme="majorHAnsi" w:hAnsiTheme="majorHAnsi" w:cstheme="majorHAnsi"/>
          <w:sz w:val="24"/>
          <w:szCs w:val="24"/>
          <w:lang w:val="ru-MD"/>
        </w:rPr>
        <w:t>инфраструктуры и регионального развития</w:t>
      </w:r>
      <w:r w:rsidRPr="00AE488A">
        <w:rPr>
          <w:rFonts w:asciiTheme="majorHAnsi" w:hAnsiTheme="majorHAnsi" w:cs="Times New Roman"/>
          <w:sz w:val="24"/>
          <w:szCs w:val="24"/>
          <w:lang w:val="ru-MD"/>
        </w:rPr>
        <w:t xml:space="preserve">, </w:t>
      </w:r>
      <w:r w:rsidRPr="00AE488A">
        <w:rPr>
          <w:rFonts w:asciiTheme="majorHAnsi" w:hAnsiTheme="majorHAnsi" w:cstheme="majorHAnsi"/>
          <w:sz w:val="24"/>
          <w:szCs w:val="24"/>
          <w:lang w:val="ru-MD"/>
        </w:rPr>
        <w:t>в качестве руководителя центрального отраслевого органа публичного управления, несет ответственность за составление, правильное и достоверное представление консолидированной финансовой отчетности</w:t>
      </w:r>
      <w:r w:rsidRPr="00AE488A">
        <w:rPr>
          <w:rStyle w:val="FootnoteReference"/>
          <w:rFonts w:asciiTheme="majorHAnsi" w:hAnsiTheme="majorHAnsi"/>
          <w:sz w:val="24"/>
          <w:szCs w:val="24"/>
          <w:lang w:val="ru-MD"/>
        </w:rPr>
        <w:footnoteReference w:id="4"/>
      </w:r>
      <w:r w:rsidRPr="00AE488A">
        <w:rPr>
          <w:rFonts w:asciiTheme="majorHAnsi" w:hAnsiTheme="majorHAnsi" w:cstheme="majorHAnsi"/>
          <w:sz w:val="24"/>
          <w:szCs w:val="24"/>
          <w:lang w:val="ru-MD"/>
        </w:rPr>
        <w:t>, в соответствии с применяемой базой по финансовой отчетности</w:t>
      </w:r>
      <w:r w:rsidRPr="00AE488A">
        <w:rPr>
          <w:rStyle w:val="FootnoteReference"/>
          <w:rFonts w:asciiTheme="majorHAnsi" w:hAnsiTheme="majorHAnsi"/>
          <w:sz w:val="24"/>
          <w:szCs w:val="24"/>
          <w:lang w:val="ru-MD"/>
        </w:rPr>
        <w:footnoteReference w:id="5"/>
      </w:r>
      <w:r w:rsidRPr="00AE488A">
        <w:rPr>
          <w:rFonts w:asciiTheme="majorHAnsi" w:hAnsiTheme="majorHAnsi" w:cstheme="majorHAnsi"/>
          <w:sz w:val="24"/>
          <w:szCs w:val="24"/>
          <w:lang w:val="ru-MD"/>
        </w:rPr>
        <w:t xml:space="preserve">. Также, </w:t>
      </w:r>
      <w:r w:rsidRPr="00AE488A">
        <w:rPr>
          <w:rFonts w:asciiTheme="majorHAnsi" w:hAnsiTheme="majorHAnsi" w:cs="Times New Roman"/>
          <w:sz w:val="24"/>
          <w:szCs w:val="24"/>
          <w:lang w:val="ru-MD"/>
        </w:rPr>
        <w:t xml:space="preserve">Министр </w:t>
      </w:r>
      <w:r w:rsidRPr="00AE488A">
        <w:rPr>
          <w:rFonts w:asciiTheme="majorHAnsi" w:hAnsiTheme="majorHAnsi" w:cstheme="majorHAnsi"/>
          <w:sz w:val="24"/>
          <w:szCs w:val="24"/>
          <w:lang w:val="ru-MD"/>
        </w:rPr>
        <w:t>инфраструктуры и регионального развития</w:t>
      </w:r>
      <w:r w:rsidRPr="00AE488A">
        <w:rPr>
          <w:rFonts w:asciiTheme="majorHAnsi" w:hAnsiTheme="majorHAnsi" w:cs="Times New Roman"/>
          <w:sz w:val="24"/>
          <w:szCs w:val="24"/>
          <w:lang w:val="ru-MD"/>
        </w:rPr>
        <w:t xml:space="preserve"> </w:t>
      </w:r>
      <w:r w:rsidRPr="00AE488A">
        <w:rPr>
          <w:rFonts w:asciiTheme="majorHAnsi" w:hAnsiTheme="majorHAnsi" w:cstheme="majorHAnsi"/>
          <w:sz w:val="24"/>
          <w:szCs w:val="24"/>
          <w:lang w:val="ru-MD"/>
        </w:rPr>
        <w:t xml:space="preserve">несет ответственность за организацию системы внутреннего управленческого контроля, обеспечивающего составление финансовых отчетов, не содержащих существенных искажений, обусловленных мошенничеством и/или ошибками, а также за эффективную </w:t>
      </w:r>
      <w:r w:rsidRPr="00AE488A">
        <w:rPr>
          <w:rFonts w:asciiTheme="majorHAnsi" w:hAnsiTheme="majorHAnsi" w:cstheme="majorHAnsi"/>
          <w:sz w:val="24"/>
          <w:szCs w:val="24"/>
          <w:lang w:val="ru-MD"/>
        </w:rPr>
        <w:lastRenderedPageBreak/>
        <w:t>организацию экономической деятельности в целом, в том числе путем строгого соблюдения целостности активов и точности бухгалтерских записей</w:t>
      </w:r>
      <w:r w:rsidRPr="00AE488A">
        <w:rPr>
          <w:rFonts w:asciiTheme="majorHAnsi" w:hAnsiTheme="majorHAnsi" w:cstheme="majorHAnsi"/>
          <w:color w:val="000000"/>
          <w:sz w:val="24"/>
          <w:szCs w:val="24"/>
          <w:lang w:val="ru-MD"/>
        </w:rPr>
        <w:t>.</w:t>
      </w:r>
    </w:p>
    <w:p w:rsidR="007B12B8" w:rsidRPr="00AE488A" w:rsidRDefault="007B12B8" w:rsidP="00AE488A">
      <w:pPr>
        <w:pStyle w:val="ListParagraph"/>
        <w:spacing w:after="0" w:line="276" w:lineRule="auto"/>
        <w:ind w:left="0"/>
        <w:jc w:val="both"/>
        <w:outlineLvl w:val="0"/>
        <w:rPr>
          <w:rFonts w:asciiTheme="majorHAnsi" w:hAnsiTheme="majorHAnsi" w:cs="Times New Roman"/>
          <w:b/>
          <w:caps/>
          <w:sz w:val="28"/>
          <w:szCs w:val="28"/>
          <w:lang w:val="ru-MD"/>
        </w:rPr>
      </w:pPr>
    </w:p>
    <w:p w:rsidR="00125D9C" w:rsidRPr="007B12B8" w:rsidRDefault="00520107" w:rsidP="007B12B8">
      <w:pPr>
        <w:pStyle w:val="ListParagraph"/>
        <w:numPr>
          <w:ilvl w:val="0"/>
          <w:numId w:val="1"/>
        </w:numPr>
        <w:spacing w:after="0" w:line="276" w:lineRule="auto"/>
        <w:ind w:left="992" w:hanging="357"/>
        <w:outlineLvl w:val="0"/>
        <w:rPr>
          <w:rFonts w:asciiTheme="majorHAnsi" w:hAnsiTheme="majorHAnsi" w:cs="Times New Roman"/>
          <w:b/>
          <w:caps/>
          <w:sz w:val="28"/>
          <w:szCs w:val="28"/>
          <w:lang w:val="ru-MD"/>
        </w:rPr>
      </w:pPr>
      <w:bookmarkStart w:id="9" w:name="_Toc532292933"/>
      <w:bookmarkStart w:id="10" w:name="_Toc530056762"/>
      <w:bookmarkEnd w:id="7"/>
      <w:bookmarkEnd w:id="8"/>
      <w:r w:rsidRPr="007B12B8">
        <w:rPr>
          <w:rFonts w:asciiTheme="majorHAnsi" w:eastAsia="Times New Roman" w:hAnsiTheme="majorHAnsi" w:cstheme="majorHAnsi"/>
          <w:b/>
          <w:sz w:val="28"/>
          <w:szCs w:val="28"/>
          <w:lang w:val="ru-MD"/>
        </w:rPr>
        <w:t>ОТВЕТСТВЕННОСТЬ АУДИТОРА В РАМКАХ АУДИТА ФИНАНСОВОЙ ОТЧЕТНОСТИ</w:t>
      </w:r>
      <w:r w:rsidRPr="007B12B8">
        <w:rPr>
          <w:rFonts w:asciiTheme="majorHAnsi" w:hAnsiTheme="majorHAnsi" w:cstheme="majorHAnsi"/>
          <w:b/>
          <w:sz w:val="28"/>
          <w:szCs w:val="28"/>
          <w:lang w:val="ru-MD"/>
        </w:rPr>
        <w:t xml:space="preserve"> </w:t>
      </w:r>
      <w:bookmarkEnd w:id="9"/>
      <w:r w:rsidR="00125D9C" w:rsidRPr="007B12B8">
        <w:rPr>
          <w:rFonts w:asciiTheme="majorHAnsi" w:hAnsiTheme="majorHAnsi" w:cs="Times New Roman"/>
          <w:b/>
          <w:sz w:val="28"/>
          <w:szCs w:val="28"/>
          <w:lang w:val="ru-MD"/>
        </w:rPr>
        <w:t xml:space="preserve"> </w:t>
      </w:r>
      <w:bookmarkEnd w:id="10"/>
    </w:p>
    <w:p w:rsidR="00125D9C" w:rsidRPr="00AE488A" w:rsidRDefault="00520107" w:rsidP="00125D9C">
      <w:pPr>
        <w:pStyle w:val="Default"/>
        <w:spacing w:line="276" w:lineRule="auto"/>
        <w:jc w:val="both"/>
        <w:rPr>
          <w:rFonts w:asciiTheme="majorHAnsi" w:hAnsiTheme="majorHAnsi" w:cstheme="minorHAnsi"/>
          <w:color w:val="auto"/>
          <w:lang w:val="ru-MD"/>
        </w:rPr>
      </w:pPr>
      <w:r w:rsidRPr="00AE488A">
        <w:rPr>
          <w:rFonts w:asciiTheme="majorHAnsi" w:hAnsiTheme="majorHAnsi" w:cs="Times New Roman"/>
          <w:lang w:val="ru-MD"/>
        </w:rPr>
        <w:t>Наша ответственность состоит в планировании и проведении аудиторской миссии, с получением достаточных и уместных доказательств для подтверждения основания для аудиторского мнения. Наша цель заключалась в получении разумной уверенности в том, что финансовая отчетность не содержит существенных искажений, обусловленных мошенничеством или ошибками, и в составлении соответствующего мнения</w:t>
      </w:r>
      <w:r w:rsidR="00125D9C" w:rsidRPr="00AE488A">
        <w:rPr>
          <w:rFonts w:asciiTheme="majorHAnsi" w:hAnsiTheme="majorHAnsi" w:cstheme="minorHAnsi"/>
          <w:color w:val="auto"/>
          <w:lang w:val="ru-MD"/>
        </w:rPr>
        <w:t>.</w:t>
      </w:r>
    </w:p>
    <w:p w:rsidR="00125D9C" w:rsidRPr="00AE488A" w:rsidRDefault="00520107" w:rsidP="00125D9C">
      <w:pPr>
        <w:pStyle w:val="Default"/>
        <w:spacing w:line="276" w:lineRule="auto"/>
        <w:jc w:val="both"/>
        <w:rPr>
          <w:rFonts w:asciiTheme="majorHAnsi" w:hAnsiTheme="majorHAnsi" w:cstheme="minorHAnsi"/>
          <w:color w:val="auto"/>
          <w:lang w:val="ru-MD"/>
        </w:rPr>
      </w:pPr>
      <w:r w:rsidRPr="00AE488A">
        <w:rPr>
          <w:rFonts w:asciiTheme="majorHAnsi" w:hAnsiTheme="majorHAnsi" w:cstheme="majorHAnsi"/>
          <w:lang w:val="ru-MD"/>
        </w:rPr>
        <w:t>Разумная уверенность представляет собой высокую степень уверенности, но не является гарантией того, что аудит, проведенный в соответствии с ISSAI, всегда выявляет существенные искажения при их наличии. Искажения могут быть результатом мошенничества или ошибок. Вместе с тем, искажения считаются существенными, если, в отдельности или в совокупности, могут повлиять на экономические решения пользователей этой финансовой отчетности</w:t>
      </w:r>
      <w:r w:rsidR="00125D9C" w:rsidRPr="00AE488A">
        <w:rPr>
          <w:rFonts w:asciiTheme="majorHAnsi" w:hAnsiTheme="majorHAnsi" w:cstheme="minorHAnsi"/>
          <w:color w:val="auto"/>
          <w:lang w:val="ru-MD"/>
        </w:rPr>
        <w:t xml:space="preserve">. </w:t>
      </w:r>
    </w:p>
    <w:p w:rsidR="00F775AF" w:rsidRPr="00AE488A" w:rsidRDefault="00520107" w:rsidP="00E14523">
      <w:pPr>
        <w:shd w:val="clear" w:color="auto" w:fill="FFFFFF"/>
        <w:spacing w:after="0" w:line="276" w:lineRule="auto"/>
        <w:jc w:val="both"/>
        <w:rPr>
          <w:rFonts w:asciiTheme="majorHAnsi" w:hAnsiTheme="majorHAnsi" w:cstheme="minorHAnsi"/>
          <w:sz w:val="24"/>
          <w:szCs w:val="24"/>
          <w:lang w:val="ru-MD"/>
        </w:rPr>
      </w:pPr>
      <w:r w:rsidRPr="00AE488A">
        <w:rPr>
          <w:rFonts w:asciiTheme="majorHAnsi" w:hAnsiTheme="majorHAnsi" w:cstheme="minorHAnsi"/>
          <w:sz w:val="24"/>
          <w:szCs w:val="24"/>
          <w:lang w:val="ru-MD"/>
        </w:rPr>
        <w:t>Для получения достаточных и адекватных аудиторских доказательств, подтверждающих выводы и достоверность изложенных в Отчете наблюдений, путем применения порога существенности, были применены процедуры проверки, изучения и анализа, с использованием различных методов, таких как: инспектирование, наблюдение, запрос информации, пересчет, интервьюирование и т. д. Все результаты аудиторских наблюдений, включая существенные недостатки внутреннего управленческого контроля, были сообщены аудируемым субъектам в ходе аудиторской миссии</w:t>
      </w:r>
      <w:r w:rsidR="00F775AF" w:rsidRPr="00AE488A">
        <w:rPr>
          <w:rFonts w:asciiTheme="majorHAnsi" w:hAnsiTheme="majorHAnsi" w:cstheme="minorHAnsi"/>
          <w:sz w:val="24"/>
          <w:szCs w:val="24"/>
          <w:lang w:val="ru-MD"/>
        </w:rPr>
        <w:t>.</w:t>
      </w:r>
    </w:p>
    <w:p w:rsidR="00F775AF" w:rsidRPr="00AE488A" w:rsidRDefault="00F775AF" w:rsidP="00125D9C">
      <w:pPr>
        <w:pStyle w:val="Default"/>
        <w:spacing w:line="276" w:lineRule="auto"/>
        <w:jc w:val="both"/>
        <w:rPr>
          <w:rFonts w:asciiTheme="majorHAnsi" w:hAnsiTheme="majorHAnsi" w:cstheme="minorHAnsi"/>
          <w:color w:val="auto"/>
          <w:lang w:val="ru-MD"/>
        </w:rPr>
      </w:pPr>
    </w:p>
    <w:p w:rsidR="00BA5B21" w:rsidRPr="00AE488A" w:rsidRDefault="00520107" w:rsidP="00BA5B21">
      <w:pPr>
        <w:spacing w:after="0" w:line="276" w:lineRule="auto"/>
        <w:jc w:val="both"/>
        <w:rPr>
          <w:rFonts w:asciiTheme="majorHAnsi" w:eastAsia="Times New Roman" w:hAnsiTheme="majorHAnsi" w:cs="Times New Roman"/>
          <w:b/>
          <w:i/>
          <w:sz w:val="24"/>
          <w:szCs w:val="24"/>
          <w:lang w:val="ru-MD" w:eastAsia="ro-MD"/>
        </w:rPr>
      </w:pPr>
      <w:r w:rsidRPr="00AE488A">
        <w:rPr>
          <w:rFonts w:asciiTheme="majorHAnsi" w:eastAsia="Times New Roman" w:hAnsiTheme="majorHAnsi" w:cs="Times New Roman"/>
          <w:b/>
          <w:i/>
          <w:sz w:val="24"/>
          <w:szCs w:val="24"/>
          <w:lang w:val="ru-MD" w:eastAsia="ro-MD"/>
        </w:rPr>
        <w:t>Ответственные за составление Отчета аудита</w:t>
      </w:r>
      <w:r w:rsidR="00BA5B21" w:rsidRPr="00AE488A">
        <w:rPr>
          <w:rFonts w:asciiTheme="majorHAnsi" w:eastAsia="Times New Roman" w:hAnsiTheme="majorHAnsi" w:cs="Times New Roman"/>
          <w:b/>
          <w:i/>
          <w:sz w:val="24"/>
          <w:szCs w:val="24"/>
          <w:lang w:val="ru-MD" w:eastAsia="ro-MD"/>
        </w:rPr>
        <w:t>:</w:t>
      </w:r>
    </w:p>
    <w:p w:rsidR="00203450" w:rsidRPr="00AE488A" w:rsidRDefault="00203450" w:rsidP="00203450">
      <w:pPr>
        <w:spacing w:after="0" w:line="276" w:lineRule="auto"/>
        <w:jc w:val="both"/>
        <w:rPr>
          <w:rFonts w:asciiTheme="majorHAnsi" w:eastAsia="Times New Roman" w:hAnsiTheme="majorHAnsi" w:cs="Times New Roman"/>
          <w:sz w:val="24"/>
          <w:szCs w:val="24"/>
          <w:lang w:val="ru-MD" w:eastAsia="ro-MD"/>
        </w:rPr>
      </w:pPr>
      <w:r w:rsidRPr="00AE488A">
        <w:rPr>
          <w:rFonts w:asciiTheme="majorHAnsi" w:eastAsia="Times New Roman" w:hAnsiTheme="majorHAnsi" w:cs="Times New Roman"/>
          <w:sz w:val="24"/>
          <w:szCs w:val="24"/>
          <w:lang w:val="ru-MD" w:eastAsia="ro-MD"/>
        </w:rPr>
        <w:t>Руководитель аудиторской группы,</w:t>
      </w:r>
    </w:p>
    <w:p w:rsidR="00203450" w:rsidRPr="00AE488A" w:rsidRDefault="00203450" w:rsidP="00203450">
      <w:pPr>
        <w:spacing w:after="0" w:line="276" w:lineRule="auto"/>
        <w:jc w:val="both"/>
        <w:rPr>
          <w:rFonts w:asciiTheme="majorHAnsi" w:eastAsia="Times New Roman" w:hAnsiTheme="majorHAnsi" w:cs="Times New Roman"/>
          <w:sz w:val="24"/>
          <w:szCs w:val="24"/>
          <w:lang w:val="ru-MD" w:eastAsia="ro-MD"/>
        </w:rPr>
      </w:pPr>
      <w:r w:rsidRPr="00AE488A">
        <w:rPr>
          <w:rFonts w:asciiTheme="majorHAnsi" w:eastAsia="Times New Roman" w:hAnsiTheme="majorHAnsi" w:cs="Times New Roman"/>
          <w:sz w:val="24"/>
          <w:szCs w:val="24"/>
          <w:lang w:val="ru-MD" w:eastAsia="ro-MD"/>
        </w:rPr>
        <w:t>Главный публичный аудитор</w:t>
      </w:r>
      <w:r w:rsidRPr="00AE488A">
        <w:rPr>
          <w:rFonts w:asciiTheme="majorHAnsi" w:hAnsiTheme="majorHAnsi" w:cs="Times New Roman"/>
          <w:sz w:val="24"/>
          <w:szCs w:val="24"/>
          <w:lang w:val="ru-MD"/>
        </w:rPr>
        <w:tab/>
      </w:r>
      <w:r w:rsidRPr="00AE488A">
        <w:rPr>
          <w:rFonts w:asciiTheme="majorHAnsi" w:hAnsiTheme="majorHAnsi" w:cs="Times New Roman"/>
          <w:sz w:val="24"/>
          <w:szCs w:val="24"/>
          <w:lang w:val="ru-MD"/>
        </w:rPr>
        <w:tab/>
      </w:r>
      <w:r w:rsidRPr="00AE488A">
        <w:rPr>
          <w:rFonts w:asciiTheme="majorHAnsi" w:hAnsiTheme="majorHAnsi" w:cs="Times New Roman"/>
          <w:sz w:val="24"/>
          <w:szCs w:val="24"/>
          <w:lang w:val="ru-MD"/>
        </w:rPr>
        <w:tab/>
      </w:r>
      <w:r w:rsidRPr="00AE488A">
        <w:rPr>
          <w:rFonts w:asciiTheme="majorHAnsi" w:hAnsiTheme="majorHAnsi" w:cs="Times New Roman"/>
          <w:sz w:val="24"/>
          <w:szCs w:val="24"/>
          <w:lang w:val="ru-MD"/>
        </w:rPr>
        <w:tab/>
        <w:t xml:space="preserve">Ольга ПОЯНЭ </w:t>
      </w:r>
    </w:p>
    <w:p w:rsidR="00203450" w:rsidRPr="00AE488A" w:rsidRDefault="00203450" w:rsidP="00203450">
      <w:pPr>
        <w:spacing w:after="0" w:line="276" w:lineRule="auto"/>
        <w:jc w:val="both"/>
        <w:rPr>
          <w:rFonts w:asciiTheme="majorHAnsi" w:eastAsia="Times New Roman" w:hAnsiTheme="majorHAnsi" w:cs="Times New Roman"/>
          <w:b/>
          <w:i/>
          <w:sz w:val="24"/>
          <w:szCs w:val="24"/>
          <w:lang w:val="ru-MD" w:eastAsia="ro-MD"/>
        </w:rPr>
      </w:pPr>
    </w:p>
    <w:p w:rsidR="00203450" w:rsidRPr="00AE488A" w:rsidRDefault="00203450" w:rsidP="00203450">
      <w:pPr>
        <w:spacing w:after="0" w:line="276" w:lineRule="auto"/>
        <w:jc w:val="both"/>
        <w:rPr>
          <w:rFonts w:asciiTheme="majorHAnsi" w:eastAsia="Times New Roman" w:hAnsiTheme="majorHAnsi" w:cs="Times New Roman"/>
          <w:b/>
          <w:i/>
          <w:sz w:val="24"/>
          <w:szCs w:val="24"/>
          <w:lang w:val="ru-MD" w:eastAsia="ro-MD"/>
        </w:rPr>
      </w:pPr>
      <w:r w:rsidRPr="00AE488A">
        <w:rPr>
          <w:rFonts w:asciiTheme="majorHAnsi" w:eastAsia="Times New Roman" w:hAnsiTheme="majorHAnsi" w:cs="Times New Roman"/>
          <w:b/>
          <w:i/>
          <w:sz w:val="24"/>
          <w:szCs w:val="24"/>
          <w:lang w:val="ru-MD" w:eastAsia="ro-MD"/>
        </w:rPr>
        <w:t>Члены аудиторской группы:</w:t>
      </w:r>
    </w:p>
    <w:p w:rsidR="00203450" w:rsidRPr="00AE488A" w:rsidRDefault="00203450" w:rsidP="00203450">
      <w:pPr>
        <w:spacing w:after="0" w:line="276" w:lineRule="auto"/>
        <w:jc w:val="both"/>
        <w:rPr>
          <w:rFonts w:asciiTheme="majorHAnsi" w:hAnsiTheme="majorHAnsi" w:cs="Times New Roman"/>
          <w:sz w:val="24"/>
          <w:szCs w:val="24"/>
          <w:lang w:val="ru-MD"/>
        </w:rPr>
      </w:pPr>
      <w:r w:rsidRPr="00AE488A">
        <w:rPr>
          <w:rFonts w:asciiTheme="majorHAnsi" w:eastAsia="Times New Roman" w:hAnsiTheme="majorHAnsi" w:cs="Times New Roman"/>
          <w:sz w:val="24"/>
          <w:szCs w:val="24"/>
          <w:lang w:val="ru-MD" w:eastAsia="ro-MD"/>
        </w:rPr>
        <w:t>Главный публичный аудитор</w:t>
      </w:r>
      <w:r w:rsidRPr="00AE488A">
        <w:rPr>
          <w:rFonts w:asciiTheme="majorHAnsi" w:hAnsiTheme="majorHAnsi" w:cs="Times New Roman"/>
          <w:sz w:val="24"/>
          <w:szCs w:val="24"/>
          <w:lang w:val="ru-MD"/>
        </w:rPr>
        <w:tab/>
      </w:r>
      <w:r w:rsidRPr="00AE488A">
        <w:rPr>
          <w:rFonts w:asciiTheme="majorHAnsi" w:hAnsiTheme="majorHAnsi" w:cs="Times New Roman"/>
          <w:sz w:val="24"/>
          <w:szCs w:val="24"/>
          <w:lang w:val="ru-MD"/>
        </w:rPr>
        <w:tab/>
      </w:r>
      <w:r w:rsidRPr="00AE488A">
        <w:rPr>
          <w:rFonts w:asciiTheme="majorHAnsi" w:hAnsiTheme="majorHAnsi" w:cs="Times New Roman"/>
          <w:sz w:val="24"/>
          <w:szCs w:val="24"/>
          <w:lang w:val="ru-MD"/>
        </w:rPr>
        <w:tab/>
      </w:r>
      <w:r w:rsidRPr="00AE488A">
        <w:rPr>
          <w:rFonts w:asciiTheme="majorHAnsi" w:hAnsiTheme="majorHAnsi" w:cs="Times New Roman"/>
          <w:sz w:val="24"/>
          <w:szCs w:val="24"/>
          <w:lang w:val="ru-MD"/>
        </w:rPr>
        <w:tab/>
        <w:t>Елизавета МУНТЯНУ</w:t>
      </w:r>
    </w:p>
    <w:p w:rsidR="00203450" w:rsidRPr="00AE488A" w:rsidRDefault="00203450" w:rsidP="00203450">
      <w:pPr>
        <w:spacing w:after="0" w:line="276" w:lineRule="auto"/>
        <w:jc w:val="both"/>
        <w:rPr>
          <w:rFonts w:asciiTheme="majorHAnsi" w:hAnsiTheme="majorHAnsi" w:cs="Times New Roman"/>
          <w:sz w:val="24"/>
          <w:szCs w:val="24"/>
          <w:lang w:val="ru-MD"/>
        </w:rPr>
      </w:pPr>
      <w:r w:rsidRPr="00AE488A">
        <w:rPr>
          <w:rFonts w:asciiTheme="majorHAnsi" w:eastAsia="Times New Roman" w:hAnsiTheme="majorHAnsi" w:cs="Times New Roman"/>
          <w:sz w:val="24"/>
          <w:szCs w:val="24"/>
          <w:lang w:val="ru-MD" w:eastAsia="ro-MD"/>
        </w:rPr>
        <w:t>Главный публичный аудитор</w:t>
      </w:r>
      <w:r w:rsidRPr="00AE488A">
        <w:rPr>
          <w:rFonts w:asciiTheme="majorHAnsi" w:hAnsiTheme="majorHAnsi" w:cs="Times New Roman"/>
          <w:sz w:val="24"/>
          <w:szCs w:val="24"/>
          <w:lang w:val="ru-MD"/>
        </w:rPr>
        <w:tab/>
      </w:r>
      <w:r w:rsidRPr="00AE488A">
        <w:rPr>
          <w:rFonts w:asciiTheme="majorHAnsi" w:hAnsiTheme="majorHAnsi" w:cs="Times New Roman"/>
          <w:sz w:val="24"/>
          <w:szCs w:val="24"/>
          <w:lang w:val="ru-MD"/>
        </w:rPr>
        <w:tab/>
      </w:r>
      <w:r w:rsidRPr="00AE488A">
        <w:rPr>
          <w:rFonts w:asciiTheme="majorHAnsi" w:hAnsiTheme="majorHAnsi" w:cs="Times New Roman"/>
          <w:sz w:val="24"/>
          <w:szCs w:val="24"/>
          <w:lang w:val="ru-MD"/>
        </w:rPr>
        <w:tab/>
      </w:r>
      <w:r w:rsidRPr="00AE488A">
        <w:rPr>
          <w:rFonts w:asciiTheme="majorHAnsi" w:hAnsiTheme="majorHAnsi" w:cs="Times New Roman"/>
          <w:sz w:val="24"/>
          <w:szCs w:val="24"/>
          <w:lang w:val="ru-MD"/>
        </w:rPr>
        <w:tab/>
        <w:t>Лилия БАСАРАБ</w:t>
      </w:r>
    </w:p>
    <w:p w:rsidR="00203450" w:rsidRPr="00AE488A" w:rsidRDefault="00203450" w:rsidP="00203450">
      <w:pPr>
        <w:spacing w:after="0" w:line="276" w:lineRule="auto"/>
        <w:jc w:val="both"/>
        <w:rPr>
          <w:rFonts w:asciiTheme="majorHAnsi" w:hAnsiTheme="majorHAnsi" w:cs="Times New Roman"/>
          <w:b/>
          <w:sz w:val="24"/>
          <w:szCs w:val="24"/>
          <w:lang w:val="ru-MD"/>
        </w:rPr>
      </w:pPr>
      <w:r w:rsidRPr="00AE488A">
        <w:rPr>
          <w:rFonts w:asciiTheme="majorHAnsi" w:eastAsia="Times New Roman" w:hAnsiTheme="majorHAnsi" w:cs="Times New Roman"/>
          <w:sz w:val="24"/>
          <w:szCs w:val="24"/>
          <w:lang w:val="ru-MD" w:eastAsia="ro-MD"/>
        </w:rPr>
        <w:t>Публичный аудитор</w:t>
      </w:r>
      <w:r w:rsidRPr="00AE488A">
        <w:rPr>
          <w:rFonts w:asciiTheme="majorHAnsi" w:hAnsiTheme="majorHAnsi" w:cs="Times New Roman"/>
          <w:sz w:val="24"/>
          <w:szCs w:val="24"/>
          <w:lang w:val="ru-MD"/>
        </w:rPr>
        <w:t xml:space="preserve">                                                                      Ольга КЭПЭЦИНЭ</w:t>
      </w:r>
    </w:p>
    <w:p w:rsidR="00203450" w:rsidRPr="00AE488A" w:rsidRDefault="00203450" w:rsidP="00203450">
      <w:pPr>
        <w:spacing w:after="0" w:line="276" w:lineRule="auto"/>
        <w:jc w:val="both"/>
        <w:rPr>
          <w:rFonts w:asciiTheme="majorHAnsi" w:eastAsia="Times New Roman" w:hAnsiTheme="majorHAnsi" w:cs="Times New Roman"/>
          <w:b/>
          <w:i/>
          <w:sz w:val="24"/>
          <w:szCs w:val="24"/>
          <w:lang w:val="ru-MD"/>
        </w:rPr>
      </w:pPr>
    </w:p>
    <w:p w:rsidR="00203450" w:rsidRPr="00AE488A" w:rsidRDefault="00203450" w:rsidP="00203450">
      <w:pPr>
        <w:spacing w:after="0" w:line="276" w:lineRule="auto"/>
        <w:jc w:val="both"/>
        <w:rPr>
          <w:rFonts w:asciiTheme="majorHAnsi" w:eastAsia="Times New Roman" w:hAnsiTheme="majorHAnsi" w:cs="Times New Roman"/>
          <w:b/>
          <w:i/>
          <w:sz w:val="24"/>
          <w:szCs w:val="24"/>
          <w:lang w:val="ru-MD"/>
        </w:rPr>
      </w:pPr>
      <w:r w:rsidRPr="00AE488A">
        <w:rPr>
          <w:rFonts w:asciiTheme="majorHAnsi" w:eastAsia="Times New Roman" w:hAnsiTheme="majorHAnsi" w:cs="Times New Roman"/>
          <w:b/>
          <w:i/>
          <w:sz w:val="24"/>
          <w:szCs w:val="24"/>
          <w:lang w:val="ru-MD"/>
        </w:rPr>
        <w:t>Ответственный за аудит:</w:t>
      </w:r>
    </w:p>
    <w:p w:rsidR="00203450" w:rsidRPr="00AE488A" w:rsidRDefault="00203450" w:rsidP="00203450">
      <w:pPr>
        <w:tabs>
          <w:tab w:val="left" w:pos="5580"/>
          <w:tab w:val="left" w:pos="5760"/>
        </w:tabs>
        <w:spacing w:after="0" w:line="276" w:lineRule="auto"/>
        <w:jc w:val="both"/>
        <w:rPr>
          <w:rFonts w:asciiTheme="majorHAnsi" w:hAnsiTheme="majorHAnsi" w:cs="Times New Roman"/>
          <w:sz w:val="24"/>
          <w:szCs w:val="24"/>
          <w:lang w:val="ru-MD"/>
        </w:rPr>
      </w:pPr>
      <w:r w:rsidRPr="00AE488A">
        <w:rPr>
          <w:rFonts w:asciiTheme="majorHAnsi" w:hAnsiTheme="majorHAnsi" w:cs="Times New Roman"/>
          <w:sz w:val="24"/>
          <w:szCs w:val="24"/>
          <w:lang w:val="ru-MD"/>
        </w:rPr>
        <w:t>Начальник Главного управления аудита IV</w:t>
      </w:r>
      <w:r w:rsidRPr="00AE488A">
        <w:rPr>
          <w:rFonts w:asciiTheme="majorHAnsi" w:hAnsiTheme="majorHAnsi" w:cs="Times New Roman"/>
          <w:sz w:val="24"/>
          <w:szCs w:val="24"/>
          <w:lang w:val="ru-MD"/>
        </w:rPr>
        <w:tab/>
      </w:r>
      <w:r w:rsidRPr="00AE488A">
        <w:rPr>
          <w:rFonts w:asciiTheme="majorHAnsi" w:hAnsiTheme="majorHAnsi" w:cs="Times New Roman"/>
          <w:sz w:val="24"/>
          <w:szCs w:val="24"/>
          <w:lang w:val="ru-MD"/>
        </w:rPr>
        <w:tab/>
        <w:t>Василе МОШОЙ</w:t>
      </w:r>
    </w:p>
    <w:p w:rsidR="00203450" w:rsidRPr="00AE488A" w:rsidRDefault="00203450" w:rsidP="00BA5B21">
      <w:pPr>
        <w:spacing w:after="0" w:line="276" w:lineRule="auto"/>
        <w:jc w:val="both"/>
        <w:rPr>
          <w:rFonts w:asciiTheme="majorHAnsi" w:eastAsia="Times New Roman" w:hAnsiTheme="majorHAnsi" w:cs="Times New Roman"/>
          <w:sz w:val="24"/>
          <w:szCs w:val="24"/>
          <w:lang w:val="ru-MD" w:eastAsia="ro-MD"/>
        </w:rPr>
      </w:pPr>
    </w:p>
    <w:p w:rsidR="00203450" w:rsidRPr="00AE488A" w:rsidRDefault="00203450" w:rsidP="00BA5B21">
      <w:pPr>
        <w:spacing w:after="0" w:line="276" w:lineRule="auto"/>
        <w:jc w:val="both"/>
        <w:rPr>
          <w:rFonts w:asciiTheme="majorHAnsi" w:eastAsia="Times New Roman" w:hAnsiTheme="majorHAnsi" w:cs="Times New Roman"/>
          <w:sz w:val="24"/>
          <w:szCs w:val="24"/>
          <w:lang w:val="ru-MD" w:eastAsia="ro-MD"/>
        </w:rPr>
      </w:pPr>
    </w:p>
    <w:p w:rsidR="003E33AE" w:rsidRPr="00AE488A" w:rsidRDefault="003E33AE" w:rsidP="00CA1B54">
      <w:pPr>
        <w:spacing w:after="0" w:line="276" w:lineRule="auto"/>
        <w:jc w:val="both"/>
        <w:rPr>
          <w:rFonts w:asciiTheme="majorHAnsi" w:hAnsiTheme="majorHAnsi" w:cs="Times New Roman"/>
          <w:sz w:val="24"/>
          <w:szCs w:val="24"/>
          <w:lang w:val="ru-MD"/>
        </w:rPr>
      </w:pPr>
    </w:p>
    <w:p w:rsidR="003E33AE" w:rsidRPr="00AE488A" w:rsidRDefault="003E33AE" w:rsidP="00CA1B54">
      <w:pPr>
        <w:spacing w:after="0" w:line="276" w:lineRule="auto"/>
        <w:jc w:val="both"/>
        <w:rPr>
          <w:rFonts w:asciiTheme="majorHAnsi" w:hAnsiTheme="majorHAnsi" w:cs="Times New Roman"/>
          <w:b/>
          <w:sz w:val="24"/>
          <w:szCs w:val="24"/>
          <w:lang w:val="ru-MD"/>
        </w:rPr>
      </w:pPr>
    </w:p>
    <w:sectPr w:rsidR="003E33AE" w:rsidRPr="00AE488A" w:rsidSect="005063C9">
      <w:footerReference w:type="default" r:id="rId11"/>
      <w:pgSz w:w="11906" w:h="16838" w:code="9"/>
      <w:pgMar w:top="993"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29A" w:rsidRDefault="0072129A" w:rsidP="00125D9C">
      <w:pPr>
        <w:spacing w:after="0" w:line="240" w:lineRule="auto"/>
      </w:pPr>
      <w:r>
        <w:separator/>
      </w:r>
    </w:p>
  </w:endnote>
  <w:endnote w:type="continuationSeparator" w:id="0">
    <w:p w:rsidR="0072129A" w:rsidRDefault="0072129A" w:rsidP="0012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922540"/>
      <w:docPartObj>
        <w:docPartGallery w:val="Page Numbers (Bottom of Page)"/>
        <w:docPartUnique/>
      </w:docPartObj>
    </w:sdtPr>
    <w:sdtEndPr>
      <w:rPr>
        <w:noProof/>
      </w:rPr>
    </w:sdtEndPr>
    <w:sdtContent>
      <w:p w:rsidR="00B07F3D" w:rsidRDefault="00C22F51">
        <w:pPr>
          <w:pStyle w:val="Footer"/>
          <w:jc w:val="right"/>
        </w:pPr>
        <w:r>
          <w:fldChar w:fldCharType="begin"/>
        </w:r>
        <w:r>
          <w:instrText xml:space="preserve"> PAGE   \* MERGEFORMAT </w:instrText>
        </w:r>
        <w:r>
          <w:fldChar w:fldCharType="separate"/>
        </w:r>
        <w:r w:rsidR="005436A6">
          <w:rPr>
            <w:noProof/>
          </w:rPr>
          <w:t>5</w:t>
        </w:r>
        <w:r>
          <w:rPr>
            <w:noProof/>
          </w:rPr>
          <w:fldChar w:fldCharType="end"/>
        </w:r>
      </w:p>
    </w:sdtContent>
  </w:sdt>
  <w:p w:rsidR="00B07F3D" w:rsidRDefault="00721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29A" w:rsidRDefault="0072129A" w:rsidP="00125D9C">
      <w:pPr>
        <w:spacing w:after="0" w:line="240" w:lineRule="auto"/>
      </w:pPr>
      <w:r>
        <w:separator/>
      </w:r>
    </w:p>
  </w:footnote>
  <w:footnote w:type="continuationSeparator" w:id="0">
    <w:p w:rsidR="0072129A" w:rsidRDefault="0072129A" w:rsidP="00125D9C">
      <w:pPr>
        <w:spacing w:after="0" w:line="240" w:lineRule="auto"/>
      </w:pPr>
      <w:r>
        <w:continuationSeparator/>
      </w:r>
    </w:p>
  </w:footnote>
  <w:footnote w:id="1">
    <w:p w:rsidR="003B6B4D" w:rsidRPr="00AE5364" w:rsidRDefault="003B6B4D" w:rsidP="003B6B4D">
      <w:pPr>
        <w:pStyle w:val="FootnoteText"/>
        <w:ind w:right="-285"/>
        <w:jc w:val="both"/>
        <w:rPr>
          <w:rFonts w:asciiTheme="majorHAnsi" w:hAnsiTheme="majorHAnsi" w:cstheme="majorHAnsi"/>
          <w:lang w:val="ro-MD"/>
        </w:rPr>
      </w:pPr>
      <w:r w:rsidRPr="00AE5364">
        <w:rPr>
          <w:rFonts w:asciiTheme="majorHAnsi" w:eastAsia="Times New Roman" w:hAnsiTheme="majorHAnsi" w:cstheme="majorHAnsi"/>
          <w:vertAlign w:val="superscript"/>
          <w:lang w:val="ro-MD"/>
        </w:rPr>
        <w:footnoteRef/>
      </w:r>
      <w:r w:rsidRPr="00AE5364">
        <w:rPr>
          <w:rFonts w:asciiTheme="majorHAnsi" w:eastAsia="Times New Roman" w:hAnsiTheme="majorHAnsi" w:cstheme="majorHAnsi"/>
          <w:lang w:val="ro-MD"/>
        </w:rPr>
        <w:t xml:space="preserve"> </w:t>
      </w:r>
      <w:r w:rsidRPr="00AE5364">
        <w:rPr>
          <w:rFonts w:asciiTheme="majorHAnsi" w:eastAsia="Times New Roman" w:hAnsiTheme="majorHAnsi" w:cstheme="majorHAnsi"/>
          <w:lang w:val="ru-MD"/>
        </w:rPr>
        <w:t>Закон о бухгалтерском учете №113-XVI от 27.04.2007; Приказ министра финансов №216 от 28.12.</w:t>
      </w:r>
      <w:r>
        <w:rPr>
          <w:rFonts w:asciiTheme="majorHAnsi" w:eastAsia="Times New Roman" w:hAnsiTheme="majorHAnsi" w:cstheme="majorHAnsi"/>
          <w:lang w:val="ru-MD"/>
        </w:rPr>
        <w:t xml:space="preserve">15 </w:t>
      </w:r>
      <w:r w:rsidRPr="00AE5364">
        <w:rPr>
          <w:rFonts w:asciiTheme="majorHAnsi" w:eastAsia="Times New Roman" w:hAnsiTheme="majorHAnsi" w:cstheme="majorHAnsi"/>
          <w:lang w:val="ro-MD"/>
        </w:rPr>
        <w:t>„</w:t>
      </w:r>
      <w:r>
        <w:rPr>
          <w:rFonts w:asciiTheme="majorHAnsi" w:eastAsia="Times New Roman" w:hAnsiTheme="majorHAnsi" w:cstheme="majorHAnsi"/>
          <w:lang w:val="ru-RU"/>
        </w:rPr>
        <w:t xml:space="preserve">Об утверждении </w:t>
      </w:r>
      <w:r w:rsidRPr="00AE5364">
        <w:rPr>
          <w:rFonts w:asciiTheme="majorHAnsi" w:eastAsia="Times New Roman" w:hAnsiTheme="majorHAnsi" w:cstheme="majorHAnsi"/>
          <w:lang w:val="ru-MD"/>
        </w:rPr>
        <w:t>План</w:t>
      </w:r>
      <w:r>
        <w:rPr>
          <w:rFonts w:asciiTheme="majorHAnsi" w:eastAsia="Times New Roman" w:hAnsiTheme="majorHAnsi" w:cstheme="majorHAnsi"/>
          <w:lang w:val="ru-MD"/>
        </w:rPr>
        <w:t>а</w:t>
      </w:r>
      <w:r w:rsidRPr="00AE5364">
        <w:rPr>
          <w:rFonts w:asciiTheme="majorHAnsi" w:eastAsia="Times New Roman" w:hAnsiTheme="majorHAnsi" w:cstheme="majorHAnsi"/>
          <w:lang w:val="ru-MD"/>
        </w:rPr>
        <w:t xml:space="preserve"> счетов бюджетного учета и Методологически</w:t>
      </w:r>
      <w:r>
        <w:rPr>
          <w:rFonts w:asciiTheme="majorHAnsi" w:eastAsia="Times New Roman" w:hAnsiTheme="majorHAnsi" w:cstheme="majorHAnsi"/>
          <w:lang w:val="ru-MD"/>
        </w:rPr>
        <w:t>х</w:t>
      </w:r>
      <w:r w:rsidRPr="00AE5364">
        <w:rPr>
          <w:rFonts w:asciiTheme="majorHAnsi" w:eastAsia="Times New Roman" w:hAnsiTheme="majorHAnsi" w:cstheme="majorHAnsi"/>
          <w:lang w:val="ru-MD"/>
        </w:rPr>
        <w:t xml:space="preserve"> норм организации бухгалтерского учета и финансовой отчетности бюджетных учреждений</w:t>
      </w:r>
      <w:r w:rsidRPr="00AE5364">
        <w:rPr>
          <w:rFonts w:asciiTheme="majorHAnsi" w:eastAsia="Times New Roman" w:hAnsiTheme="majorHAnsi" w:cstheme="majorHAnsi"/>
          <w:lang w:val="ro-MD"/>
        </w:rPr>
        <w:t>”</w:t>
      </w:r>
      <w:r>
        <w:rPr>
          <w:rFonts w:asciiTheme="majorHAnsi" w:eastAsia="Times New Roman" w:hAnsiTheme="majorHAnsi" w:cstheme="majorHAnsi"/>
          <w:lang w:val="ru-RU"/>
        </w:rPr>
        <w:t xml:space="preserve">; </w:t>
      </w:r>
      <w:r w:rsidRPr="00E7638C">
        <w:rPr>
          <w:rFonts w:ascii="Calibri Light" w:hAnsi="Calibri Light" w:cs="Calibri Light"/>
          <w:lang w:val="ru-MD"/>
        </w:rPr>
        <w:t>Приказ министра финансов №164 от 30.12.2016 „</w:t>
      </w:r>
      <w:r w:rsidRPr="00E7638C">
        <w:rPr>
          <w:rFonts w:ascii="Calibri Light" w:hAnsi="Calibri Light" w:cs="Calibri Light"/>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Pr="00E7638C">
        <w:rPr>
          <w:rFonts w:ascii="Calibri Light" w:hAnsi="Calibri Light" w:cs="Calibri Light"/>
          <w:lang w:val="ru-MD"/>
        </w:rPr>
        <w:t>”</w:t>
      </w:r>
      <w:r w:rsidRPr="00AE5364">
        <w:rPr>
          <w:rFonts w:asciiTheme="majorHAnsi" w:eastAsia="Times New Roman" w:hAnsiTheme="majorHAnsi" w:cstheme="majorHAnsi"/>
          <w:lang w:val="ru-MD"/>
        </w:rPr>
        <w:t xml:space="preserve">. </w:t>
      </w:r>
    </w:p>
  </w:footnote>
  <w:footnote w:id="2">
    <w:p w:rsidR="00812F47" w:rsidRPr="00F23811" w:rsidRDefault="00812F47" w:rsidP="00812F47">
      <w:pPr>
        <w:pStyle w:val="FootnoteText"/>
        <w:rPr>
          <w:rFonts w:asciiTheme="majorHAnsi" w:eastAsia="Times New Roman" w:hAnsiTheme="majorHAnsi" w:cstheme="majorHAnsi"/>
          <w:lang w:val="ru-MD"/>
        </w:rPr>
      </w:pPr>
      <w:r w:rsidRPr="00F23811">
        <w:rPr>
          <w:rStyle w:val="FootnoteReference"/>
          <w:rFonts w:asciiTheme="majorHAnsi" w:hAnsiTheme="majorHAnsi" w:cstheme="majorHAnsi"/>
          <w:lang w:val="ru-MD"/>
        </w:rPr>
        <w:footnoteRef/>
      </w:r>
      <w:r w:rsidRPr="00F23811">
        <w:rPr>
          <w:rFonts w:asciiTheme="majorHAnsi" w:hAnsiTheme="majorHAnsi" w:cstheme="majorHAnsi"/>
          <w:lang w:val="ru-MD"/>
        </w:rPr>
        <w:t xml:space="preserve"> </w:t>
      </w:r>
      <w:r w:rsidRPr="00B77C86">
        <w:rPr>
          <w:rFonts w:asciiTheme="majorHAnsi" w:hAnsiTheme="majorHAnsi" w:cstheme="majorHAnsi"/>
          <w:lang w:val="ru-RU"/>
        </w:rPr>
        <w:t xml:space="preserve">Постановление Счетной палаты №2 от 24.01.2020 „О </w:t>
      </w:r>
      <w:r>
        <w:rPr>
          <w:rFonts w:asciiTheme="majorHAnsi" w:hAnsiTheme="majorHAnsi" w:cstheme="majorHAnsi"/>
          <w:lang w:val="ru-RU"/>
        </w:rPr>
        <w:t>Системе</w:t>
      </w:r>
      <w:r w:rsidRPr="00B77C86">
        <w:rPr>
          <w:rFonts w:asciiTheme="majorHAnsi" w:hAnsiTheme="majorHAnsi" w:cstheme="majorHAnsi"/>
          <w:lang w:val="ru-RU"/>
        </w:rPr>
        <w:t xml:space="preserve"> профессиональных деклараций </w:t>
      </w:r>
      <w:r w:rsidRPr="00B77C86">
        <w:rPr>
          <w:rFonts w:asciiTheme="majorHAnsi" w:hAnsiTheme="majorHAnsi" w:cstheme="majorHAnsi"/>
          <w:lang w:val="ro-MD"/>
        </w:rPr>
        <w:t>INTOSAI</w:t>
      </w:r>
      <w:r w:rsidRPr="00B77C86">
        <w:rPr>
          <w:rFonts w:asciiTheme="majorHAnsi" w:hAnsiTheme="majorHAnsi" w:cstheme="majorHAnsi"/>
          <w:lang w:val="ru-RU"/>
        </w:rPr>
        <w:t>”</w:t>
      </w:r>
      <w:r w:rsidRPr="00F23811">
        <w:rPr>
          <w:rFonts w:asciiTheme="majorHAnsi" w:eastAsia="Times New Roman" w:hAnsiTheme="majorHAnsi" w:cstheme="majorHAnsi"/>
          <w:lang w:val="ru-MD"/>
        </w:rPr>
        <w:t xml:space="preserve">.  </w:t>
      </w:r>
    </w:p>
  </w:footnote>
  <w:footnote w:id="3">
    <w:p w:rsidR="00AE488A" w:rsidRPr="003B6B4D" w:rsidRDefault="00AE488A" w:rsidP="00AE488A">
      <w:pPr>
        <w:spacing w:after="0" w:line="240" w:lineRule="auto"/>
        <w:jc w:val="both"/>
        <w:rPr>
          <w:rFonts w:asciiTheme="majorHAnsi" w:hAnsiTheme="majorHAnsi" w:cstheme="majorHAnsi"/>
          <w:sz w:val="20"/>
          <w:szCs w:val="20"/>
          <w:lang w:val="ro-MD"/>
        </w:rPr>
      </w:pPr>
      <w:r w:rsidRPr="003B6B4D">
        <w:rPr>
          <w:rStyle w:val="FootnoteReference"/>
          <w:rFonts w:asciiTheme="majorHAnsi" w:hAnsiTheme="majorHAnsi" w:cstheme="majorHAnsi"/>
          <w:sz w:val="20"/>
          <w:szCs w:val="20"/>
          <w:lang w:val="ro-MD"/>
        </w:rPr>
        <w:footnoteRef/>
      </w:r>
      <w:r w:rsidRPr="003B6B4D">
        <w:rPr>
          <w:rFonts w:asciiTheme="majorHAnsi" w:hAnsiTheme="majorHAnsi" w:cstheme="majorHAnsi"/>
          <w:sz w:val="20"/>
          <w:szCs w:val="20"/>
          <w:lang w:val="ro-MD"/>
        </w:rPr>
        <w:t xml:space="preserve"> </w:t>
      </w:r>
      <w:r w:rsidRPr="00586F4C">
        <w:rPr>
          <w:rFonts w:asciiTheme="majorHAnsi" w:hAnsiTheme="majorHAnsi" w:cstheme="majorHAnsi"/>
          <w:sz w:val="20"/>
          <w:szCs w:val="20"/>
          <w:lang w:val="ru-MD"/>
        </w:rPr>
        <w:t>Постановление Счетной палаты №16 от 29.04.2021 по Отчету аудита консолидированных финансовых отчетов Министерства экономики и инфраструктуры, составленных по состоянию на 31 декабря 2020 года</w:t>
      </w:r>
      <w:r w:rsidRPr="00586F4C">
        <w:rPr>
          <w:rFonts w:asciiTheme="majorHAnsi" w:hAnsiTheme="majorHAnsi" w:cstheme="majorHAnsi"/>
          <w:sz w:val="20"/>
          <w:szCs w:val="20"/>
          <w:lang w:val="ro-MD"/>
        </w:rPr>
        <w:t>.</w:t>
      </w:r>
    </w:p>
  </w:footnote>
  <w:footnote w:id="4">
    <w:p w:rsidR="00AE488A" w:rsidRPr="004760A3" w:rsidRDefault="00AE488A" w:rsidP="00AE488A">
      <w:pPr>
        <w:pStyle w:val="FootnoteText"/>
        <w:jc w:val="both"/>
        <w:rPr>
          <w:rFonts w:asciiTheme="majorHAnsi" w:hAnsiTheme="majorHAnsi" w:cstheme="majorHAnsi"/>
          <w:lang w:val="ru-MD"/>
        </w:rPr>
      </w:pPr>
      <w:r w:rsidRPr="004760A3">
        <w:rPr>
          <w:rStyle w:val="FootnoteReference"/>
          <w:rFonts w:asciiTheme="majorHAnsi" w:hAnsiTheme="majorHAnsi" w:cstheme="majorHAnsi"/>
          <w:lang w:val="ru-MD"/>
        </w:rPr>
        <w:footnoteRef/>
      </w:r>
      <w:r w:rsidRPr="004760A3">
        <w:rPr>
          <w:rFonts w:asciiTheme="majorHAnsi" w:hAnsiTheme="majorHAnsi" w:cstheme="majorHAnsi"/>
          <w:lang w:val="ru-MD"/>
        </w:rPr>
        <w:t xml:space="preserve"> Ст.13 (2) </w:t>
      </w:r>
      <w:r w:rsidRPr="004760A3">
        <w:rPr>
          <w:rFonts w:asciiTheme="majorHAnsi" w:eastAsia="Times New Roman" w:hAnsiTheme="majorHAnsi" w:cstheme="majorHAnsi"/>
          <w:lang w:val="ru-MD"/>
        </w:rPr>
        <w:t>Закона о бухгалтерском учете №</w:t>
      </w:r>
      <w:r w:rsidRPr="004760A3">
        <w:rPr>
          <w:rFonts w:asciiTheme="majorHAnsi" w:hAnsiTheme="majorHAnsi" w:cstheme="majorHAnsi"/>
          <w:lang w:val="ru-MD"/>
        </w:rPr>
        <w:t xml:space="preserve">113-XVI от 27.04.2007; п.1.4.1.3.  Приложения №1 к </w:t>
      </w:r>
      <w:r w:rsidRPr="004760A3">
        <w:rPr>
          <w:rFonts w:asciiTheme="majorHAnsi" w:eastAsia="Times New Roman" w:hAnsiTheme="majorHAnsi" w:cstheme="majorHAnsi"/>
          <w:lang w:val="ru-MD"/>
        </w:rPr>
        <w:t>Приказу министра финансов №216 от 28.12.15 „Об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p>
  </w:footnote>
  <w:footnote w:id="5">
    <w:p w:rsidR="00AE488A" w:rsidRPr="004760A3" w:rsidRDefault="00AE488A" w:rsidP="00AE488A">
      <w:pPr>
        <w:pStyle w:val="FootnoteText"/>
        <w:jc w:val="both"/>
        <w:rPr>
          <w:rFonts w:asciiTheme="majorHAnsi" w:hAnsiTheme="majorHAnsi" w:cstheme="majorHAnsi"/>
          <w:lang w:val="ru-MD"/>
        </w:rPr>
      </w:pPr>
      <w:r w:rsidRPr="004760A3">
        <w:rPr>
          <w:rStyle w:val="FootnoteReference"/>
          <w:rFonts w:asciiTheme="majorHAnsi" w:hAnsiTheme="majorHAnsi" w:cstheme="majorHAnsi"/>
          <w:lang w:val="ru-MD"/>
        </w:rPr>
        <w:footnoteRef/>
      </w:r>
      <w:r w:rsidRPr="004760A3">
        <w:rPr>
          <w:rFonts w:asciiTheme="majorHAnsi" w:hAnsiTheme="majorHAnsi" w:cstheme="majorHAnsi"/>
          <w:lang w:val="ru-MD"/>
        </w:rPr>
        <w:t xml:space="preserve"> </w:t>
      </w:r>
      <w:r w:rsidRPr="004760A3">
        <w:rPr>
          <w:rFonts w:asciiTheme="majorHAnsi" w:eastAsia="Times New Roman" w:hAnsiTheme="majorHAnsi" w:cstheme="majorHAnsi"/>
          <w:lang w:val="ru-MD"/>
        </w:rPr>
        <w:t xml:space="preserve">Закон о бухгалтерском учете №113-XVI от 27.04.2007; Приказ министра финансов №216 от 28.12.15 „Об утверждении Плана счетов бюджетного учета и Методологических норм организации бухгалтерского учета и финансовой отчетности бюджетных учреждений”; </w:t>
      </w:r>
      <w:r w:rsidRPr="004760A3">
        <w:rPr>
          <w:rFonts w:ascii="Calibri Light" w:hAnsi="Calibri Light" w:cs="Calibri Light"/>
          <w:lang w:val="ru-MD"/>
        </w:rPr>
        <w:t>Приказ министра финансов №164 от 30.12.2016 „</w:t>
      </w:r>
      <w:r w:rsidRPr="004760A3">
        <w:rPr>
          <w:rFonts w:ascii="Calibri Light" w:hAnsi="Calibri Light" w:cs="Calibri Light"/>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Pr="004760A3">
        <w:rPr>
          <w:rFonts w:ascii="Calibri Light" w:hAnsi="Calibri Light" w:cs="Calibri Light"/>
          <w:lang w:val="ru-MD"/>
        </w:rPr>
        <w:t>”</w:t>
      </w:r>
      <w:r w:rsidRPr="004760A3">
        <w:rPr>
          <w:rFonts w:asciiTheme="majorHAnsi" w:eastAsia="Times New Roman" w:hAnsiTheme="majorHAnsi" w:cstheme="majorHAnsi"/>
          <w:lang w:val="ru-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25C2"/>
    <w:multiLevelType w:val="multilevel"/>
    <w:tmpl w:val="99A01862"/>
    <w:lvl w:ilvl="0">
      <w:start w:val="5"/>
      <w:numFmt w:val="decimal"/>
      <w:lvlText w:val="%1."/>
      <w:lvlJc w:val="left"/>
      <w:pPr>
        <w:ind w:left="360" w:hanging="360"/>
      </w:pPr>
      <w:rPr>
        <w:rFonts w:cstheme="majorHAnsi" w:hint="default"/>
      </w:rPr>
    </w:lvl>
    <w:lvl w:ilvl="1">
      <w:start w:val="1"/>
      <w:numFmt w:val="decimal"/>
      <w:lvlText w:val="%1.%2."/>
      <w:lvlJc w:val="left"/>
      <w:pPr>
        <w:ind w:left="360" w:hanging="360"/>
      </w:pPr>
      <w:rPr>
        <w:rFonts w:cstheme="majorHAnsi" w:hint="default"/>
      </w:rPr>
    </w:lvl>
    <w:lvl w:ilvl="2">
      <w:start w:val="1"/>
      <w:numFmt w:val="decimal"/>
      <w:lvlText w:val="%1.%2.%3."/>
      <w:lvlJc w:val="left"/>
      <w:pPr>
        <w:ind w:left="720" w:hanging="720"/>
      </w:pPr>
      <w:rPr>
        <w:rFonts w:cstheme="majorHAnsi" w:hint="default"/>
      </w:rPr>
    </w:lvl>
    <w:lvl w:ilvl="3">
      <w:start w:val="1"/>
      <w:numFmt w:val="decimal"/>
      <w:lvlText w:val="%1.%2.%3.%4."/>
      <w:lvlJc w:val="left"/>
      <w:pPr>
        <w:ind w:left="720" w:hanging="72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080" w:hanging="1080"/>
      </w:pPr>
      <w:rPr>
        <w:rFonts w:cstheme="majorHAnsi" w:hint="default"/>
      </w:rPr>
    </w:lvl>
    <w:lvl w:ilvl="6">
      <w:start w:val="1"/>
      <w:numFmt w:val="decimal"/>
      <w:lvlText w:val="%1.%2.%3.%4.%5.%6.%7."/>
      <w:lvlJc w:val="left"/>
      <w:pPr>
        <w:ind w:left="1440" w:hanging="1440"/>
      </w:pPr>
      <w:rPr>
        <w:rFonts w:cstheme="majorHAnsi" w:hint="default"/>
      </w:rPr>
    </w:lvl>
    <w:lvl w:ilvl="7">
      <w:start w:val="1"/>
      <w:numFmt w:val="decimal"/>
      <w:lvlText w:val="%1.%2.%3.%4.%5.%6.%7.%8."/>
      <w:lvlJc w:val="left"/>
      <w:pPr>
        <w:ind w:left="1440" w:hanging="1440"/>
      </w:pPr>
      <w:rPr>
        <w:rFonts w:cstheme="majorHAnsi" w:hint="default"/>
      </w:rPr>
    </w:lvl>
    <w:lvl w:ilvl="8">
      <w:start w:val="1"/>
      <w:numFmt w:val="decimal"/>
      <w:lvlText w:val="%1.%2.%3.%4.%5.%6.%7.%8.%9."/>
      <w:lvlJc w:val="left"/>
      <w:pPr>
        <w:ind w:left="1800" w:hanging="1800"/>
      </w:pPr>
      <w:rPr>
        <w:rFonts w:cstheme="majorHAnsi" w:hint="default"/>
      </w:rPr>
    </w:lvl>
  </w:abstractNum>
  <w:abstractNum w:abstractNumId="1" w15:restartNumberingAfterBreak="0">
    <w:nsid w:val="28F910F5"/>
    <w:multiLevelType w:val="hybridMultilevel"/>
    <w:tmpl w:val="8122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03823"/>
    <w:multiLevelType w:val="hybridMultilevel"/>
    <w:tmpl w:val="85B8699A"/>
    <w:lvl w:ilvl="0" w:tplc="08180019">
      <w:start w:val="1"/>
      <w:numFmt w:val="lowerLetter"/>
      <w:lvlText w:val="%1."/>
      <w:lvlJc w:val="left"/>
      <w:pPr>
        <w:ind w:left="1080" w:hanging="360"/>
      </w:pPr>
    </w:lvl>
    <w:lvl w:ilvl="1" w:tplc="08180019">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3" w15:restartNumberingAfterBreak="0">
    <w:nsid w:val="36DE1DB3"/>
    <w:multiLevelType w:val="multilevel"/>
    <w:tmpl w:val="1236F080"/>
    <w:lvl w:ilvl="0">
      <w:start w:val="5"/>
      <w:numFmt w:val="decimal"/>
      <w:lvlText w:val="%1."/>
      <w:lvlJc w:val="left"/>
      <w:pPr>
        <w:ind w:left="360" w:hanging="360"/>
      </w:pPr>
      <w:rPr>
        <w:rFonts w:cstheme="majorHAnsi" w:hint="default"/>
      </w:rPr>
    </w:lvl>
    <w:lvl w:ilvl="1">
      <w:start w:val="1"/>
      <w:numFmt w:val="decimal"/>
      <w:lvlText w:val="%1.%2."/>
      <w:lvlJc w:val="left"/>
      <w:pPr>
        <w:ind w:left="360" w:hanging="360"/>
      </w:pPr>
      <w:rPr>
        <w:rFonts w:cstheme="majorHAnsi" w:hint="default"/>
      </w:rPr>
    </w:lvl>
    <w:lvl w:ilvl="2">
      <w:start w:val="1"/>
      <w:numFmt w:val="decimal"/>
      <w:lvlText w:val="%1.%2.%3."/>
      <w:lvlJc w:val="left"/>
      <w:pPr>
        <w:ind w:left="720" w:hanging="720"/>
      </w:pPr>
      <w:rPr>
        <w:rFonts w:cstheme="majorHAnsi" w:hint="default"/>
      </w:rPr>
    </w:lvl>
    <w:lvl w:ilvl="3">
      <w:start w:val="1"/>
      <w:numFmt w:val="decimal"/>
      <w:lvlText w:val="%1.%2.%3.%4."/>
      <w:lvlJc w:val="left"/>
      <w:pPr>
        <w:ind w:left="720" w:hanging="72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080" w:hanging="1080"/>
      </w:pPr>
      <w:rPr>
        <w:rFonts w:cstheme="majorHAnsi" w:hint="default"/>
      </w:rPr>
    </w:lvl>
    <w:lvl w:ilvl="6">
      <w:start w:val="1"/>
      <w:numFmt w:val="decimal"/>
      <w:lvlText w:val="%1.%2.%3.%4.%5.%6.%7."/>
      <w:lvlJc w:val="left"/>
      <w:pPr>
        <w:ind w:left="1440" w:hanging="1440"/>
      </w:pPr>
      <w:rPr>
        <w:rFonts w:cstheme="majorHAnsi" w:hint="default"/>
      </w:rPr>
    </w:lvl>
    <w:lvl w:ilvl="7">
      <w:start w:val="1"/>
      <w:numFmt w:val="decimal"/>
      <w:lvlText w:val="%1.%2.%3.%4.%5.%6.%7.%8."/>
      <w:lvlJc w:val="left"/>
      <w:pPr>
        <w:ind w:left="1440" w:hanging="1440"/>
      </w:pPr>
      <w:rPr>
        <w:rFonts w:cstheme="majorHAnsi" w:hint="default"/>
      </w:rPr>
    </w:lvl>
    <w:lvl w:ilvl="8">
      <w:start w:val="1"/>
      <w:numFmt w:val="decimal"/>
      <w:lvlText w:val="%1.%2.%3.%4.%5.%6.%7.%8.%9."/>
      <w:lvlJc w:val="left"/>
      <w:pPr>
        <w:ind w:left="1800" w:hanging="1800"/>
      </w:pPr>
      <w:rPr>
        <w:rFonts w:cstheme="majorHAnsi" w:hint="default"/>
      </w:rPr>
    </w:lvl>
  </w:abstractNum>
  <w:abstractNum w:abstractNumId="4" w15:restartNumberingAfterBreak="0">
    <w:nsid w:val="36F058D7"/>
    <w:multiLevelType w:val="multilevel"/>
    <w:tmpl w:val="2744DE9A"/>
    <w:lvl w:ilvl="0">
      <w:start w:val="1"/>
      <w:numFmt w:val="upperRoman"/>
      <w:lvlText w:val="%1."/>
      <w:lvlJc w:val="right"/>
      <w:pPr>
        <w:ind w:left="927" w:hanging="360"/>
      </w:pPr>
      <w:rPr>
        <w:i w:val="0"/>
      </w:rPr>
    </w:lvl>
    <w:lvl w:ilvl="1">
      <w:start w:val="1"/>
      <w:numFmt w:val="bullet"/>
      <w:lvlText w:val=""/>
      <w:lvlJc w:val="left"/>
      <w:pPr>
        <w:ind w:left="432" w:hanging="432"/>
      </w:pPr>
      <w:rPr>
        <w:rFonts w:ascii="Symbol" w:hAnsi="Symbol" w:hint="default"/>
        <w:b/>
        <w:i w:val="0"/>
        <w:strike w:val="0"/>
        <w:color w:val="auto"/>
        <w:sz w:val="24"/>
        <w:szCs w:val="24"/>
        <w:lang w:val="ro-MD"/>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5" w15:restartNumberingAfterBreak="0">
    <w:nsid w:val="3FD91B56"/>
    <w:multiLevelType w:val="hybridMultilevel"/>
    <w:tmpl w:val="9D1011DE"/>
    <w:lvl w:ilvl="0" w:tplc="255CB43A">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249BD"/>
    <w:multiLevelType w:val="hybridMultilevel"/>
    <w:tmpl w:val="5BA2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C099F"/>
    <w:multiLevelType w:val="multilevel"/>
    <w:tmpl w:val="8D0CA1C4"/>
    <w:lvl w:ilvl="0">
      <w:start w:val="2"/>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0E6FE1"/>
    <w:multiLevelType w:val="hybridMultilevel"/>
    <w:tmpl w:val="B3EA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F48C3"/>
    <w:multiLevelType w:val="multilevel"/>
    <w:tmpl w:val="2744DE9A"/>
    <w:lvl w:ilvl="0">
      <w:start w:val="1"/>
      <w:numFmt w:val="upperRoman"/>
      <w:lvlText w:val="%1."/>
      <w:lvlJc w:val="right"/>
      <w:pPr>
        <w:ind w:left="720" w:hanging="360"/>
      </w:pPr>
      <w:rPr>
        <w:i w:val="0"/>
      </w:rPr>
    </w:lvl>
    <w:lvl w:ilvl="1">
      <w:start w:val="1"/>
      <w:numFmt w:val="bullet"/>
      <w:lvlText w:val=""/>
      <w:lvlJc w:val="left"/>
      <w:pPr>
        <w:ind w:left="432" w:hanging="432"/>
      </w:pPr>
      <w:rPr>
        <w:rFonts w:ascii="Symbol" w:hAnsi="Symbol" w:hint="default"/>
        <w:b/>
        <w:i w:val="0"/>
        <w:strike w:val="0"/>
        <w:color w:val="auto"/>
        <w:sz w:val="24"/>
        <w:szCs w:val="24"/>
        <w:lang w:val="ro-MD"/>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9"/>
  </w:num>
  <w:num w:numId="2">
    <w:abstractNumId w:val="3"/>
  </w:num>
  <w:num w:numId="3">
    <w:abstractNumId w:val="5"/>
  </w:num>
  <w:num w:numId="4">
    <w:abstractNumId w:val="7"/>
  </w:num>
  <w:num w:numId="5">
    <w:abstractNumId w:val="2"/>
  </w:num>
  <w:num w:numId="6">
    <w:abstractNumId w:val="8"/>
  </w:num>
  <w:num w:numId="7">
    <w:abstractNumId w:val="6"/>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EC"/>
    <w:rsid w:val="00007835"/>
    <w:rsid w:val="00047CEC"/>
    <w:rsid w:val="00050DDE"/>
    <w:rsid w:val="000568BD"/>
    <w:rsid w:val="00056E6A"/>
    <w:rsid w:val="00061D3B"/>
    <w:rsid w:val="0008557E"/>
    <w:rsid w:val="00085662"/>
    <w:rsid w:val="00085796"/>
    <w:rsid w:val="000A7C1C"/>
    <w:rsid w:val="000A7D63"/>
    <w:rsid w:val="000B1071"/>
    <w:rsid w:val="000B7AA7"/>
    <w:rsid w:val="000C096D"/>
    <w:rsid w:val="000C48CC"/>
    <w:rsid w:val="000E3679"/>
    <w:rsid w:val="00100B45"/>
    <w:rsid w:val="00106292"/>
    <w:rsid w:val="0011150A"/>
    <w:rsid w:val="00111D63"/>
    <w:rsid w:val="00113C19"/>
    <w:rsid w:val="00125D9C"/>
    <w:rsid w:val="00132C7D"/>
    <w:rsid w:val="001334DA"/>
    <w:rsid w:val="001402B8"/>
    <w:rsid w:val="001525D2"/>
    <w:rsid w:val="00157FD2"/>
    <w:rsid w:val="0016053B"/>
    <w:rsid w:val="00175A55"/>
    <w:rsid w:val="00180D8D"/>
    <w:rsid w:val="001819BB"/>
    <w:rsid w:val="00187A71"/>
    <w:rsid w:val="00192E81"/>
    <w:rsid w:val="00194EBE"/>
    <w:rsid w:val="001A4506"/>
    <w:rsid w:val="001A51BE"/>
    <w:rsid w:val="001A6C97"/>
    <w:rsid w:val="001A7556"/>
    <w:rsid w:val="001B1957"/>
    <w:rsid w:val="001D6C36"/>
    <w:rsid w:val="001E0AD8"/>
    <w:rsid w:val="001E2D3C"/>
    <w:rsid w:val="001E66FA"/>
    <w:rsid w:val="001F4E4A"/>
    <w:rsid w:val="001F6717"/>
    <w:rsid w:val="00203450"/>
    <w:rsid w:val="002330D4"/>
    <w:rsid w:val="00234C78"/>
    <w:rsid w:val="00242A93"/>
    <w:rsid w:val="00250773"/>
    <w:rsid w:val="002553F0"/>
    <w:rsid w:val="00262D28"/>
    <w:rsid w:val="0027496A"/>
    <w:rsid w:val="002A606C"/>
    <w:rsid w:val="002B5497"/>
    <w:rsid w:val="002B5CA5"/>
    <w:rsid w:val="002C7E61"/>
    <w:rsid w:val="002D3FAB"/>
    <w:rsid w:val="002F0B68"/>
    <w:rsid w:val="0030423E"/>
    <w:rsid w:val="003053B0"/>
    <w:rsid w:val="00305A2B"/>
    <w:rsid w:val="0033101A"/>
    <w:rsid w:val="00346E3E"/>
    <w:rsid w:val="00363058"/>
    <w:rsid w:val="00370E67"/>
    <w:rsid w:val="00382A78"/>
    <w:rsid w:val="00392494"/>
    <w:rsid w:val="003A08D3"/>
    <w:rsid w:val="003A28E1"/>
    <w:rsid w:val="003A4B95"/>
    <w:rsid w:val="003A5E33"/>
    <w:rsid w:val="003B140C"/>
    <w:rsid w:val="003B40AB"/>
    <w:rsid w:val="003B5F9F"/>
    <w:rsid w:val="003B6B4D"/>
    <w:rsid w:val="003C2B3B"/>
    <w:rsid w:val="003D097B"/>
    <w:rsid w:val="003E1994"/>
    <w:rsid w:val="003E2A41"/>
    <w:rsid w:val="003E2A74"/>
    <w:rsid w:val="003E33AE"/>
    <w:rsid w:val="003E4DF8"/>
    <w:rsid w:val="003E5814"/>
    <w:rsid w:val="004045B0"/>
    <w:rsid w:val="0042069A"/>
    <w:rsid w:val="00425458"/>
    <w:rsid w:val="0042719A"/>
    <w:rsid w:val="00431598"/>
    <w:rsid w:val="00434866"/>
    <w:rsid w:val="00443D45"/>
    <w:rsid w:val="004637FE"/>
    <w:rsid w:val="004715E4"/>
    <w:rsid w:val="00477B03"/>
    <w:rsid w:val="0049747C"/>
    <w:rsid w:val="004A0564"/>
    <w:rsid w:val="004B07DC"/>
    <w:rsid w:val="004C288D"/>
    <w:rsid w:val="004C7B62"/>
    <w:rsid w:val="004D2886"/>
    <w:rsid w:val="004E0BBD"/>
    <w:rsid w:val="004F2AA3"/>
    <w:rsid w:val="004F56FF"/>
    <w:rsid w:val="005025C5"/>
    <w:rsid w:val="0050579F"/>
    <w:rsid w:val="005063C9"/>
    <w:rsid w:val="00507384"/>
    <w:rsid w:val="00520107"/>
    <w:rsid w:val="00522E36"/>
    <w:rsid w:val="00525684"/>
    <w:rsid w:val="00526429"/>
    <w:rsid w:val="005269A6"/>
    <w:rsid w:val="00535BF6"/>
    <w:rsid w:val="005436A6"/>
    <w:rsid w:val="00546162"/>
    <w:rsid w:val="00552B95"/>
    <w:rsid w:val="005638B6"/>
    <w:rsid w:val="005746D4"/>
    <w:rsid w:val="00577587"/>
    <w:rsid w:val="00586F4C"/>
    <w:rsid w:val="00586F96"/>
    <w:rsid w:val="005B0AA3"/>
    <w:rsid w:val="005B5C14"/>
    <w:rsid w:val="005B637F"/>
    <w:rsid w:val="005C681C"/>
    <w:rsid w:val="005C6A94"/>
    <w:rsid w:val="005E1341"/>
    <w:rsid w:val="005E4823"/>
    <w:rsid w:val="005E64BC"/>
    <w:rsid w:val="006111FC"/>
    <w:rsid w:val="00612A98"/>
    <w:rsid w:val="00615974"/>
    <w:rsid w:val="0061789A"/>
    <w:rsid w:val="006202F9"/>
    <w:rsid w:val="00626F4D"/>
    <w:rsid w:val="00665398"/>
    <w:rsid w:val="006662FA"/>
    <w:rsid w:val="00666DA3"/>
    <w:rsid w:val="00667747"/>
    <w:rsid w:val="00682AF6"/>
    <w:rsid w:val="00687D34"/>
    <w:rsid w:val="006927BD"/>
    <w:rsid w:val="006B0D9C"/>
    <w:rsid w:val="006D387A"/>
    <w:rsid w:val="007076F2"/>
    <w:rsid w:val="0072129A"/>
    <w:rsid w:val="00724AB7"/>
    <w:rsid w:val="007434CE"/>
    <w:rsid w:val="00743ACF"/>
    <w:rsid w:val="00766247"/>
    <w:rsid w:val="00766C72"/>
    <w:rsid w:val="00771CF5"/>
    <w:rsid w:val="007B12B8"/>
    <w:rsid w:val="007C4950"/>
    <w:rsid w:val="007C5D08"/>
    <w:rsid w:val="007D27BF"/>
    <w:rsid w:val="007F2C09"/>
    <w:rsid w:val="008114DE"/>
    <w:rsid w:val="00812312"/>
    <w:rsid w:val="00812F47"/>
    <w:rsid w:val="00820983"/>
    <w:rsid w:val="00821F6C"/>
    <w:rsid w:val="00825026"/>
    <w:rsid w:val="0082618D"/>
    <w:rsid w:val="00830AE8"/>
    <w:rsid w:val="00837805"/>
    <w:rsid w:val="008400C2"/>
    <w:rsid w:val="00841F57"/>
    <w:rsid w:val="00841F97"/>
    <w:rsid w:val="00845A1B"/>
    <w:rsid w:val="00880E60"/>
    <w:rsid w:val="00891A78"/>
    <w:rsid w:val="008933D5"/>
    <w:rsid w:val="008A1274"/>
    <w:rsid w:val="008A6964"/>
    <w:rsid w:val="008A6DC9"/>
    <w:rsid w:val="008C6AA5"/>
    <w:rsid w:val="008E21B7"/>
    <w:rsid w:val="008E649A"/>
    <w:rsid w:val="008F0B19"/>
    <w:rsid w:val="0091454A"/>
    <w:rsid w:val="00914602"/>
    <w:rsid w:val="00930CBC"/>
    <w:rsid w:val="009311FC"/>
    <w:rsid w:val="009370C4"/>
    <w:rsid w:val="00937DDF"/>
    <w:rsid w:val="00946F42"/>
    <w:rsid w:val="009627BF"/>
    <w:rsid w:val="00967B2F"/>
    <w:rsid w:val="00991095"/>
    <w:rsid w:val="00995CCF"/>
    <w:rsid w:val="00995DD2"/>
    <w:rsid w:val="009C4B41"/>
    <w:rsid w:val="009D0E5F"/>
    <w:rsid w:val="009E41A5"/>
    <w:rsid w:val="009F0E59"/>
    <w:rsid w:val="009F204D"/>
    <w:rsid w:val="009F3366"/>
    <w:rsid w:val="00A00CDA"/>
    <w:rsid w:val="00A03FE5"/>
    <w:rsid w:val="00A16EB4"/>
    <w:rsid w:val="00A17B1B"/>
    <w:rsid w:val="00A20A1F"/>
    <w:rsid w:val="00A215B9"/>
    <w:rsid w:val="00A45727"/>
    <w:rsid w:val="00A51996"/>
    <w:rsid w:val="00A666B7"/>
    <w:rsid w:val="00AB34DC"/>
    <w:rsid w:val="00AB3615"/>
    <w:rsid w:val="00AB3617"/>
    <w:rsid w:val="00AC0127"/>
    <w:rsid w:val="00AC5001"/>
    <w:rsid w:val="00AC6D63"/>
    <w:rsid w:val="00AE0115"/>
    <w:rsid w:val="00AE488A"/>
    <w:rsid w:val="00AF6205"/>
    <w:rsid w:val="00B00FBC"/>
    <w:rsid w:val="00B05D12"/>
    <w:rsid w:val="00B06BE1"/>
    <w:rsid w:val="00B12B11"/>
    <w:rsid w:val="00B46550"/>
    <w:rsid w:val="00B52B0C"/>
    <w:rsid w:val="00B60131"/>
    <w:rsid w:val="00B75C32"/>
    <w:rsid w:val="00BA0F1D"/>
    <w:rsid w:val="00BA5B21"/>
    <w:rsid w:val="00BB366F"/>
    <w:rsid w:val="00BB5FC3"/>
    <w:rsid w:val="00BC0BE0"/>
    <w:rsid w:val="00BD7B9B"/>
    <w:rsid w:val="00BE759E"/>
    <w:rsid w:val="00BF70CD"/>
    <w:rsid w:val="00C035C2"/>
    <w:rsid w:val="00C04BF3"/>
    <w:rsid w:val="00C06312"/>
    <w:rsid w:val="00C1513B"/>
    <w:rsid w:val="00C22F51"/>
    <w:rsid w:val="00C278FC"/>
    <w:rsid w:val="00C331AD"/>
    <w:rsid w:val="00C45030"/>
    <w:rsid w:val="00C508BE"/>
    <w:rsid w:val="00C855F3"/>
    <w:rsid w:val="00C934FE"/>
    <w:rsid w:val="00CA14E1"/>
    <w:rsid w:val="00CA1B54"/>
    <w:rsid w:val="00CB3D62"/>
    <w:rsid w:val="00CE1EA9"/>
    <w:rsid w:val="00D01D00"/>
    <w:rsid w:val="00D0504E"/>
    <w:rsid w:val="00D10582"/>
    <w:rsid w:val="00D13B94"/>
    <w:rsid w:val="00D268EE"/>
    <w:rsid w:val="00D529D0"/>
    <w:rsid w:val="00D55A52"/>
    <w:rsid w:val="00D644C6"/>
    <w:rsid w:val="00D7450C"/>
    <w:rsid w:val="00D76589"/>
    <w:rsid w:val="00D76FC0"/>
    <w:rsid w:val="00D862AD"/>
    <w:rsid w:val="00DA205B"/>
    <w:rsid w:val="00DA3853"/>
    <w:rsid w:val="00DB0446"/>
    <w:rsid w:val="00DE52BB"/>
    <w:rsid w:val="00DF62E7"/>
    <w:rsid w:val="00DF6992"/>
    <w:rsid w:val="00E14523"/>
    <w:rsid w:val="00E167B3"/>
    <w:rsid w:val="00E16C43"/>
    <w:rsid w:val="00E43BA1"/>
    <w:rsid w:val="00E4413D"/>
    <w:rsid w:val="00E67D38"/>
    <w:rsid w:val="00E7136C"/>
    <w:rsid w:val="00E71EF3"/>
    <w:rsid w:val="00E7707E"/>
    <w:rsid w:val="00E875AC"/>
    <w:rsid w:val="00E9331A"/>
    <w:rsid w:val="00E945B8"/>
    <w:rsid w:val="00EA2202"/>
    <w:rsid w:val="00EB18BE"/>
    <w:rsid w:val="00EC1567"/>
    <w:rsid w:val="00EC649A"/>
    <w:rsid w:val="00F14B17"/>
    <w:rsid w:val="00F22819"/>
    <w:rsid w:val="00F25BDB"/>
    <w:rsid w:val="00F2633E"/>
    <w:rsid w:val="00F4473E"/>
    <w:rsid w:val="00F775AF"/>
    <w:rsid w:val="00F9581D"/>
    <w:rsid w:val="00FB2A47"/>
    <w:rsid w:val="00FD6EC7"/>
    <w:rsid w:val="00FE07C0"/>
    <w:rsid w:val="00FF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13681-AADD-4440-8A9C-561DCF87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5D9C"/>
    <w:rPr>
      <w:color w:val="0563C1" w:themeColor="hyperlink"/>
      <w:u w:val="single"/>
    </w:rPr>
  </w:style>
  <w:style w:type="paragraph" w:styleId="ListParagraph">
    <w:name w:val="List Paragraph"/>
    <w:aliases w:val="Scriptoria bullet points,List Paragraph 1,Абзац списка1,Bullets,References,Liste 1,List Paragraph nowy,Numbered List Paragraph,List Paragraph (numbered (a)),Medium Grid 1 - Accent 21,Paragraphe de liste2,Paragraphe de liste1,Dot pt"/>
    <w:basedOn w:val="Normal"/>
    <w:link w:val="ListParagraphChar"/>
    <w:uiPriority w:val="34"/>
    <w:qFormat/>
    <w:rsid w:val="00125D9C"/>
    <w:pPr>
      <w:ind w:left="720"/>
      <w:contextualSpacing/>
    </w:pPr>
  </w:style>
  <w:style w:type="paragraph" w:styleId="FootnoteText">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Normal"/>
    <w:link w:val="FootnoteTextChar"/>
    <w:uiPriority w:val="99"/>
    <w:unhideWhenUsed/>
    <w:qFormat/>
    <w:rsid w:val="00125D9C"/>
    <w:pPr>
      <w:spacing w:after="0" w:line="240" w:lineRule="auto"/>
    </w:pPr>
    <w:rPr>
      <w:sz w:val="20"/>
      <w:szCs w:val="20"/>
    </w:rPr>
  </w:style>
  <w:style w:type="character" w:customStyle="1" w:styleId="FootnoteTextChar">
    <w:name w:val="Footnote Text Char"/>
    <w:aliases w:val=" Char Char,Char Char,Знак1 Char, Знак1 Char, Знак Char,Знак Char,Fußnote Char Char Char,Fußnote Char Char1,Fußnote Char Car Char Char Char,Fußnote Char Car Char Char Char Char Char Char Char Char Char Char Char,single space Char"/>
    <w:basedOn w:val="DefaultParagraphFont"/>
    <w:link w:val="FootnoteText"/>
    <w:uiPriority w:val="99"/>
    <w:rsid w:val="00125D9C"/>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125D9C"/>
    <w:rPr>
      <w:vertAlign w:val="superscript"/>
    </w:rPr>
  </w:style>
  <w:style w:type="character" w:customStyle="1" w:styleId="ListParagraphChar">
    <w:name w:val="List Paragraph Char"/>
    <w:aliases w:val="Scriptoria bullet points Char,List Paragraph 1 Char,Абзац списка1 Char,Bullets Char,References Char,Liste 1 Char,List Paragraph nowy Char,Numbered List Paragraph Char,List Paragraph (numbered (a)) Char,Medium Grid 1 - Accent 21 Char"/>
    <w:link w:val="ListParagraph"/>
    <w:uiPriority w:val="34"/>
    <w:rsid w:val="00125D9C"/>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125D9C"/>
    <w:pPr>
      <w:spacing w:line="240" w:lineRule="exact"/>
    </w:pPr>
    <w:rPr>
      <w:vertAlign w:val="superscript"/>
    </w:rPr>
  </w:style>
  <w:style w:type="paragraph" w:customStyle="1" w:styleId="Default">
    <w:name w:val="Default"/>
    <w:rsid w:val="00125D9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125D9C"/>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FooterChar">
    <w:name w:val="Footer Char"/>
    <w:basedOn w:val="DefaultParagraphFont"/>
    <w:link w:val="Footer"/>
    <w:uiPriority w:val="99"/>
    <w:rsid w:val="00125D9C"/>
    <w:rPr>
      <w:rFonts w:ascii="Times New Roman" w:eastAsia="Times New Roman" w:hAnsi="Times New Roman" w:cs="Times New Roman"/>
      <w:sz w:val="20"/>
      <w:szCs w:val="20"/>
      <w:lang w:val="lv-LV" w:eastAsia="lv-LV"/>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Normal"/>
    <w:link w:val="NormalWebChar"/>
    <w:uiPriority w:val="99"/>
    <w:unhideWhenUsed/>
    <w:qFormat/>
    <w:rsid w:val="00125D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5D9C"/>
    <w:pPr>
      <w:tabs>
        <w:tab w:val="center" w:pos="4677"/>
        <w:tab w:val="right" w:pos="9355"/>
      </w:tabs>
      <w:spacing w:after="0" w:line="240" w:lineRule="auto"/>
    </w:pPr>
    <w:rPr>
      <w:szCs w:val="24"/>
    </w:rPr>
  </w:style>
  <w:style w:type="character" w:customStyle="1" w:styleId="HeaderChar">
    <w:name w:val="Header Char"/>
    <w:basedOn w:val="DefaultParagraphFont"/>
    <w:link w:val="Header"/>
    <w:uiPriority w:val="99"/>
    <w:rsid w:val="00125D9C"/>
    <w:rPr>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
    <w:basedOn w:val="DefaultParagraphFont"/>
    <w:link w:val="NormalWeb"/>
    <w:uiPriority w:val="99"/>
    <w:rsid w:val="00125D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7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4374">
      <w:bodyDiv w:val="1"/>
      <w:marLeft w:val="0"/>
      <w:marRight w:val="0"/>
      <w:marTop w:val="0"/>
      <w:marBottom w:val="0"/>
      <w:divBdr>
        <w:top w:val="none" w:sz="0" w:space="0" w:color="auto"/>
        <w:left w:val="none" w:sz="0" w:space="0" w:color="auto"/>
        <w:bottom w:val="none" w:sz="0" w:space="0" w:color="auto"/>
        <w:right w:val="none" w:sz="0" w:space="0" w:color="auto"/>
      </w:divBdr>
      <w:divsChild>
        <w:div w:id="2003965703">
          <w:marLeft w:val="0"/>
          <w:marRight w:val="0"/>
          <w:marTop w:val="0"/>
          <w:marBottom w:val="0"/>
          <w:divBdr>
            <w:top w:val="none" w:sz="0" w:space="0" w:color="auto"/>
            <w:left w:val="none" w:sz="0" w:space="0" w:color="auto"/>
            <w:bottom w:val="none" w:sz="0" w:space="0" w:color="auto"/>
            <w:right w:val="none" w:sz="0" w:space="0" w:color="auto"/>
          </w:divBdr>
        </w:div>
        <w:div w:id="17239684">
          <w:marLeft w:val="0"/>
          <w:marRight w:val="0"/>
          <w:marTop w:val="0"/>
          <w:marBottom w:val="0"/>
          <w:divBdr>
            <w:top w:val="none" w:sz="0" w:space="0" w:color="auto"/>
            <w:left w:val="none" w:sz="0" w:space="0" w:color="auto"/>
            <w:bottom w:val="none" w:sz="0" w:space="0" w:color="auto"/>
            <w:right w:val="none" w:sz="0" w:space="0" w:color="auto"/>
          </w:divBdr>
        </w:div>
        <w:div w:id="1573544050">
          <w:marLeft w:val="720"/>
          <w:marRight w:val="0"/>
          <w:marTop w:val="0"/>
          <w:marBottom w:val="0"/>
          <w:divBdr>
            <w:top w:val="none" w:sz="0" w:space="0" w:color="auto"/>
            <w:left w:val="none" w:sz="0" w:space="0" w:color="auto"/>
            <w:bottom w:val="none" w:sz="0" w:space="0" w:color="auto"/>
            <w:right w:val="none" w:sz="0" w:space="0" w:color="auto"/>
          </w:divBdr>
        </w:div>
        <w:div w:id="239020523">
          <w:marLeft w:val="720"/>
          <w:marRight w:val="0"/>
          <w:marTop w:val="0"/>
          <w:marBottom w:val="0"/>
          <w:divBdr>
            <w:top w:val="none" w:sz="0" w:space="0" w:color="auto"/>
            <w:left w:val="none" w:sz="0" w:space="0" w:color="auto"/>
            <w:bottom w:val="none" w:sz="0" w:space="0" w:color="auto"/>
            <w:right w:val="none" w:sz="0" w:space="0" w:color="auto"/>
          </w:divBdr>
        </w:div>
        <w:div w:id="765155431">
          <w:marLeft w:val="720"/>
          <w:marRight w:val="0"/>
          <w:marTop w:val="0"/>
          <w:marBottom w:val="0"/>
          <w:divBdr>
            <w:top w:val="none" w:sz="0" w:space="0" w:color="auto"/>
            <w:left w:val="none" w:sz="0" w:space="0" w:color="auto"/>
            <w:bottom w:val="none" w:sz="0" w:space="0" w:color="auto"/>
            <w:right w:val="none" w:sz="0" w:space="0" w:color="auto"/>
          </w:divBdr>
        </w:div>
        <w:div w:id="55904579">
          <w:marLeft w:val="720"/>
          <w:marRight w:val="0"/>
          <w:marTop w:val="0"/>
          <w:marBottom w:val="0"/>
          <w:divBdr>
            <w:top w:val="none" w:sz="0" w:space="0" w:color="auto"/>
            <w:left w:val="none" w:sz="0" w:space="0" w:color="auto"/>
            <w:bottom w:val="none" w:sz="0" w:space="0" w:color="auto"/>
            <w:right w:val="none" w:sz="0" w:space="0" w:color="auto"/>
          </w:divBdr>
        </w:div>
        <w:div w:id="1532763609">
          <w:marLeft w:val="720"/>
          <w:marRight w:val="0"/>
          <w:marTop w:val="0"/>
          <w:marBottom w:val="0"/>
          <w:divBdr>
            <w:top w:val="none" w:sz="0" w:space="0" w:color="auto"/>
            <w:left w:val="none" w:sz="0" w:space="0" w:color="auto"/>
            <w:bottom w:val="none" w:sz="0" w:space="0" w:color="auto"/>
            <w:right w:val="none" w:sz="0" w:space="0" w:color="auto"/>
          </w:divBdr>
        </w:div>
        <w:div w:id="500125732">
          <w:marLeft w:val="720"/>
          <w:marRight w:val="0"/>
          <w:marTop w:val="0"/>
          <w:marBottom w:val="0"/>
          <w:divBdr>
            <w:top w:val="none" w:sz="0" w:space="0" w:color="auto"/>
            <w:left w:val="none" w:sz="0" w:space="0" w:color="auto"/>
            <w:bottom w:val="none" w:sz="0" w:space="0" w:color="auto"/>
            <w:right w:val="none" w:sz="0" w:space="0" w:color="auto"/>
          </w:divBdr>
        </w:div>
      </w:divsChild>
    </w:div>
    <w:div w:id="12488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7358-0BD5-4DBD-874A-AC22B0C6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8219</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Poiană Olga</dc:creator>
  <cp:keywords/>
  <dc:description/>
  <cp:lastModifiedBy>Paiu Eugenia</cp:lastModifiedBy>
  <cp:revision>2</cp:revision>
  <dcterms:created xsi:type="dcterms:W3CDTF">2022-08-18T19:10:00Z</dcterms:created>
  <dcterms:modified xsi:type="dcterms:W3CDTF">2022-08-18T19:10:00Z</dcterms:modified>
</cp:coreProperties>
</file>