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B6" w:rsidRPr="00E40DB6" w:rsidRDefault="00E40DB6" w:rsidP="00E40DB6">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E40DB6">
        <w:rPr>
          <w:rFonts w:asciiTheme="majorHAnsi" w:eastAsia="Times New Roman" w:hAnsiTheme="majorHAnsi" w:cs="Times New Roman"/>
          <w:b/>
          <w:bCs/>
          <w:sz w:val="28"/>
          <w:szCs w:val="28"/>
          <w:u w:val="single"/>
          <w:lang w:val="ru-MD"/>
        </w:rPr>
        <w:t>ПЕРЕВОД</w:t>
      </w:r>
    </w:p>
    <w:p w:rsidR="00E40DB6" w:rsidRPr="00E40DB6" w:rsidRDefault="00E40DB6" w:rsidP="00E40DB6">
      <w:pPr>
        <w:tabs>
          <w:tab w:val="left" w:pos="720"/>
        </w:tabs>
        <w:spacing w:after="0" w:line="276" w:lineRule="auto"/>
        <w:jc w:val="right"/>
        <w:rPr>
          <w:rFonts w:asciiTheme="majorHAnsi" w:eastAsia="Times New Roman" w:hAnsiTheme="majorHAnsi" w:cs="Times New Roman"/>
          <w:bCs/>
          <w:i/>
          <w:iCs/>
          <w:sz w:val="28"/>
          <w:szCs w:val="28"/>
          <w:lang w:val="ru-MD"/>
        </w:rPr>
      </w:pPr>
    </w:p>
    <w:p w:rsidR="00E40DB6" w:rsidRPr="00E40DB6" w:rsidRDefault="00E40DB6" w:rsidP="00E40DB6">
      <w:pPr>
        <w:tabs>
          <w:tab w:val="left" w:pos="720"/>
        </w:tabs>
        <w:spacing w:after="0" w:line="276" w:lineRule="auto"/>
        <w:jc w:val="right"/>
        <w:rPr>
          <w:rFonts w:asciiTheme="majorHAnsi" w:eastAsia="Times New Roman" w:hAnsiTheme="majorHAnsi" w:cs="Times New Roman"/>
          <w:bCs/>
          <w:i/>
          <w:iCs/>
          <w:sz w:val="28"/>
          <w:szCs w:val="28"/>
          <w:lang w:val="ru-MD"/>
        </w:rPr>
      </w:pPr>
      <w:r w:rsidRPr="00E40DB6">
        <w:rPr>
          <w:rFonts w:asciiTheme="majorHAnsi" w:eastAsia="Times New Roman" w:hAnsiTheme="majorHAnsi" w:cs="Times New Roman"/>
          <w:bCs/>
          <w:i/>
          <w:iCs/>
          <w:sz w:val="28"/>
          <w:szCs w:val="28"/>
          <w:lang w:val="ru-MD"/>
        </w:rPr>
        <w:t>Приложение</w:t>
      </w:r>
    </w:p>
    <w:p w:rsidR="00E40DB6" w:rsidRPr="00E40DB6" w:rsidRDefault="00E40DB6" w:rsidP="00E40DB6">
      <w:pPr>
        <w:tabs>
          <w:tab w:val="left" w:pos="720"/>
        </w:tabs>
        <w:spacing w:after="0" w:line="276" w:lineRule="auto"/>
        <w:jc w:val="right"/>
        <w:rPr>
          <w:rFonts w:asciiTheme="majorHAnsi" w:eastAsia="Times New Roman" w:hAnsiTheme="majorHAnsi" w:cs="Times New Roman"/>
          <w:bCs/>
          <w:sz w:val="28"/>
          <w:szCs w:val="28"/>
          <w:lang w:val="ru-MD"/>
        </w:rPr>
      </w:pPr>
      <w:r w:rsidRPr="00E40DB6">
        <w:rPr>
          <w:rFonts w:asciiTheme="majorHAnsi" w:eastAsia="Times New Roman" w:hAnsiTheme="majorHAnsi" w:cs="Times New Roman"/>
          <w:bCs/>
          <w:sz w:val="28"/>
          <w:szCs w:val="28"/>
          <w:lang w:val="ru-MD"/>
        </w:rPr>
        <w:t>к Постановлению Счетной палаты</w:t>
      </w:r>
    </w:p>
    <w:p w:rsidR="00E40DB6" w:rsidRDefault="00E40DB6" w:rsidP="00E40DB6">
      <w:pPr>
        <w:tabs>
          <w:tab w:val="left" w:pos="720"/>
        </w:tabs>
        <w:spacing w:after="0" w:line="276" w:lineRule="auto"/>
        <w:jc w:val="right"/>
        <w:rPr>
          <w:rFonts w:asciiTheme="majorHAnsi" w:eastAsia="Times New Roman" w:hAnsiTheme="majorHAnsi" w:cs="Times New Roman"/>
          <w:bCs/>
          <w:sz w:val="28"/>
          <w:szCs w:val="28"/>
          <w:lang w:val="ro-MD"/>
        </w:rPr>
      </w:pPr>
      <w:r w:rsidRPr="00E40DB6">
        <w:rPr>
          <w:rFonts w:asciiTheme="majorHAnsi" w:eastAsia="Times New Roman" w:hAnsiTheme="majorHAnsi" w:cs="Times New Roman"/>
          <w:bCs/>
          <w:sz w:val="28"/>
          <w:szCs w:val="28"/>
          <w:lang w:val="ru-MD"/>
        </w:rPr>
        <w:t>№</w:t>
      </w:r>
      <w:r>
        <w:rPr>
          <w:rFonts w:asciiTheme="majorHAnsi" w:eastAsia="Times New Roman" w:hAnsiTheme="majorHAnsi" w:cs="Times New Roman"/>
          <w:bCs/>
          <w:sz w:val="28"/>
          <w:szCs w:val="28"/>
          <w:lang w:val="ru-MD"/>
        </w:rPr>
        <w:t>21</w:t>
      </w:r>
      <w:r w:rsidRPr="00E40DB6">
        <w:rPr>
          <w:rFonts w:asciiTheme="majorHAnsi" w:eastAsia="Times New Roman" w:hAnsiTheme="majorHAnsi" w:cs="Times New Roman"/>
          <w:bCs/>
          <w:sz w:val="28"/>
          <w:szCs w:val="28"/>
          <w:lang w:val="ru-MD"/>
        </w:rPr>
        <w:t xml:space="preserve"> от 2</w:t>
      </w:r>
      <w:r>
        <w:rPr>
          <w:rFonts w:asciiTheme="majorHAnsi" w:eastAsia="Times New Roman" w:hAnsiTheme="majorHAnsi" w:cs="Times New Roman"/>
          <w:bCs/>
          <w:sz w:val="28"/>
          <w:szCs w:val="28"/>
          <w:lang w:val="ru-MD"/>
        </w:rPr>
        <w:t>7</w:t>
      </w:r>
      <w:r w:rsidRPr="00E40DB6">
        <w:rPr>
          <w:rFonts w:asciiTheme="majorHAnsi" w:eastAsia="Times New Roman" w:hAnsiTheme="majorHAnsi" w:cs="Times New Roman"/>
          <w:bCs/>
          <w:sz w:val="28"/>
          <w:szCs w:val="28"/>
          <w:lang w:val="ru-MD"/>
        </w:rPr>
        <w:t xml:space="preserve"> мая 2022 года</w:t>
      </w:r>
      <w:r w:rsidRPr="00E40DB6">
        <w:rPr>
          <w:rFonts w:asciiTheme="majorHAnsi" w:eastAsia="Times New Roman" w:hAnsiTheme="majorHAnsi" w:cs="Times New Roman"/>
          <w:bCs/>
          <w:sz w:val="28"/>
          <w:szCs w:val="28"/>
          <w:lang w:val="ro-MD"/>
        </w:rPr>
        <w:t xml:space="preserve"> </w:t>
      </w:r>
    </w:p>
    <w:p w:rsidR="00125D9C" w:rsidRPr="006D6099" w:rsidRDefault="00125D9C" w:rsidP="00125D9C">
      <w:pPr>
        <w:spacing w:after="0" w:line="276" w:lineRule="auto"/>
        <w:rPr>
          <w:rFonts w:asciiTheme="majorHAnsi" w:hAnsiTheme="majorHAnsi"/>
          <w:lang w:val="ro-MD"/>
        </w:rPr>
      </w:pPr>
    </w:p>
    <w:p w:rsidR="00125D9C" w:rsidRPr="00E40DB6" w:rsidRDefault="00125D9C" w:rsidP="00125D9C">
      <w:pPr>
        <w:spacing w:after="0" w:line="240" w:lineRule="auto"/>
        <w:rPr>
          <w:rFonts w:asciiTheme="majorHAnsi" w:hAnsiTheme="majorHAnsi" w:cstheme="majorHAnsi"/>
          <w:lang w:val="fr-FR"/>
        </w:rPr>
      </w:pPr>
    </w:p>
    <w:p w:rsidR="003E33AE" w:rsidRPr="00E40DB6" w:rsidRDefault="003E33AE" w:rsidP="00125D9C">
      <w:pPr>
        <w:spacing w:after="0" w:line="240" w:lineRule="auto"/>
        <w:rPr>
          <w:rFonts w:asciiTheme="majorHAnsi" w:hAnsiTheme="majorHAnsi" w:cstheme="majorHAnsi"/>
          <w:lang w:val="fr-FR"/>
        </w:rPr>
      </w:pPr>
    </w:p>
    <w:p w:rsidR="00125D9C" w:rsidRPr="00E40DB6" w:rsidRDefault="00125D9C" w:rsidP="00125D9C">
      <w:pPr>
        <w:spacing w:after="0" w:line="240" w:lineRule="auto"/>
        <w:rPr>
          <w:rFonts w:asciiTheme="majorHAnsi" w:hAnsiTheme="majorHAnsi" w:cstheme="majorHAnsi"/>
          <w:lang w:val="fr-FR"/>
        </w:rPr>
      </w:pPr>
    </w:p>
    <w:p w:rsidR="00125D9C" w:rsidRPr="00E40DB6" w:rsidRDefault="00125D9C" w:rsidP="00125D9C">
      <w:pPr>
        <w:spacing w:after="0" w:line="240" w:lineRule="auto"/>
        <w:jc w:val="center"/>
        <w:rPr>
          <w:rFonts w:asciiTheme="majorHAnsi" w:hAnsiTheme="majorHAnsi" w:cstheme="majorHAnsi"/>
          <w:b/>
          <w:sz w:val="28"/>
          <w:szCs w:val="28"/>
          <w:lang w:val="fr-FR"/>
        </w:rPr>
      </w:pPr>
    </w:p>
    <w:p w:rsidR="00125D9C" w:rsidRPr="00E40DB6" w:rsidRDefault="00AB34DC" w:rsidP="00113C19">
      <w:pPr>
        <w:spacing w:after="0" w:line="240" w:lineRule="auto"/>
        <w:rPr>
          <w:rFonts w:asciiTheme="majorHAnsi" w:hAnsiTheme="majorHAnsi" w:cstheme="majorHAnsi"/>
          <w:b/>
          <w:sz w:val="28"/>
          <w:szCs w:val="28"/>
          <w:lang w:val="fr-FR"/>
        </w:rPr>
      </w:pPr>
      <w:r>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sidRPr="00E40DB6">
        <w:rPr>
          <w:rFonts w:asciiTheme="majorHAnsi" w:hAnsiTheme="majorHAnsi" w:cstheme="majorHAnsi"/>
          <w:b/>
          <w:sz w:val="28"/>
          <w:szCs w:val="28"/>
          <w:lang w:val="fr-FR"/>
        </w:rPr>
        <w:br w:type="textWrapping" w:clear="all"/>
      </w:r>
    </w:p>
    <w:p w:rsidR="00125D9C" w:rsidRPr="00E40DB6" w:rsidRDefault="00125D9C" w:rsidP="00125D9C">
      <w:pPr>
        <w:spacing w:after="0" w:line="240" w:lineRule="auto"/>
        <w:jc w:val="center"/>
        <w:rPr>
          <w:rFonts w:asciiTheme="majorHAnsi" w:hAnsiTheme="majorHAnsi" w:cstheme="majorHAnsi"/>
          <w:b/>
          <w:sz w:val="28"/>
          <w:szCs w:val="28"/>
          <w:lang w:val="fr-FR"/>
        </w:rPr>
      </w:pPr>
    </w:p>
    <w:p w:rsidR="00125D9C" w:rsidRPr="00E40DB6" w:rsidRDefault="00125D9C" w:rsidP="00125D9C">
      <w:pPr>
        <w:spacing w:after="0" w:line="240" w:lineRule="auto"/>
        <w:jc w:val="center"/>
        <w:rPr>
          <w:rFonts w:asciiTheme="majorHAnsi" w:hAnsiTheme="majorHAnsi" w:cstheme="majorHAnsi"/>
          <w:b/>
          <w:sz w:val="28"/>
          <w:szCs w:val="28"/>
          <w:lang w:val="fr-FR"/>
        </w:rPr>
      </w:pPr>
    </w:p>
    <w:p w:rsidR="00125D9C" w:rsidRPr="00E40DB6" w:rsidRDefault="00125D9C" w:rsidP="00125D9C">
      <w:pPr>
        <w:spacing w:after="0" w:line="240" w:lineRule="auto"/>
        <w:jc w:val="center"/>
        <w:rPr>
          <w:rFonts w:asciiTheme="majorHAnsi" w:hAnsiTheme="majorHAnsi" w:cstheme="majorHAnsi"/>
          <w:b/>
          <w:sz w:val="28"/>
          <w:szCs w:val="28"/>
          <w:lang w:val="fr-FR"/>
        </w:rPr>
      </w:pPr>
    </w:p>
    <w:p w:rsidR="00125D9C" w:rsidRPr="00E40DB6" w:rsidRDefault="00A04D59" w:rsidP="00125D9C">
      <w:pPr>
        <w:spacing w:after="0" w:line="240" w:lineRule="auto"/>
        <w:jc w:val="center"/>
        <w:rPr>
          <w:rFonts w:asciiTheme="majorHAnsi" w:hAnsiTheme="majorHAnsi" w:cstheme="majorHAnsi"/>
          <w:b/>
          <w:sz w:val="28"/>
          <w:szCs w:val="28"/>
          <w:lang w:val="fr-FR"/>
        </w:rPr>
      </w:pPr>
      <w:r w:rsidRPr="00A04D59">
        <w:rPr>
          <w:rFonts w:asciiTheme="majorHAnsi" w:hAnsiTheme="majorHAnsi" w:cstheme="majorHAnsi"/>
          <w:b/>
          <w:bCs/>
          <w:iCs/>
          <w:sz w:val="28"/>
          <w:szCs w:val="28"/>
          <w:lang w:val="ru-MD"/>
        </w:rPr>
        <w:t>СЧЕТНАЯ</w:t>
      </w:r>
      <w:r w:rsidRPr="00A04D59">
        <w:rPr>
          <w:rFonts w:asciiTheme="majorHAnsi" w:hAnsiTheme="majorHAnsi" w:cstheme="majorHAnsi"/>
          <w:b/>
          <w:bCs/>
          <w:iCs/>
          <w:sz w:val="28"/>
          <w:szCs w:val="28"/>
          <w:lang w:val="fr-FR"/>
        </w:rPr>
        <w:t xml:space="preserve"> </w:t>
      </w:r>
      <w:r w:rsidRPr="00A04D59">
        <w:rPr>
          <w:rFonts w:asciiTheme="majorHAnsi" w:hAnsiTheme="majorHAnsi" w:cstheme="majorHAnsi"/>
          <w:b/>
          <w:bCs/>
          <w:iCs/>
          <w:sz w:val="28"/>
          <w:szCs w:val="28"/>
          <w:lang w:val="ru-MD"/>
        </w:rPr>
        <w:t>ПАЛАТА</w:t>
      </w:r>
      <w:r w:rsidRPr="00A04D59">
        <w:rPr>
          <w:rFonts w:asciiTheme="majorHAnsi" w:hAnsiTheme="majorHAnsi" w:cstheme="majorHAnsi"/>
          <w:b/>
          <w:bCs/>
          <w:iCs/>
          <w:sz w:val="28"/>
          <w:szCs w:val="28"/>
          <w:lang w:val="fr-FR"/>
        </w:rPr>
        <w:t xml:space="preserve"> </w:t>
      </w:r>
      <w:r w:rsidRPr="00A04D59">
        <w:rPr>
          <w:rFonts w:asciiTheme="majorHAnsi" w:hAnsiTheme="majorHAnsi" w:cstheme="majorHAnsi"/>
          <w:b/>
          <w:bCs/>
          <w:iCs/>
          <w:sz w:val="28"/>
          <w:szCs w:val="28"/>
          <w:lang w:val="ru-MD"/>
        </w:rPr>
        <w:t>РЕСПУБЛИКИ</w:t>
      </w:r>
      <w:r w:rsidRPr="00A04D59">
        <w:rPr>
          <w:rFonts w:asciiTheme="majorHAnsi" w:hAnsiTheme="majorHAnsi" w:cstheme="majorHAnsi"/>
          <w:b/>
          <w:bCs/>
          <w:iCs/>
          <w:sz w:val="28"/>
          <w:szCs w:val="28"/>
          <w:lang w:val="fr-FR"/>
        </w:rPr>
        <w:t xml:space="preserve"> </w:t>
      </w:r>
      <w:r w:rsidRPr="00A04D59">
        <w:rPr>
          <w:rFonts w:asciiTheme="majorHAnsi" w:hAnsiTheme="majorHAnsi" w:cstheme="majorHAnsi"/>
          <w:b/>
          <w:bCs/>
          <w:iCs/>
          <w:sz w:val="28"/>
          <w:szCs w:val="28"/>
          <w:lang w:val="ru-MD"/>
        </w:rPr>
        <w:t>МОЛДОВА</w:t>
      </w:r>
      <w:r w:rsidRPr="00A04D59">
        <w:rPr>
          <w:rFonts w:asciiTheme="majorHAnsi" w:hAnsiTheme="majorHAnsi" w:cstheme="majorHAnsi"/>
          <w:b/>
          <w:sz w:val="28"/>
          <w:szCs w:val="28"/>
          <w:lang w:val="fr-FR"/>
        </w:rPr>
        <w:t xml:space="preserve"> </w:t>
      </w: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6D6099" w:rsidTr="00923B6C">
        <w:trPr>
          <w:trHeight w:val="435"/>
        </w:trPr>
        <w:tc>
          <w:tcPr>
            <w:tcW w:w="9026" w:type="dxa"/>
          </w:tcPr>
          <w:p w:rsidR="00125D9C" w:rsidRPr="006D6099" w:rsidRDefault="00125D9C" w:rsidP="00923B6C">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Hyperlink"/>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Hyperlink"/>
                  <w:rFonts w:asciiTheme="majorHAnsi" w:hAnsiTheme="majorHAnsi" w:cstheme="majorHAnsi"/>
                  <w:i/>
                  <w:sz w:val="24"/>
                  <w:lang w:val="ro-MD"/>
                </w:rPr>
                <w:t>ccrm@ccrm.md</w:t>
              </w:r>
            </w:hyperlink>
          </w:p>
        </w:tc>
      </w:tr>
    </w:tbl>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E40DB6" w:rsidRDefault="00E40DB6" w:rsidP="00E40DB6">
      <w:pPr>
        <w:tabs>
          <w:tab w:val="left" w:pos="720"/>
        </w:tabs>
        <w:spacing w:after="0" w:line="276" w:lineRule="auto"/>
        <w:jc w:val="center"/>
        <w:rPr>
          <w:rFonts w:asciiTheme="majorHAnsi" w:eastAsia="Times New Roman" w:hAnsiTheme="majorHAnsi" w:cs="Times New Roman"/>
          <w:b/>
          <w:bCs/>
          <w:sz w:val="28"/>
          <w:szCs w:val="28"/>
          <w:lang w:val="ru-MD"/>
        </w:rPr>
      </w:pPr>
      <w:r w:rsidRPr="00E40DB6">
        <w:rPr>
          <w:rFonts w:asciiTheme="majorHAnsi" w:eastAsia="Times New Roman" w:hAnsiTheme="majorHAnsi" w:cs="Times New Roman"/>
          <w:b/>
          <w:bCs/>
          <w:sz w:val="28"/>
          <w:szCs w:val="28"/>
          <w:lang w:val="ru-MD"/>
        </w:rPr>
        <w:t xml:space="preserve">ОТЧЕТ </w:t>
      </w:r>
    </w:p>
    <w:p w:rsidR="00620457" w:rsidRPr="00E40DB6" w:rsidRDefault="00620457" w:rsidP="00E40DB6">
      <w:pPr>
        <w:tabs>
          <w:tab w:val="left" w:pos="720"/>
        </w:tabs>
        <w:spacing w:after="0" w:line="276" w:lineRule="auto"/>
        <w:jc w:val="center"/>
        <w:rPr>
          <w:rFonts w:asciiTheme="majorHAnsi" w:eastAsia="Times New Roman" w:hAnsiTheme="majorHAnsi" w:cs="Times New Roman"/>
          <w:b/>
          <w:bCs/>
          <w:sz w:val="28"/>
          <w:szCs w:val="28"/>
          <w:lang w:val="ru-MD"/>
        </w:rPr>
      </w:pPr>
    </w:p>
    <w:p w:rsidR="00E40DB6" w:rsidRPr="00620457" w:rsidRDefault="00E40DB6" w:rsidP="00E40DB6">
      <w:pPr>
        <w:tabs>
          <w:tab w:val="left" w:pos="720"/>
        </w:tabs>
        <w:spacing w:after="0" w:line="276" w:lineRule="auto"/>
        <w:jc w:val="center"/>
        <w:rPr>
          <w:rFonts w:asciiTheme="majorHAnsi" w:eastAsia="Times New Roman" w:hAnsiTheme="majorHAnsi" w:cs="Times New Roman"/>
          <w:bCs/>
          <w:sz w:val="28"/>
          <w:szCs w:val="28"/>
          <w:lang w:val="ru-MD"/>
        </w:rPr>
      </w:pPr>
      <w:r w:rsidRPr="00620457">
        <w:rPr>
          <w:rFonts w:asciiTheme="majorHAnsi" w:eastAsia="Times New Roman" w:hAnsiTheme="majorHAnsi" w:cs="Times New Roman"/>
          <w:bCs/>
          <w:sz w:val="28"/>
          <w:szCs w:val="28"/>
          <w:lang w:val="ru-MD"/>
        </w:rPr>
        <w:t xml:space="preserve">аудита консолидированной финансовой отчетности Министерства </w:t>
      </w:r>
      <w:r w:rsidR="00620457" w:rsidRPr="00620457">
        <w:rPr>
          <w:rFonts w:asciiTheme="majorHAnsi" w:eastAsia="Times New Roman" w:hAnsiTheme="majorHAnsi" w:cs="Times New Roman"/>
          <w:bCs/>
          <w:sz w:val="28"/>
          <w:szCs w:val="28"/>
          <w:lang w:val="ru-MD"/>
        </w:rPr>
        <w:t xml:space="preserve">экономики и инфраструктуры </w:t>
      </w:r>
      <w:r w:rsidRPr="00620457">
        <w:rPr>
          <w:rFonts w:asciiTheme="majorHAnsi" w:eastAsia="Times New Roman" w:hAnsiTheme="majorHAnsi" w:cs="Times New Roman"/>
          <w:bCs/>
          <w:sz w:val="28"/>
          <w:szCs w:val="28"/>
          <w:lang w:val="ru-MD"/>
        </w:rPr>
        <w:t xml:space="preserve">по состоянию на 31 декабря 2021 года </w:t>
      </w:r>
    </w:p>
    <w:p w:rsidR="00125D9C" w:rsidRPr="00FE18D7" w:rsidRDefault="00125D9C" w:rsidP="00125D9C">
      <w:pPr>
        <w:rPr>
          <w:rFonts w:asciiTheme="majorHAnsi" w:eastAsia="Times New Roman" w:hAnsiTheme="majorHAnsi" w:cs="Times New Roman"/>
          <w:b/>
          <w:bCs/>
          <w:sz w:val="28"/>
          <w:szCs w:val="28"/>
          <w:lang w:val="ro-MD"/>
        </w:rPr>
      </w:pPr>
      <w:r w:rsidRPr="00FE18D7">
        <w:rPr>
          <w:rFonts w:asciiTheme="majorHAnsi" w:eastAsia="Times New Roman" w:hAnsiTheme="majorHAnsi" w:cs="Times New Roman"/>
          <w:b/>
          <w:bCs/>
          <w:sz w:val="28"/>
          <w:szCs w:val="28"/>
          <w:lang w:val="ro-MD"/>
        </w:rPr>
        <w:br w:type="page"/>
      </w:r>
    </w:p>
    <w:p w:rsidR="00125D9C" w:rsidRPr="002E594A" w:rsidRDefault="00AE5364" w:rsidP="00125D9C">
      <w:pPr>
        <w:pStyle w:val="ListParagraph"/>
        <w:numPr>
          <w:ilvl w:val="0"/>
          <w:numId w:val="1"/>
        </w:numPr>
        <w:spacing w:after="0" w:line="276" w:lineRule="auto"/>
        <w:ind w:left="993"/>
        <w:outlineLvl w:val="0"/>
        <w:rPr>
          <w:rFonts w:asciiTheme="majorHAnsi" w:hAnsiTheme="majorHAnsi" w:cs="Times New Roman"/>
          <w:b/>
          <w:sz w:val="28"/>
          <w:szCs w:val="28"/>
          <w:lang w:val="ro-MD"/>
        </w:rPr>
      </w:pPr>
      <w:bookmarkStart w:id="1" w:name="_Toc530056756"/>
      <w:bookmarkStart w:id="2" w:name="_Toc532292925"/>
      <w:r w:rsidRPr="00847E91">
        <w:rPr>
          <w:rFonts w:asciiTheme="majorHAnsi" w:eastAsia="Calibri" w:hAnsiTheme="majorHAnsi" w:cstheme="majorHAnsi"/>
          <w:b/>
          <w:sz w:val="28"/>
          <w:szCs w:val="28"/>
          <w:lang w:val="ru-MD"/>
        </w:rPr>
        <w:lastRenderedPageBreak/>
        <w:t>УСЛОВНОЕ МНЕНИЕ</w:t>
      </w:r>
      <w:r w:rsidRPr="002E594A">
        <w:rPr>
          <w:rFonts w:asciiTheme="majorHAnsi" w:hAnsiTheme="majorHAnsi" w:cs="Times New Roman"/>
          <w:b/>
          <w:sz w:val="28"/>
          <w:szCs w:val="28"/>
          <w:lang w:val="ro-MD"/>
        </w:rPr>
        <w:t xml:space="preserve"> </w:t>
      </w:r>
      <w:bookmarkEnd w:id="1"/>
      <w:bookmarkEnd w:id="2"/>
    </w:p>
    <w:p w:rsidR="00AE5364" w:rsidRDefault="00AE5364" w:rsidP="00125D9C">
      <w:pPr>
        <w:pStyle w:val="FootnoteText"/>
        <w:spacing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Мы провели аудит консолидированной финансовой отчетности Министерства </w:t>
      </w:r>
      <w:r w:rsidR="0028479E" w:rsidRPr="007C7DF6">
        <w:rPr>
          <w:rFonts w:asciiTheme="majorHAnsi" w:hAnsiTheme="majorHAnsi" w:cs="Times New Roman"/>
          <w:sz w:val="24"/>
          <w:szCs w:val="24"/>
          <w:lang w:val="ru-MD"/>
        </w:rPr>
        <w:t>экономики и инфраструктуры</w:t>
      </w:r>
      <w:r w:rsidRPr="00847E91">
        <w:rPr>
          <w:rFonts w:asciiTheme="majorHAnsi" w:hAnsiTheme="majorHAnsi" w:cstheme="majorHAnsi"/>
          <w:sz w:val="24"/>
          <w:szCs w:val="24"/>
          <w:lang w:val="ru-MD"/>
        </w:rPr>
        <w:t xml:space="preserve">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 </w:t>
      </w:r>
    </w:p>
    <w:p w:rsidR="00125D9C" w:rsidRDefault="00AE5364" w:rsidP="00125D9C">
      <w:pPr>
        <w:pStyle w:val="FootnoteText"/>
        <w:spacing w:line="276" w:lineRule="auto"/>
        <w:jc w:val="both"/>
        <w:rPr>
          <w:rFonts w:asciiTheme="majorHAnsi" w:hAnsiTheme="majorHAnsi" w:cs="Times New Roman"/>
          <w:sz w:val="24"/>
          <w:szCs w:val="24"/>
          <w:lang w:val="ro-MD"/>
        </w:rPr>
      </w:pPr>
      <w:r w:rsidRPr="00847E91">
        <w:rPr>
          <w:rFonts w:asciiTheme="majorHAnsi" w:hAnsiTheme="majorHAnsi" w:cstheme="majorHAnsi"/>
          <w:sz w:val="24"/>
          <w:szCs w:val="24"/>
          <w:lang w:val="ru-MD"/>
        </w:rPr>
        <w:t xml:space="preserve">По нашему мнению, </w:t>
      </w:r>
      <w:r w:rsidRPr="00847E91">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847E91">
        <w:rPr>
          <w:rFonts w:asciiTheme="majorHAnsi" w:eastAsia="Times New Roman" w:hAnsiTheme="majorHAnsi" w:cstheme="majorHAnsi"/>
          <w:i/>
          <w:sz w:val="24"/>
          <w:szCs w:val="24"/>
          <w:lang w:val="ru-MD"/>
        </w:rPr>
        <w:t>Основание для условного мнения,</w:t>
      </w:r>
      <w:r w:rsidRPr="00847E91">
        <w:rPr>
          <w:rFonts w:asciiTheme="majorHAnsi" w:eastAsia="Times New Roman" w:hAnsiTheme="majorHAnsi" w:cstheme="majorHAnsi"/>
          <w:sz w:val="24"/>
          <w:szCs w:val="24"/>
          <w:lang w:val="ru-MD"/>
        </w:rPr>
        <w:t xml:space="preserve"> </w:t>
      </w:r>
      <w:r w:rsidRPr="00847E91">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B772C1">
        <w:rPr>
          <w:sz w:val="24"/>
          <w:szCs w:val="24"/>
          <w:vertAlign w:val="superscript"/>
          <w:lang w:val="ru-MD"/>
        </w:rPr>
        <w:footnoteReference w:id="1"/>
      </w:r>
      <w:r w:rsidR="00125D9C" w:rsidRPr="006D6099">
        <w:rPr>
          <w:rFonts w:asciiTheme="majorHAnsi" w:hAnsiTheme="majorHAnsi" w:cs="Times New Roman"/>
          <w:sz w:val="24"/>
          <w:szCs w:val="24"/>
          <w:lang w:val="ro-MD"/>
        </w:rPr>
        <w:t>.</w:t>
      </w:r>
    </w:p>
    <w:p w:rsidR="00665398" w:rsidRPr="007C7DF6" w:rsidRDefault="00665398" w:rsidP="00125D9C">
      <w:pPr>
        <w:pStyle w:val="FootnoteText"/>
        <w:spacing w:line="276" w:lineRule="auto"/>
        <w:jc w:val="both"/>
        <w:rPr>
          <w:rFonts w:asciiTheme="majorHAnsi" w:hAnsiTheme="majorHAnsi" w:cs="Times New Roman"/>
          <w:sz w:val="24"/>
          <w:szCs w:val="24"/>
          <w:lang w:val="ru-MD"/>
        </w:rPr>
      </w:pPr>
    </w:p>
    <w:p w:rsidR="00125D9C" w:rsidRPr="007C7DF6" w:rsidRDefault="00AE5364" w:rsidP="00D15136">
      <w:pPr>
        <w:keepNext/>
        <w:keepLines/>
        <w:numPr>
          <w:ilvl w:val="0"/>
          <w:numId w:val="1"/>
        </w:numPr>
        <w:tabs>
          <w:tab w:val="left" w:pos="0"/>
          <w:tab w:val="left" w:pos="284"/>
        </w:tabs>
        <w:spacing w:before="120" w:after="0" w:line="276" w:lineRule="auto"/>
        <w:ind w:left="992" w:hanging="357"/>
        <w:jc w:val="both"/>
        <w:outlineLvl w:val="0"/>
        <w:rPr>
          <w:rFonts w:asciiTheme="majorHAnsi" w:hAnsiTheme="majorHAnsi" w:cs="Times New Roman"/>
          <w:b/>
          <w:caps/>
          <w:sz w:val="28"/>
          <w:szCs w:val="28"/>
          <w:lang w:val="ru-MD"/>
        </w:rPr>
      </w:pPr>
      <w:bookmarkStart w:id="3" w:name="_Toc530056757"/>
      <w:bookmarkStart w:id="4" w:name="_Toc532292926"/>
      <w:bookmarkStart w:id="5" w:name="_Toc529533666"/>
      <w:r w:rsidRPr="007C7DF6">
        <w:rPr>
          <w:rFonts w:asciiTheme="majorHAnsi" w:eastAsia="Times New Roman" w:hAnsiTheme="majorHAnsi" w:cstheme="majorHAnsi"/>
          <w:b/>
          <w:sz w:val="28"/>
          <w:szCs w:val="28"/>
          <w:lang w:val="ru-MD"/>
        </w:rPr>
        <w:t>ОСНОВАНИЕ ДЛЯ УСЛОВНОГО МНЕНИЯ</w:t>
      </w:r>
      <w:bookmarkEnd w:id="3"/>
      <w:bookmarkEnd w:id="4"/>
      <w:bookmarkEnd w:id="5"/>
    </w:p>
    <w:p w:rsidR="005D6476" w:rsidRPr="007C7DF6" w:rsidRDefault="00AE5364" w:rsidP="00055F99">
      <w:pPr>
        <w:pStyle w:val="FootnoteText"/>
        <w:spacing w:line="276" w:lineRule="auto"/>
        <w:jc w:val="both"/>
        <w:rPr>
          <w:rFonts w:asciiTheme="majorHAnsi" w:hAnsiTheme="majorHAnsi" w:cs="Times New Roman"/>
          <w:sz w:val="24"/>
          <w:szCs w:val="24"/>
          <w:lang w:val="ru-MD"/>
        </w:rPr>
      </w:pPr>
      <w:r w:rsidRPr="007C7DF6">
        <w:rPr>
          <w:rFonts w:asciiTheme="majorHAnsi" w:hAnsiTheme="majorHAnsi" w:cs="Times New Roman"/>
          <w:sz w:val="24"/>
          <w:szCs w:val="24"/>
          <w:lang w:val="ru-MD"/>
        </w:rPr>
        <w:t>В соответствии с</w:t>
      </w:r>
      <w:r w:rsidR="009C43A6" w:rsidRPr="007C7DF6">
        <w:rPr>
          <w:rFonts w:asciiTheme="majorHAnsi" w:hAnsiTheme="majorHAnsi" w:cs="Times New Roman"/>
          <w:sz w:val="24"/>
          <w:szCs w:val="24"/>
          <w:lang w:val="ru-MD"/>
        </w:rPr>
        <w:t xml:space="preserve"> Постановлением Правительства №</w:t>
      </w:r>
      <w:r w:rsidRPr="007C7DF6">
        <w:rPr>
          <w:rFonts w:asciiTheme="majorHAnsi" w:hAnsiTheme="majorHAnsi" w:cs="Times New Roman"/>
          <w:sz w:val="24"/>
          <w:szCs w:val="24"/>
          <w:lang w:val="ru-MD"/>
        </w:rPr>
        <w:t>117 от 12.08.2021</w:t>
      </w:r>
      <w:r w:rsidR="009C43A6" w:rsidRPr="007C7DF6">
        <w:rPr>
          <w:rFonts w:asciiTheme="majorHAnsi" w:hAnsiTheme="majorHAnsi" w:cs="Times New Roman"/>
          <w:sz w:val="24"/>
          <w:szCs w:val="24"/>
          <w:lang w:val="ru-MD"/>
        </w:rPr>
        <w:t>,</w:t>
      </w:r>
      <w:r w:rsidRPr="007C7DF6">
        <w:rPr>
          <w:rFonts w:asciiTheme="majorHAnsi" w:hAnsiTheme="majorHAnsi" w:cs="Times New Roman"/>
          <w:sz w:val="24"/>
          <w:szCs w:val="24"/>
          <w:lang w:val="ru-MD"/>
        </w:rPr>
        <w:t xml:space="preserve"> Министерство экономики и инфраструктуры было реорганизовано в Министерство инфраструктуры и регионального развития и создано Министерство экономики. Таким образом, Министерство экономики и инфраструктуры передало Министерству инфраструктуры и регионального развития управляемое </w:t>
      </w:r>
      <w:r w:rsidR="009C43A6" w:rsidRPr="007C7DF6">
        <w:rPr>
          <w:rFonts w:asciiTheme="majorHAnsi" w:hAnsiTheme="majorHAnsi" w:cs="Times New Roman"/>
          <w:sz w:val="24"/>
          <w:szCs w:val="24"/>
          <w:lang w:val="ru-MD"/>
        </w:rPr>
        <w:t>имущество, отразив в отчетности</w:t>
      </w:r>
      <w:r w:rsidRPr="007C7DF6">
        <w:rPr>
          <w:rFonts w:asciiTheme="majorHAnsi" w:hAnsiTheme="majorHAnsi" w:cs="Times New Roman"/>
          <w:sz w:val="24"/>
          <w:szCs w:val="24"/>
          <w:lang w:val="ru-MD"/>
        </w:rPr>
        <w:t xml:space="preserve"> консолидированный </w:t>
      </w:r>
      <w:r w:rsidR="009C43A6" w:rsidRPr="007C7DF6">
        <w:rPr>
          <w:rFonts w:asciiTheme="majorHAnsi" w:hAnsiTheme="majorHAnsi" w:cs="Times New Roman"/>
          <w:sz w:val="24"/>
          <w:szCs w:val="24"/>
          <w:lang w:val="ru-MD"/>
        </w:rPr>
        <w:t>остаток</w:t>
      </w:r>
      <w:r w:rsidRPr="007C7DF6">
        <w:rPr>
          <w:rFonts w:asciiTheme="majorHAnsi" w:hAnsiTheme="majorHAnsi" w:cs="Times New Roman"/>
          <w:sz w:val="24"/>
          <w:szCs w:val="24"/>
          <w:lang w:val="ru-MD"/>
        </w:rPr>
        <w:t xml:space="preserve"> балансовых элементов </w:t>
      </w:r>
      <w:r w:rsidR="009C43A6" w:rsidRPr="007C7DF6">
        <w:rPr>
          <w:rFonts w:asciiTheme="majorHAnsi" w:hAnsiTheme="majorHAnsi" w:cs="Times New Roman"/>
          <w:sz w:val="24"/>
          <w:szCs w:val="24"/>
          <w:lang w:val="ru-MD"/>
        </w:rPr>
        <w:t>по</w:t>
      </w:r>
      <w:r w:rsidRPr="007C7DF6">
        <w:rPr>
          <w:rFonts w:asciiTheme="majorHAnsi" w:hAnsiTheme="majorHAnsi" w:cs="Times New Roman"/>
          <w:sz w:val="24"/>
          <w:szCs w:val="24"/>
          <w:lang w:val="ru-MD"/>
        </w:rPr>
        <w:t xml:space="preserve"> состоянию на 31.12.2021 год со значением 0. Хотя передача имущества осуществлялась в соответствии с положениями действующей нормативной базы, </w:t>
      </w:r>
      <w:r w:rsidR="009C43A6" w:rsidRPr="007C7DF6">
        <w:rPr>
          <w:rFonts w:asciiTheme="majorHAnsi" w:hAnsiTheme="majorHAnsi" w:cs="Times New Roman"/>
          <w:sz w:val="24"/>
          <w:szCs w:val="24"/>
          <w:lang w:val="ru-MD"/>
        </w:rPr>
        <w:t>отмечается агрегат</w:t>
      </w:r>
      <w:r w:rsidRPr="007C7DF6">
        <w:rPr>
          <w:rFonts w:asciiTheme="majorHAnsi" w:hAnsiTheme="majorHAnsi" w:cs="Times New Roman"/>
          <w:sz w:val="24"/>
          <w:szCs w:val="24"/>
          <w:lang w:val="ru-MD"/>
        </w:rPr>
        <w:t>ное искажение передаваемой информации</w:t>
      </w:r>
      <w:r w:rsidR="009C43A6" w:rsidRPr="007C7DF6">
        <w:rPr>
          <w:rFonts w:asciiTheme="majorHAnsi" w:hAnsiTheme="majorHAnsi" w:cs="Times New Roman"/>
          <w:sz w:val="24"/>
          <w:szCs w:val="24"/>
          <w:lang w:val="ru-MD"/>
        </w:rPr>
        <w:t>, а именно</w:t>
      </w:r>
      <w:r w:rsidR="005D6476" w:rsidRPr="007C7DF6">
        <w:rPr>
          <w:rFonts w:asciiTheme="majorHAnsi" w:hAnsiTheme="majorHAnsi" w:cs="Times New Roman"/>
          <w:sz w:val="24"/>
          <w:szCs w:val="24"/>
          <w:lang w:val="ru-MD"/>
        </w:rPr>
        <w:t>:</w:t>
      </w:r>
    </w:p>
    <w:p w:rsidR="005D6476" w:rsidRPr="007C7DF6" w:rsidRDefault="005D6476" w:rsidP="00055F99">
      <w:pPr>
        <w:pStyle w:val="FootnoteText"/>
        <w:spacing w:line="276" w:lineRule="auto"/>
        <w:jc w:val="both"/>
        <w:rPr>
          <w:rFonts w:asciiTheme="majorHAnsi" w:hAnsiTheme="majorHAnsi" w:cstheme="majorHAnsi"/>
          <w:sz w:val="24"/>
          <w:szCs w:val="24"/>
          <w:lang w:val="ru-MD"/>
        </w:rPr>
      </w:pPr>
      <w:r w:rsidRPr="007C7DF6">
        <w:rPr>
          <w:rFonts w:asciiTheme="majorHAnsi" w:hAnsiTheme="majorHAnsi" w:cs="Times New Roman"/>
          <w:sz w:val="24"/>
          <w:szCs w:val="24"/>
          <w:lang w:val="ru-MD"/>
        </w:rPr>
        <w:t>-</w:t>
      </w:r>
      <w:r w:rsidR="003B2FDF" w:rsidRPr="007C7DF6">
        <w:rPr>
          <w:rFonts w:asciiTheme="majorHAnsi" w:hAnsiTheme="majorHAnsi" w:cs="Times New Roman"/>
          <w:sz w:val="24"/>
          <w:szCs w:val="24"/>
          <w:lang w:val="ru-MD"/>
        </w:rPr>
        <w:t xml:space="preserve"> </w:t>
      </w:r>
      <w:r w:rsidR="009C43A6" w:rsidRPr="007C7DF6">
        <w:rPr>
          <w:rFonts w:asciiTheme="majorHAnsi" w:hAnsiTheme="majorHAnsi" w:cs="Times New Roman"/>
          <w:sz w:val="24"/>
          <w:szCs w:val="24"/>
          <w:lang w:val="ru-MD"/>
        </w:rPr>
        <w:t>завышение стоимости</w:t>
      </w:r>
      <w:r w:rsidR="00AE5364" w:rsidRPr="007C7DF6">
        <w:rPr>
          <w:rFonts w:asciiTheme="majorHAnsi" w:hAnsiTheme="majorHAnsi" w:cs="Times New Roman"/>
          <w:sz w:val="24"/>
          <w:szCs w:val="24"/>
          <w:lang w:val="ru-MD"/>
        </w:rPr>
        <w:t xml:space="preserve"> группы счетов 419 </w:t>
      </w:r>
      <w:r w:rsidR="009C43A6" w:rsidRPr="007C7DF6">
        <w:rPr>
          <w:rFonts w:asciiTheme="majorHAnsi" w:hAnsiTheme="majorHAnsi" w:cs="Times New Roman"/>
          <w:sz w:val="24"/>
          <w:szCs w:val="24"/>
          <w:lang w:val="ru-MD"/>
        </w:rPr>
        <w:t>„Д</w:t>
      </w:r>
      <w:r w:rsidR="00AE5364" w:rsidRPr="007C7DF6">
        <w:rPr>
          <w:rFonts w:asciiTheme="majorHAnsi" w:hAnsiTheme="majorHAnsi" w:cs="Times New Roman"/>
          <w:sz w:val="24"/>
          <w:szCs w:val="24"/>
          <w:lang w:val="ru-MD"/>
        </w:rPr>
        <w:t xml:space="preserve">ругие </w:t>
      </w:r>
      <w:r w:rsidR="009C43A6" w:rsidRPr="007C7DF6">
        <w:rPr>
          <w:rFonts w:asciiTheme="majorHAnsi" w:hAnsiTheme="majorHAnsi" w:cs="Times New Roman"/>
          <w:sz w:val="24"/>
          <w:szCs w:val="24"/>
          <w:lang w:val="ru-MD"/>
        </w:rPr>
        <w:t>обязательства</w:t>
      </w:r>
      <w:r w:rsidR="00AE5364" w:rsidRPr="007C7DF6">
        <w:rPr>
          <w:rFonts w:asciiTheme="majorHAnsi" w:hAnsiTheme="majorHAnsi" w:cs="Times New Roman"/>
          <w:sz w:val="24"/>
          <w:szCs w:val="24"/>
          <w:lang w:val="ru-MD"/>
        </w:rPr>
        <w:t xml:space="preserve"> бюджетных учреждений</w:t>
      </w:r>
      <w:r w:rsidR="009C43A6" w:rsidRPr="007C7DF6">
        <w:rPr>
          <w:rFonts w:asciiTheme="majorHAnsi" w:hAnsiTheme="majorHAnsi" w:cs="Times New Roman"/>
          <w:sz w:val="24"/>
          <w:szCs w:val="24"/>
          <w:lang w:val="ru-MD"/>
        </w:rPr>
        <w:t xml:space="preserve">” </w:t>
      </w:r>
      <w:r w:rsidR="00AE5364" w:rsidRPr="007C7DF6">
        <w:rPr>
          <w:rFonts w:asciiTheme="majorHAnsi" w:hAnsiTheme="majorHAnsi" w:cs="Times New Roman"/>
          <w:sz w:val="24"/>
          <w:szCs w:val="24"/>
          <w:lang w:val="ru-MD"/>
        </w:rPr>
        <w:t xml:space="preserve">на </w:t>
      </w:r>
      <w:r w:rsidR="00AE5364" w:rsidRPr="007C7DF6">
        <w:rPr>
          <w:rFonts w:asciiTheme="majorHAnsi" w:hAnsiTheme="majorHAnsi" w:cs="Times New Roman"/>
          <w:b/>
          <w:sz w:val="24"/>
          <w:szCs w:val="24"/>
          <w:lang w:val="ru-MD"/>
        </w:rPr>
        <w:t>11,74 млн. ле</w:t>
      </w:r>
      <w:r w:rsidR="009C43A6" w:rsidRPr="007C7DF6">
        <w:rPr>
          <w:rFonts w:asciiTheme="majorHAnsi" w:hAnsiTheme="majorHAnsi" w:cs="Times New Roman"/>
          <w:b/>
          <w:sz w:val="24"/>
          <w:szCs w:val="24"/>
          <w:lang w:val="ru-MD"/>
        </w:rPr>
        <w:t>ев</w:t>
      </w:r>
      <w:r w:rsidR="00AE5364" w:rsidRPr="007C7DF6">
        <w:rPr>
          <w:rFonts w:asciiTheme="majorHAnsi" w:hAnsiTheme="majorHAnsi" w:cs="Times New Roman"/>
          <w:sz w:val="24"/>
          <w:szCs w:val="24"/>
          <w:lang w:val="ru-MD"/>
        </w:rPr>
        <w:t xml:space="preserve">, </w:t>
      </w:r>
      <w:r w:rsidR="009C43A6" w:rsidRPr="007C7DF6">
        <w:rPr>
          <w:rFonts w:asciiTheme="majorHAnsi" w:hAnsiTheme="majorHAnsi" w:cs="Times New Roman"/>
          <w:sz w:val="24"/>
          <w:szCs w:val="24"/>
          <w:lang w:val="ru-MD"/>
        </w:rPr>
        <w:t>из-за</w:t>
      </w:r>
      <w:r w:rsidR="00AE5364" w:rsidRPr="007C7DF6">
        <w:rPr>
          <w:rFonts w:asciiTheme="majorHAnsi" w:hAnsiTheme="majorHAnsi" w:cs="Times New Roman"/>
          <w:sz w:val="24"/>
          <w:szCs w:val="24"/>
          <w:lang w:val="ru-MD"/>
        </w:rPr>
        <w:t xml:space="preserve"> </w:t>
      </w:r>
      <w:proofErr w:type="spellStart"/>
      <w:r w:rsidR="009C43A6" w:rsidRPr="007C7DF6">
        <w:rPr>
          <w:rFonts w:asciiTheme="majorHAnsi" w:hAnsiTheme="majorHAnsi" w:cs="Times New Roman"/>
          <w:sz w:val="24"/>
          <w:szCs w:val="24"/>
          <w:lang w:val="ru-MD"/>
        </w:rPr>
        <w:t>непроведения</w:t>
      </w:r>
      <w:proofErr w:type="spellEnd"/>
      <w:r w:rsidR="009C43A6" w:rsidRPr="007C7DF6">
        <w:rPr>
          <w:rFonts w:asciiTheme="majorHAnsi" w:hAnsiTheme="majorHAnsi" w:cs="Times New Roman"/>
          <w:sz w:val="24"/>
          <w:szCs w:val="24"/>
          <w:lang w:val="ru-MD"/>
        </w:rPr>
        <w:t xml:space="preserve"> приемки</w:t>
      </w:r>
      <w:r w:rsidR="00AE5364" w:rsidRPr="007C7DF6">
        <w:rPr>
          <w:rFonts w:asciiTheme="majorHAnsi" w:hAnsiTheme="majorHAnsi" w:cs="Times New Roman"/>
          <w:sz w:val="24"/>
          <w:szCs w:val="24"/>
          <w:lang w:val="ru-MD"/>
        </w:rPr>
        <w:t xml:space="preserve"> технического проекта </w:t>
      </w:r>
      <w:r w:rsidR="009C43A6" w:rsidRPr="007C7DF6">
        <w:rPr>
          <w:rFonts w:asciiTheme="majorHAnsi" w:hAnsiTheme="majorHAnsi" w:cs="Times New Roman"/>
          <w:i/>
          <w:sz w:val="24"/>
          <w:szCs w:val="24"/>
          <w:lang w:val="ru-MD"/>
        </w:rPr>
        <w:t>„Т</w:t>
      </w:r>
      <w:r w:rsidR="00AE5364" w:rsidRPr="007C7DF6">
        <w:rPr>
          <w:rFonts w:asciiTheme="majorHAnsi" w:hAnsiTheme="majorHAnsi" w:cs="Times New Roman"/>
          <w:i/>
          <w:sz w:val="24"/>
          <w:szCs w:val="24"/>
          <w:lang w:val="ru-MD"/>
        </w:rPr>
        <w:t xml:space="preserve">рубопровод для соединения </w:t>
      </w:r>
      <w:r w:rsidR="009C43A6" w:rsidRPr="007C7DF6">
        <w:rPr>
          <w:rFonts w:asciiTheme="majorHAnsi" w:hAnsiTheme="majorHAnsi" w:cs="Times New Roman"/>
          <w:i/>
          <w:sz w:val="24"/>
          <w:szCs w:val="24"/>
          <w:lang w:val="ru-MD"/>
        </w:rPr>
        <w:t>С</w:t>
      </w:r>
      <w:r w:rsidR="00AE5364" w:rsidRPr="007C7DF6">
        <w:rPr>
          <w:rFonts w:asciiTheme="majorHAnsi" w:hAnsiTheme="majorHAnsi" w:cs="Times New Roman"/>
          <w:i/>
          <w:sz w:val="24"/>
          <w:szCs w:val="24"/>
          <w:lang w:val="ru-MD"/>
        </w:rPr>
        <w:t xml:space="preserve">истемы транспортировки природного газа из Румынии с системой транспортировки природного газа из Республики Молдова, этап II, по направлению </w:t>
      </w:r>
      <w:proofErr w:type="spellStart"/>
      <w:r w:rsidR="00AE5364" w:rsidRPr="007C7DF6">
        <w:rPr>
          <w:rFonts w:asciiTheme="majorHAnsi" w:hAnsiTheme="majorHAnsi" w:cs="Times New Roman"/>
          <w:i/>
          <w:sz w:val="24"/>
          <w:szCs w:val="24"/>
          <w:lang w:val="ru-MD"/>
        </w:rPr>
        <w:t>Унгень-Кишин</w:t>
      </w:r>
      <w:r w:rsidR="009C43A6" w:rsidRPr="007C7DF6">
        <w:rPr>
          <w:rFonts w:asciiTheme="majorHAnsi" w:hAnsiTheme="majorHAnsi" w:cs="Times New Roman"/>
          <w:i/>
          <w:sz w:val="24"/>
          <w:szCs w:val="24"/>
          <w:lang w:val="ru-MD"/>
        </w:rPr>
        <w:t>эу</w:t>
      </w:r>
      <w:proofErr w:type="spellEnd"/>
      <w:r w:rsidR="00AE5364" w:rsidRPr="007C7DF6">
        <w:rPr>
          <w:rFonts w:asciiTheme="majorHAnsi" w:hAnsiTheme="majorHAnsi" w:cs="Times New Roman"/>
          <w:i/>
          <w:sz w:val="24"/>
          <w:szCs w:val="24"/>
          <w:lang w:val="ru-MD"/>
        </w:rPr>
        <w:t>”</w:t>
      </w:r>
      <w:r w:rsidR="009C43A6" w:rsidRPr="007C7DF6">
        <w:rPr>
          <w:rFonts w:asciiTheme="majorHAnsi" w:hAnsiTheme="majorHAnsi" w:cs="Times New Roman"/>
          <w:i/>
          <w:sz w:val="24"/>
          <w:szCs w:val="24"/>
          <w:lang w:val="ru-MD"/>
        </w:rPr>
        <w:t>,</w:t>
      </w:r>
      <w:r w:rsidR="00AE5364" w:rsidRPr="007C7DF6">
        <w:rPr>
          <w:rFonts w:asciiTheme="majorHAnsi" w:hAnsiTheme="majorHAnsi" w:cs="Times New Roman"/>
          <w:sz w:val="24"/>
          <w:szCs w:val="24"/>
          <w:lang w:val="ru-MD"/>
        </w:rPr>
        <w:t xml:space="preserve"> и </w:t>
      </w:r>
      <w:r w:rsidR="009C43A6" w:rsidRPr="007C7DF6">
        <w:rPr>
          <w:rFonts w:asciiTheme="majorHAnsi" w:hAnsiTheme="majorHAnsi" w:cs="Times New Roman"/>
          <w:sz w:val="24"/>
          <w:szCs w:val="24"/>
          <w:lang w:val="ru-MD"/>
        </w:rPr>
        <w:t>занижение</w:t>
      </w:r>
      <w:r w:rsidR="00AE5364" w:rsidRPr="007C7DF6">
        <w:rPr>
          <w:rFonts w:asciiTheme="majorHAnsi" w:hAnsiTheme="majorHAnsi" w:cs="Times New Roman"/>
          <w:sz w:val="24"/>
          <w:szCs w:val="24"/>
          <w:lang w:val="ru-MD"/>
        </w:rPr>
        <w:t xml:space="preserve"> на ту же сумму </w:t>
      </w:r>
      <w:r w:rsidR="009C43A6" w:rsidRPr="007C7DF6">
        <w:rPr>
          <w:rFonts w:asciiTheme="majorHAnsi" w:hAnsiTheme="majorHAnsi" w:cs="Times New Roman"/>
          <w:sz w:val="24"/>
          <w:szCs w:val="24"/>
          <w:lang w:val="ru-MD"/>
        </w:rPr>
        <w:t xml:space="preserve">стоимости </w:t>
      </w:r>
      <w:r w:rsidR="00AE5364" w:rsidRPr="007C7DF6">
        <w:rPr>
          <w:rFonts w:asciiTheme="majorHAnsi" w:hAnsiTheme="majorHAnsi" w:cs="Times New Roman"/>
          <w:sz w:val="24"/>
          <w:szCs w:val="24"/>
          <w:lang w:val="ru-MD"/>
        </w:rPr>
        <w:t>группы счетов 318</w:t>
      </w:r>
      <w:r w:rsidR="009C43A6" w:rsidRPr="007C7DF6">
        <w:rPr>
          <w:rFonts w:asciiTheme="majorHAnsi" w:hAnsiTheme="majorHAnsi" w:cs="Times New Roman"/>
          <w:sz w:val="24"/>
          <w:szCs w:val="24"/>
          <w:lang w:val="ru-MD"/>
        </w:rPr>
        <w:t xml:space="preserve"> „Д</w:t>
      </w:r>
      <w:r w:rsidR="00AE5364" w:rsidRPr="007C7DF6">
        <w:rPr>
          <w:rFonts w:asciiTheme="majorHAnsi" w:hAnsiTheme="majorHAnsi" w:cs="Times New Roman"/>
          <w:sz w:val="24"/>
          <w:szCs w:val="24"/>
          <w:lang w:val="ru-MD"/>
        </w:rPr>
        <w:t>руги</w:t>
      </w:r>
      <w:r w:rsidR="009C43A6" w:rsidRPr="007C7DF6">
        <w:rPr>
          <w:rFonts w:asciiTheme="majorHAnsi" w:hAnsiTheme="majorHAnsi" w:cs="Times New Roman"/>
          <w:sz w:val="24"/>
          <w:szCs w:val="24"/>
          <w:lang w:val="ru-MD"/>
        </w:rPr>
        <w:t>е</w:t>
      </w:r>
      <w:r w:rsidR="00AE5364" w:rsidRPr="007C7DF6">
        <w:rPr>
          <w:rFonts w:asciiTheme="majorHAnsi" w:hAnsiTheme="majorHAnsi" w:cs="Times New Roman"/>
          <w:sz w:val="24"/>
          <w:szCs w:val="24"/>
          <w:lang w:val="ru-MD"/>
        </w:rPr>
        <w:t xml:space="preserve"> основны</w:t>
      </w:r>
      <w:r w:rsidR="009C43A6" w:rsidRPr="007C7DF6">
        <w:rPr>
          <w:rFonts w:asciiTheme="majorHAnsi" w:hAnsiTheme="majorHAnsi" w:cs="Times New Roman"/>
          <w:sz w:val="24"/>
          <w:szCs w:val="24"/>
          <w:lang w:val="ru-MD"/>
        </w:rPr>
        <w:t>е</w:t>
      </w:r>
      <w:r w:rsidR="00AE5364" w:rsidRPr="007C7DF6">
        <w:rPr>
          <w:rFonts w:asciiTheme="majorHAnsi" w:hAnsiTheme="majorHAnsi" w:cs="Times New Roman"/>
          <w:sz w:val="24"/>
          <w:szCs w:val="24"/>
          <w:lang w:val="ru-MD"/>
        </w:rPr>
        <w:t xml:space="preserve"> средств</w:t>
      </w:r>
      <w:r w:rsidR="009C43A6" w:rsidRPr="007C7DF6">
        <w:rPr>
          <w:rFonts w:asciiTheme="majorHAnsi" w:hAnsiTheme="majorHAnsi" w:cs="Times New Roman"/>
          <w:sz w:val="24"/>
          <w:szCs w:val="24"/>
          <w:lang w:val="ru-MD"/>
        </w:rPr>
        <w:t>а</w:t>
      </w:r>
      <w:r w:rsidR="00AE5364" w:rsidRPr="007C7DF6">
        <w:rPr>
          <w:rFonts w:asciiTheme="majorHAnsi" w:hAnsiTheme="majorHAnsi" w:cs="Times New Roman"/>
          <w:sz w:val="24"/>
          <w:szCs w:val="24"/>
          <w:lang w:val="ru-MD"/>
        </w:rPr>
        <w:t>”</w:t>
      </w:r>
      <w:r w:rsidR="00315518" w:rsidRPr="007C7DF6">
        <w:rPr>
          <w:rFonts w:asciiTheme="majorHAnsi" w:hAnsiTheme="majorHAnsi" w:cstheme="majorHAnsi"/>
          <w:sz w:val="24"/>
          <w:szCs w:val="24"/>
          <w:lang w:val="ru-MD"/>
        </w:rPr>
        <w:t>;</w:t>
      </w:r>
    </w:p>
    <w:p w:rsidR="00CF16E8" w:rsidRPr="007C7DF6" w:rsidRDefault="00363CCE" w:rsidP="00055F99">
      <w:pPr>
        <w:pStyle w:val="FootnoteText"/>
        <w:spacing w:line="276" w:lineRule="auto"/>
        <w:jc w:val="both"/>
        <w:rPr>
          <w:rFonts w:asciiTheme="majorHAnsi" w:hAnsiTheme="majorHAnsi" w:cstheme="majorHAnsi"/>
          <w:sz w:val="24"/>
          <w:szCs w:val="24"/>
          <w:lang w:val="ru-MD"/>
        </w:rPr>
      </w:pPr>
      <w:r w:rsidRPr="007C7DF6">
        <w:rPr>
          <w:rFonts w:asciiTheme="majorHAnsi" w:hAnsiTheme="majorHAnsi" w:cstheme="majorHAnsi"/>
          <w:sz w:val="24"/>
          <w:szCs w:val="24"/>
          <w:lang w:val="ru-MD"/>
        </w:rPr>
        <w:t>-</w:t>
      </w:r>
      <w:r w:rsidR="003B2FDF" w:rsidRPr="007C7DF6">
        <w:rPr>
          <w:rFonts w:asciiTheme="majorHAnsi" w:hAnsiTheme="majorHAnsi" w:cstheme="majorHAnsi"/>
          <w:sz w:val="24"/>
          <w:szCs w:val="24"/>
          <w:lang w:val="ru-MD"/>
        </w:rPr>
        <w:t xml:space="preserve"> </w:t>
      </w:r>
      <w:r w:rsidR="009C43A6" w:rsidRPr="007C7DF6">
        <w:rPr>
          <w:rFonts w:asciiTheme="majorHAnsi" w:hAnsiTheme="majorHAnsi" w:cs="Times New Roman"/>
          <w:sz w:val="24"/>
          <w:szCs w:val="24"/>
          <w:lang w:val="ru-MD"/>
        </w:rPr>
        <w:t>завышение стоимости</w:t>
      </w:r>
      <w:r w:rsidR="009C43A6" w:rsidRPr="007C7DF6">
        <w:rPr>
          <w:rFonts w:asciiTheme="majorHAnsi" w:hAnsiTheme="majorHAnsi" w:cstheme="majorHAnsi"/>
          <w:sz w:val="24"/>
          <w:szCs w:val="24"/>
          <w:lang w:val="ru-MD"/>
        </w:rPr>
        <w:t xml:space="preserve"> </w:t>
      </w:r>
      <w:r w:rsidR="00AE5364" w:rsidRPr="007C7DF6">
        <w:rPr>
          <w:rFonts w:asciiTheme="majorHAnsi" w:hAnsiTheme="majorHAnsi" w:cstheme="majorHAnsi"/>
          <w:sz w:val="24"/>
          <w:szCs w:val="24"/>
          <w:lang w:val="ru-MD"/>
        </w:rPr>
        <w:t xml:space="preserve">группы счетов 314 </w:t>
      </w:r>
      <w:r w:rsidR="009C43A6" w:rsidRPr="007C7DF6">
        <w:rPr>
          <w:rFonts w:asciiTheme="majorHAnsi" w:hAnsiTheme="majorHAnsi" w:cstheme="majorHAnsi"/>
          <w:sz w:val="24"/>
          <w:szCs w:val="24"/>
          <w:lang w:val="ru-MD"/>
        </w:rPr>
        <w:t>„М</w:t>
      </w:r>
      <w:r w:rsidR="00AE5364" w:rsidRPr="007C7DF6">
        <w:rPr>
          <w:rFonts w:asciiTheme="majorHAnsi" w:hAnsiTheme="majorHAnsi" w:cstheme="majorHAnsi"/>
          <w:sz w:val="24"/>
          <w:szCs w:val="24"/>
          <w:lang w:val="ru-MD"/>
        </w:rPr>
        <w:t xml:space="preserve">ашины и </w:t>
      </w:r>
      <w:r w:rsidR="009C43A6" w:rsidRPr="007C7DF6">
        <w:rPr>
          <w:rFonts w:asciiTheme="majorHAnsi" w:hAnsiTheme="majorHAnsi" w:cstheme="majorHAnsi"/>
          <w:sz w:val="24"/>
          <w:szCs w:val="24"/>
          <w:lang w:val="ru-MD"/>
        </w:rPr>
        <w:t>оборудование”</w:t>
      </w:r>
      <w:r w:rsidR="00AE5364" w:rsidRPr="007C7DF6">
        <w:rPr>
          <w:rFonts w:asciiTheme="majorHAnsi" w:hAnsiTheme="majorHAnsi" w:cstheme="majorHAnsi"/>
          <w:sz w:val="24"/>
          <w:szCs w:val="24"/>
          <w:lang w:val="ru-MD"/>
        </w:rPr>
        <w:t xml:space="preserve"> на </w:t>
      </w:r>
      <w:r w:rsidR="00AE5364" w:rsidRPr="007C7DF6">
        <w:rPr>
          <w:rFonts w:asciiTheme="majorHAnsi" w:hAnsiTheme="majorHAnsi" w:cstheme="majorHAnsi"/>
          <w:b/>
          <w:sz w:val="24"/>
          <w:szCs w:val="24"/>
          <w:lang w:val="ru-MD"/>
        </w:rPr>
        <w:t xml:space="preserve">2,75 млн. </w:t>
      </w:r>
      <w:r w:rsidR="009C43A6" w:rsidRPr="007C7DF6">
        <w:rPr>
          <w:rFonts w:asciiTheme="majorHAnsi" w:hAnsiTheme="majorHAnsi" w:cstheme="majorHAnsi"/>
          <w:b/>
          <w:sz w:val="24"/>
          <w:szCs w:val="24"/>
          <w:lang w:val="ru-MD"/>
        </w:rPr>
        <w:t>леев</w:t>
      </w:r>
      <w:r w:rsidR="00AE5364" w:rsidRPr="007C7DF6">
        <w:rPr>
          <w:rFonts w:asciiTheme="majorHAnsi" w:hAnsiTheme="majorHAnsi" w:cstheme="majorHAnsi"/>
          <w:sz w:val="24"/>
          <w:szCs w:val="24"/>
          <w:lang w:val="ru-MD"/>
        </w:rPr>
        <w:t xml:space="preserve"> из-за </w:t>
      </w:r>
      <w:proofErr w:type="spellStart"/>
      <w:r w:rsidR="009C43A6" w:rsidRPr="007C7DF6">
        <w:rPr>
          <w:rFonts w:asciiTheme="majorHAnsi" w:hAnsiTheme="majorHAnsi" w:cs="Times New Roman"/>
          <w:sz w:val="24"/>
          <w:szCs w:val="24"/>
          <w:lang w:val="ru-MD"/>
        </w:rPr>
        <w:t>не</w:t>
      </w:r>
      <w:r w:rsidR="00AE5364" w:rsidRPr="007C7DF6">
        <w:rPr>
          <w:rFonts w:asciiTheme="majorHAnsi" w:hAnsiTheme="majorHAnsi" w:cstheme="majorHAnsi"/>
          <w:sz w:val="24"/>
          <w:szCs w:val="24"/>
          <w:lang w:val="ru-MD"/>
        </w:rPr>
        <w:t>передачи</w:t>
      </w:r>
      <w:proofErr w:type="spellEnd"/>
      <w:r w:rsidR="00AE5364" w:rsidRPr="007C7DF6">
        <w:rPr>
          <w:rFonts w:asciiTheme="majorHAnsi" w:hAnsiTheme="majorHAnsi" w:cstheme="majorHAnsi"/>
          <w:sz w:val="24"/>
          <w:szCs w:val="24"/>
          <w:lang w:val="ru-MD"/>
        </w:rPr>
        <w:t xml:space="preserve"> фотоэлектрической установки бенефициару</w:t>
      </w:r>
      <w:r w:rsidR="009C43A6" w:rsidRPr="007C7DF6">
        <w:rPr>
          <w:rFonts w:asciiTheme="majorHAnsi" w:hAnsiTheme="majorHAnsi" w:cstheme="majorHAnsi"/>
          <w:sz w:val="24"/>
          <w:szCs w:val="24"/>
          <w:lang w:val="ru-MD"/>
        </w:rPr>
        <w:t>,</w:t>
      </w:r>
      <w:r w:rsidR="00AE5364" w:rsidRPr="007C7DF6">
        <w:rPr>
          <w:rFonts w:asciiTheme="majorHAnsi" w:hAnsiTheme="majorHAnsi" w:cstheme="majorHAnsi"/>
          <w:sz w:val="24"/>
          <w:szCs w:val="24"/>
          <w:lang w:val="ru-MD"/>
        </w:rPr>
        <w:t xml:space="preserve"> и </w:t>
      </w:r>
      <w:r w:rsidR="007C7DF6" w:rsidRPr="007C7DF6">
        <w:rPr>
          <w:rFonts w:asciiTheme="majorHAnsi" w:hAnsiTheme="majorHAnsi" w:cs="Times New Roman"/>
          <w:sz w:val="24"/>
          <w:szCs w:val="24"/>
          <w:lang w:val="ru-MD"/>
        </w:rPr>
        <w:t>занижение на ту же сумму стоимости</w:t>
      </w:r>
      <w:r w:rsidR="00AE5364" w:rsidRPr="007C7DF6">
        <w:rPr>
          <w:rFonts w:asciiTheme="majorHAnsi" w:hAnsiTheme="majorHAnsi" w:cstheme="majorHAnsi"/>
          <w:sz w:val="24"/>
          <w:szCs w:val="24"/>
          <w:lang w:val="ru-MD"/>
        </w:rPr>
        <w:t xml:space="preserve"> группы счетов 289 </w:t>
      </w:r>
      <w:r w:rsidR="007C7DF6" w:rsidRPr="007C7DF6">
        <w:rPr>
          <w:rFonts w:asciiTheme="majorHAnsi" w:hAnsiTheme="majorHAnsi" w:cstheme="majorHAnsi"/>
          <w:sz w:val="24"/>
          <w:szCs w:val="24"/>
          <w:lang w:val="ru-MD"/>
        </w:rPr>
        <w:t>„Другие</w:t>
      </w:r>
      <w:r w:rsidR="00AE5364" w:rsidRPr="007C7DF6">
        <w:rPr>
          <w:rFonts w:asciiTheme="majorHAnsi" w:hAnsiTheme="majorHAnsi" w:cstheme="majorHAnsi"/>
          <w:sz w:val="24"/>
          <w:szCs w:val="24"/>
          <w:lang w:val="ru-MD"/>
        </w:rPr>
        <w:t xml:space="preserve"> расходы бюджетных учреждений</w:t>
      </w:r>
      <w:r w:rsidR="00E741E0" w:rsidRPr="007C7DF6">
        <w:rPr>
          <w:rFonts w:asciiTheme="majorHAnsi" w:hAnsiTheme="majorHAnsi" w:cstheme="majorHAnsi"/>
          <w:sz w:val="24"/>
          <w:szCs w:val="24"/>
          <w:lang w:val="ru-MD"/>
        </w:rPr>
        <w:t xml:space="preserve">”. </w:t>
      </w:r>
    </w:p>
    <w:p w:rsidR="009D0E14" w:rsidRPr="007C7DF6" w:rsidRDefault="009D0E14" w:rsidP="00055F99">
      <w:pPr>
        <w:pStyle w:val="FootnoteText"/>
        <w:spacing w:line="276" w:lineRule="auto"/>
        <w:jc w:val="both"/>
        <w:rPr>
          <w:rFonts w:asciiTheme="majorHAnsi" w:hAnsiTheme="majorHAnsi" w:cs="Times New Roman"/>
          <w:sz w:val="24"/>
          <w:szCs w:val="24"/>
          <w:lang w:val="ru-MD"/>
        </w:rPr>
      </w:pPr>
    </w:p>
    <w:p w:rsidR="009D0E14" w:rsidRPr="007C7DF6" w:rsidRDefault="00AE5364" w:rsidP="009D0E14">
      <w:pPr>
        <w:pStyle w:val="FootnoteText"/>
        <w:tabs>
          <w:tab w:val="left" w:pos="270"/>
        </w:tabs>
        <w:spacing w:line="276" w:lineRule="auto"/>
        <w:jc w:val="both"/>
        <w:rPr>
          <w:rFonts w:asciiTheme="majorHAnsi" w:eastAsia="Times New Roman" w:hAnsiTheme="majorHAnsi" w:cstheme="majorHAnsi"/>
          <w:sz w:val="24"/>
          <w:szCs w:val="24"/>
          <w:lang w:val="ru-MD"/>
        </w:rPr>
      </w:pPr>
      <w:r w:rsidRPr="007C7DF6">
        <w:rPr>
          <w:rFonts w:asciiTheme="majorHAnsi" w:eastAsia="Times New Roman" w:hAnsiTheme="majorHAnsi" w:cstheme="majorHAnsi"/>
          <w:sz w:val="24"/>
          <w:szCs w:val="24"/>
          <w:lang w:val="ru-MD"/>
        </w:rPr>
        <w:t xml:space="preserve">Государственное предприятие </w:t>
      </w:r>
      <w:r w:rsidR="007C7DF6" w:rsidRPr="007C7DF6">
        <w:rPr>
          <w:rFonts w:asciiTheme="majorHAnsi" w:eastAsia="Times New Roman" w:hAnsiTheme="majorHAnsi" w:cstheme="majorHAnsi"/>
          <w:sz w:val="24"/>
          <w:szCs w:val="24"/>
          <w:lang w:val="ru-MD"/>
        </w:rPr>
        <w:t>„</w:t>
      </w:r>
      <w:r w:rsidRPr="007C7DF6">
        <w:rPr>
          <w:rFonts w:asciiTheme="majorHAnsi" w:eastAsia="Times New Roman" w:hAnsiTheme="majorHAnsi" w:cstheme="majorHAnsi"/>
          <w:sz w:val="24"/>
          <w:szCs w:val="24"/>
          <w:lang w:val="ru-MD"/>
        </w:rPr>
        <w:t>Государственная администрация дорог</w:t>
      </w:r>
      <w:r w:rsidR="007C7DF6" w:rsidRPr="007C7DF6">
        <w:rPr>
          <w:rFonts w:asciiTheme="majorHAnsi" w:eastAsia="Times New Roman" w:hAnsiTheme="majorHAnsi" w:cstheme="majorHAnsi"/>
          <w:sz w:val="24"/>
          <w:szCs w:val="24"/>
          <w:lang w:val="ru-MD"/>
        </w:rPr>
        <w:t>”,</w:t>
      </w:r>
      <w:r w:rsidRPr="007C7DF6">
        <w:rPr>
          <w:rFonts w:asciiTheme="majorHAnsi" w:eastAsia="Times New Roman" w:hAnsiTheme="majorHAnsi" w:cstheme="majorHAnsi"/>
          <w:sz w:val="24"/>
          <w:szCs w:val="24"/>
          <w:lang w:val="ru-MD"/>
        </w:rPr>
        <w:t xml:space="preserve"> из-за ошибочного толкования </w:t>
      </w:r>
      <w:r w:rsidR="007C7DF6" w:rsidRPr="007C7DF6">
        <w:rPr>
          <w:rFonts w:asciiTheme="majorHAnsi" w:eastAsia="Times New Roman" w:hAnsiTheme="majorHAnsi" w:cstheme="majorHAnsi"/>
          <w:sz w:val="24"/>
          <w:szCs w:val="24"/>
          <w:lang w:val="ru-MD"/>
        </w:rPr>
        <w:t>И</w:t>
      </w:r>
      <w:r w:rsidRPr="007C7DF6">
        <w:rPr>
          <w:rFonts w:asciiTheme="majorHAnsi" w:eastAsia="Times New Roman" w:hAnsiTheme="majorHAnsi" w:cstheme="majorHAnsi"/>
          <w:sz w:val="24"/>
          <w:szCs w:val="24"/>
          <w:lang w:val="ru-MD"/>
        </w:rPr>
        <w:t xml:space="preserve">сполнительного </w:t>
      </w:r>
      <w:r w:rsidR="007C7DF6" w:rsidRPr="007C7DF6">
        <w:rPr>
          <w:rFonts w:asciiTheme="majorHAnsi" w:eastAsia="Times New Roman" w:hAnsiTheme="majorHAnsi" w:cstheme="majorHAnsi"/>
          <w:sz w:val="24"/>
          <w:szCs w:val="24"/>
          <w:lang w:val="ru-MD"/>
        </w:rPr>
        <w:t>листа</w:t>
      </w:r>
      <w:r w:rsidRPr="007C7DF6">
        <w:rPr>
          <w:rFonts w:asciiTheme="majorHAnsi" w:eastAsia="Times New Roman" w:hAnsiTheme="majorHAnsi" w:cstheme="majorHAnsi"/>
          <w:sz w:val="24"/>
          <w:szCs w:val="24"/>
          <w:lang w:val="ru-MD"/>
        </w:rPr>
        <w:t xml:space="preserve"> о признании </w:t>
      </w:r>
      <w:r w:rsidR="00674498" w:rsidRPr="007C7DF6">
        <w:rPr>
          <w:rFonts w:asciiTheme="majorHAnsi" w:eastAsia="Times New Roman" w:hAnsiTheme="majorHAnsi" w:cstheme="majorHAnsi"/>
          <w:sz w:val="24"/>
          <w:szCs w:val="24"/>
          <w:lang w:val="ru-MD"/>
        </w:rPr>
        <w:t xml:space="preserve">решения </w:t>
      </w:r>
      <w:r w:rsidRPr="007C7DF6">
        <w:rPr>
          <w:rFonts w:asciiTheme="majorHAnsi" w:eastAsia="Times New Roman" w:hAnsiTheme="majorHAnsi" w:cstheme="majorHAnsi"/>
          <w:sz w:val="24"/>
          <w:szCs w:val="24"/>
          <w:lang w:val="ru-MD"/>
        </w:rPr>
        <w:t xml:space="preserve">иностранного </w:t>
      </w:r>
      <w:r w:rsidR="007C7DF6" w:rsidRPr="007C7DF6">
        <w:rPr>
          <w:rFonts w:asciiTheme="majorHAnsi" w:eastAsia="Times New Roman" w:hAnsiTheme="majorHAnsi" w:cstheme="majorHAnsi"/>
          <w:sz w:val="24"/>
          <w:szCs w:val="24"/>
          <w:lang w:val="ru-MD"/>
        </w:rPr>
        <w:t>А</w:t>
      </w:r>
      <w:r w:rsidRPr="007C7DF6">
        <w:rPr>
          <w:rFonts w:asciiTheme="majorHAnsi" w:eastAsia="Times New Roman" w:hAnsiTheme="majorHAnsi" w:cstheme="majorHAnsi"/>
          <w:sz w:val="24"/>
          <w:szCs w:val="24"/>
          <w:lang w:val="ru-MD"/>
        </w:rPr>
        <w:t>рбитражного</w:t>
      </w:r>
      <w:r w:rsidR="00674498">
        <w:rPr>
          <w:rFonts w:asciiTheme="majorHAnsi" w:eastAsia="Times New Roman" w:hAnsiTheme="majorHAnsi" w:cstheme="majorHAnsi"/>
          <w:sz w:val="24"/>
          <w:szCs w:val="24"/>
          <w:lang w:val="ru-MD"/>
        </w:rPr>
        <w:t xml:space="preserve"> суда</w:t>
      </w:r>
      <w:r w:rsidRPr="007C7DF6">
        <w:rPr>
          <w:rFonts w:asciiTheme="majorHAnsi" w:eastAsia="Times New Roman" w:hAnsiTheme="majorHAnsi" w:cstheme="majorHAnsi"/>
          <w:sz w:val="24"/>
          <w:szCs w:val="24"/>
          <w:lang w:val="ru-MD"/>
        </w:rPr>
        <w:t xml:space="preserve"> и </w:t>
      </w:r>
      <w:r w:rsidR="007C7DF6" w:rsidRPr="007C7DF6">
        <w:rPr>
          <w:rFonts w:asciiTheme="majorHAnsi" w:eastAsia="Times New Roman" w:hAnsiTheme="majorHAnsi" w:cstheme="majorHAnsi"/>
          <w:sz w:val="24"/>
          <w:szCs w:val="24"/>
          <w:lang w:val="ru-MD"/>
        </w:rPr>
        <w:t>соглашении с принудительным возмещением ущерба,</w:t>
      </w:r>
      <w:r w:rsidRPr="007C7DF6">
        <w:rPr>
          <w:rFonts w:asciiTheme="majorHAnsi" w:eastAsia="Times New Roman" w:hAnsiTheme="majorHAnsi" w:cstheme="majorHAnsi"/>
          <w:sz w:val="24"/>
          <w:szCs w:val="24"/>
          <w:lang w:val="ru-MD"/>
        </w:rPr>
        <w:t xml:space="preserve"> неправильно рассчитало </w:t>
      </w:r>
      <w:r w:rsidR="007C7DF6" w:rsidRPr="007C7DF6">
        <w:rPr>
          <w:rFonts w:asciiTheme="majorHAnsi" w:eastAsia="Times New Roman" w:hAnsiTheme="majorHAnsi" w:cstheme="majorHAnsi"/>
          <w:sz w:val="24"/>
          <w:szCs w:val="24"/>
          <w:lang w:val="ru-MD"/>
        </w:rPr>
        <w:t>начисл</w:t>
      </w:r>
      <w:r w:rsidRPr="007C7DF6">
        <w:rPr>
          <w:rFonts w:asciiTheme="majorHAnsi" w:eastAsia="Times New Roman" w:hAnsiTheme="majorHAnsi" w:cstheme="majorHAnsi"/>
          <w:sz w:val="24"/>
          <w:szCs w:val="24"/>
          <w:lang w:val="ru-MD"/>
        </w:rPr>
        <w:t xml:space="preserve">енные проценты и штрафы, что обусловило </w:t>
      </w:r>
      <w:r w:rsidR="007C7DF6" w:rsidRPr="007C7DF6">
        <w:rPr>
          <w:rFonts w:asciiTheme="majorHAnsi" w:eastAsia="Times New Roman" w:hAnsiTheme="majorHAnsi" w:cstheme="majorHAnsi"/>
          <w:sz w:val="24"/>
          <w:szCs w:val="24"/>
          <w:lang w:val="ru-MD"/>
        </w:rPr>
        <w:t>занижение</w:t>
      </w:r>
      <w:r w:rsidRPr="007C7DF6">
        <w:rPr>
          <w:rFonts w:asciiTheme="majorHAnsi" w:eastAsia="Times New Roman" w:hAnsiTheme="majorHAnsi" w:cstheme="majorHAnsi"/>
          <w:sz w:val="24"/>
          <w:szCs w:val="24"/>
          <w:lang w:val="ru-MD"/>
        </w:rPr>
        <w:t xml:space="preserve"> расходов за отчетный период примерно на </w:t>
      </w:r>
      <w:r w:rsidRPr="007C7DF6">
        <w:rPr>
          <w:rFonts w:asciiTheme="majorHAnsi" w:eastAsia="Times New Roman" w:hAnsiTheme="majorHAnsi" w:cstheme="majorHAnsi"/>
          <w:b/>
          <w:sz w:val="24"/>
          <w:szCs w:val="24"/>
          <w:lang w:val="ru-MD"/>
        </w:rPr>
        <w:t>8,06</w:t>
      </w:r>
      <w:r w:rsidRPr="007C7DF6">
        <w:rPr>
          <w:rFonts w:asciiTheme="majorHAnsi" w:eastAsia="Times New Roman" w:hAnsiTheme="majorHAnsi" w:cstheme="majorHAnsi"/>
          <w:sz w:val="24"/>
          <w:szCs w:val="24"/>
          <w:lang w:val="ru-MD"/>
        </w:rPr>
        <w:t xml:space="preserve"> млн. ле</w:t>
      </w:r>
      <w:r w:rsidR="007C7DF6" w:rsidRPr="007C7DF6">
        <w:rPr>
          <w:rFonts w:asciiTheme="majorHAnsi" w:eastAsia="Times New Roman" w:hAnsiTheme="majorHAnsi" w:cstheme="majorHAnsi"/>
          <w:sz w:val="24"/>
          <w:szCs w:val="24"/>
          <w:lang w:val="ru-MD"/>
        </w:rPr>
        <w:t>ев</w:t>
      </w:r>
      <w:r w:rsidRPr="007C7DF6">
        <w:rPr>
          <w:rFonts w:asciiTheme="majorHAnsi" w:eastAsia="Times New Roman" w:hAnsiTheme="majorHAnsi" w:cstheme="majorHAnsi"/>
          <w:sz w:val="24"/>
          <w:szCs w:val="24"/>
          <w:lang w:val="ru-MD"/>
        </w:rPr>
        <w:t xml:space="preserve"> и </w:t>
      </w:r>
      <w:r w:rsidR="007C7DF6" w:rsidRPr="007C7DF6">
        <w:rPr>
          <w:rFonts w:asciiTheme="majorHAnsi" w:eastAsia="Times New Roman" w:hAnsiTheme="majorHAnsi" w:cstheme="majorHAnsi"/>
          <w:sz w:val="24"/>
          <w:szCs w:val="24"/>
          <w:lang w:val="ru-MD"/>
        </w:rPr>
        <w:t>завышение</w:t>
      </w:r>
      <w:r w:rsidRPr="007C7DF6">
        <w:rPr>
          <w:rFonts w:asciiTheme="majorHAnsi" w:eastAsia="Times New Roman" w:hAnsiTheme="majorHAnsi" w:cstheme="majorHAnsi"/>
          <w:sz w:val="24"/>
          <w:szCs w:val="24"/>
          <w:lang w:val="ru-MD"/>
        </w:rPr>
        <w:t xml:space="preserve"> финансового результата на ту же сумму</w:t>
      </w:r>
      <w:r w:rsidR="009D0E14" w:rsidRPr="007C7DF6">
        <w:rPr>
          <w:rFonts w:asciiTheme="majorHAnsi" w:eastAsia="Times New Roman" w:hAnsiTheme="majorHAnsi" w:cstheme="majorHAnsi"/>
          <w:sz w:val="24"/>
          <w:szCs w:val="24"/>
          <w:lang w:val="ru-MD"/>
        </w:rPr>
        <w:t>.</w:t>
      </w:r>
    </w:p>
    <w:p w:rsidR="00361C43" w:rsidRDefault="00361C43" w:rsidP="009D0E14">
      <w:pPr>
        <w:pStyle w:val="FootnoteText"/>
        <w:tabs>
          <w:tab w:val="left" w:pos="270"/>
        </w:tabs>
        <w:spacing w:line="276" w:lineRule="auto"/>
        <w:jc w:val="both"/>
        <w:rPr>
          <w:rFonts w:asciiTheme="majorHAnsi" w:eastAsia="Times New Roman" w:hAnsiTheme="majorHAnsi" w:cstheme="majorHAnsi"/>
          <w:sz w:val="24"/>
          <w:szCs w:val="24"/>
          <w:lang w:val="ro-MD"/>
        </w:rPr>
      </w:pPr>
    </w:p>
    <w:p w:rsidR="00361C43" w:rsidRPr="00995CCF" w:rsidRDefault="00AE5364" w:rsidP="00361C43">
      <w:pPr>
        <w:spacing w:after="120" w:line="276" w:lineRule="auto"/>
        <w:jc w:val="both"/>
        <w:rPr>
          <w:rFonts w:asciiTheme="majorHAnsi" w:eastAsia="Times New Roman" w:hAnsiTheme="majorHAnsi"/>
          <w:color w:val="000000" w:themeColor="text1"/>
          <w:sz w:val="24"/>
          <w:szCs w:val="24"/>
          <w:lang w:val="ro-RO"/>
        </w:rPr>
      </w:pPr>
      <w:r w:rsidRPr="00847E91">
        <w:rPr>
          <w:rFonts w:ascii="Calibri Light" w:hAnsi="Calibri Light" w:cstheme="majorHAnsi"/>
          <w:sz w:val="24"/>
          <w:szCs w:val="24"/>
          <w:shd w:val="clear" w:color="auto" w:fill="FFFFFF" w:themeFill="background1"/>
          <w:lang w:val="ru-MD"/>
        </w:rPr>
        <w:t>Мы провели миссию внешнего публичного аудита в соответствии с Международными стандартами Высших органов аудита, применяемы</w:t>
      </w:r>
      <w:r w:rsidR="00C534BD">
        <w:rPr>
          <w:rFonts w:ascii="Calibri Light" w:hAnsi="Calibri Light" w:cstheme="majorHAnsi"/>
          <w:sz w:val="24"/>
          <w:szCs w:val="24"/>
          <w:shd w:val="clear" w:color="auto" w:fill="FFFFFF" w:themeFill="background1"/>
          <w:lang w:val="ru-MD"/>
        </w:rPr>
        <w:t>ми</w:t>
      </w:r>
      <w:r w:rsidRPr="00847E91">
        <w:rPr>
          <w:rFonts w:ascii="Calibri Light" w:hAnsi="Calibri Light" w:cstheme="majorHAnsi"/>
          <w:sz w:val="24"/>
          <w:szCs w:val="24"/>
          <w:shd w:val="clear" w:color="auto" w:fill="FFFFFF" w:themeFill="background1"/>
          <w:lang w:val="ru-MD"/>
        </w:rPr>
        <w:t xml:space="preserve"> Счетной палатой</w:t>
      </w:r>
      <w:r w:rsidRPr="00847E91">
        <w:rPr>
          <w:rStyle w:val="FootnoteReference"/>
          <w:rFonts w:asciiTheme="majorHAnsi" w:eastAsia="Times New Roman" w:hAnsiTheme="majorHAnsi" w:cs="Times New Roman"/>
          <w:sz w:val="24"/>
          <w:szCs w:val="24"/>
          <w:lang w:val="ru-MD"/>
        </w:rPr>
        <w:footnoteReference w:id="2"/>
      </w:r>
      <w:r w:rsidRPr="00847E91">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847E91">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847E91">
        <w:rPr>
          <w:rFonts w:ascii="Calibri Light" w:hAnsi="Calibri Light" w:cstheme="majorHAnsi"/>
          <w:sz w:val="24"/>
          <w:szCs w:val="24"/>
          <w:shd w:val="clear" w:color="auto" w:fill="FFFFFF" w:themeFill="background1"/>
          <w:lang w:val="ru-MD"/>
        </w:rPr>
        <w:t xml:space="preserve">настоящего Отчета. Мы являемся независимыми от </w:t>
      </w:r>
      <w:proofErr w:type="spellStart"/>
      <w:r w:rsidRPr="00847E91">
        <w:rPr>
          <w:rFonts w:ascii="Calibri Light" w:hAnsi="Calibri Light" w:cstheme="majorHAnsi"/>
          <w:sz w:val="24"/>
          <w:szCs w:val="24"/>
          <w:shd w:val="clear" w:color="auto" w:fill="FFFFFF" w:themeFill="background1"/>
          <w:lang w:val="ru-MD"/>
        </w:rPr>
        <w:t>аудируемого</w:t>
      </w:r>
      <w:proofErr w:type="spellEnd"/>
      <w:r w:rsidRPr="00847E91">
        <w:rPr>
          <w:rFonts w:ascii="Calibri Light" w:hAnsi="Calibri Light" w:cstheme="majorHAnsi"/>
          <w:sz w:val="24"/>
          <w:szCs w:val="24"/>
          <w:shd w:val="clear" w:color="auto" w:fill="FFFFFF" w:themeFill="background1"/>
          <w:lang w:val="ru-MD"/>
        </w:rPr>
        <w:t xml:space="preserve"> субъекта и выполняем обязанности по этике в соответствии с требованиями Кодекса этики Счетной палаты. Считаем, что полученные аудито</w:t>
      </w:r>
      <w:r w:rsidR="00257402">
        <w:rPr>
          <w:rFonts w:ascii="Calibri Light" w:hAnsi="Calibri Light" w:cstheme="majorHAnsi"/>
          <w:sz w:val="24"/>
          <w:szCs w:val="24"/>
          <w:shd w:val="clear" w:color="auto" w:fill="FFFFFF" w:themeFill="background1"/>
          <w:lang w:val="ru-MD"/>
        </w:rPr>
        <w:t>рские</w:t>
      </w:r>
      <w:r w:rsidRPr="00847E91">
        <w:rPr>
          <w:rFonts w:ascii="Calibri Light" w:hAnsi="Calibri Light" w:cstheme="majorHAnsi"/>
          <w:sz w:val="24"/>
          <w:szCs w:val="24"/>
          <w:shd w:val="clear" w:color="auto" w:fill="FFFFFF" w:themeFill="background1"/>
          <w:lang w:val="ru-MD"/>
        </w:rPr>
        <w:t xml:space="preserve"> доказательства являются достаточными и уместными, чтобы служить основанием для нашего мнения</w:t>
      </w:r>
      <w:r w:rsidR="00361C43" w:rsidRPr="00995CCF">
        <w:rPr>
          <w:rFonts w:asciiTheme="majorHAnsi" w:eastAsia="Times New Roman" w:hAnsiTheme="majorHAnsi"/>
          <w:color w:val="000000" w:themeColor="text1"/>
          <w:sz w:val="24"/>
          <w:szCs w:val="24"/>
          <w:lang w:val="ro-RO"/>
        </w:rPr>
        <w:t xml:space="preserve">. </w:t>
      </w:r>
    </w:p>
    <w:p w:rsidR="009D0E14" w:rsidRDefault="009D0E14" w:rsidP="00055F99">
      <w:pPr>
        <w:pStyle w:val="FootnoteText"/>
        <w:spacing w:line="276" w:lineRule="auto"/>
        <w:jc w:val="both"/>
        <w:rPr>
          <w:rFonts w:asciiTheme="majorHAnsi" w:hAnsiTheme="majorHAnsi" w:cs="Times New Roman"/>
          <w:sz w:val="24"/>
          <w:szCs w:val="24"/>
          <w:lang w:val="ro-MD"/>
        </w:rPr>
      </w:pPr>
    </w:p>
    <w:p w:rsidR="00125D9C" w:rsidRPr="002E594A" w:rsidRDefault="00C534BD"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o-MD"/>
        </w:rPr>
      </w:pPr>
      <w:bookmarkStart w:id="6" w:name="_Toc532292927"/>
      <w:r w:rsidRPr="00847E91">
        <w:rPr>
          <w:rFonts w:asciiTheme="majorHAnsi" w:hAnsiTheme="majorHAnsi" w:cstheme="majorHAnsi"/>
          <w:b/>
          <w:bCs/>
          <w:sz w:val="28"/>
          <w:szCs w:val="28"/>
          <w:lang w:val="ru-MD"/>
        </w:rPr>
        <w:t>КЛЮЧЕВЫЕ АСПЕКТЫ АУДИТА</w:t>
      </w:r>
      <w:r w:rsidRPr="00847E91">
        <w:rPr>
          <w:rFonts w:asciiTheme="majorHAnsi" w:hAnsiTheme="majorHAnsi" w:cstheme="majorHAnsi"/>
          <w:b/>
          <w:sz w:val="28"/>
          <w:szCs w:val="28"/>
          <w:lang w:val="ru-MD"/>
        </w:rPr>
        <w:t xml:space="preserve"> </w:t>
      </w:r>
    </w:p>
    <w:p w:rsidR="00055F99" w:rsidRDefault="00C534BD" w:rsidP="00055F99">
      <w:pPr>
        <w:pStyle w:val="FootnoteText"/>
        <w:spacing w:line="276" w:lineRule="auto"/>
        <w:jc w:val="both"/>
        <w:rPr>
          <w:rFonts w:asciiTheme="majorHAnsi" w:hAnsiTheme="majorHAnsi" w:cs="Times New Roman"/>
          <w:sz w:val="24"/>
          <w:szCs w:val="24"/>
          <w:lang w:val="ro-MD"/>
        </w:rPr>
      </w:pPr>
      <w:r w:rsidRPr="00847E91">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w:t>
      </w:r>
      <w:r>
        <w:rPr>
          <w:rFonts w:asciiTheme="majorHAnsi" w:hAnsiTheme="majorHAnsi" w:cstheme="majorHAnsi"/>
          <w:sz w:val="24"/>
          <w:szCs w:val="24"/>
          <w:lang w:val="ru-MD"/>
        </w:rPr>
        <w:t>экономики и инфраструктуры</w:t>
      </w:r>
      <w:r w:rsidRPr="00847E91">
        <w:rPr>
          <w:rFonts w:asciiTheme="majorHAnsi" w:hAnsiTheme="majorHAnsi" w:cstheme="majorHAnsi"/>
          <w:sz w:val="24"/>
          <w:szCs w:val="24"/>
          <w:lang w:val="ru-MD"/>
        </w:rPr>
        <w:t xml:space="preserve"> по состоянию на 31 декабря 2021 года. Эти аспекты были рассмотрены в контексте аудита финансовой отчетности в целом, без выражения особого мнения по </w:t>
      </w:r>
      <w:r>
        <w:rPr>
          <w:rFonts w:asciiTheme="majorHAnsi" w:hAnsiTheme="majorHAnsi" w:cstheme="majorHAnsi"/>
          <w:sz w:val="24"/>
          <w:szCs w:val="24"/>
          <w:lang w:val="ru-MD"/>
        </w:rPr>
        <w:t>ни</w:t>
      </w:r>
      <w:r w:rsidRPr="00847E91">
        <w:rPr>
          <w:rFonts w:asciiTheme="majorHAnsi" w:hAnsiTheme="majorHAnsi" w:cstheme="majorHAnsi"/>
          <w:sz w:val="24"/>
          <w:szCs w:val="24"/>
          <w:lang w:val="ru-MD"/>
        </w:rPr>
        <w:t xml:space="preserve">м. За исключением аспектов, описанных в разделе </w:t>
      </w:r>
      <w:r w:rsidRPr="00847E91">
        <w:rPr>
          <w:rFonts w:asciiTheme="majorHAnsi" w:hAnsiTheme="majorHAnsi" w:cstheme="majorHAnsi"/>
          <w:i/>
          <w:sz w:val="24"/>
          <w:szCs w:val="24"/>
          <w:lang w:val="ru-MD"/>
        </w:rPr>
        <w:t>Основание для условного мнения</w:t>
      </w:r>
      <w:r w:rsidRPr="00847E91">
        <w:rPr>
          <w:rFonts w:asciiTheme="majorHAnsi" w:hAnsiTheme="majorHAnsi" w:cstheme="majorHAnsi"/>
          <w:sz w:val="24"/>
          <w:szCs w:val="24"/>
          <w:lang w:val="ru-MD"/>
        </w:rPr>
        <w:t xml:space="preserve">, мы установили, что нет других ключевых аспектов аудита, которые должны быть </w:t>
      </w:r>
      <w:r w:rsidR="00ED4208">
        <w:rPr>
          <w:rFonts w:asciiTheme="majorHAnsi" w:hAnsiTheme="majorHAnsi" w:cstheme="majorHAnsi"/>
          <w:sz w:val="24"/>
          <w:szCs w:val="24"/>
          <w:lang w:val="ru-MD"/>
        </w:rPr>
        <w:t>отраж</w:t>
      </w:r>
      <w:r w:rsidRPr="00847E91">
        <w:rPr>
          <w:rFonts w:asciiTheme="majorHAnsi" w:hAnsiTheme="majorHAnsi" w:cstheme="majorHAnsi"/>
          <w:sz w:val="24"/>
          <w:szCs w:val="24"/>
          <w:lang w:val="ru-MD"/>
        </w:rPr>
        <w:t>ены в Отчете аудита</w:t>
      </w:r>
      <w:r w:rsidR="00055F99" w:rsidRPr="006D6099">
        <w:rPr>
          <w:rFonts w:asciiTheme="majorHAnsi" w:hAnsiTheme="majorHAnsi" w:cs="Times New Roman"/>
          <w:sz w:val="24"/>
          <w:szCs w:val="24"/>
          <w:lang w:val="ro-MD"/>
        </w:rPr>
        <w:t>.</w:t>
      </w:r>
      <w:r w:rsidR="00055F99">
        <w:rPr>
          <w:rFonts w:asciiTheme="majorHAnsi" w:hAnsiTheme="majorHAnsi" w:cs="Times New Roman"/>
          <w:sz w:val="24"/>
          <w:szCs w:val="24"/>
          <w:lang w:val="ro-MD"/>
        </w:rPr>
        <w:t xml:space="preserve"> </w:t>
      </w:r>
    </w:p>
    <w:p w:rsidR="00665398" w:rsidRDefault="00665398" w:rsidP="00125D9C">
      <w:pPr>
        <w:pStyle w:val="FootnoteText"/>
        <w:spacing w:line="276" w:lineRule="auto"/>
        <w:jc w:val="both"/>
        <w:rPr>
          <w:rFonts w:asciiTheme="majorHAnsi" w:hAnsiTheme="majorHAnsi" w:cs="Times New Roman"/>
          <w:sz w:val="24"/>
          <w:szCs w:val="24"/>
          <w:lang w:val="ro-MD"/>
        </w:rPr>
      </w:pPr>
    </w:p>
    <w:bookmarkEnd w:id="6"/>
    <w:p w:rsidR="00E4413D" w:rsidRPr="00C534BD" w:rsidRDefault="00C534BD" w:rsidP="000045C5">
      <w:pPr>
        <w:numPr>
          <w:ilvl w:val="0"/>
          <w:numId w:val="1"/>
        </w:numPr>
        <w:tabs>
          <w:tab w:val="left" w:pos="360"/>
          <w:tab w:val="left" w:pos="1080"/>
          <w:tab w:val="right" w:pos="9630"/>
        </w:tabs>
        <w:spacing w:after="0" w:line="276" w:lineRule="auto"/>
        <w:ind w:left="992" w:hanging="357"/>
        <w:outlineLvl w:val="0"/>
        <w:rPr>
          <w:rFonts w:asciiTheme="majorHAnsi" w:hAnsiTheme="majorHAnsi" w:cs="Times New Roman"/>
          <w:b/>
          <w:caps/>
          <w:sz w:val="28"/>
          <w:szCs w:val="28"/>
          <w:lang w:val="ro-MD"/>
        </w:rPr>
      </w:pPr>
      <w:r w:rsidRPr="00C534BD">
        <w:rPr>
          <w:rFonts w:asciiTheme="majorHAnsi" w:hAnsiTheme="majorHAnsi" w:cstheme="majorHAnsi"/>
          <w:b/>
          <w:sz w:val="28"/>
          <w:szCs w:val="28"/>
          <w:lang w:val="ru-MD"/>
        </w:rPr>
        <w:t>ДРУГАЯ ИНФОРМАЦИЯ</w:t>
      </w:r>
    </w:p>
    <w:p w:rsidR="00E4413D" w:rsidRPr="00E51EF2" w:rsidRDefault="00E51EF2" w:rsidP="00E4413D">
      <w:pPr>
        <w:tabs>
          <w:tab w:val="left" w:pos="0"/>
        </w:tabs>
        <w:spacing w:after="0" w:line="276" w:lineRule="auto"/>
        <w:jc w:val="both"/>
        <w:rPr>
          <w:rFonts w:asciiTheme="majorHAnsi" w:hAnsiTheme="majorHAnsi" w:cstheme="majorHAnsi"/>
          <w:sz w:val="24"/>
          <w:szCs w:val="24"/>
          <w:lang w:val="ru-MD"/>
        </w:rPr>
      </w:pPr>
      <w:r w:rsidRPr="00E51EF2">
        <w:rPr>
          <w:rFonts w:asciiTheme="majorHAnsi" w:hAnsiTheme="majorHAnsi" w:cstheme="majorHAnsi"/>
          <w:sz w:val="24"/>
          <w:szCs w:val="24"/>
          <w:lang w:val="ru-MD"/>
        </w:rPr>
        <w:t>В результате</w:t>
      </w:r>
      <w:r w:rsidR="00C534BD" w:rsidRPr="00E51EF2">
        <w:rPr>
          <w:rFonts w:asciiTheme="majorHAnsi" w:hAnsiTheme="majorHAnsi" w:cstheme="majorHAnsi"/>
          <w:sz w:val="24"/>
          <w:szCs w:val="24"/>
          <w:lang w:val="ru-MD"/>
        </w:rPr>
        <w:t xml:space="preserve"> неправильного толкования положений примен</w:t>
      </w:r>
      <w:r w:rsidRPr="00E51EF2">
        <w:rPr>
          <w:rFonts w:asciiTheme="majorHAnsi" w:hAnsiTheme="majorHAnsi" w:cstheme="majorHAnsi"/>
          <w:sz w:val="24"/>
          <w:szCs w:val="24"/>
          <w:lang w:val="ru-MD"/>
        </w:rPr>
        <w:t>яе</w:t>
      </w:r>
      <w:r w:rsidR="00C534BD" w:rsidRPr="00E51EF2">
        <w:rPr>
          <w:rFonts w:asciiTheme="majorHAnsi" w:hAnsiTheme="majorHAnsi" w:cstheme="majorHAnsi"/>
          <w:sz w:val="24"/>
          <w:szCs w:val="24"/>
          <w:lang w:val="ru-MD"/>
        </w:rPr>
        <w:t>м</w:t>
      </w:r>
      <w:r w:rsidR="00084D21" w:rsidRPr="00E51EF2">
        <w:rPr>
          <w:rFonts w:asciiTheme="majorHAnsi" w:hAnsiTheme="majorHAnsi" w:cstheme="majorHAnsi"/>
          <w:sz w:val="24"/>
          <w:szCs w:val="24"/>
          <w:lang w:val="ru-MD"/>
        </w:rPr>
        <w:t>ой нормативной базы по</w:t>
      </w:r>
      <w:r w:rsidR="00C534BD" w:rsidRPr="00E51EF2">
        <w:rPr>
          <w:rFonts w:asciiTheme="majorHAnsi" w:hAnsiTheme="majorHAnsi" w:cstheme="majorHAnsi"/>
          <w:sz w:val="24"/>
          <w:szCs w:val="24"/>
          <w:lang w:val="ru-MD"/>
        </w:rPr>
        <w:t xml:space="preserve"> финансовой отчетности</w:t>
      </w:r>
      <w:r w:rsidR="00084D21" w:rsidRPr="00E51EF2">
        <w:rPr>
          <w:rFonts w:asciiTheme="majorHAnsi" w:hAnsiTheme="majorHAnsi" w:cstheme="majorHAnsi"/>
          <w:sz w:val="24"/>
          <w:szCs w:val="24"/>
          <w:lang w:val="ru-MD"/>
        </w:rPr>
        <w:t>,</w:t>
      </w:r>
      <w:r w:rsidR="00C534BD" w:rsidRPr="00E51EF2">
        <w:rPr>
          <w:rFonts w:asciiTheme="majorHAnsi" w:hAnsiTheme="majorHAnsi" w:cstheme="majorHAnsi"/>
          <w:sz w:val="24"/>
          <w:szCs w:val="24"/>
          <w:lang w:val="ru-MD"/>
        </w:rPr>
        <w:t xml:space="preserve"> Министерство экономики и инфраструктуры неправильно </w:t>
      </w:r>
      <w:r w:rsidR="00084D21" w:rsidRPr="00E51EF2">
        <w:rPr>
          <w:rFonts w:asciiTheme="majorHAnsi" w:hAnsiTheme="majorHAnsi" w:cstheme="majorHAnsi"/>
          <w:sz w:val="24"/>
          <w:szCs w:val="24"/>
          <w:lang w:val="ru-MD"/>
        </w:rPr>
        <w:t>отрази</w:t>
      </w:r>
      <w:r w:rsidR="00C534BD" w:rsidRPr="00E51EF2">
        <w:rPr>
          <w:rFonts w:asciiTheme="majorHAnsi" w:hAnsiTheme="majorHAnsi" w:cstheme="majorHAnsi"/>
          <w:sz w:val="24"/>
          <w:szCs w:val="24"/>
          <w:lang w:val="ru-MD"/>
        </w:rPr>
        <w:t xml:space="preserve">ло </w:t>
      </w:r>
      <w:r w:rsidR="00084D21" w:rsidRPr="00E51EF2">
        <w:rPr>
          <w:rFonts w:asciiTheme="majorHAnsi" w:hAnsiTheme="majorHAnsi" w:cstheme="majorHAnsi"/>
          <w:sz w:val="24"/>
          <w:szCs w:val="24"/>
          <w:lang w:val="ru-MD"/>
        </w:rPr>
        <w:t xml:space="preserve">в учете </w:t>
      </w:r>
      <w:r w:rsidR="00C534BD" w:rsidRPr="00E51EF2">
        <w:rPr>
          <w:rFonts w:asciiTheme="majorHAnsi" w:hAnsiTheme="majorHAnsi" w:cstheme="majorHAnsi"/>
          <w:sz w:val="24"/>
          <w:szCs w:val="24"/>
          <w:lang w:val="ru-MD"/>
        </w:rPr>
        <w:t xml:space="preserve">передачу </w:t>
      </w:r>
      <w:r w:rsidRPr="00E51EF2">
        <w:rPr>
          <w:rFonts w:asciiTheme="majorHAnsi" w:hAnsiTheme="majorHAnsi" w:cstheme="majorHAnsi"/>
          <w:sz w:val="24"/>
          <w:szCs w:val="24"/>
          <w:lang w:val="ru-MD"/>
        </w:rPr>
        <w:t>преобразователей сигналов для приема сигнала цифрового эфирного телевидения</w:t>
      </w:r>
      <w:r w:rsidR="00C534BD" w:rsidRPr="00E51EF2">
        <w:rPr>
          <w:rFonts w:asciiTheme="majorHAnsi" w:hAnsiTheme="majorHAnsi" w:cstheme="majorHAnsi"/>
          <w:sz w:val="24"/>
          <w:szCs w:val="24"/>
          <w:lang w:val="ru-MD"/>
        </w:rPr>
        <w:t xml:space="preserve"> на сумму </w:t>
      </w:r>
      <w:r w:rsidR="00C534BD" w:rsidRPr="00E51EF2">
        <w:rPr>
          <w:rFonts w:asciiTheme="majorHAnsi" w:hAnsiTheme="majorHAnsi" w:cstheme="majorHAnsi"/>
          <w:b/>
          <w:sz w:val="24"/>
          <w:szCs w:val="24"/>
          <w:lang w:val="ru-MD"/>
        </w:rPr>
        <w:t>3,6</w:t>
      </w:r>
      <w:r w:rsidR="00C534BD" w:rsidRPr="00E51EF2">
        <w:rPr>
          <w:rFonts w:asciiTheme="majorHAnsi" w:hAnsiTheme="majorHAnsi" w:cstheme="majorHAnsi"/>
          <w:sz w:val="24"/>
          <w:szCs w:val="24"/>
          <w:lang w:val="ru-MD"/>
        </w:rPr>
        <w:t>4 млн. ле</w:t>
      </w:r>
      <w:r w:rsidRPr="00E51EF2">
        <w:rPr>
          <w:rFonts w:asciiTheme="majorHAnsi" w:hAnsiTheme="majorHAnsi" w:cstheme="majorHAnsi"/>
          <w:sz w:val="24"/>
          <w:szCs w:val="24"/>
          <w:lang w:val="ru-MD"/>
        </w:rPr>
        <w:t>ев</w:t>
      </w:r>
      <w:r w:rsidR="00C534BD" w:rsidRPr="00E51EF2">
        <w:rPr>
          <w:rFonts w:asciiTheme="majorHAnsi" w:hAnsiTheme="majorHAnsi" w:cstheme="majorHAnsi"/>
          <w:sz w:val="24"/>
          <w:szCs w:val="24"/>
          <w:lang w:val="ru-MD"/>
        </w:rPr>
        <w:t xml:space="preserve"> в группе счетов 221 „</w:t>
      </w:r>
      <w:r w:rsidRPr="00E51EF2">
        <w:rPr>
          <w:rFonts w:asciiTheme="majorHAnsi" w:hAnsiTheme="majorHAnsi" w:cstheme="majorHAnsi"/>
          <w:sz w:val="24"/>
          <w:szCs w:val="24"/>
          <w:lang w:val="ru-MD"/>
        </w:rPr>
        <w:t>Р</w:t>
      </w:r>
      <w:r w:rsidR="00C534BD" w:rsidRPr="00E51EF2">
        <w:rPr>
          <w:rFonts w:asciiTheme="majorHAnsi" w:hAnsiTheme="majorHAnsi" w:cstheme="majorHAnsi"/>
          <w:sz w:val="24"/>
          <w:szCs w:val="24"/>
          <w:lang w:val="ru-MD"/>
        </w:rPr>
        <w:t xml:space="preserve">асходы на использование </w:t>
      </w:r>
      <w:r w:rsidRPr="00E51EF2">
        <w:rPr>
          <w:rFonts w:asciiTheme="majorHAnsi" w:hAnsiTheme="majorHAnsi" w:cstheme="majorHAnsi"/>
          <w:sz w:val="24"/>
          <w:szCs w:val="24"/>
          <w:lang w:val="ru-MD"/>
        </w:rPr>
        <w:t>хозяйственн</w:t>
      </w:r>
      <w:r w:rsidR="00C534BD" w:rsidRPr="00E51EF2">
        <w:rPr>
          <w:rFonts w:asciiTheme="majorHAnsi" w:hAnsiTheme="majorHAnsi" w:cstheme="majorHAnsi"/>
          <w:sz w:val="24"/>
          <w:szCs w:val="24"/>
          <w:lang w:val="ru-MD"/>
        </w:rPr>
        <w:t>ых материалов</w:t>
      </w:r>
      <w:r w:rsidRPr="00E51EF2">
        <w:rPr>
          <w:rFonts w:asciiTheme="majorHAnsi" w:hAnsiTheme="majorHAnsi" w:cstheme="majorHAnsi"/>
          <w:sz w:val="24"/>
          <w:szCs w:val="24"/>
          <w:lang w:val="ru-MD"/>
        </w:rPr>
        <w:t>”</w:t>
      </w:r>
      <w:r w:rsidR="00C534BD" w:rsidRPr="00E51EF2">
        <w:rPr>
          <w:rFonts w:asciiTheme="majorHAnsi" w:hAnsiTheme="majorHAnsi" w:cstheme="majorHAnsi"/>
          <w:sz w:val="24"/>
          <w:szCs w:val="24"/>
          <w:lang w:val="ru-MD"/>
        </w:rPr>
        <w:t xml:space="preserve">, что обусловило </w:t>
      </w:r>
      <w:r w:rsidRPr="00E51EF2">
        <w:rPr>
          <w:rFonts w:asciiTheme="majorHAnsi" w:hAnsiTheme="majorHAnsi" w:cstheme="majorHAnsi"/>
          <w:sz w:val="24"/>
          <w:szCs w:val="24"/>
          <w:lang w:val="ru-MD"/>
        </w:rPr>
        <w:t>занижение</w:t>
      </w:r>
      <w:r w:rsidR="00C534BD" w:rsidRPr="00E51EF2">
        <w:rPr>
          <w:rFonts w:asciiTheme="majorHAnsi" w:hAnsiTheme="majorHAnsi" w:cstheme="majorHAnsi"/>
          <w:sz w:val="24"/>
          <w:szCs w:val="24"/>
          <w:lang w:val="ru-MD"/>
        </w:rPr>
        <w:t xml:space="preserve"> </w:t>
      </w:r>
      <w:r w:rsidRPr="00E51EF2">
        <w:rPr>
          <w:rFonts w:asciiTheme="majorHAnsi" w:hAnsiTheme="majorHAnsi" w:cstheme="majorHAnsi"/>
          <w:sz w:val="24"/>
          <w:szCs w:val="24"/>
          <w:lang w:val="ru-MD"/>
        </w:rPr>
        <w:t xml:space="preserve">на ту же сумму стоимости </w:t>
      </w:r>
      <w:r w:rsidR="00C534BD" w:rsidRPr="00E51EF2">
        <w:rPr>
          <w:rFonts w:asciiTheme="majorHAnsi" w:hAnsiTheme="majorHAnsi" w:cstheme="majorHAnsi"/>
          <w:sz w:val="24"/>
          <w:szCs w:val="24"/>
          <w:lang w:val="ru-MD"/>
        </w:rPr>
        <w:t xml:space="preserve">группы счетов 289 </w:t>
      </w:r>
      <w:r w:rsidRPr="00E51EF2">
        <w:rPr>
          <w:rFonts w:asciiTheme="majorHAnsi" w:hAnsiTheme="majorHAnsi" w:cstheme="majorHAnsi"/>
          <w:sz w:val="24"/>
          <w:szCs w:val="24"/>
          <w:lang w:val="ru-MD"/>
        </w:rPr>
        <w:t>„Друг</w:t>
      </w:r>
      <w:r w:rsidR="00C534BD" w:rsidRPr="00E51EF2">
        <w:rPr>
          <w:rFonts w:asciiTheme="majorHAnsi" w:hAnsiTheme="majorHAnsi" w:cstheme="majorHAnsi"/>
          <w:sz w:val="24"/>
          <w:szCs w:val="24"/>
          <w:lang w:val="ru-MD"/>
        </w:rPr>
        <w:t>ие расходы бюджетного учреждения</w:t>
      </w:r>
      <w:r w:rsidRPr="00E51EF2">
        <w:rPr>
          <w:rFonts w:asciiTheme="majorHAnsi" w:hAnsiTheme="majorHAnsi" w:cstheme="majorHAnsi"/>
          <w:sz w:val="24"/>
          <w:szCs w:val="24"/>
          <w:lang w:val="ru-MD"/>
        </w:rPr>
        <w:t>”</w:t>
      </w:r>
      <w:r w:rsidR="005D6363" w:rsidRPr="00E51EF2">
        <w:rPr>
          <w:rFonts w:asciiTheme="majorHAnsi" w:hAnsiTheme="majorHAnsi" w:cstheme="majorHAnsi"/>
          <w:sz w:val="24"/>
          <w:szCs w:val="24"/>
          <w:lang w:val="ru-MD"/>
        </w:rPr>
        <w:t>.</w:t>
      </w:r>
    </w:p>
    <w:p w:rsidR="004B07DC" w:rsidRPr="00B00FBC" w:rsidRDefault="004B07DC" w:rsidP="004B07DC">
      <w:pPr>
        <w:pStyle w:val="ListParagraph"/>
        <w:tabs>
          <w:tab w:val="left" w:pos="0"/>
        </w:tabs>
        <w:spacing w:after="0" w:line="276" w:lineRule="auto"/>
        <w:jc w:val="both"/>
        <w:rPr>
          <w:rFonts w:asciiTheme="majorHAnsi" w:hAnsiTheme="majorHAnsi" w:cs="Times New Roman"/>
          <w:sz w:val="24"/>
          <w:szCs w:val="24"/>
          <w:lang w:val="ro-MD"/>
        </w:rPr>
      </w:pPr>
    </w:p>
    <w:p w:rsidR="00125D9C" w:rsidRPr="002E594A" w:rsidRDefault="00C534BD"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o-MD"/>
        </w:rPr>
      </w:pPr>
      <w:r w:rsidRPr="00847E91">
        <w:rPr>
          <w:rFonts w:asciiTheme="majorHAnsi" w:hAnsiTheme="majorHAnsi" w:cstheme="majorHAnsi"/>
          <w:b/>
          <w:sz w:val="28"/>
          <w:szCs w:val="28"/>
          <w:lang w:val="ru-MD"/>
        </w:rPr>
        <w:t>НАДЛЕЖАЩЕЕ УПРАВЛЕНИЕ</w:t>
      </w:r>
      <w:r w:rsidRPr="002E594A">
        <w:rPr>
          <w:rFonts w:asciiTheme="majorHAnsi" w:hAnsiTheme="majorHAnsi" w:cs="Times New Roman"/>
          <w:b/>
          <w:sz w:val="28"/>
          <w:szCs w:val="28"/>
          <w:lang w:val="ro-MD"/>
        </w:rPr>
        <w:t xml:space="preserve"> </w:t>
      </w:r>
    </w:p>
    <w:p w:rsidR="00626F4D" w:rsidRPr="00E51EF2" w:rsidRDefault="00C534BD" w:rsidP="00C534BD">
      <w:pPr>
        <w:pStyle w:val="ListParagraph"/>
        <w:numPr>
          <w:ilvl w:val="1"/>
          <w:numId w:val="2"/>
        </w:numPr>
        <w:tabs>
          <w:tab w:val="left" w:pos="0"/>
          <w:tab w:val="left" w:pos="360"/>
          <w:tab w:val="left" w:pos="540"/>
        </w:tabs>
        <w:spacing w:after="0" w:line="276" w:lineRule="auto"/>
        <w:ind w:left="0" w:firstLine="0"/>
        <w:jc w:val="both"/>
        <w:rPr>
          <w:rFonts w:asciiTheme="majorHAnsi" w:hAnsiTheme="majorHAnsi" w:cs="Times New Roman"/>
          <w:sz w:val="24"/>
          <w:szCs w:val="24"/>
          <w:lang w:val="ru-MD"/>
        </w:rPr>
      </w:pPr>
      <w:r w:rsidRPr="00E51EF2">
        <w:rPr>
          <w:rFonts w:asciiTheme="majorHAnsi" w:hAnsiTheme="majorHAnsi" w:cstheme="majorHAnsi"/>
          <w:sz w:val="24"/>
          <w:szCs w:val="24"/>
          <w:lang w:val="ru-MD"/>
        </w:rPr>
        <w:t xml:space="preserve">Министерство экономики и инфраструктуры </w:t>
      </w:r>
      <w:r w:rsidR="00E51EF2" w:rsidRPr="00E51EF2">
        <w:rPr>
          <w:rFonts w:asciiTheme="majorHAnsi" w:hAnsiTheme="majorHAnsi" w:cstheme="majorHAnsi"/>
          <w:sz w:val="24"/>
          <w:szCs w:val="24"/>
          <w:lang w:val="ru-MD"/>
        </w:rPr>
        <w:t>учреди</w:t>
      </w:r>
      <w:r w:rsidRPr="00E51EF2">
        <w:rPr>
          <w:rFonts w:asciiTheme="majorHAnsi" w:hAnsiTheme="majorHAnsi" w:cstheme="majorHAnsi"/>
          <w:sz w:val="24"/>
          <w:szCs w:val="24"/>
          <w:lang w:val="ru-MD"/>
        </w:rPr>
        <w:t>ло систему внутреннего управленческого контроля, которая, хотя и не обеспечива</w:t>
      </w:r>
      <w:r w:rsidR="00E51EF2" w:rsidRPr="00E51EF2">
        <w:rPr>
          <w:rFonts w:asciiTheme="majorHAnsi" w:hAnsiTheme="majorHAnsi" w:cstheme="majorHAnsi"/>
          <w:sz w:val="24"/>
          <w:szCs w:val="24"/>
          <w:lang w:val="ru-MD"/>
        </w:rPr>
        <w:t>ет</w:t>
      </w:r>
      <w:r w:rsidRPr="00E51EF2">
        <w:rPr>
          <w:rFonts w:asciiTheme="majorHAnsi" w:hAnsiTheme="majorHAnsi" w:cstheme="majorHAnsi"/>
          <w:sz w:val="24"/>
          <w:szCs w:val="24"/>
          <w:lang w:val="ru-MD"/>
        </w:rPr>
        <w:t xml:space="preserve"> </w:t>
      </w:r>
      <w:r w:rsidR="00E51EF2" w:rsidRPr="00E51EF2">
        <w:rPr>
          <w:rFonts w:asciiTheme="majorHAnsi" w:hAnsiTheme="majorHAnsi" w:cstheme="majorHAnsi"/>
          <w:sz w:val="24"/>
          <w:szCs w:val="24"/>
          <w:lang w:val="ru-MD"/>
        </w:rPr>
        <w:t xml:space="preserve">полностью </w:t>
      </w:r>
      <w:r w:rsidRPr="00E51EF2">
        <w:rPr>
          <w:rFonts w:asciiTheme="majorHAnsi" w:hAnsiTheme="majorHAnsi" w:cstheme="majorHAnsi"/>
          <w:sz w:val="24"/>
          <w:szCs w:val="24"/>
          <w:lang w:val="ru-MD"/>
        </w:rPr>
        <w:t xml:space="preserve">функциональность ключевых </w:t>
      </w:r>
      <w:r w:rsidR="00E51EF2" w:rsidRPr="00E51EF2">
        <w:rPr>
          <w:rFonts w:asciiTheme="majorHAnsi" w:hAnsiTheme="majorHAnsi" w:cstheme="majorHAnsi"/>
          <w:sz w:val="24"/>
          <w:szCs w:val="24"/>
          <w:lang w:val="ru-MD"/>
        </w:rPr>
        <w:t>контролей</w:t>
      </w:r>
      <w:r w:rsidRPr="00E51EF2">
        <w:rPr>
          <w:rFonts w:asciiTheme="majorHAnsi" w:hAnsiTheme="majorHAnsi" w:cstheme="majorHAnsi"/>
          <w:sz w:val="24"/>
          <w:szCs w:val="24"/>
          <w:lang w:val="ru-MD"/>
        </w:rPr>
        <w:t xml:space="preserve">, была </w:t>
      </w:r>
      <w:r w:rsidR="00E51EF2" w:rsidRPr="00E51EF2">
        <w:rPr>
          <w:rFonts w:asciiTheme="majorHAnsi" w:hAnsiTheme="majorHAnsi" w:cstheme="majorHAnsi"/>
          <w:sz w:val="24"/>
          <w:szCs w:val="24"/>
          <w:lang w:val="ru-MD"/>
        </w:rPr>
        <w:t>направл</w:t>
      </w:r>
      <w:r w:rsidRPr="00E51EF2">
        <w:rPr>
          <w:rFonts w:asciiTheme="majorHAnsi" w:hAnsiTheme="majorHAnsi" w:cstheme="majorHAnsi"/>
          <w:sz w:val="24"/>
          <w:szCs w:val="24"/>
          <w:lang w:val="ru-MD"/>
        </w:rPr>
        <w:t>ена на выявлени</w:t>
      </w:r>
      <w:r w:rsidR="00E51EF2" w:rsidRPr="00E51EF2">
        <w:rPr>
          <w:rFonts w:asciiTheme="majorHAnsi" w:hAnsiTheme="majorHAnsi" w:cstheme="majorHAnsi"/>
          <w:sz w:val="24"/>
          <w:szCs w:val="24"/>
          <w:lang w:val="ru-MD"/>
        </w:rPr>
        <w:t>е</w:t>
      </w:r>
      <w:r w:rsidRPr="00E51EF2">
        <w:rPr>
          <w:rFonts w:asciiTheme="majorHAnsi" w:hAnsiTheme="majorHAnsi" w:cstheme="majorHAnsi"/>
          <w:sz w:val="24"/>
          <w:szCs w:val="24"/>
          <w:lang w:val="ru-MD"/>
        </w:rPr>
        <w:t xml:space="preserve"> и управлени</w:t>
      </w:r>
      <w:r w:rsidR="00E51EF2" w:rsidRPr="00E51EF2">
        <w:rPr>
          <w:rFonts w:asciiTheme="majorHAnsi" w:hAnsiTheme="majorHAnsi" w:cstheme="majorHAnsi"/>
          <w:sz w:val="24"/>
          <w:szCs w:val="24"/>
          <w:lang w:val="ru-MD"/>
        </w:rPr>
        <w:t>е</w:t>
      </w:r>
      <w:r w:rsidRPr="00E51EF2">
        <w:rPr>
          <w:rFonts w:asciiTheme="majorHAnsi" w:hAnsiTheme="majorHAnsi" w:cstheme="majorHAnsi"/>
          <w:sz w:val="24"/>
          <w:szCs w:val="24"/>
          <w:lang w:val="ru-MD"/>
        </w:rPr>
        <w:t xml:space="preserve"> рисками, связанными с финансово-бухгалтерским процессом</w:t>
      </w:r>
      <w:r w:rsidR="00626F4D" w:rsidRPr="00E51EF2">
        <w:rPr>
          <w:rFonts w:asciiTheme="majorHAnsi" w:hAnsiTheme="majorHAnsi"/>
          <w:sz w:val="24"/>
          <w:szCs w:val="24"/>
          <w:lang w:val="ru-MD"/>
        </w:rPr>
        <w:t>.</w:t>
      </w:r>
      <w:r w:rsidR="00363058" w:rsidRPr="00E51EF2">
        <w:rPr>
          <w:rFonts w:asciiTheme="majorHAnsi" w:hAnsiTheme="majorHAnsi" w:cstheme="majorHAnsi"/>
          <w:sz w:val="24"/>
          <w:szCs w:val="24"/>
          <w:lang w:val="ru-MD"/>
        </w:rPr>
        <w:t xml:space="preserve"> </w:t>
      </w:r>
    </w:p>
    <w:p w:rsidR="00B00FBC" w:rsidRPr="00E51EF2" w:rsidRDefault="00C534BD" w:rsidP="00C534BD">
      <w:pPr>
        <w:pStyle w:val="ListParagraph"/>
        <w:numPr>
          <w:ilvl w:val="1"/>
          <w:numId w:val="2"/>
        </w:numPr>
        <w:tabs>
          <w:tab w:val="left" w:pos="0"/>
          <w:tab w:val="left" w:pos="540"/>
        </w:tabs>
        <w:spacing w:after="0" w:line="276" w:lineRule="auto"/>
        <w:ind w:left="0" w:firstLine="0"/>
        <w:jc w:val="both"/>
        <w:rPr>
          <w:rFonts w:asciiTheme="majorHAnsi" w:hAnsiTheme="majorHAnsi" w:cs="Times New Roman"/>
          <w:sz w:val="24"/>
          <w:szCs w:val="24"/>
          <w:lang w:val="ru-MD"/>
        </w:rPr>
      </w:pPr>
      <w:r w:rsidRPr="00E51EF2">
        <w:rPr>
          <w:rFonts w:asciiTheme="majorHAnsi" w:hAnsiTheme="majorHAnsi" w:cs="Times New Roman"/>
          <w:sz w:val="24"/>
          <w:szCs w:val="24"/>
          <w:lang w:val="ru-MD"/>
        </w:rPr>
        <w:t xml:space="preserve">Подразделения внутреннего аудита в </w:t>
      </w:r>
      <w:r w:rsidR="00E51EF2" w:rsidRPr="00E51EF2">
        <w:rPr>
          <w:rFonts w:asciiTheme="majorHAnsi" w:hAnsiTheme="majorHAnsi" w:cs="Times New Roman"/>
          <w:sz w:val="24"/>
          <w:szCs w:val="24"/>
          <w:lang w:val="ru-MD"/>
        </w:rPr>
        <w:t xml:space="preserve">рамках подведомственных </w:t>
      </w:r>
      <w:r w:rsidRPr="00E51EF2">
        <w:rPr>
          <w:rFonts w:asciiTheme="majorHAnsi" w:hAnsiTheme="majorHAnsi" w:cs="Times New Roman"/>
          <w:sz w:val="24"/>
          <w:szCs w:val="24"/>
          <w:lang w:val="ru-MD"/>
        </w:rPr>
        <w:t>субъект</w:t>
      </w:r>
      <w:r w:rsidR="00E51EF2" w:rsidRPr="00E51EF2">
        <w:rPr>
          <w:rFonts w:asciiTheme="majorHAnsi" w:hAnsiTheme="majorHAnsi" w:cs="Times New Roman"/>
          <w:sz w:val="24"/>
          <w:szCs w:val="24"/>
          <w:lang w:val="ru-MD"/>
        </w:rPr>
        <w:t>ов</w:t>
      </w:r>
      <w:r w:rsidRPr="00E51EF2">
        <w:rPr>
          <w:rFonts w:asciiTheme="majorHAnsi" w:hAnsiTheme="majorHAnsi" w:cs="Times New Roman"/>
          <w:sz w:val="24"/>
          <w:szCs w:val="24"/>
          <w:lang w:val="ru-MD"/>
        </w:rPr>
        <w:t xml:space="preserve"> Министерств</w:t>
      </w:r>
      <w:r w:rsidR="00E51EF2" w:rsidRPr="00E51EF2">
        <w:rPr>
          <w:rFonts w:asciiTheme="majorHAnsi" w:hAnsiTheme="majorHAnsi" w:cs="Times New Roman"/>
          <w:sz w:val="24"/>
          <w:szCs w:val="24"/>
          <w:lang w:val="ru-MD"/>
        </w:rPr>
        <w:t>а</w:t>
      </w:r>
      <w:r w:rsidRPr="00E51EF2">
        <w:rPr>
          <w:rFonts w:asciiTheme="majorHAnsi" w:hAnsiTheme="majorHAnsi" w:cs="Times New Roman"/>
          <w:sz w:val="24"/>
          <w:szCs w:val="24"/>
          <w:lang w:val="ru-MD"/>
        </w:rPr>
        <w:t xml:space="preserve"> были </w:t>
      </w:r>
      <w:r w:rsidR="00E51EF2" w:rsidRPr="00E51EF2">
        <w:rPr>
          <w:rFonts w:asciiTheme="majorHAnsi" w:hAnsiTheme="majorHAnsi" w:cs="Times New Roman"/>
          <w:sz w:val="24"/>
          <w:szCs w:val="24"/>
          <w:lang w:val="ru-MD"/>
        </w:rPr>
        <w:t>попол</w:t>
      </w:r>
      <w:r w:rsidRPr="00E51EF2">
        <w:rPr>
          <w:rFonts w:asciiTheme="majorHAnsi" w:hAnsiTheme="majorHAnsi" w:cs="Times New Roman"/>
          <w:sz w:val="24"/>
          <w:szCs w:val="24"/>
          <w:lang w:val="ru-MD"/>
        </w:rPr>
        <w:t xml:space="preserve">нены </w:t>
      </w:r>
      <w:r w:rsidR="00E51EF2" w:rsidRPr="00E51EF2">
        <w:rPr>
          <w:rFonts w:asciiTheme="majorHAnsi" w:hAnsiTheme="majorHAnsi" w:cs="Times New Roman"/>
          <w:sz w:val="24"/>
          <w:szCs w:val="24"/>
          <w:lang w:val="ru-MD"/>
        </w:rPr>
        <w:t xml:space="preserve">персоналом </w:t>
      </w:r>
      <w:r w:rsidRPr="00E51EF2">
        <w:rPr>
          <w:rFonts w:asciiTheme="majorHAnsi" w:hAnsiTheme="majorHAnsi" w:cs="Times New Roman"/>
          <w:sz w:val="24"/>
          <w:szCs w:val="24"/>
          <w:lang w:val="ru-MD"/>
        </w:rPr>
        <w:t xml:space="preserve">на низком уровне, что, как следствие, лишило руководителей инструмента, обеспечивающего </w:t>
      </w:r>
      <w:proofErr w:type="spellStart"/>
      <w:r w:rsidR="00E51EF2" w:rsidRPr="00E51EF2">
        <w:rPr>
          <w:rFonts w:asciiTheme="majorHAnsi" w:hAnsiTheme="majorHAnsi" w:cs="Times New Roman"/>
          <w:sz w:val="24"/>
          <w:szCs w:val="24"/>
          <w:lang w:val="ru-MD"/>
        </w:rPr>
        <w:t>прудент</w:t>
      </w:r>
      <w:r w:rsidRPr="00E51EF2">
        <w:rPr>
          <w:rFonts w:asciiTheme="majorHAnsi" w:hAnsiTheme="majorHAnsi" w:cs="Times New Roman"/>
          <w:sz w:val="24"/>
          <w:szCs w:val="24"/>
          <w:lang w:val="ru-MD"/>
        </w:rPr>
        <w:t>ное</w:t>
      </w:r>
      <w:proofErr w:type="spellEnd"/>
      <w:r w:rsidRPr="00E51EF2">
        <w:rPr>
          <w:rFonts w:asciiTheme="majorHAnsi" w:hAnsiTheme="majorHAnsi" w:cs="Times New Roman"/>
          <w:sz w:val="24"/>
          <w:szCs w:val="24"/>
          <w:lang w:val="ru-MD"/>
        </w:rPr>
        <w:t xml:space="preserve"> управление рисками и способствовавшего улучшению внутреннего управленческого контроля</w:t>
      </w:r>
      <w:r w:rsidR="00B00FBC" w:rsidRPr="00E51EF2">
        <w:rPr>
          <w:rFonts w:asciiTheme="majorHAnsi" w:hAnsiTheme="majorHAnsi" w:cs="Times New Roman"/>
          <w:sz w:val="24"/>
          <w:szCs w:val="24"/>
          <w:lang w:val="ru-MD"/>
        </w:rPr>
        <w:t>.</w:t>
      </w:r>
    </w:p>
    <w:p w:rsidR="00F22819" w:rsidRPr="00E51EF2" w:rsidRDefault="00C534BD" w:rsidP="00C534BD">
      <w:pPr>
        <w:pStyle w:val="ListParagraph"/>
        <w:numPr>
          <w:ilvl w:val="1"/>
          <w:numId w:val="2"/>
        </w:numPr>
        <w:tabs>
          <w:tab w:val="left" w:pos="0"/>
          <w:tab w:val="left" w:pos="540"/>
        </w:tabs>
        <w:spacing w:after="0" w:line="276" w:lineRule="auto"/>
        <w:ind w:left="0" w:firstLine="0"/>
        <w:jc w:val="both"/>
        <w:rPr>
          <w:rFonts w:asciiTheme="majorHAnsi" w:hAnsiTheme="majorHAnsi" w:cstheme="majorHAnsi"/>
          <w:sz w:val="24"/>
          <w:szCs w:val="24"/>
          <w:lang w:val="ru-MD"/>
        </w:rPr>
      </w:pPr>
      <w:r w:rsidRPr="00E51EF2">
        <w:rPr>
          <w:rFonts w:asciiTheme="majorHAnsi" w:hAnsiTheme="majorHAnsi" w:cstheme="majorHAnsi"/>
          <w:sz w:val="24"/>
          <w:szCs w:val="24"/>
          <w:lang w:val="ru-MD"/>
        </w:rPr>
        <w:t>Ранее Счетная палата провела аудит консолидированн</w:t>
      </w:r>
      <w:r w:rsidR="00E51EF2" w:rsidRPr="00E51EF2">
        <w:rPr>
          <w:rFonts w:asciiTheme="majorHAnsi" w:hAnsiTheme="majorHAnsi" w:cstheme="majorHAnsi"/>
          <w:sz w:val="24"/>
          <w:szCs w:val="24"/>
          <w:lang w:val="ru-MD"/>
        </w:rPr>
        <w:t>ой</w:t>
      </w:r>
      <w:r w:rsidRPr="00E51EF2">
        <w:rPr>
          <w:rFonts w:asciiTheme="majorHAnsi" w:hAnsiTheme="majorHAnsi" w:cstheme="majorHAnsi"/>
          <w:sz w:val="24"/>
          <w:szCs w:val="24"/>
          <w:lang w:val="ru-MD"/>
        </w:rPr>
        <w:t xml:space="preserve"> финансов</w:t>
      </w:r>
      <w:r w:rsidR="00E51EF2" w:rsidRPr="00E51EF2">
        <w:rPr>
          <w:rFonts w:asciiTheme="majorHAnsi" w:hAnsiTheme="majorHAnsi" w:cstheme="majorHAnsi"/>
          <w:sz w:val="24"/>
          <w:szCs w:val="24"/>
          <w:lang w:val="ru-MD"/>
        </w:rPr>
        <w:t>ой</w:t>
      </w:r>
      <w:r w:rsidRPr="00E51EF2">
        <w:rPr>
          <w:rFonts w:asciiTheme="majorHAnsi" w:hAnsiTheme="majorHAnsi" w:cstheme="majorHAnsi"/>
          <w:sz w:val="24"/>
          <w:szCs w:val="24"/>
          <w:lang w:val="ru-MD"/>
        </w:rPr>
        <w:t xml:space="preserve"> отчет</w:t>
      </w:r>
      <w:r w:rsidR="00E51EF2" w:rsidRPr="00E51EF2">
        <w:rPr>
          <w:rFonts w:asciiTheme="majorHAnsi" w:hAnsiTheme="majorHAnsi" w:cstheme="majorHAnsi"/>
          <w:sz w:val="24"/>
          <w:szCs w:val="24"/>
          <w:lang w:val="ru-MD"/>
        </w:rPr>
        <w:t>ност</w:t>
      </w:r>
      <w:r w:rsidR="00E51EF2">
        <w:rPr>
          <w:rFonts w:asciiTheme="majorHAnsi" w:hAnsiTheme="majorHAnsi" w:cstheme="majorHAnsi"/>
          <w:sz w:val="24"/>
          <w:szCs w:val="24"/>
          <w:lang w:val="ru-MD"/>
        </w:rPr>
        <w:t>и</w:t>
      </w:r>
      <w:r w:rsidRPr="00E51EF2">
        <w:rPr>
          <w:rFonts w:asciiTheme="majorHAnsi" w:hAnsiTheme="majorHAnsi" w:cstheme="majorHAnsi"/>
          <w:sz w:val="24"/>
          <w:szCs w:val="24"/>
          <w:lang w:val="ru-MD"/>
        </w:rPr>
        <w:t xml:space="preserve"> Министерства экономики и инфраструктуры</w:t>
      </w:r>
      <w:r w:rsidR="00E51EF2" w:rsidRPr="00E51EF2">
        <w:rPr>
          <w:rFonts w:asciiTheme="majorHAnsi" w:hAnsiTheme="majorHAnsi" w:cstheme="majorHAnsi"/>
          <w:sz w:val="24"/>
          <w:szCs w:val="24"/>
          <w:lang w:val="ru-MD"/>
        </w:rPr>
        <w:t xml:space="preserve"> по состоянию на</w:t>
      </w:r>
      <w:r w:rsidRPr="00E51EF2">
        <w:rPr>
          <w:rFonts w:asciiTheme="majorHAnsi" w:hAnsiTheme="majorHAnsi" w:cstheme="majorHAnsi"/>
          <w:sz w:val="24"/>
          <w:szCs w:val="24"/>
          <w:lang w:val="ru-MD"/>
        </w:rPr>
        <w:t xml:space="preserve"> 31.12.2020, </w:t>
      </w:r>
      <w:r w:rsidR="00E51EF2" w:rsidRPr="00E51EF2">
        <w:rPr>
          <w:rFonts w:asciiTheme="majorHAnsi" w:hAnsiTheme="majorHAnsi" w:cstheme="majorHAnsi"/>
          <w:sz w:val="24"/>
          <w:szCs w:val="24"/>
          <w:lang w:val="ru-MD"/>
        </w:rPr>
        <w:t xml:space="preserve">и </w:t>
      </w:r>
      <w:r w:rsidRPr="00E51EF2">
        <w:rPr>
          <w:rFonts w:asciiTheme="majorHAnsi" w:hAnsiTheme="majorHAnsi" w:cstheme="majorHAnsi"/>
          <w:sz w:val="24"/>
          <w:szCs w:val="24"/>
          <w:lang w:val="ru-MD"/>
        </w:rPr>
        <w:t>представи</w:t>
      </w:r>
      <w:r w:rsidR="00E51EF2" w:rsidRPr="00E51EF2">
        <w:rPr>
          <w:rFonts w:asciiTheme="majorHAnsi" w:hAnsiTheme="majorHAnsi" w:cstheme="majorHAnsi"/>
          <w:sz w:val="24"/>
          <w:szCs w:val="24"/>
          <w:lang w:val="ru-MD"/>
        </w:rPr>
        <w:t>ла</w:t>
      </w:r>
      <w:r w:rsidRPr="00E51EF2">
        <w:rPr>
          <w:rFonts w:asciiTheme="majorHAnsi" w:hAnsiTheme="majorHAnsi" w:cstheme="majorHAnsi"/>
          <w:sz w:val="24"/>
          <w:szCs w:val="24"/>
          <w:lang w:val="ru-MD"/>
        </w:rPr>
        <w:t xml:space="preserve"> 3 рекомендации, которые были реализованы в полном объеме</w:t>
      </w:r>
      <w:r w:rsidR="00E67D38" w:rsidRPr="00E51EF2">
        <w:rPr>
          <w:rFonts w:asciiTheme="majorHAnsi" w:hAnsiTheme="majorHAnsi" w:cs="Times New Roman"/>
          <w:sz w:val="24"/>
          <w:szCs w:val="24"/>
          <w:lang w:val="ru-MD"/>
        </w:rPr>
        <w:t>.</w:t>
      </w:r>
      <w:r w:rsidR="00A17B1B" w:rsidRPr="00E51EF2">
        <w:rPr>
          <w:rFonts w:asciiTheme="majorHAnsi" w:hAnsiTheme="majorHAnsi" w:cstheme="majorHAnsi"/>
          <w:sz w:val="24"/>
          <w:szCs w:val="24"/>
          <w:lang w:val="ru-MD"/>
        </w:rPr>
        <w:t xml:space="preserve"> </w:t>
      </w:r>
    </w:p>
    <w:p w:rsidR="004B07DC" w:rsidRPr="004B07DC" w:rsidRDefault="004B07DC" w:rsidP="004B07DC">
      <w:pPr>
        <w:pStyle w:val="ListParagraph"/>
        <w:tabs>
          <w:tab w:val="left" w:pos="0"/>
        </w:tabs>
        <w:spacing w:after="0" w:line="276" w:lineRule="auto"/>
        <w:ind w:left="0"/>
        <w:jc w:val="both"/>
        <w:rPr>
          <w:rFonts w:asciiTheme="majorHAnsi" w:hAnsiTheme="majorHAnsi" w:cs="Times New Roman"/>
          <w:sz w:val="24"/>
          <w:szCs w:val="24"/>
          <w:lang w:val="ro-MD"/>
        </w:rPr>
      </w:pPr>
    </w:p>
    <w:p w:rsidR="00125D9C" w:rsidRPr="002E594A" w:rsidRDefault="00771ACE" w:rsidP="00771ACE">
      <w:pPr>
        <w:pStyle w:val="ListParagraph"/>
        <w:numPr>
          <w:ilvl w:val="0"/>
          <w:numId w:val="1"/>
        </w:numPr>
        <w:tabs>
          <w:tab w:val="left" w:pos="720"/>
        </w:tabs>
        <w:spacing w:before="240" w:after="0" w:line="276" w:lineRule="auto"/>
        <w:ind w:left="0" w:firstLine="635"/>
        <w:jc w:val="both"/>
        <w:outlineLvl w:val="0"/>
        <w:rPr>
          <w:rFonts w:asciiTheme="majorHAnsi" w:hAnsiTheme="majorHAnsi" w:cs="Times New Roman"/>
          <w:b/>
          <w:sz w:val="28"/>
          <w:szCs w:val="28"/>
          <w:lang w:val="ro-MD"/>
        </w:rPr>
      </w:pPr>
      <w:bookmarkStart w:id="7" w:name="_Toc532292932"/>
      <w:bookmarkStart w:id="8" w:name="_Toc530056761"/>
      <w:r w:rsidRPr="00771ACE">
        <w:rPr>
          <w:rFonts w:asciiTheme="majorHAnsi" w:eastAsia="Times New Roman" w:hAnsiTheme="majorHAnsi" w:cstheme="majorHAnsi"/>
          <w:b/>
          <w:sz w:val="28"/>
          <w:szCs w:val="28"/>
          <w:lang w:val="ro-MD"/>
        </w:rPr>
        <w:lastRenderedPageBreak/>
        <w:t>ОТВЕТСТВЕННОСТЬ РУКОВОДСТВА ЗА СОСТАВЛЕНИЕ ФИНАНСОВОЙ</w:t>
      </w:r>
      <w:r>
        <w:rPr>
          <w:rFonts w:asciiTheme="majorHAnsi" w:eastAsia="Times New Roman" w:hAnsiTheme="majorHAnsi" w:cstheme="majorHAnsi"/>
          <w:b/>
          <w:sz w:val="28"/>
          <w:szCs w:val="28"/>
          <w:lang w:val="ru-RU"/>
        </w:rPr>
        <w:t xml:space="preserve"> </w:t>
      </w:r>
      <w:r w:rsidRPr="00771ACE">
        <w:rPr>
          <w:rFonts w:asciiTheme="majorHAnsi" w:eastAsia="Times New Roman" w:hAnsiTheme="majorHAnsi" w:cstheme="majorHAnsi"/>
          <w:b/>
          <w:sz w:val="28"/>
          <w:szCs w:val="28"/>
          <w:lang w:val="ro-MD"/>
        </w:rPr>
        <w:t>ОТЧЕТНОСТИ</w:t>
      </w:r>
      <w:r w:rsidRPr="002E594A">
        <w:rPr>
          <w:rFonts w:asciiTheme="majorHAnsi" w:hAnsiTheme="majorHAnsi" w:cs="Times New Roman"/>
          <w:b/>
          <w:sz w:val="28"/>
          <w:szCs w:val="28"/>
          <w:lang w:val="ro-MD"/>
        </w:rPr>
        <w:t xml:space="preserve"> </w:t>
      </w:r>
      <w:bookmarkEnd w:id="7"/>
      <w:r w:rsidR="00125D9C" w:rsidRPr="002E594A">
        <w:rPr>
          <w:rFonts w:asciiTheme="majorHAnsi" w:hAnsiTheme="majorHAnsi" w:cs="Times New Roman"/>
          <w:b/>
          <w:sz w:val="28"/>
          <w:szCs w:val="28"/>
          <w:lang w:val="ro-MD"/>
        </w:rPr>
        <w:t xml:space="preserve"> </w:t>
      </w:r>
      <w:bookmarkEnd w:id="8"/>
    </w:p>
    <w:p w:rsidR="00125D9C" w:rsidRDefault="00771ACE" w:rsidP="001D6C36">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u-RU"/>
        </w:rPr>
        <w:t>Министр экономики и инфраструктуры</w:t>
      </w:r>
      <w:r w:rsidR="0061789A">
        <w:rPr>
          <w:rFonts w:asciiTheme="majorHAnsi" w:hAnsiTheme="majorHAnsi" w:cs="Times New Roman"/>
          <w:sz w:val="24"/>
          <w:szCs w:val="24"/>
          <w:lang w:val="ro-MD"/>
        </w:rPr>
        <w:t xml:space="preserve">, </w:t>
      </w:r>
      <w:r w:rsidRPr="00847E91">
        <w:rPr>
          <w:rFonts w:asciiTheme="majorHAnsi" w:hAnsiTheme="majorHAnsi" w:cstheme="majorHAnsi"/>
          <w:sz w:val="24"/>
          <w:szCs w:val="24"/>
          <w:lang w:val="ru-MD"/>
        </w:rPr>
        <w:t>в качестве руководителя центрального отраслевого органа публичного управления, несет ответственность за составление, правильное и достоверное представление консолидированной финансовой отчетности</w:t>
      </w:r>
      <w:r w:rsidR="00CB7D69" w:rsidRPr="00CB7D69">
        <w:rPr>
          <w:rStyle w:val="FootnoteReference"/>
          <w:rFonts w:asciiTheme="majorHAnsi" w:hAnsiTheme="majorHAnsi"/>
          <w:sz w:val="24"/>
          <w:szCs w:val="24"/>
          <w:lang w:val="ro-MD"/>
        </w:rPr>
        <w:footnoteReference w:id="3"/>
      </w:r>
      <w:r w:rsidRPr="00847E91">
        <w:rPr>
          <w:rFonts w:asciiTheme="majorHAnsi" w:hAnsiTheme="majorHAnsi" w:cstheme="majorHAnsi"/>
          <w:sz w:val="24"/>
          <w:szCs w:val="24"/>
          <w:lang w:val="ru-MD"/>
        </w:rPr>
        <w:t>, в соответствии с применяемой базой по финансовой отчетности</w:t>
      </w:r>
      <w:r w:rsidR="0042193F" w:rsidRPr="0042193F">
        <w:rPr>
          <w:rStyle w:val="FootnoteReference"/>
          <w:rFonts w:asciiTheme="majorHAnsi" w:hAnsiTheme="majorHAnsi"/>
          <w:sz w:val="24"/>
          <w:szCs w:val="24"/>
          <w:lang w:val="ro-MD"/>
        </w:rPr>
        <w:footnoteReference w:id="4"/>
      </w:r>
      <w:r w:rsidR="0042193F">
        <w:rPr>
          <w:rFonts w:asciiTheme="majorHAnsi" w:hAnsiTheme="majorHAnsi" w:cstheme="majorHAnsi"/>
          <w:sz w:val="24"/>
          <w:szCs w:val="24"/>
          <w:lang w:val="ru-MD"/>
        </w:rPr>
        <w:t>.</w:t>
      </w:r>
      <w:r w:rsidRPr="00847E91">
        <w:rPr>
          <w:rFonts w:asciiTheme="majorHAnsi" w:hAnsiTheme="majorHAnsi" w:cstheme="majorHAnsi"/>
          <w:sz w:val="24"/>
          <w:szCs w:val="24"/>
          <w:lang w:val="ru-MD"/>
        </w:rPr>
        <w:t xml:space="preserve"> </w:t>
      </w:r>
      <w:r w:rsidR="0042193F">
        <w:rPr>
          <w:rFonts w:asciiTheme="majorHAnsi" w:hAnsiTheme="majorHAnsi" w:cstheme="majorHAnsi"/>
          <w:sz w:val="24"/>
          <w:szCs w:val="24"/>
          <w:lang w:val="ru-MD"/>
        </w:rPr>
        <w:t>Т</w:t>
      </w:r>
      <w:r w:rsidRPr="00847E91">
        <w:rPr>
          <w:rFonts w:asciiTheme="majorHAnsi" w:hAnsiTheme="majorHAnsi" w:cstheme="majorHAnsi"/>
          <w:sz w:val="24"/>
          <w:szCs w:val="24"/>
          <w:lang w:val="ru-MD"/>
        </w:rPr>
        <w:t>акже</w:t>
      </w:r>
      <w:r w:rsidR="0042193F">
        <w:rPr>
          <w:rFonts w:asciiTheme="majorHAnsi" w:hAnsiTheme="majorHAnsi" w:cstheme="majorHAnsi"/>
          <w:sz w:val="24"/>
          <w:szCs w:val="24"/>
          <w:lang w:val="ru-MD"/>
        </w:rPr>
        <w:t>,</w:t>
      </w:r>
      <w:r w:rsidRPr="00847E91">
        <w:rPr>
          <w:rFonts w:asciiTheme="majorHAnsi" w:hAnsiTheme="majorHAnsi" w:cstheme="majorHAnsi"/>
          <w:sz w:val="24"/>
          <w:szCs w:val="24"/>
          <w:lang w:val="ru-MD"/>
        </w:rPr>
        <w:t xml:space="preserve"> </w:t>
      </w:r>
      <w:r w:rsidR="0042193F">
        <w:rPr>
          <w:rFonts w:asciiTheme="majorHAnsi" w:hAnsiTheme="majorHAnsi" w:cs="Times New Roman"/>
          <w:sz w:val="24"/>
          <w:szCs w:val="24"/>
          <w:lang w:val="ru-RU"/>
        </w:rPr>
        <w:t xml:space="preserve">Министр экономики и инфраструктуры </w:t>
      </w:r>
      <w:r w:rsidR="0042193F" w:rsidRPr="00847E91">
        <w:rPr>
          <w:rFonts w:asciiTheme="majorHAnsi" w:hAnsiTheme="majorHAnsi" w:cstheme="majorHAnsi"/>
          <w:sz w:val="24"/>
          <w:szCs w:val="24"/>
          <w:lang w:val="ru-MD"/>
        </w:rPr>
        <w:t xml:space="preserve">несет ответственность </w:t>
      </w:r>
      <w:r w:rsidRPr="00847E91">
        <w:rPr>
          <w:rFonts w:asciiTheme="majorHAnsi" w:hAnsiTheme="majorHAnsi" w:cstheme="majorHAnsi"/>
          <w:sz w:val="24"/>
          <w:szCs w:val="24"/>
          <w:lang w:val="ru-MD"/>
        </w:rPr>
        <w:t>за организацию системы внутреннего управленческого контроля, обеспеч</w:t>
      </w:r>
      <w:r w:rsidR="0042193F">
        <w:rPr>
          <w:rFonts w:asciiTheme="majorHAnsi" w:hAnsiTheme="majorHAnsi" w:cstheme="majorHAnsi"/>
          <w:sz w:val="24"/>
          <w:szCs w:val="24"/>
          <w:lang w:val="ru-MD"/>
        </w:rPr>
        <w:t>ивающего</w:t>
      </w:r>
      <w:r w:rsidRPr="00847E91">
        <w:rPr>
          <w:rFonts w:asciiTheme="majorHAnsi" w:hAnsiTheme="majorHAnsi" w:cstheme="majorHAnsi"/>
          <w:sz w:val="24"/>
          <w:szCs w:val="24"/>
          <w:lang w:val="ru-MD"/>
        </w:rPr>
        <w:t xml:space="preserve"> </w:t>
      </w:r>
      <w:r w:rsidR="0042193F" w:rsidRPr="0042193F">
        <w:rPr>
          <w:rFonts w:asciiTheme="majorHAnsi" w:hAnsiTheme="majorHAnsi" w:cstheme="majorHAnsi"/>
          <w:sz w:val="24"/>
          <w:szCs w:val="24"/>
          <w:lang w:val="ru-MD"/>
        </w:rPr>
        <w:t>составление финансовых отчетов, не содержащих существенных искажений, вызванных мошенничеством и/или ошибками,</w:t>
      </w:r>
      <w:r w:rsidR="0042193F">
        <w:rPr>
          <w:rFonts w:asciiTheme="majorHAnsi" w:hAnsiTheme="majorHAnsi" w:cstheme="majorHAnsi"/>
          <w:sz w:val="24"/>
          <w:szCs w:val="24"/>
          <w:lang w:val="ru-MD"/>
        </w:rPr>
        <w:t xml:space="preserve"> </w:t>
      </w:r>
      <w:r w:rsidR="0042193F" w:rsidRPr="0042193F">
        <w:rPr>
          <w:rFonts w:asciiTheme="majorHAnsi" w:hAnsiTheme="majorHAnsi" w:cstheme="majorHAnsi"/>
          <w:sz w:val="24"/>
          <w:szCs w:val="24"/>
          <w:lang w:val="ru-MD"/>
        </w:rPr>
        <w:t xml:space="preserve">а также </w:t>
      </w:r>
      <w:r w:rsidR="0042193F">
        <w:rPr>
          <w:rFonts w:asciiTheme="majorHAnsi" w:hAnsiTheme="majorHAnsi" w:cstheme="majorHAnsi"/>
          <w:sz w:val="24"/>
          <w:szCs w:val="24"/>
          <w:lang w:val="ru-MD"/>
        </w:rPr>
        <w:t>за</w:t>
      </w:r>
      <w:r w:rsidR="0042193F" w:rsidRPr="0042193F">
        <w:rPr>
          <w:rFonts w:asciiTheme="majorHAnsi" w:hAnsiTheme="majorHAnsi" w:cstheme="majorHAnsi"/>
          <w:sz w:val="24"/>
          <w:szCs w:val="24"/>
          <w:lang w:val="ru-MD"/>
        </w:rPr>
        <w:t xml:space="preserve"> эффективн</w:t>
      </w:r>
      <w:r w:rsidR="0042193F">
        <w:rPr>
          <w:rFonts w:asciiTheme="majorHAnsi" w:hAnsiTheme="majorHAnsi" w:cstheme="majorHAnsi"/>
          <w:sz w:val="24"/>
          <w:szCs w:val="24"/>
          <w:lang w:val="ru-MD"/>
        </w:rPr>
        <w:t>ую</w:t>
      </w:r>
      <w:r w:rsidR="0042193F" w:rsidRPr="0042193F">
        <w:rPr>
          <w:rFonts w:asciiTheme="majorHAnsi" w:hAnsiTheme="majorHAnsi" w:cstheme="majorHAnsi"/>
          <w:sz w:val="24"/>
          <w:szCs w:val="24"/>
          <w:lang w:val="ru-MD"/>
        </w:rPr>
        <w:t xml:space="preserve"> организаци</w:t>
      </w:r>
      <w:r w:rsidR="0042193F">
        <w:rPr>
          <w:rFonts w:asciiTheme="majorHAnsi" w:hAnsiTheme="majorHAnsi" w:cstheme="majorHAnsi"/>
          <w:sz w:val="24"/>
          <w:szCs w:val="24"/>
          <w:lang w:val="ru-MD"/>
        </w:rPr>
        <w:t>ю</w:t>
      </w:r>
      <w:r w:rsidR="0042193F" w:rsidRPr="0042193F">
        <w:rPr>
          <w:rFonts w:asciiTheme="majorHAnsi" w:hAnsiTheme="majorHAnsi" w:cstheme="majorHAnsi"/>
          <w:sz w:val="24"/>
          <w:szCs w:val="24"/>
          <w:lang w:val="ru-MD"/>
        </w:rPr>
        <w:t xml:space="preserve"> экономической деятельности в целом, в том числе путем строгого соблюдения целостности активов и точности бухгалтерских записей</w:t>
      </w:r>
      <w:r w:rsidR="005E4823" w:rsidRPr="001D6C36">
        <w:rPr>
          <w:rFonts w:asciiTheme="majorHAnsi" w:hAnsiTheme="majorHAnsi" w:cstheme="majorHAnsi"/>
          <w:color w:val="000000"/>
          <w:sz w:val="24"/>
          <w:szCs w:val="24"/>
          <w:lang w:val="ro-MD"/>
        </w:rPr>
        <w:t>.</w:t>
      </w:r>
    </w:p>
    <w:p w:rsidR="00125D9C" w:rsidRPr="002E594A" w:rsidRDefault="0042193F" w:rsidP="00125D9C">
      <w:pPr>
        <w:pStyle w:val="ListParagraph"/>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9" w:name="_Toc532292933"/>
      <w:bookmarkStart w:id="10" w:name="_Toc530056762"/>
      <w:r w:rsidRPr="0042193F">
        <w:rPr>
          <w:rFonts w:asciiTheme="majorHAnsi" w:eastAsia="Times New Roman" w:hAnsiTheme="majorHAnsi" w:cstheme="majorHAnsi"/>
          <w:b/>
          <w:sz w:val="28"/>
          <w:szCs w:val="28"/>
          <w:lang w:val="ro-MD"/>
        </w:rPr>
        <w:t>ОТВЕТСТВЕННОСТЬ АУДИТОРА В РАМКАХ АУДИТА ФИНАНСОВОЙ ОТЧЕТНОСТИ</w:t>
      </w:r>
      <w:r w:rsidRPr="0042193F">
        <w:rPr>
          <w:rFonts w:asciiTheme="majorHAnsi" w:hAnsiTheme="majorHAnsi" w:cstheme="majorHAnsi"/>
          <w:b/>
          <w:sz w:val="28"/>
          <w:szCs w:val="28"/>
          <w:lang w:val="ro-MD"/>
        </w:rPr>
        <w:t xml:space="preserve"> </w:t>
      </w:r>
      <w:bookmarkEnd w:id="9"/>
      <w:bookmarkEnd w:id="10"/>
    </w:p>
    <w:p w:rsidR="00A16057" w:rsidRPr="006D6099" w:rsidRDefault="0042193F" w:rsidP="00A16057">
      <w:pPr>
        <w:pStyle w:val="Default"/>
        <w:spacing w:line="276" w:lineRule="auto"/>
        <w:jc w:val="both"/>
        <w:rPr>
          <w:rFonts w:asciiTheme="majorHAnsi" w:hAnsiTheme="majorHAnsi" w:cstheme="minorHAnsi"/>
          <w:color w:val="auto"/>
          <w:lang w:val="ro-MD"/>
        </w:rPr>
      </w:pPr>
      <w:r w:rsidRPr="00847E91">
        <w:rPr>
          <w:rFonts w:asciiTheme="majorHAnsi" w:hAnsiTheme="majorHAnsi" w:cs="Times New Roman"/>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финансовая отчетность не содержит существенных искажений</w:t>
      </w:r>
      <w:r>
        <w:rPr>
          <w:rFonts w:asciiTheme="majorHAnsi" w:hAnsiTheme="majorHAnsi" w:cs="Times New Roman"/>
          <w:lang w:val="ru-MD"/>
        </w:rPr>
        <w:t>, обусловленных</w:t>
      </w:r>
      <w:r w:rsidRPr="00847E91">
        <w:rPr>
          <w:rFonts w:asciiTheme="majorHAnsi" w:hAnsiTheme="majorHAnsi" w:cs="Times New Roman"/>
          <w:lang w:val="ru-MD"/>
        </w:rPr>
        <w:t xml:space="preserve"> мошенничеств</w:t>
      </w:r>
      <w:r>
        <w:rPr>
          <w:rFonts w:asciiTheme="majorHAnsi" w:hAnsiTheme="majorHAnsi" w:cs="Times New Roman"/>
          <w:lang w:val="ru-MD"/>
        </w:rPr>
        <w:t>ом</w:t>
      </w:r>
      <w:r w:rsidRPr="00847E91">
        <w:rPr>
          <w:rFonts w:asciiTheme="majorHAnsi" w:hAnsiTheme="majorHAnsi" w:cs="Times New Roman"/>
          <w:lang w:val="ru-MD"/>
        </w:rPr>
        <w:t xml:space="preserve"> или ошибк</w:t>
      </w:r>
      <w:r>
        <w:rPr>
          <w:rFonts w:asciiTheme="majorHAnsi" w:hAnsiTheme="majorHAnsi" w:cs="Times New Roman"/>
          <w:lang w:val="ru-MD"/>
        </w:rPr>
        <w:t>ам</w:t>
      </w:r>
      <w:r w:rsidRPr="00847E91">
        <w:rPr>
          <w:rFonts w:asciiTheme="majorHAnsi" w:hAnsiTheme="majorHAnsi" w:cs="Times New Roman"/>
          <w:lang w:val="ru-MD"/>
        </w:rPr>
        <w:t>и, и в составлении соответствующего мнения</w:t>
      </w:r>
      <w:r w:rsidR="00A16057" w:rsidRPr="006D6099">
        <w:rPr>
          <w:rFonts w:asciiTheme="majorHAnsi" w:hAnsiTheme="majorHAnsi" w:cstheme="minorHAnsi"/>
          <w:color w:val="auto"/>
          <w:lang w:val="ro-MD"/>
        </w:rPr>
        <w:t>.</w:t>
      </w:r>
    </w:p>
    <w:p w:rsidR="00A16057" w:rsidRDefault="0042193F" w:rsidP="00A16057">
      <w:pPr>
        <w:pStyle w:val="Default"/>
        <w:spacing w:line="276" w:lineRule="auto"/>
        <w:jc w:val="both"/>
        <w:rPr>
          <w:rFonts w:asciiTheme="majorHAnsi" w:hAnsiTheme="majorHAnsi" w:cstheme="minorHAnsi"/>
          <w:color w:val="auto"/>
          <w:lang w:val="ro-MD"/>
        </w:rPr>
      </w:pPr>
      <w:r w:rsidRPr="00847E91">
        <w:rPr>
          <w:rFonts w:asciiTheme="majorHAnsi" w:hAnsiTheme="majorHAnsi" w:cstheme="majorHAnsi"/>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A16057" w:rsidRPr="006D6099">
        <w:rPr>
          <w:rFonts w:asciiTheme="majorHAnsi" w:hAnsiTheme="majorHAnsi" w:cstheme="minorHAnsi"/>
          <w:color w:val="auto"/>
          <w:lang w:val="ro-MD"/>
        </w:rPr>
        <w:t xml:space="preserve">. </w:t>
      </w:r>
    </w:p>
    <w:p w:rsidR="00A16057" w:rsidRPr="008900F9" w:rsidRDefault="0042193F" w:rsidP="00D16663">
      <w:pPr>
        <w:shd w:val="clear" w:color="auto" w:fill="FFFFFF"/>
        <w:spacing w:after="0" w:line="276" w:lineRule="auto"/>
        <w:jc w:val="both"/>
        <w:rPr>
          <w:rFonts w:asciiTheme="majorHAnsi" w:hAnsiTheme="majorHAnsi" w:cstheme="minorHAnsi"/>
          <w:sz w:val="24"/>
          <w:szCs w:val="24"/>
          <w:lang w:val="ru-MD"/>
        </w:rPr>
      </w:pPr>
      <w:r w:rsidRPr="008900F9">
        <w:rPr>
          <w:rFonts w:asciiTheme="majorHAnsi" w:hAnsiTheme="majorHAnsi" w:cstheme="minorHAnsi"/>
          <w:sz w:val="24"/>
          <w:szCs w:val="24"/>
          <w:lang w:val="ru-MD"/>
        </w:rPr>
        <w:t xml:space="preserve">Для получения достаточных и адекватных аудиторских доказательств, подтверждающих выводы и достоверность изложенных в Отчете наблюдений, путем применения порога </w:t>
      </w:r>
      <w:r w:rsidR="008900F9" w:rsidRPr="008900F9">
        <w:rPr>
          <w:rFonts w:asciiTheme="majorHAnsi" w:hAnsiTheme="majorHAnsi" w:cstheme="minorHAnsi"/>
          <w:sz w:val="24"/>
          <w:szCs w:val="24"/>
          <w:lang w:val="ru-MD"/>
        </w:rPr>
        <w:t>существенн</w:t>
      </w:r>
      <w:r w:rsidRPr="008900F9">
        <w:rPr>
          <w:rFonts w:asciiTheme="majorHAnsi" w:hAnsiTheme="majorHAnsi" w:cstheme="minorHAnsi"/>
          <w:sz w:val="24"/>
          <w:szCs w:val="24"/>
          <w:lang w:val="ru-MD"/>
        </w:rPr>
        <w:t>ости</w:t>
      </w:r>
      <w:r w:rsidR="008900F9" w:rsidRPr="008900F9">
        <w:rPr>
          <w:rFonts w:asciiTheme="majorHAnsi" w:hAnsiTheme="majorHAnsi" w:cstheme="minorHAnsi"/>
          <w:sz w:val="24"/>
          <w:szCs w:val="24"/>
          <w:lang w:val="ru-MD"/>
        </w:rPr>
        <w:t>,</w:t>
      </w:r>
      <w:r w:rsidRPr="008900F9">
        <w:rPr>
          <w:rFonts w:asciiTheme="majorHAnsi" w:hAnsiTheme="majorHAnsi" w:cstheme="minorHAnsi"/>
          <w:sz w:val="24"/>
          <w:szCs w:val="24"/>
          <w:lang w:val="ru-MD"/>
        </w:rPr>
        <w:t xml:space="preserve"> были </w:t>
      </w:r>
      <w:r w:rsidR="008900F9" w:rsidRPr="008900F9">
        <w:rPr>
          <w:rFonts w:asciiTheme="majorHAnsi" w:hAnsiTheme="majorHAnsi" w:cstheme="minorHAnsi"/>
          <w:sz w:val="24"/>
          <w:szCs w:val="24"/>
          <w:lang w:val="ru-MD"/>
        </w:rPr>
        <w:t>примене</w:t>
      </w:r>
      <w:r w:rsidRPr="008900F9">
        <w:rPr>
          <w:rFonts w:asciiTheme="majorHAnsi" w:hAnsiTheme="majorHAnsi" w:cstheme="minorHAnsi"/>
          <w:sz w:val="24"/>
          <w:szCs w:val="24"/>
          <w:lang w:val="ru-MD"/>
        </w:rPr>
        <w:t xml:space="preserve">ны процедуры проверки, </w:t>
      </w:r>
      <w:r w:rsidR="008900F9" w:rsidRPr="008900F9">
        <w:rPr>
          <w:rFonts w:asciiTheme="majorHAnsi" w:hAnsiTheme="majorHAnsi" w:cstheme="minorHAnsi"/>
          <w:sz w:val="24"/>
          <w:szCs w:val="24"/>
          <w:lang w:val="ru-MD"/>
        </w:rPr>
        <w:t>изучения</w:t>
      </w:r>
      <w:r w:rsidRPr="008900F9">
        <w:rPr>
          <w:rFonts w:asciiTheme="majorHAnsi" w:hAnsiTheme="majorHAnsi" w:cstheme="minorHAnsi"/>
          <w:sz w:val="24"/>
          <w:szCs w:val="24"/>
          <w:lang w:val="ru-MD"/>
        </w:rPr>
        <w:t xml:space="preserve"> и анализа</w:t>
      </w:r>
      <w:r w:rsidR="008900F9" w:rsidRPr="008900F9">
        <w:rPr>
          <w:rFonts w:asciiTheme="majorHAnsi" w:hAnsiTheme="majorHAnsi" w:cstheme="minorHAnsi"/>
          <w:sz w:val="24"/>
          <w:szCs w:val="24"/>
          <w:lang w:val="ru-MD"/>
        </w:rPr>
        <w:t>,</w:t>
      </w:r>
      <w:r w:rsidRPr="008900F9">
        <w:rPr>
          <w:rFonts w:asciiTheme="majorHAnsi" w:hAnsiTheme="majorHAnsi" w:cstheme="minorHAnsi"/>
          <w:sz w:val="24"/>
          <w:szCs w:val="24"/>
          <w:lang w:val="ru-MD"/>
        </w:rPr>
        <w:t xml:space="preserve"> с использованием различных методов, таких как: </w:t>
      </w:r>
      <w:r w:rsidR="008900F9" w:rsidRPr="008900F9">
        <w:rPr>
          <w:rFonts w:asciiTheme="majorHAnsi" w:hAnsiTheme="majorHAnsi" w:cstheme="minorHAnsi"/>
          <w:sz w:val="24"/>
          <w:szCs w:val="24"/>
          <w:lang w:val="ru-MD"/>
        </w:rPr>
        <w:t>инспектирование</w:t>
      </w:r>
      <w:r w:rsidRPr="008900F9">
        <w:rPr>
          <w:rFonts w:asciiTheme="majorHAnsi" w:hAnsiTheme="majorHAnsi" w:cstheme="minorHAnsi"/>
          <w:sz w:val="24"/>
          <w:szCs w:val="24"/>
          <w:lang w:val="ru-MD"/>
        </w:rPr>
        <w:t xml:space="preserve">, наблюдение, запрос информации, пересчет, </w:t>
      </w:r>
      <w:r w:rsidR="008900F9" w:rsidRPr="008900F9">
        <w:rPr>
          <w:rFonts w:asciiTheme="majorHAnsi" w:hAnsiTheme="majorHAnsi" w:cstheme="minorHAnsi"/>
          <w:sz w:val="24"/>
          <w:szCs w:val="24"/>
          <w:lang w:val="ru-MD"/>
        </w:rPr>
        <w:t>интервьюирование</w:t>
      </w:r>
      <w:r w:rsidRPr="008900F9">
        <w:rPr>
          <w:rFonts w:asciiTheme="majorHAnsi" w:hAnsiTheme="majorHAnsi" w:cstheme="minorHAnsi"/>
          <w:sz w:val="24"/>
          <w:szCs w:val="24"/>
          <w:lang w:val="ru-MD"/>
        </w:rPr>
        <w:t xml:space="preserve"> и т. д. Все </w:t>
      </w:r>
      <w:r w:rsidR="008900F9" w:rsidRPr="008900F9">
        <w:rPr>
          <w:rFonts w:asciiTheme="majorHAnsi" w:hAnsiTheme="majorHAnsi" w:cstheme="minorHAnsi"/>
          <w:sz w:val="24"/>
          <w:szCs w:val="24"/>
          <w:lang w:val="ru-MD"/>
        </w:rPr>
        <w:t xml:space="preserve">результаты аудиторских </w:t>
      </w:r>
      <w:r w:rsidRPr="008900F9">
        <w:rPr>
          <w:rFonts w:asciiTheme="majorHAnsi" w:hAnsiTheme="majorHAnsi" w:cstheme="minorHAnsi"/>
          <w:sz w:val="24"/>
          <w:szCs w:val="24"/>
          <w:lang w:val="ru-MD"/>
        </w:rPr>
        <w:t>наблюдени</w:t>
      </w:r>
      <w:r w:rsidR="008900F9" w:rsidRPr="008900F9">
        <w:rPr>
          <w:rFonts w:asciiTheme="majorHAnsi" w:hAnsiTheme="majorHAnsi" w:cstheme="minorHAnsi"/>
          <w:sz w:val="24"/>
          <w:szCs w:val="24"/>
          <w:lang w:val="ru-MD"/>
        </w:rPr>
        <w:t>й</w:t>
      </w:r>
      <w:r w:rsidRPr="008900F9">
        <w:rPr>
          <w:rFonts w:asciiTheme="majorHAnsi" w:hAnsiTheme="majorHAnsi" w:cstheme="minorHAnsi"/>
          <w:sz w:val="24"/>
          <w:szCs w:val="24"/>
          <w:lang w:val="ru-MD"/>
        </w:rPr>
        <w:t xml:space="preserve">, включая </w:t>
      </w:r>
      <w:r w:rsidR="008900F9" w:rsidRPr="008900F9">
        <w:rPr>
          <w:rFonts w:asciiTheme="majorHAnsi" w:hAnsiTheme="majorHAnsi" w:cstheme="minorHAnsi"/>
          <w:sz w:val="24"/>
          <w:szCs w:val="24"/>
          <w:lang w:val="ru-MD"/>
        </w:rPr>
        <w:t>существенн</w:t>
      </w:r>
      <w:r w:rsidRPr="008900F9">
        <w:rPr>
          <w:rFonts w:asciiTheme="majorHAnsi" w:hAnsiTheme="majorHAnsi" w:cstheme="minorHAnsi"/>
          <w:sz w:val="24"/>
          <w:szCs w:val="24"/>
          <w:lang w:val="ru-MD"/>
        </w:rPr>
        <w:t xml:space="preserve">ые недостатки внутреннего управленческого контроля, были </w:t>
      </w:r>
      <w:r w:rsidR="008900F9" w:rsidRPr="008900F9">
        <w:rPr>
          <w:rFonts w:asciiTheme="majorHAnsi" w:hAnsiTheme="majorHAnsi" w:cstheme="minorHAnsi"/>
          <w:sz w:val="24"/>
          <w:szCs w:val="24"/>
          <w:lang w:val="ru-MD"/>
        </w:rPr>
        <w:t>сообще</w:t>
      </w:r>
      <w:r w:rsidRPr="008900F9">
        <w:rPr>
          <w:rFonts w:asciiTheme="majorHAnsi" w:hAnsiTheme="majorHAnsi" w:cstheme="minorHAnsi"/>
          <w:sz w:val="24"/>
          <w:szCs w:val="24"/>
          <w:lang w:val="ru-MD"/>
        </w:rPr>
        <w:t xml:space="preserve">ны </w:t>
      </w:r>
      <w:proofErr w:type="spellStart"/>
      <w:r w:rsidR="008900F9" w:rsidRPr="008900F9">
        <w:rPr>
          <w:rFonts w:asciiTheme="majorHAnsi" w:hAnsiTheme="majorHAnsi" w:cstheme="minorHAnsi"/>
          <w:sz w:val="24"/>
          <w:szCs w:val="24"/>
          <w:lang w:val="ru-MD"/>
        </w:rPr>
        <w:t>аудируем</w:t>
      </w:r>
      <w:r w:rsidRPr="008900F9">
        <w:rPr>
          <w:rFonts w:asciiTheme="majorHAnsi" w:hAnsiTheme="majorHAnsi" w:cstheme="minorHAnsi"/>
          <w:sz w:val="24"/>
          <w:szCs w:val="24"/>
          <w:lang w:val="ru-MD"/>
        </w:rPr>
        <w:t>ым</w:t>
      </w:r>
      <w:proofErr w:type="spellEnd"/>
      <w:r w:rsidRPr="008900F9">
        <w:rPr>
          <w:rFonts w:asciiTheme="majorHAnsi" w:hAnsiTheme="majorHAnsi" w:cstheme="minorHAnsi"/>
          <w:sz w:val="24"/>
          <w:szCs w:val="24"/>
          <w:lang w:val="ru-MD"/>
        </w:rPr>
        <w:t xml:space="preserve"> </w:t>
      </w:r>
      <w:r w:rsidR="008900F9" w:rsidRPr="008900F9">
        <w:rPr>
          <w:rFonts w:asciiTheme="majorHAnsi" w:hAnsiTheme="majorHAnsi" w:cstheme="minorHAnsi"/>
          <w:sz w:val="24"/>
          <w:szCs w:val="24"/>
          <w:lang w:val="ru-MD"/>
        </w:rPr>
        <w:t>субъекта</w:t>
      </w:r>
      <w:r w:rsidRPr="008900F9">
        <w:rPr>
          <w:rFonts w:asciiTheme="majorHAnsi" w:hAnsiTheme="majorHAnsi" w:cstheme="minorHAnsi"/>
          <w:sz w:val="24"/>
          <w:szCs w:val="24"/>
          <w:lang w:val="ru-MD"/>
        </w:rPr>
        <w:t xml:space="preserve">м в ходе аудиторской миссии. </w:t>
      </w:r>
    </w:p>
    <w:p w:rsidR="00125D9C" w:rsidRPr="006D6099" w:rsidRDefault="00125D9C" w:rsidP="00125D9C">
      <w:pPr>
        <w:pStyle w:val="Default"/>
        <w:spacing w:line="276" w:lineRule="auto"/>
        <w:jc w:val="both"/>
        <w:rPr>
          <w:rFonts w:asciiTheme="majorHAnsi" w:hAnsiTheme="majorHAnsi" w:cstheme="minorHAnsi"/>
          <w:color w:val="auto"/>
          <w:lang w:val="ro-MD"/>
        </w:rPr>
      </w:pPr>
    </w:p>
    <w:p w:rsidR="003A3B1B" w:rsidRPr="00644EA2" w:rsidRDefault="00474833" w:rsidP="003A3B1B">
      <w:pPr>
        <w:spacing w:after="0" w:line="276" w:lineRule="auto"/>
        <w:jc w:val="both"/>
        <w:rPr>
          <w:rFonts w:asciiTheme="majorHAnsi" w:eastAsia="Times New Roman" w:hAnsiTheme="majorHAnsi" w:cs="Times New Roman"/>
          <w:b/>
          <w:i/>
          <w:sz w:val="24"/>
          <w:szCs w:val="24"/>
          <w:lang w:val="ru-MD" w:eastAsia="ro-MD"/>
        </w:rPr>
      </w:pPr>
      <w:r w:rsidRPr="00644EA2">
        <w:rPr>
          <w:rFonts w:asciiTheme="majorHAnsi" w:eastAsia="Times New Roman" w:hAnsiTheme="majorHAnsi" w:cs="Times New Roman"/>
          <w:b/>
          <w:i/>
          <w:sz w:val="24"/>
          <w:szCs w:val="24"/>
          <w:lang w:val="ru-MD" w:eastAsia="ro-MD"/>
        </w:rPr>
        <w:t>Ответственные за составление Отчета аудита:</w:t>
      </w:r>
    </w:p>
    <w:p w:rsidR="00894942" w:rsidRPr="00CC15ED" w:rsidRDefault="00894942" w:rsidP="00894942">
      <w:pPr>
        <w:spacing w:after="0" w:line="276" w:lineRule="auto"/>
        <w:jc w:val="both"/>
        <w:rPr>
          <w:rFonts w:asciiTheme="majorHAnsi" w:eastAsia="Times New Roman" w:hAnsiTheme="majorHAnsi" w:cs="Times New Roman"/>
          <w:sz w:val="24"/>
          <w:szCs w:val="24"/>
          <w:lang w:val="ru-MD" w:eastAsia="ro-MD"/>
        </w:rPr>
      </w:pPr>
      <w:r w:rsidRPr="00CC15ED">
        <w:rPr>
          <w:rFonts w:asciiTheme="majorHAnsi" w:eastAsia="Times New Roman" w:hAnsiTheme="majorHAnsi" w:cs="Times New Roman"/>
          <w:sz w:val="24"/>
          <w:szCs w:val="24"/>
          <w:lang w:val="ru-MD" w:eastAsia="ro-MD"/>
        </w:rPr>
        <w:lastRenderedPageBreak/>
        <w:t>Руководитель аудиторской группы,</w:t>
      </w:r>
    </w:p>
    <w:p w:rsidR="003A3B1B" w:rsidRPr="00CC15ED" w:rsidRDefault="00894942" w:rsidP="00894942">
      <w:pPr>
        <w:spacing w:after="0" w:line="276" w:lineRule="auto"/>
        <w:jc w:val="both"/>
        <w:rPr>
          <w:rFonts w:asciiTheme="majorHAnsi" w:eastAsia="Times New Roman" w:hAnsiTheme="majorHAnsi" w:cs="Times New Roman"/>
          <w:sz w:val="24"/>
          <w:szCs w:val="24"/>
          <w:lang w:val="ru-MD" w:eastAsia="ro-MD"/>
        </w:rPr>
      </w:pPr>
      <w:r w:rsidRPr="00CC15ED">
        <w:rPr>
          <w:rFonts w:asciiTheme="majorHAnsi" w:eastAsia="Times New Roman" w:hAnsiTheme="majorHAnsi" w:cs="Times New Roman"/>
          <w:sz w:val="24"/>
          <w:szCs w:val="24"/>
          <w:lang w:val="ru-MD" w:eastAsia="ro-MD"/>
        </w:rPr>
        <w:t>Главный публичный аудитор</w:t>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Pr="00CC15ED">
        <w:rPr>
          <w:rFonts w:asciiTheme="majorHAnsi" w:hAnsiTheme="majorHAnsi" w:cs="Times New Roman"/>
          <w:sz w:val="24"/>
          <w:szCs w:val="24"/>
          <w:lang w:val="ru-MD"/>
        </w:rPr>
        <w:t>Ольга ПОЯНЭ</w:t>
      </w:r>
      <w:r w:rsidR="003A3B1B" w:rsidRPr="00CC15ED">
        <w:rPr>
          <w:rFonts w:asciiTheme="majorHAnsi" w:hAnsiTheme="majorHAnsi" w:cs="Times New Roman"/>
          <w:sz w:val="24"/>
          <w:szCs w:val="24"/>
          <w:lang w:val="ru-MD"/>
        </w:rPr>
        <w:t xml:space="preserve"> </w:t>
      </w:r>
    </w:p>
    <w:p w:rsidR="00CC15ED" w:rsidRDefault="00CC15ED" w:rsidP="003A3B1B">
      <w:pPr>
        <w:spacing w:after="0" w:line="276" w:lineRule="auto"/>
        <w:jc w:val="both"/>
        <w:rPr>
          <w:rFonts w:asciiTheme="majorHAnsi" w:eastAsia="Times New Roman" w:hAnsiTheme="majorHAnsi" w:cs="Times New Roman"/>
          <w:b/>
          <w:i/>
          <w:sz w:val="24"/>
          <w:szCs w:val="24"/>
          <w:lang w:val="ru-MD" w:eastAsia="ro-MD"/>
        </w:rPr>
      </w:pPr>
    </w:p>
    <w:p w:rsidR="003A3B1B" w:rsidRPr="00CC15ED" w:rsidRDefault="00894942" w:rsidP="003A3B1B">
      <w:pPr>
        <w:spacing w:after="0" w:line="276" w:lineRule="auto"/>
        <w:jc w:val="both"/>
        <w:rPr>
          <w:rFonts w:asciiTheme="majorHAnsi" w:eastAsia="Times New Roman" w:hAnsiTheme="majorHAnsi" w:cs="Times New Roman"/>
          <w:b/>
          <w:i/>
          <w:sz w:val="24"/>
          <w:szCs w:val="24"/>
          <w:lang w:val="ru-MD" w:eastAsia="ro-MD"/>
        </w:rPr>
      </w:pPr>
      <w:r w:rsidRPr="00CC15ED">
        <w:rPr>
          <w:rFonts w:asciiTheme="majorHAnsi" w:eastAsia="Times New Roman" w:hAnsiTheme="majorHAnsi" w:cs="Times New Roman"/>
          <w:b/>
          <w:i/>
          <w:sz w:val="24"/>
          <w:szCs w:val="24"/>
          <w:lang w:val="ru-MD" w:eastAsia="ro-MD"/>
        </w:rPr>
        <w:t>Члены аудиторской группы</w:t>
      </w:r>
      <w:r w:rsidR="003A3B1B" w:rsidRPr="00CC15ED">
        <w:rPr>
          <w:rFonts w:asciiTheme="majorHAnsi" w:eastAsia="Times New Roman" w:hAnsiTheme="majorHAnsi" w:cs="Times New Roman"/>
          <w:b/>
          <w:i/>
          <w:sz w:val="24"/>
          <w:szCs w:val="24"/>
          <w:lang w:val="ru-MD" w:eastAsia="ro-MD"/>
        </w:rPr>
        <w:t>:</w:t>
      </w:r>
    </w:p>
    <w:p w:rsidR="003A3B1B" w:rsidRPr="00CC15ED" w:rsidRDefault="00CC15ED" w:rsidP="003A3B1B">
      <w:pPr>
        <w:spacing w:after="0" w:line="276" w:lineRule="auto"/>
        <w:jc w:val="both"/>
        <w:rPr>
          <w:rFonts w:asciiTheme="majorHAnsi" w:hAnsiTheme="majorHAnsi" w:cs="Times New Roman"/>
          <w:sz w:val="24"/>
          <w:szCs w:val="24"/>
          <w:lang w:val="ru-MD"/>
        </w:rPr>
      </w:pPr>
      <w:r w:rsidRPr="00CC15ED">
        <w:rPr>
          <w:rFonts w:asciiTheme="majorHAnsi" w:eastAsia="Times New Roman" w:hAnsiTheme="majorHAnsi" w:cs="Times New Roman"/>
          <w:sz w:val="24"/>
          <w:szCs w:val="24"/>
          <w:lang w:val="ru-MD" w:eastAsia="ro-MD"/>
        </w:rPr>
        <w:t>Главный публичный аудитор</w:t>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Pr="00CC15ED">
        <w:rPr>
          <w:rFonts w:asciiTheme="majorHAnsi" w:hAnsiTheme="majorHAnsi" w:cs="Times New Roman"/>
          <w:sz w:val="24"/>
          <w:szCs w:val="24"/>
          <w:lang w:val="ru-MD"/>
        </w:rPr>
        <w:t>Елизавета МУНТЯНУ</w:t>
      </w:r>
    </w:p>
    <w:p w:rsidR="003A3B1B" w:rsidRPr="00CC15ED" w:rsidRDefault="00CC15ED" w:rsidP="003A3B1B">
      <w:pPr>
        <w:spacing w:after="0" w:line="276" w:lineRule="auto"/>
        <w:jc w:val="both"/>
        <w:rPr>
          <w:rFonts w:asciiTheme="majorHAnsi" w:hAnsiTheme="majorHAnsi" w:cs="Times New Roman"/>
          <w:sz w:val="24"/>
          <w:szCs w:val="24"/>
          <w:lang w:val="ru-MD"/>
        </w:rPr>
      </w:pPr>
      <w:r w:rsidRPr="00CC15ED">
        <w:rPr>
          <w:rFonts w:asciiTheme="majorHAnsi" w:eastAsia="Times New Roman" w:hAnsiTheme="majorHAnsi" w:cs="Times New Roman"/>
          <w:sz w:val="24"/>
          <w:szCs w:val="24"/>
          <w:lang w:val="ru-MD" w:eastAsia="ro-MD"/>
        </w:rPr>
        <w:t>Главный публичный аудитор</w:t>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Pr="00CC15ED">
        <w:rPr>
          <w:rFonts w:asciiTheme="majorHAnsi" w:hAnsiTheme="majorHAnsi" w:cs="Times New Roman"/>
          <w:sz w:val="24"/>
          <w:szCs w:val="24"/>
          <w:lang w:val="ru-MD"/>
        </w:rPr>
        <w:t>Лилия БАСАРАБ</w:t>
      </w:r>
    </w:p>
    <w:p w:rsidR="003A3B1B" w:rsidRPr="00CC15ED" w:rsidRDefault="00CC15ED" w:rsidP="003A3B1B">
      <w:pPr>
        <w:spacing w:after="0" w:line="276" w:lineRule="auto"/>
        <w:jc w:val="both"/>
        <w:rPr>
          <w:rFonts w:asciiTheme="majorHAnsi" w:hAnsiTheme="majorHAnsi" w:cs="Times New Roman"/>
          <w:b/>
          <w:sz w:val="24"/>
          <w:szCs w:val="24"/>
          <w:lang w:val="ru-MD"/>
        </w:rPr>
      </w:pPr>
      <w:r w:rsidRPr="00CC15ED">
        <w:rPr>
          <w:rFonts w:asciiTheme="majorHAnsi" w:eastAsia="Times New Roman" w:hAnsiTheme="majorHAnsi" w:cs="Times New Roman"/>
          <w:sz w:val="24"/>
          <w:szCs w:val="24"/>
          <w:lang w:val="ru-MD" w:eastAsia="ro-MD"/>
        </w:rPr>
        <w:t>Публичный аудитор</w:t>
      </w:r>
      <w:r w:rsidR="003A3B1B" w:rsidRPr="00CC15ED">
        <w:rPr>
          <w:rFonts w:asciiTheme="majorHAnsi" w:hAnsiTheme="majorHAnsi" w:cs="Times New Roman"/>
          <w:sz w:val="24"/>
          <w:szCs w:val="24"/>
          <w:lang w:val="ru-MD"/>
        </w:rPr>
        <w:t xml:space="preserve">                                                                      </w:t>
      </w:r>
      <w:r w:rsidRPr="00CC15ED">
        <w:rPr>
          <w:rFonts w:asciiTheme="majorHAnsi" w:hAnsiTheme="majorHAnsi" w:cs="Times New Roman"/>
          <w:sz w:val="24"/>
          <w:szCs w:val="24"/>
          <w:lang w:val="ru-MD"/>
        </w:rPr>
        <w:t>Ольга КЭПЭЦИНЭ</w:t>
      </w:r>
    </w:p>
    <w:p w:rsidR="00CC15ED" w:rsidRDefault="00CC15ED" w:rsidP="003A3B1B">
      <w:pPr>
        <w:spacing w:after="0" w:line="276" w:lineRule="auto"/>
        <w:jc w:val="both"/>
        <w:rPr>
          <w:rFonts w:asciiTheme="majorHAnsi" w:eastAsia="Times New Roman" w:hAnsiTheme="majorHAnsi" w:cs="Times New Roman"/>
          <w:b/>
          <w:i/>
          <w:sz w:val="24"/>
          <w:szCs w:val="24"/>
          <w:lang w:val="ru-MD"/>
        </w:rPr>
      </w:pPr>
    </w:p>
    <w:p w:rsidR="003A3B1B" w:rsidRPr="00CC15ED" w:rsidRDefault="00CC15ED" w:rsidP="003A3B1B">
      <w:pPr>
        <w:spacing w:after="0" w:line="276" w:lineRule="auto"/>
        <w:jc w:val="both"/>
        <w:rPr>
          <w:rFonts w:asciiTheme="majorHAnsi" w:eastAsia="Times New Roman" w:hAnsiTheme="majorHAnsi" w:cs="Times New Roman"/>
          <w:b/>
          <w:i/>
          <w:sz w:val="24"/>
          <w:szCs w:val="24"/>
          <w:lang w:val="ru-MD"/>
        </w:rPr>
      </w:pPr>
      <w:r>
        <w:rPr>
          <w:rFonts w:asciiTheme="majorHAnsi" w:eastAsia="Times New Roman" w:hAnsiTheme="majorHAnsi" w:cs="Times New Roman"/>
          <w:b/>
          <w:i/>
          <w:sz w:val="24"/>
          <w:szCs w:val="24"/>
          <w:lang w:val="ru-MD"/>
        </w:rPr>
        <w:t>Ответственный за аудит</w:t>
      </w:r>
      <w:r w:rsidR="003A3B1B" w:rsidRPr="00CC15ED">
        <w:rPr>
          <w:rFonts w:asciiTheme="majorHAnsi" w:eastAsia="Times New Roman" w:hAnsiTheme="majorHAnsi" w:cs="Times New Roman"/>
          <w:b/>
          <w:i/>
          <w:sz w:val="24"/>
          <w:szCs w:val="24"/>
          <w:lang w:val="ru-MD"/>
        </w:rPr>
        <w:t>:</w:t>
      </w:r>
    </w:p>
    <w:p w:rsidR="003A3B1B" w:rsidRPr="00CC15ED" w:rsidRDefault="00CC15ED" w:rsidP="00CC15ED">
      <w:pPr>
        <w:tabs>
          <w:tab w:val="left" w:pos="5580"/>
          <w:tab w:val="left" w:pos="5760"/>
        </w:tabs>
        <w:spacing w:after="0" w:line="276" w:lineRule="auto"/>
        <w:jc w:val="both"/>
        <w:rPr>
          <w:rFonts w:asciiTheme="majorHAnsi" w:hAnsiTheme="majorHAnsi" w:cs="Times New Roman"/>
          <w:sz w:val="24"/>
          <w:szCs w:val="24"/>
          <w:lang w:val="ru-MD"/>
        </w:rPr>
      </w:pPr>
      <w:r w:rsidRPr="00CC15ED">
        <w:rPr>
          <w:rFonts w:asciiTheme="majorHAnsi" w:hAnsiTheme="majorHAnsi" w:cs="Times New Roman"/>
          <w:sz w:val="24"/>
          <w:szCs w:val="24"/>
          <w:lang w:val="ru-MD"/>
        </w:rPr>
        <w:t>Начальник Главного управления аудита IV</w:t>
      </w:r>
      <w:r w:rsidR="003A3B1B" w:rsidRPr="00CC15ED">
        <w:rPr>
          <w:rFonts w:asciiTheme="majorHAnsi" w:hAnsiTheme="majorHAnsi" w:cs="Times New Roman"/>
          <w:sz w:val="24"/>
          <w:szCs w:val="24"/>
          <w:lang w:val="ru-MD"/>
        </w:rPr>
        <w:tab/>
      </w:r>
      <w:r w:rsidR="003A3B1B" w:rsidRPr="00CC15ED">
        <w:rPr>
          <w:rFonts w:asciiTheme="majorHAnsi" w:hAnsiTheme="majorHAnsi" w:cs="Times New Roman"/>
          <w:sz w:val="24"/>
          <w:szCs w:val="24"/>
          <w:lang w:val="ru-MD"/>
        </w:rPr>
        <w:tab/>
      </w:r>
      <w:r w:rsidRPr="00CC15ED">
        <w:rPr>
          <w:rFonts w:asciiTheme="majorHAnsi" w:hAnsiTheme="majorHAnsi" w:cs="Times New Roman"/>
          <w:sz w:val="24"/>
          <w:szCs w:val="24"/>
          <w:lang w:val="ru-MD"/>
        </w:rPr>
        <w:t>Василе МОШОЙ</w:t>
      </w:r>
    </w:p>
    <w:p w:rsidR="003E33AE" w:rsidRPr="00CC15ED" w:rsidRDefault="003E33AE" w:rsidP="003A3B1B">
      <w:pPr>
        <w:spacing w:after="0" w:line="276" w:lineRule="auto"/>
        <w:jc w:val="both"/>
        <w:rPr>
          <w:rFonts w:asciiTheme="majorHAnsi" w:hAnsiTheme="majorHAnsi" w:cs="Times New Roman"/>
          <w:sz w:val="24"/>
          <w:szCs w:val="24"/>
          <w:lang w:val="ru-MD"/>
        </w:rPr>
      </w:pPr>
    </w:p>
    <w:sectPr w:rsidR="003E33AE" w:rsidRPr="00CC15ED" w:rsidSect="003E33AE">
      <w:footerReference w:type="default" r:id="rId11"/>
      <w:pgSz w:w="11906" w:h="16838" w:code="9"/>
      <w:pgMar w:top="709"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EC" w:rsidRDefault="00BB27EC" w:rsidP="00125D9C">
      <w:pPr>
        <w:spacing w:after="0" w:line="240" w:lineRule="auto"/>
      </w:pPr>
      <w:r>
        <w:separator/>
      </w:r>
    </w:p>
  </w:endnote>
  <w:endnote w:type="continuationSeparator" w:id="0">
    <w:p w:rsidR="00BB27EC" w:rsidRDefault="00BB27EC"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2540"/>
      <w:docPartObj>
        <w:docPartGallery w:val="Page Numbers (Bottom of Page)"/>
        <w:docPartUnique/>
      </w:docPartObj>
    </w:sdtPr>
    <w:sdtEndPr>
      <w:rPr>
        <w:noProof/>
      </w:rPr>
    </w:sdtEndPr>
    <w:sdtContent>
      <w:p w:rsidR="00B07F3D" w:rsidRDefault="00C22F51">
        <w:pPr>
          <w:pStyle w:val="Footer"/>
          <w:jc w:val="right"/>
        </w:pPr>
        <w:r>
          <w:fldChar w:fldCharType="begin"/>
        </w:r>
        <w:r>
          <w:instrText xml:space="preserve"> PAGE   \* MERGEFORMAT </w:instrText>
        </w:r>
        <w:r>
          <w:fldChar w:fldCharType="separate"/>
        </w:r>
        <w:r w:rsidR="00472632">
          <w:rPr>
            <w:noProof/>
          </w:rPr>
          <w:t>5</w:t>
        </w:r>
        <w:r>
          <w:rPr>
            <w:noProof/>
          </w:rPr>
          <w:fldChar w:fldCharType="end"/>
        </w:r>
      </w:p>
    </w:sdtContent>
  </w:sdt>
  <w:p w:rsidR="00B07F3D" w:rsidRDefault="00BB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EC" w:rsidRDefault="00BB27EC" w:rsidP="00125D9C">
      <w:pPr>
        <w:spacing w:after="0" w:line="240" w:lineRule="auto"/>
      </w:pPr>
      <w:r>
        <w:separator/>
      </w:r>
    </w:p>
  </w:footnote>
  <w:footnote w:type="continuationSeparator" w:id="0">
    <w:p w:rsidR="00BB27EC" w:rsidRDefault="00BB27EC" w:rsidP="00125D9C">
      <w:pPr>
        <w:spacing w:after="0" w:line="240" w:lineRule="auto"/>
      </w:pPr>
      <w:r>
        <w:continuationSeparator/>
      </w:r>
    </w:p>
  </w:footnote>
  <w:footnote w:id="1">
    <w:p w:rsidR="00AE5364" w:rsidRPr="00AE5364" w:rsidRDefault="00AE5364" w:rsidP="00AE5364">
      <w:pPr>
        <w:pStyle w:val="FootnoteText"/>
        <w:ind w:right="-285"/>
        <w:jc w:val="both"/>
        <w:rPr>
          <w:rFonts w:asciiTheme="majorHAnsi" w:hAnsiTheme="majorHAnsi" w:cstheme="majorHAnsi"/>
          <w:lang w:val="ro-MD"/>
        </w:rPr>
      </w:pPr>
      <w:r w:rsidRPr="00AE5364">
        <w:rPr>
          <w:rFonts w:asciiTheme="majorHAnsi" w:eastAsia="Times New Roman" w:hAnsiTheme="majorHAnsi" w:cstheme="majorHAnsi"/>
          <w:vertAlign w:val="superscript"/>
          <w:lang w:val="ro-MD"/>
        </w:rPr>
        <w:footnoteRef/>
      </w:r>
      <w:r w:rsidRPr="00AE5364">
        <w:rPr>
          <w:rFonts w:asciiTheme="majorHAnsi" w:eastAsia="Times New Roman" w:hAnsiTheme="majorHAnsi" w:cstheme="majorHAnsi"/>
          <w:lang w:val="ro-MD"/>
        </w:rPr>
        <w:t xml:space="preserve"> </w:t>
      </w:r>
      <w:r w:rsidRPr="00AE5364">
        <w:rPr>
          <w:rFonts w:asciiTheme="majorHAnsi" w:eastAsia="Times New Roman" w:hAnsiTheme="majorHAnsi" w:cstheme="majorHAnsi"/>
          <w:lang w:val="ru-MD"/>
        </w:rPr>
        <w:t>Закон о бухгалтерском учете №113-XVI от 27.04.2007; Приказ министра финансов №216 от 28.12.</w:t>
      </w:r>
      <w:r>
        <w:rPr>
          <w:rFonts w:asciiTheme="majorHAnsi" w:eastAsia="Times New Roman" w:hAnsiTheme="majorHAnsi" w:cstheme="majorHAnsi"/>
          <w:lang w:val="ru-MD"/>
        </w:rPr>
        <w:t xml:space="preserve">15 </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Об утверждении </w:t>
      </w:r>
      <w:r w:rsidRPr="00AE5364">
        <w:rPr>
          <w:rFonts w:asciiTheme="majorHAnsi" w:eastAsia="Times New Roman" w:hAnsiTheme="majorHAnsi" w:cstheme="majorHAnsi"/>
          <w:lang w:val="ru-MD"/>
        </w:rPr>
        <w:t>План</w:t>
      </w:r>
      <w:r>
        <w:rPr>
          <w:rFonts w:asciiTheme="majorHAnsi" w:eastAsia="Times New Roman" w:hAnsiTheme="majorHAnsi" w:cstheme="majorHAnsi"/>
          <w:lang w:val="ru-MD"/>
        </w:rPr>
        <w:t>а</w:t>
      </w:r>
      <w:r w:rsidRPr="00AE5364">
        <w:rPr>
          <w:rFonts w:asciiTheme="majorHAnsi" w:eastAsia="Times New Roman" w:hAnsiTheme="majorHAnsi" w:cstheme="majorHAnsi"/>
          <w:lang w:val="ru-MD"/>
        </w:rPr>
        <w:t xml:space="preserve"> счетов бюджетного учета и Методологически</w:t>
      </w:r>
      <w:r>
        <w:rPr>
          <w:rFonts w:asciiTheme="majorHAnsi" w:eastAsia="Times New Roman" w:hAnsiTheme="majorHAnsi" w:cstheme="majorHAnsi"/>
          <w:lang w:val="ru-MD"/>
        </w:rPr>
        <w:t>х</w:t>
      </w:r>
      <w:r w:rsidRPr="00AE5364">
        <w:rPr>
          <w:rFonts w:asciiTheme="majorHAnsi" w:eastAsia="Times New Roman" w:hAnsiTheme="majorHAnsi" w:cstheme="majorHAnsi"/>
          <w:lang w:val="ru-MD"/>
        </w:rPr>
        <w:t xml:space="preserve"> норм организации бухгалтерского учета и финансовой отчетности бюджетных учреждений</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 </w:t>
      </w:r>
      <w:r w:rsidRPr="00E7638C">
        <w:rPr>
          <w:rFonts w:ascii="Calibri Light" w:hAnsi="Calibri Light" w:cs="Calibri Light"/>
          <w:lang w:val="ru-MD"/>
        </w:rPr>
        <w:t>Приказ министра финансов №164 от 30.12.2016 „</w:t>
      </w:r>
      <w:r w:rsidRPr="00E7638C">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E7638C">
        <w:rPr>
          <w:rFonts w:ascii="Calibri Light" w:hAnsi="Calibri Light" w:cs="Calibri Light"/>
          <w:lang w:val="ru-MD"/>
        </w:rPr>
        <w:t>”</w:t>
      </w:r>
      <w:r w:rsidRPr="00AE5364">
        <w:rPr>
          <w:rFonts w:asciiTheme="majorHAnsi" w:eastAsia="Times New Roman" w:hAnsiTheme="majorHAnsi" w:cstheme="majorHAnsi"/>
          <w:lang w:val="ru-MD"/>
        </w:rPr>
        <w:t xml:space="preserve">. </w:t>
      </w:r>
    </w:p>
  </w:footnote>
  <w:footnote w:id="2">
    <w:p w:rsidR="00AE5364" w:rsidRPr="00F23811" w:rsidRDefault="00AE5364" w:rsidP="00AE5364">
      <w:pPr>
        <w:pStyle w:val="FootnoteText"/>
        <w:rPr>
          <w:rFonts w:asciiTheme="majorHAnsi" w:eastAsia="Times New Roman"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3">
    <w:p w:rsidR="00CB7D69" w:rsidRPr="004760A3" w:rsidRDefault="00CB7D69" w:rsidP="00CB7D69">
      <w:pPr>
        <w:pStyle w:val="FootnoteText"/>
        <w:jc w:val="both"/>
        <w:rPr>
          <w:rFonts w:asciiTheme="majorHAnsi" w:hAnsiTheme="majorHAnsi" w:cstheme="majorHAnsi"/>
          <w:lang w:val="ru-MD"/>
        </w:rPr>
      </w:pPr>
      <w:r w:rsidRPr="004760A3">
        <w:rPr>
          <w:rStyle w:val="FootnoteReference"/>
          <w:rFonts w:asciiTheme="majorHAnsi" w:hAnsiTheme="majorHAnsi" w:cstheme="majorHAnsi"/>
          <w:lang w:val="ru-MD"/>
        </w:rPr>
        <w:footnoteRef/>
      </w:r>
      <w:r w:rsidRPr="004760A3">
        <w:rPr>
          <w:rFonts w:asciiTheme="majorHAnsi" w:hAnsiTheme="majorHAnsi" w:cstheme="majorHAnsi"/>
          <w:lang w:val="ru-MD"/>
        </w:rPr>
        <w:t xml:space="preserve"> </w:t>
      </w:r>
      <w:r w:rsidR="004760A3" w:rsidRPr="004760A3">
        <w:rPr>
          <w:rFonts w:asciiTheme="majorHAnsi" w:hAnsiTheme="majorHAnsi" w:cstheme="majorHAnsi"/>
          <w:lang w:val="ru-MD"/>
        </w:rPr>
        <w:t>Ст</w:t>
      </w:r>
      <w:r w:rsidRPr="004760A3">
        <w:rPr>
          <w:rFonts w:asciiTheme="majorHAnsi" w:hAnsiTheme="majorHAnsi" w:cstheme="majorHAnsi"/>
          <w:lang w:val="ru-MD"/>
        </w:rPr>
        <w:t xml:space="preserve">.13 (2) </w:t>
      </w:r>
      <w:r w:rsidR="004760A3" w:rsidRPr="004760A3">
        <w:rPr>
          <w:rFonts w:asciiTheme="majorHAnsi" w:eastAsia="Times New Roman" w:hAnsiTheme="majorHAnsi" w:cstheme="majorHAnsi"/>
          <w:lang w:val="ru-MD"/>
        </w:rPr>
        <w:t>Закона о бухгалтерском учете №</w:t>
      </w:r>
      <w:r w:rsidRPr="004760A3">
        <w:rPr>
          <w:rFonts w:asciiTheme="majorHAnsi" w:hAnsiTheme="majorHAnsi" w:cstheme="majorHAnsi"/>
          <w:lang w:val="ru-MD"/>
        </w:rPr>
        <w:t xml:space="preserve">113-XVI </w:t>
      </w:r>
      <w:r w:rsidR="004760A3" w:rsidRPr="004760A3">
        <w:rPr>
          <w:rFonts w:asciiTheme="majorHAnsi" w:hAnsiTheme="majorHAnsi" w:cstheme="majorHAnsi"/>
          <w:lang w:val="ru-MD"/>
        </w:rPr>
        <w:t>от</w:t>
      </w:r>
      <w:r w:rsidRPr="004760A3">
        <w:rPr>
          <w:rFonts w:asciiTheme="majorHAnsi" w:hAnsiTheme="majorHAnsi" w:cstheme="majorHAnsi"/>
          <w:lang w:val="ru-MD"/>
        </w:rPr>
        <w:t xml:space="preserve"> 27.04.2007; </w:t>
      </w:r>
      <w:r w:rsidR="004760A3" w:rsidRPr="004760A3">
        <w:rPr>
          <w:rFonts w:asciiTheme="majorHAnsi" w:hAnsiTheme="majorHAnsi" w:cstheme="majorHAnsi"/>
          <w:lang w:val="ru-MD"/>
        </w:rPr>
        <w:t>п</w:t>
      </w:r>
      <w:r w:rsidRPr="004760A3">
        <w:rPr>
          <w:rFonts w:asciiTheme="majorHAnsi" w:hAnsiTheme="majorHAnsi" w:cstheme="majorHAnsi"/>
          <w:lang w:val="ru-MD"/>
        </w:rPr>
        <w:t xml:space="preserve">.1.4.1.3. </w:t>
      </w:r>
      <w:r w:rsidR="004760A3" w:rsidRPr="004760A3">
        <w:rPr>
          <w:rFonts w:asciiTheme="majorHAnsi" w:hAnsiTheme="majorHAnsi" w:cstheme="majorHAnsi"/>
          <w:lang w:val="ru-MD"/>
        </w:rPr>
        <w:t xml:space="preserve"> Приложения №</w:t>
      </w:r>
      <w:r w:rsidRPr="004760A3">
        <w:rPr>
          <w:rFonts w:asciiTheme="majorHAnsi" w:hAnsiTheme="majorHAnsi" w:cstheme="majorHAnsi"/>
          <w:lang w:val="ru-MD"/>
        </w:rPr>
        <w:t xml:space="preserve">1 </w:t>
      </w:r>
      <w:r w:rsidR="004760A3" w:rsidRPr="004760A3">
        <w:rPr>
          <w:rFonts w:asciiTheme="majorHAnsi" w:hAnsiTheme="majorHAnsi" w:cstheme="majorHAnsi"/>
          <w:lang w:val="ru-MD"/>
        </w:rPr>
        <w:t>к</w:t>
      </w:r>
      <w:r w:rsidRPr="004760A3">
        <w:rPr>
          <w:rFonts w:asciiTheme="majorHAnsi" w:hAnsiTheme="majorHAnsi" w:cstheme="majorHAnsi"/>
          <w:lang w:val="ru-MD"/>
        </w:rPr>
        <w:t xml:space="preserve"> </w:t>
      </w:r>
      <w:r w:rsidR="004760A3" w:rsidRPr="004760A3">
        <w:rPr>
          <w:rFonts w:asciiTheme="majorHAnsi" w:eastAsia="Times New Roman" w:hAnsiTheme="majorHAnsi" w:cstheme="majorHAnsi"/>
          <w:lang w:val="ru-MD"/>
        </w:rPr>
        <w:t>Приказу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4760A3">
        <w:rPr>
          <w:rFonts w:asciiTheme="majorHAnsi" w:eastAsia="Times New Roman" w:hAnsiTheme="majorHAnsi" w:cstheme="majorHAnsi"/>
          <w:lang w:val="ru-MD"/>
        </w:rPr>
        <w:t>.</w:t>
      </w:r>
    </w:p>
  </w:footnote>
  <w:footnote w:id="4">
    <w:p w:rsidR="0042193F" w:rsidRPr="004760A3" w:rsidRDefault="0042193F" w:rsidP="0042193F">
      <w:pPr>
        <w:pStyle w:val="FootnoteText"/>
        <w:jc w:val="both"/>
        <w:rPr>
          <w:rFonts w:asciiTheme="majorHAnsi" w:hAnsiTheme="majorHAnsi" w:cstheme="majorHAnsi"/>
          <w:lang w:val="ru-MD"/>
        </w:rPr>
      </w:pPr>
      <w:r w:rsidRPr="004760A3">
        <w:rPr>
          <w:rStyle w:val="FootnoteReference"/>
          <w:rFonts w:asciiTheme="majorHAnsi" w:hAnsiTheme="majorHAnsi" w:cstheme="majorHAnsi"/>
          <w:lang w:val="ru-MD"/>
        </w:rPr>
        <w:footnoteRef/>
      </w:r>
      <w:r w:rsidRPr="004760A3">
        <w:rPr>
          <w:rFonts w:asciiTheme="majorHAnsi" w:hAnsiTheme="majorHAnsi" w:cstheme="majorHAnsi"/>
          <w:lang w:val="ru-MD"/>
        </w:rPr>
        <w:t xml:space="preserve"> </w:t>
      </w:r>
      <w:r w:rsidR="004760A3" w:rsidRPr="004760A3">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004760A3" w:rsidRPr="004760A3">
        <w:rPr>
          <w:rFonts w:ascii="Calibri Light" w:hAnsi="Calibri Light" w:cs="Calibri Light"/>
          <w:lang w:val="ru-MD"/>
        </w:rPr>
        <w:t>Приказ министра финансов №164 от 30.12.2016 „</w:t>
      </w:r>
      <w:r w:rsidR="004760A3" w:rsidRPr="004760A3">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004760A3" w:rsidRPr="004760A3">
        <w:rPr>
          <w:rFonts w:ascii="Calibri Light" w:hAnsi="Calibri Light" w:cs="Calibri Light"/>
          <w:lang w:val="ru-MD"/>
        </w:rPr>
        <w:t>”</w:t>
      </w:r>
      <w:r w:rsidRPr="004760A3">
        <w:rPr>
          <w:rFonts w:asciiTheme="majorHAnsi" w:eastAsia="Times New Roman"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1"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4"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9"/>
  </w:num>
  <w:num w:numId="2">
    <w:abstractNumId w:val="3"/>
  </w:num>
  <w:num w:numId="3">
    <w:abstractNumId w:val="4"/>
  </w:num>
  <w:num w:numId="4">
    <w:abstractNumId w:val="7"/>
  </w:num>
  <w:num w:numId="5">
    <w:abstractNumId w:val="2"/>
  </w:num>
  <w:num w:numId="6">
    <w:abstractNumId w:val="8"/>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47CEC"/>
    <w:rsid w:val="00050DDE"/>
    <w:rsid w:val="00055F99"/>
    <w:rsid w:val="00084D21"/>
    <w:rsid w:val="0008557E"/>
    <w:rsid w:val="000C20C7"/>
    <w:rsid w:val="000C48CC"/>
    <w:rsid w:val="00100B45"/>
    <w:rsid w:val="00106292"/>
    <w:rsid w:val="00113C19"/>
    <w:rsid w:val="00125D9C"/>
    <w:rsid w:val="00132C7D"/>
    <w:rsid w:val="001334DA"/>
    <w:rsid w:val="00157FD2"/>
    <w:rsid w:val="0016053B"/>
    <w:rsid w:val="0016677F"/>
    <w:rsid w:val="001819BB"/>
    <w:rsid w:val="00182AA1"/>
    <w:rsid w:val="00187A71"/>
    <w:rsid w:val="00196979"/>
    <w:rsid w:val="001A4506"/>
    <w:rsid w:val="001A51BE"/>
    <w:rsid w:val="001A7556"/>
    <w:rsid w:val="001B1957"/>
    <w:rsid w:val="001C4040"/>
    <w:rsid w:val="001D6C36"/>
    <w:rsid w:val="001E0AD8"/>
    <w:rsid w:val="001E2D3C"/>
    <w:rsid w:val="001E66FA"/>
    <w:rsid w:val="001F4E4A"/>
    <w:rsid w:val="001F6717"/>
    <w:rsid w:val="0023023B"/>
    <w:rsid w:val="002330D4"/>
    <w:rsid w:val="00247E0D"/>
    <w:rsid w:val="00250773"/>
    <w:rsid w:val="002553F0"/>
    <w:rsid w:val="00257402"/>
    <w:rsid w:val="00274D24"/>
    <w:rsid w:val="00283ACE"/>
    <w:rsid w:val="0028479E"/>
    <w:rsid w:val="002A606C"/>
    <w:rsid w:val="002C7E61"/>
    <w:rsid w:val="002D3FAB"/>
    <w:rsid w:val="002E594A"/>
    <w:rsid w:val="002E7101"/>
    <w:rsid w:val="002F0B68"/>
    <w:rsid w:val="003105B0"/>
    <w:rsid w:val="00315518"/>
    <w:rsid w:val="0033101A"/>
    <w:rsid w:val="00346E3E"/>
    <w:rsid w:val="00361C43"/>
    <w:rsid w:val="00363058"/>
    <w:rsid w:val="00363CCE"/>
    <w:rsid w:val="00365E9B"/>
    <w:rsid w:val="00382A78"/>
    <w:rsid w:val="00390C62"/>
    <w:rsid w:val="003A08D3"/>
    <w:rsid w:val="003A3B1B"/>
    <w:rsid w:val="003A4B95"/>
    <w:rsid w:val="003A5E33"/>
    <w:rsid w:val="003B2FDF"/>
    <w:rsid w:val="003B5F9F"/>
    <w:rsid w:val="003D766E"/>
    <w:rsid w:val="003E1994"/>
    <w:rsid w:val="003E2A41"/>
    <w:rsid w:val="003E2E3C"/>
    <w:rsid w:val="003E33AE"/>
    <w:rsid w:val="003E4DF8"/>
    <w:rsid w:val="003E5814"/>
    <w:rsid w:val="003F31B1"/>
    <w:rsid w:val="004045B0"/>
    <w:rsid w:val="0042193F"/>
    <w:rsid w:val="00425458"/>
    <w:rsid w:val="0042719A"/>
    <w:rsid w:val="00431598"/>
    <w:rsid w:val="00434866"/>
    <w:rsid w:val="004637FE"/>
    <w:rsid w:val="00464B99"/>
    <w:rsid w:val="004715E4"/>
    <w:rsid w:val="00471AB8"/>
    <w:rsid w:val="00472632"/>
    <w:rsid w:val="00474833"/>
    <w:rsid w:val="004760A3"/>
    <w:rsid w:val="00477B03"/>
    <w:rsid w:val="0049747C"/>
    <w:rsid w:val="004B07DC"/>
    <w:rsid w:val="004B229B"/>
    <w:rsid w:val="004D2886"/>
    <w:rsid w:val="004F2AA3"/>
    <w:rsid w:val="005025C5"/>
    <w:rsid w:val="00525684"/>
    <w:rsid w:val="00526429"/>
    <w:rsid w:val="00535BF6"/>
    <w:rsid w:val="00536588"/>
    <w:rsid w:val="00546162"/>
    <w:rsid w:val="00552B95"/>
    <w:rsid w:val="005638B6"/>
    <w:rsid w:val="00577587"/>
    <w:rsid w:val="005B0AA3"/>
    <w:rsid w:val="005B637F"/>
    <w:rsid w:val="005C49D3"/>
    <w:rsid w:val="005C681C"/>
    <w:rsid w:val="005D6363"/>
    <w:rsid w:val="005D6476"/>
    <w:rsid w:val="005E4823"/>
    <w:rsid w:val="005E64BC"/>
    <w:rsid w:val="00615974"/>
    <w:rsid w:val="0061789A"/>
    <w:rsid w:val="00620457"/>
    <w:rsid w:val="00626F4D"/>
    <w:rsid w:val="00644EA2"/>
    <w:rsid w:val="00665398"/>
    <w:rsid w:val="00666DA3"/>
    <w:rsid w:val="00667747"/>
    <w:rsid w:val="00674498"/>
    <w:rsid w:val="00681DFA"/>
    <w:rsid w:val="00682AF6"/>
    <w:rsid w:val="00687D34"/>
    <w:rsid w:val="00692681"/>
    <w:rsid w:val="006927BD"/>
    <w:rsid w:val="006B55A8"/>
    <w:rsid w:val="00704CCB"/>
    <w:rsid w:val="007076F2"/>
    <w:rsid w:val="00766247"/>
    <w:rsid w:val="00766C72"/>
    <w:rsid w:val="00771ACE"/>
    <w:rsid w:val="00771CF5"/>
    <w:rsid w:val="00784EA7"/>
    <w:rsid w:val="00791AB1"/>
    <w:rsid w:val="007B3FF0"/>
    <w:rsid w:val="007C4950"/>
    <w:rsid w:val="007C5D08"/>
    <w:rsid w:val="007C7DF6"/>
    <w:rsid w:val="007E79C8"/>
    <w:rsid w:val="007F2C09"/>
    <w:rsid w:val="00800D62"/>
    <w:rsid w:val="00816146"/>
    <w:rsid w:val="00820983"/>
    <w:rsid w:val="00821F6C"/>
    <w:rsid w:val="00825026"/>
    <w:rsid w:val="00835032"/>
    <w:rsid w:val="00837805"/>
    <w:rsid w:val="00841F57"/>
    <w:rsid w:val="00845A1B"/>
    <w:rsid w:val="008515B1"/>
    <w:rsid w:val="00880E60"/>
    <w:rsid w:val="008900F9"/>
    <w:rsid w:val="00894942"/>
    <w:rsid w:val="00894A0A"/>
    <w:rsid w:val="008A6964"/>
    <w:rsid w:val="008A6DC9"/>
    <w:rsid w:val="008C6AA5"/>
    <w:rsid w:val="008F0B19"/>
    <w:rsid w:val="008F36C6"/>
    <w:rsid w:val="00907B86"/>
    <w:rsid w:val="00914602"/>
    <w:rsid w:val="00930CBC"/>
    <w:rsid w:val="009370C4"/>
    <w:rsid w:val="00937DDF"/>
    <w:rsid w:val="00967B2F"/>
    <w:rsid w:val="009922E7"/>
    <w:rsid w:val="00995DD2"/>
    <w:rsid w:val="009A6F8A"/>
    <w:rsid w:val="009C43A6"/>
    <w:rsid w:val="009D0E14"/>
    <w:rsid w:val="009D3406"/>
    <w:rsid w:val="009F3366"/>
    <w:rsid w:val="009F3FAE"/>
    <w:rsid w:val="00A00CDA"/>
    <w:rsid w:val="00A04D59"/>
    <w:rsid w:val="00A16057"/>
    <w:rsid w:val="00A17B1B"/>
    <w:rsid w:val="00A20A1F"/>
    <w:rsid w:val="00A215B9"/>
    <w:rsid w:val="00A45727"/>
    <w:rsid w:val="00A51996"/>
    <w:rsid w:val="00A7280E"/>
    <w:rsid w:val="00AB34DC"/>
    <w:rsid w:val="00AC0127"/>
    <w:rsid w:val="00AC5001"/>
    <w:rsid w:val="00AC6D63"/>
    <w:rsid w:val="00AD1B80"/>
    <w:rsid w:val="00AE5364"/>
    <w:rsid w:val="00AF6205"/>
    <w:rsid w:val="00B00FBC"/>
    <w:rsid w:val="00B06BE1"/>
    <w:rsid w:val="00B46550"/>
    <w:rsid w:val="00B60131"/>
    <w:rsid w:val="00B772C1"/>
    <w:rsid w:val="00BB1A64"/>
    <w:rsid w:val="00BB27EC"/>
    <w:rsid w:val="00BB366F"/>
    <w:rsid w:val="00BB5FC3"/>
    <w:rsid w:val="00BD7B9B"/>
    <w:rsid w:val="00BF6BF3"/>
    <w:rsid w:val="00BF70CD"/>
    <w:rsid w:val="00C04BF3"/>
    <w:rsid w:val="00C06312"/>
    <w:rsid w:val="00C1513B"/>
    <w:rsid w:val="00C22F51"/>
    <w:rsid w:val="00C278FC"/>
    <w:rsid w:val="00C534BD"/>
    <w:rsid w:val="00C855F3"/>
    <w:rsid w:val="00C934FE"/>
    <w:rsid w:val="00CA1B54"/>
    <w:rsid w:val="00CB0016"/>
    <w:rsid w:val="00CB7D69"/>
    <w:rsid w:val="00CC15ED"/>
    <w:rsid w:val="00CC30E6"/>
    <w:rsid w:val="00CF16E8"/>
    <w:rsid w:val="00D01D00"/>
    <w:rsid w:val="00D16663"/>
    <w:rsid w:val="00D268EE"/>
    <w:rsid w:val="00D51CA3"/>
    <w:rsid w:val="00D529D0"/>
    <w:rsid w:val="00D57186"/>
    <w:rsid w:val="00D644C6"/>
    <w:rsid w:val="00D76FC0"/>
    <w:rsid w:val="00D9346B"/>
    <w:rsid w:val="00DA3853"/>
    <w:rsid w:val="00DB0446"/>
    <w:rsid w:val="00DE0456"/>
    <w:rsid w:val="00DE52BB"/>
    <w:rsid w:val="00DF62E7"/>
    <w:rsid w:val="00E167B3"/>
    <w:rsid w:val="00E16C43"/>
    <w:rsid w:val="00E40DB6"/>
    <w:rsid w:val="00E43BA1"/>
    <w:rsid w:val="00E4413D"/>
    <w:rsid w:val="00E47B8B"/>
    <w:rsid w:val="00E5136B"/>
    <w:rsid w:val="00E51EF2"/>
    <w:rsid w:val="00E67D38"/>
    <w:rsid w:val="00E741E0"/>
    <w:rsid w:val="00E75A39"/>
    <w:rsid w:val="00E7707E"/>
    <w:rsid w:val="00E921C1"/>
    <w:rsid w:val="00EA2202"/>
    <w:rsid w:val="00EB18BE"/>
    <w:rsid w:val="00ED36EA"/>
    <w:rsid w:val="00ED4208"/>
    <w:rsid w:val="00F17A41"/>
    <w:rsid w:val="00F22819"/>
    <w:rsid w:val="00F25BDB"/>
    <w:rsid w:val="00F31077"/>
    <w:rsid w:val="00F4473E"/>
    <w:rsid w:val="00F9581D"/>
    <w:rsid w:val="00FD4DF1"/>
    <w:rsid w:val="00FD6EC7"/>
    <w:rsid w:val="00FE18D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D9C"/>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125D9C"/>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125D9C"/>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125D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25D9C"/>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25D9C"/>
    <w:rPr>
      <w:rFonts w:ascii="Times New Roman" w:eastAsia="Times New Roman" w:hAnsi="Times New Roman" w:cs="Times New Roman"/>
      <w:sz w:val="20"/>
      <w:szCs w:val="20"/>
      <w:lang w:val="lv-LV" w:eastAsia="lv-LV"/>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5D9C"/>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125D9C"/>
    <w:rPr>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rsid w:val="00125D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60DD-319C-41A7-A009-A58516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6774</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2022-08-18T19:10:00Z</dcterms:created>
  <dcterms:modified xsi:type="dcterms:W3CDTF">2022-08-18T19:10:00Z</dcterms:modified>
</cp:coreProperties>
</file>