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BA" w:rsidRPr="00DE616C" w:rsidRDefault="00E827BA" w:rsidP="00E827BA">
      <w:pPr>
        <w:tabs>
          <w:tab w:val="left" w:pos="720"/>
        </w:tabs>
        <w:spacing w:after="0" w:line="276" w:lineRule="auto"/>
        <w:jc w:val="right"/>
        <w:rPr>
          <w:rFonts w:asciiTheme="majorHAnsi" w:eastAsia="Times New Roman" w:hAnsiTheme="majorHAnsi" w:cstheme="majorHAnsi"/>
          <w:bCs/>
          <w:sz w:val="28"/>
          <w:szCs w:val="28"/>
          <w:lang w:val="ro-RO"/>
        </w:rPr>
      </w:pPr>
      <w:r w:rsidRPr="00DE616C">
        <w:rPr>
          <w:rFonts w:asciiTheme="majorHAnsi" w:eastAsia="Times New Roman" w:hAnsiTheme="majorHAnsi" w:cstheme="majorHAnsi"/>
          <w:bCs/>
          <w:sz w:val="28"/>
          <w:szCs w:val="28"/>
          <w:lang w:val="ro-RO"/>
        </w:rPr>
        <w:t xml:space="preserve">Anexă </w:t>
      </w:r>
    </w:p>
    <w:p w:rsidR="00E827BA" w:rsidRPr="00DE616C" w:rsidRDefault="00E827BA" w:rsidP="00E827BA">
      <w:pPr>
        <w:tabs>
          <w:tab w:val="left" w:pos="720"/>
        </w:tabs>
        <w:spacing w:after="0" w:line="276" w:lineRule="auto"/>
        <w:jc w:val="right"/>
        <w:rPr>
          <w:rFonts w:asciiTheme="majorHAnsi" w:eastAsia="Times New Roman" w:hAnsiTheme="majorHAnsi" w:cstheme="majorHAnsi"/>
          <w:bCs/>
          <w:sz w:val="28"/>
          <w:szCs w:val="28"/>
          <w:lang w:val="ro-RO"/>
        </w:rPr>
      </w:pPr>
      <w:r w:rsidRPr="00DE616C">
        <w:rPr>
          <w:rFonts w:asciiTheme="majorHAnsi" w:eastAsia="Times New Roman" w:hAnsiTheme="majorHAnsi" w:cstheme="majorHAnsi"/>
          <w:bCs/>
          <w:sz w:val="28"/>
          <w:szCs w:val="28"/>
          <w:lang w:val="ro-RO"/>
        </w:rPr>
        <w:t xml:space="preserve">la Hotărârea Curții de Conturi </w:t>
      </w:r>
    </w:p>
    <w:p w:rsidR="00E827BA" w:rsidRPr="00DE616C" w:rsidRDefault="00E827BA" w:rsidP="00E827BA">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DE616C">
        <w:rPr>
          <w:rFonts w:asciiTheme="majorHAnsi" w:eastAsia="Times New Roman" w:hAnsiTheme="majorHAnsi" w:cstheme="majorHAnsi"/>
          <w:bCs/>
          <w:sz w:val="28"/>
          <w:szCs w:val="28"/>
          <w:lang w:val="ro-RO"/>
        </w:rPr>
        <w:t xml:space="preserve"> nr. </w:t>
      </w:r>
      <w:r>
        <w:rPr>
          <w:rFonts w:asciiTheme="majorHAnsi" w:eastAsia="Times New Roman" w:hAnsiTheme="majorHAnsi" w:cstheme="majorHAnsi"/>
          <w:bCs/>
          <w:sz w:val="28"/>
          <w:szCs w:val="28"/>
          <w:lang w:val="ro-RO"/>
        </w:rPr>
        <w:t>30</w:t>
      </w:r>
      <w:r w:rsidRPr="00DE616C">
        <w:rPr>
          <w:rFonts w:asciiTheme="majorHAnsi" w:eastAsia="Times New Roman" w:hAnsiTheme="majorHAnsi" w:cstheme="majorHAnsi"/>
          <w:bCs/>
          <w:sz w:val="28"/>
          <w:szCs w:val="28"/>
          <w:lang w:val="ro-RO"/>
        </w:rPr>
        <w:t xml:space="preserve"> din 28 iunie 2022</w:t>
      </w:r>
    </w:p>
    <w:p w:rsidR="00E827BA" w:rsidRPr="00DE616C" w:rsidRDefault="00E827BA" w:rsidP="00E827BA">
      <w:pPr>
        <w:spacing w:after="0" w:line="276" w:lineRule="auto"/>
        <w:rPr>
          <w:rFonts w:asciiTheme="majorHAnsi" w:hAnsiTheme="majorHAnsi" w:cstheme="majorHAnsi"/>
          <w:lang w:val="ro-RO"/>
        </w:rPr>
      </w:pPr>
    </w:p>
    <w:p w:rsidR="00E827BA" w:rsidRPr="00DE616C" w:rsidRDefault="00E827BA" w:rsidP="00E827BA">
      <w:pPr>
        <w:spacing w:after="0" w:line="276" w:lineRule="auto"/>
        <w:rPr>
          <w:rFonts w:asciiTheme="majorHAnsi" w:hAnsiTheme="majorHAnsi" w:cstheme="majorHAnsi"/>
          <w:lang w:val="ro-RO"/>
        </w:rPr>
      </w:pPr>
    </w:p>
    <w:p w:rsidR="00E827BA" w:rsidRPr="00DE616C" w:rsidRDefault="00E827BA" w:rsidP="00E827BA">
      <w:pPr>
        <w:spacing w:after="0" w:line="276" w:lineRule="auto"/>
        <w:rPr>
          <w:rFonts w:asciiTheme="majorHAnsi" w:hAnsiTheme="majorHAnsi" w:cstheme="majorHAnsi"/>
          <w:lang w:val="ro-RO"/>
        </w:rPr>
      </w:pPr>
    </w:p>
    <w:p w:rsidR="00E827BA" w:rsidRPr="00DE616C" w:rsidRDefault="00E827BA" w:rsidP="00E827BA">
      <w:pPr>
        <w:spacing w:after="0" w:line="276" w:lineRule="auto"/>
        <w:jc w:val="center"/>
        <w:rPr>
          <w:rFonts w:asciiTheme="majorHAnsi" w:hAnsiTheme="majorHAnsi" w:cstheme="majorHAnsi"/>
          <w:b/>
          <w:sz w:val="28"/>
          <w:szCs w:val="28"/>
          <w:lang w:val="ro-RO"/>
        </w:rPr>
      </w:pPr>
    </w:p>
    <w:p w:rsidR="00E827BA" w:rsidRPr="00DE616C" w:rsidRDefault="00E827BA" w:rsidP="00E827BA">
      <w:pPr>
        <w:spacing w:after="0" w:line="276" w:lineRule="auto"/>
        <w:jc w:val="center"/>
        <w:rPr>
          <w:rFonts w:asciiTheme="majorHAnsi" w:hAnsiTheme="majorHAnsi" w:cstheme="majorHAnsi"/>
          <w:b/>
          <w:sz w:val="28"/>
          <w:szCs w:val="28"/>
          <w:lang w:val="ro-RO"/>
        </w:rPr>
      </w:pPr>
      <w:r w:rsidRPr="00DE616C">
        <w:rPr>
          <w:rFonts w:asciiTheme="majorHAnsi" w:hAnsiTheme="majorHAnsi" w:cstheme="majorHAnsi"/>
          <w:b/>
          <w:noProof/>
          <w:sz w:val="28"/>
          <w:szCs w:val="28"/>
          <w:lang w:val="ru-RU" w:eastAsia="ru-RU"/>
        </w:rPr>
        <w:drawing>
          <wp:inline distT="0" distB="0" distL="0" distR="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E827BA" w:rsidRPr="00DE616C" w:rsidRDefault="00E827BA" w:rsidP="00E827BA">
      <w:pPr>
        <w:spacing w:after="0" w:line="276" w:lineRule="auto"/>
        <w:jc w:val="center"/>
        <w:rPr>
          <w:rFonts w:asciiTheme="majorHAnsi" w:hAnsiTheme="majorHAnsi" w:cstheme="majorHAnsi"/>
          <w:b/>
          <w:sz w:val="28"/>
          <w:szCs w:val="28"/>
          <w:lang w:val="ro-RO"/>
        </w:rPr>
      </w:pPr>
    </w:p>
    <w:p w:rsidR="00E827BA" w:rsidRPr="00DE616C" w:rsidRDefault="00E827BA" w:rsidP="00E827BA">
      <w:pPr>
        <w:spacing w:after="0" w:line="276" w:lineRule="auto"/>
        <w:jc w:val="center"/>
        <w:rPr>
          <w:rFonts w:asciiTheme="majorHAnsi" w:hAnsiTheme="majorHAnsi" w:cstheme="majorHAnsi"/>
          <w:b/>
          <w:sz w:val="28"/>
          <w:szCs w:val="28"/>
          <w:lang w:val="ro-RO"/>
        </w:rPr>
      </w:pPr>
    </w:p>
    <w:p w:rsidR="00E827BA" w:rsidRPr="00DE616C" w:rsidRDefault="00E827BA" w:rsidP="00E827BA">
      <w:pPr>
        <w:spacing w:after="0" w:line="276" w:lineRule="auto"/>
        <w:jc w:val="center"/>
        <w:rPr>
          <w:rFonts w:asciiTheme="majorHAnsi" w:hAnsiTheme="majorHAnsi" w:cstheme="majorHAnsi"/>
          <w:b/>
          <w:sz w:val="28"/>
          <w:szCs w:val="28"/>
          <w:lang w:val="ro-RO"/>
        </w:rPr>
      </w:pPr>
    </w:p>
    <w:p w:rsidR="00E827BA" w:rsidRPr="00DE616C" w:rsidRDefault="00E827BA" w:rsidP="00E827BA">
      <w:pPr>
        <w:spacing w:after="0" w:line="276" w:lineRule="auto"/>
        <w:jc w:val="center"/>
        <w:rPr>
          <w:rFonts w:asciiTheme="majorHAnsi" w:hAnsiTheme="majorHAnsi" w:cstheme="majorHAnsi"/>
          <w:b/>
          <w:sz w:val="28"/>
          <w:szCs w:val="28"/>
          <w:lang w:val="ro-RO"/>
        </w:rPr>
      </w:pPr>
      <w:r w:rsidRPr="00DE616C">
        <w:rPr>
          <w:rFonts w:asciiTheme="majorHAnsi" w:hAnsiTheme="majorHAnsi" w:cstheme="majorHAnsi"/>
          <w:b/>
          <w:sz w:val="28"/>
          <w:szCs w:val="28"/>
          <w:lang w:val="ro-RO"/>
        </w:rPr>
        <w:t>CURTEA DE CONTURI A REPUBLICII MOLDOVA</w:t>
      </w:r>
    </w:p>
    <w:p w:rsidR="00E827BA" w:rsidRPr="00DE616C" w:rsidRDefault="00E827BA" w:rsidP="00E827BA">
      <w:pPr>
        <w:spacing w:after="0" w:line="276" w:lineRule="auto"/>
        <w:rPr>
          <w:rFonts w:asciiTheme="majorHAnsi" w:hAnsiTheme="majorHAnsi" w:cstheme="majorHAnsi"/>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tblPr>
      <w:tblGrid>
        <w:gridCol w:w="9288"/>
      </w:tblGrid>
      <w:tr w:rsidR="00E827BA" w:rsidRPr="00DE616C" w:rsidTr="006B0646">
        <w:trPr>
          <w:trHeight w:val="435"/>
        </w:trPr>
        <w:tc>
          <w:tcPr>
            <w:tcW w:w="9350" w:type="dxa"/>
          </w:tcPr>
          <w:p w:rsidR="00E827BA" w:rsidRPr="00311884" w:rsidRDefault="00E827BA" w:rsidP="006B0646">
            <w:pPr>
              <w:tabs>
                <w:tab w:val="left" w:pos="720"/>
              </w:tabs>
              <w:spacing w:after="0" w:line="276" w:lineRule="auto"/>
              <w:jc w:val="center"/>
              <w:rPr>
                <w:rFonts w:asciiTheme="majorHAnsi" w:hAnsiTheme="majorHAnsi" w:cstheme="majorHAnsi"/>
                <w:sz w:val="18"/>
                <w:szCs w:val="18"/>
                <w:lang w:val="ro-RO"/>
              </w:rPr>
            </w:pPr>
            <w:r w:rsidRPr="00311884">
              <w:rPr>
                <w:rFonts w:asciiTheme="majorHAnsi" w:hAnsiTheme="majorHAnsi" w:cstheme="majorHAnsi"/>
                <w:sz w:val="18"/>
                <w:szCs w:val="18"/>
                <w:lang w:val="ro-RO"/>
              </w:rPr>
              <w:t xml:space="preserve">MD-2001, mun. Chișinău, bd. Ștefan cel Mare și Sfânt nr.69, tel.: (+373) 22 26 60 02, fax: (+373) 22 26 61 00, </w:t>
            </w:r>
          </w:p>
          <w:p w:rsidR="00E827BA" w:rsidRPr="00DE616C" w:rsidRDefault="008030D9" w:rsidP="006B0646">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RO"/>
              </w:rPr>
            </w:pPr>
            <w:hyperlink r:id="rId8" w:history="1">
              <w:r w:rsidR="00E827BA" w:rsidRPr="00311884">
                <w:rPr>
                  <w:rStyle w:val="a4"/>
                  <w:rFonts w:asciiTheme="majorHAnsi" w:hAnsiTheme="majorHAnsi" w:cstheme="majorHAnsi"/>
                  <w:b/>
                  <w:sz w:val="18"/>
                  <w:szCs w:val="18"/>
                  <w:lang w:val="ro-RO"/>
                </w:rPr>
                <w:t>www.ccrm.md</w:t>
              </w:r>
            </w:hyperlink>
            <w:r w:rsidR="00E827BA" w:rsidRPr="00311884">
              <w:rPr>
                <w:rStyle w:val="a4"/>
                <w:rFonts w:asciiTheme="majorHAnsi" w:hAnsiTheme="majorHAnsi" w:cstheme="majorHAnsi"/>
                <w:b/>
                <w:sz w:val="18"/>
                <w:szCs w:val="18"/>
                <w:lang w:val="ro-RO"/>
              </w:rPr>
              <w:t xml:space="preserve">; </w:t>
            </w:r>
            <w:r w:rsidR="00E827BA" w:rsidRPr="00311884">
              <w:rPr>
                <w:rFonts w:asciiTheme="majorHAnsi" w:hAnsiTheme="majorHAnsi" w:cstheme="majorHAnsi"/>
                <w:sz w:val="18"/>
                <w:szCs w:val="18"/>
                <w:lang w:val="ro-RO"/>
              </w:rPr>
              <w:t xml:space="preserve">e-mail: </w:t>
            </w:r>
            <w:hyperlink r:id="rId9" w:history="1">
              <w:r w:rsidR="00E827BA" w:rsidRPr="00311884">
                <w:rPr>
                  <w:rStyle w:val="a4"/>
                  <w:rFonts w:asciiTheme="majorHAnsi" w:hAnsiTheme="majorHAnsi" w:cstheme="majorHAnsi"/>
                  <w:b/>
                  <w:sz w:val="18"/>
                  <w:szCs w:val="18"/>
                  <w:lang w:val="ro-RO"/>
                </w:rPr>
                <w:t>ccrm@ccrm.md</w:t>
              </w:r>
            </w:hyperlink>
          </w:p>
        </w:tc>
      </w:tr>
    </w:tbl>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E827BA" w:rsidRPr="00DE616C" w:rsidRDefault="00E827BA" w:rsidP="00E827BA">
      <w:pPr>
        <w:tabs>
          <w:tab w:val="left" w:pos="720"/>
        </w:tabs>
        <w:spacing w:after="0" w:line="276" w:lineRule="auto"/>
        <w:jc w:val="center"/>
        <w:rPr>
          <w:rFonts w:asciiTheme="majorHAnsi" w:eastAsia="Times New Roman" w:hAnsiTheme="majorHAnsi" w:cstheme="majorHAnsi"/>
          <w:b/>
          <w:bCs/>
          <w:sz w:val="32"/>
          <w:szCs w:val="32"/>
          <w:lang w:val="ro-RO"/>
        </w:rPr>
      </w:pPr>
      <w:r w:rsidRPr="00DE616C">
        <w:rPr>
          <w:rFonts w:asciiTheme="majorHAnsi" w:eastAsia="Times New Roman" w:hAnsiTheme="majorHAnsi" w:cstheme="majorHAnsi"/>
          <w:b/>
          <w:bCs/>
          <w:sz w:val="32"/>
          <w:szCs w:val="32"/>
          <w:lang w:val="ro-RO"/>
        </w:rPr>
        <w:t xml:space="preserve">RAPORTUL </w:t>
      </w:r>
    </w:p>
    <w:p w:rsidR="00E827BA" w:rsidRPr="00DE616C" w:rsidRDefault="00E827BA" w:rsidP="00E827BA">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DE616C">
        <w:rPr>
          <w:rFonts w:asciiTheme="majorHAnsi" w:eastAsia="Times New Roman" w:hAnsiTheme="majorHAnsi" w:cstheme="majorHAnsi"/>
          <w:b/>
          <w:bCs/>
          <w:sz w:val="32"/>
          <w:szCs w:val="32"/>
          <w:lang w:val="ro-RO"/>
        </w:rPr>
        <w:t>auditului asupra rapoartelor financiare consolidate ale</w:t>
      </w:r>
    </w:p>
    <w:p w:rsidR="00E827BA" w:rsidRDefault="00E827BA" w:rsidP="00E827BA">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DE616C">
        <w:rPr>
          <w:rFonts w:asciiTheme="majorHAnsi" w:eastAsia="Times New Roman" w:hAnsiTheme="majorHAnsi" w:cstheme="majorHAnsi"/>
          <w:b/>
          <w:bCs/>
          <w:sz w:val="32"/>
          <w:szCs w:val="32"/>
          <w:lang w:val="ro-RO"/>
        </w:rPr>
        <w:t xml:space="preserve"> Ministerului Agriculturii și Industriei Alimentare încheiate la </w:t>
      </w:r>
    </w:p>
    <w:p w:rsidR="00E827BA" w:rsidRPr="00DE616C" w:rsidRDefault="00E827BA" w:rsidP="00E827BA">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DE616C">
        <w:rPr>
          <w:rFonts w:asciiTheme="majorHAnsi" w:eastAsia="Times New Roman" w:hAnsiTheme="majorHAnsi" w:cstheme="majorHAnsi"/>
          <w:b/>
          <w:bCs/>
          <w:sz w:val="32"/>
          <w:szCs w:val="32"/>
          <w:lang w:val="ro-RO"/>
        </w:rPr>
        <w:t>31 decembrie 2021</w:t>
      </w:r>
    </w:p>
    <w:p w:rsidR="00E827BA" w:rsidRPr="00DE616C" w:rsidRDefault="00E827BA" w:rsidP="00E827BA">
      <w:pPr>
        <w:tabs>
          <w:tab w:val="left" w:pos="720"/>
        </w:tabs>
        <w:spacing w:after="0" w:line="276" w:lineRule="auto"/>
        <w:ind w:right="-24"/>
        <w:jc w:val="both"/>
        <w:rPr>
          <w:rFonts w:asciiTheme="majorHAnsi" w:eastAsia="Times New Roman" w:hAnsiTheme="majorHAnsi" w:cstheme="majorHAnsi"/>
          <w:b/>
          <w:bCs/>
          <w:sz w:val="32"/>
          <w:szCs w:val="32"/>
          <w:lang w:val="ro-RO"/>
        </w:rPr>
      </w:pPr>
    </w:p>
    <w:p w:rsidR="00E827BA" w:rsidRPr="00DE616C" w:rsidRDefault="00E827BA" w:rsidP="00E827BA">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E827BA" w:rsidRPr="00DE616C" w:rsidRDefault="00E827BA" w:rsidP="00E827BA">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E827BA" w:rsidRPr="00DE616C" w:rsidRDefault="00E827BA" w:rsidP="00E827BA">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E827BA" w:rsidRPr="00DE616C" w:rsidRDefault="00E827BA" w:rsidP="00E827BA">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E827BA" w:rsidRPr="00DE616C" w:rsidRDefault="00E827BA" w:rsidP="00E827BA">
      <w:pPr>
        <w:spacing w:line="276" w:lineRule="auto"/>
        <w:rPr>
          <w:rFonts w:asciiTheme="majorHAnsi" w:eastAsia="Times New Roman" w:hAnsiTheme="majorHAnsi" w:cstheme="majorHAnsi"/>
          <w:b/>
          <w:bCs/>
          <w:sz w:val="32"/>
          <w:szCs w:val="32"/>
          <w:lang w:val="ro-RO"/>
        </w:rPr>
      </w:pPr>
      <w:r w:rsidRPr="00DE616C">
        <w:rPr>
          <w:rFonts w:asciiTheme="majorHAnsi" w:eastAsia="Times New Roman" w:hAnsiTheme="majorHAnsi" w:cstheme="majorHAnsi"/>
          <w:b/>
          <w:bCs/>
          <w:sz w:val="32"/>
          <w:szCs w:val="32"/>
          <w:lang w:val="ro-RO"/>
        </w:rPr>
        <w:br w:type="page"/>
      </w:r>
    </w:p>
    <w:p w:rsidR="00E827BA" w:rsidRPr="00DE616C" w:rsidRDefault="00E827BA" w:rsidP="00E827BA">
      <w:pPr>
        <w:pStyle w:val="a5"/>
        <w:numPr>
          <w:ilvl w:val="0"/>
          <w:numId w:val="1"/>
        </w:numPr>
        <w:spacing w:after="0" w:line="276" w:lineRule="auto"/>
        <w:jc w:val="both"/>
        <w:outlineLvl w:val="0"/>
        <w:rPr>
          <w:rFonts w:asciiTheme="majorHAnsi" w:hAnsiTheme="majorHAnsi" w:cstheme="majorHAnsi"/>
          <w:b/>
          <w:sz w:val="24"/>
          <w:szCs w:val="24"/>
          <w:lang w:val="ro-RO"/>
        </w:rPr>
      </w:pPr>
      <w:bookmarkStart w:id="0" w:name="_Toc530056756"/>
      <w:bookmarkStart w:id="1" w:name="_Toc532292925"/>
      <w:r w:rsidRPr="00DE616C">
        <w:rPr>
          <w:rFonts w:asciiTheme="majorHAnsi" w:hAnsiTheme="majorHAnsi" w:cstheme="majorHAnsi"/>
          <w:b/>
          <w:sz w:val="24"/>
          <w:szCs w:val="24"/>
          <w:lang w:val="ro-RO"/>
        </w:rPr>
        <w:lastRenderedPageBreak/>
        <w:t xml:space="preserve"> OPINI</w:t>
      </w:r>
      <w:bookmarkEnd w:id="0"/>
      <w:r w:rsidRPr="00DE616C">
        <w:rPr>
          <w:rFonts w:asciiTheme="majorHAnsi" w:hAnsiTheme="majorHAnsi" w:cstheme="majorHAnsi"/>
          <w:b/>
          <w:sz w:val="24"/>
          <w:szCs w:val="24"/>
          <w:lang w:val="ro-RO"/>
        </w:rPr>
        <w:t>E</w:t>
      </w:r>
      <w:bookmarkEnd w:id="1"/>
      <w:r w:rsidRPr="00DE616C">
        <w:rPr>
          <w:rFonts w:asciiTheme="majorHAnsi" w:hAnsiTheme="majorHAnsi" w:cstheme="majorHAnsi"/>
          <w:b/>
          <w:sz w:val="24"/>
          <w:szCs w:val="24"/>
          <w:lang w:val="ro-RO"/>
        </w:rPr>
        <w:t xml:space="preserve"> CU REZERVE</w:t>
      </w:r>
    </w:p>
    <w:p w:rsidR="00E827BA" w:rsidRPr="00DE616C" w:rsidRDefault="00E827BA" w:rsidP="00E827BA">
      <w:pPr>
        <w:pStyle w:val="a7"/>
        <w:spacing w:before="120" w:line="276" w:lineRule="auto"/>
        <w:jc w:val="both"/>
        <w:rPr>
          <w:rFonts w:asciiTheme="majorHAnsi" w:eastAsia="Times New Roman" w:hAnsiTheme="majorHAnsi" w:cstheme="majorHAnsi"/>
          <w:sz w:val="24"/>
          <w:szCs w:val="24"/>
          <w:lang w:val="ro-RO"/>
        </w:rPr>
      </w:pPr>
      <w:r w:rsidRPr="00DE616C">
        <w:rPr>
          <w:rFonts w:asciiTheme="majorHAnsi" w:hAnsiTheme="majorHAnsi" w:cstheme="majorHAnsi"/>
          <w:sz w:val="24"/>
          <w:szCs w:val="24"/>
          <w:lang w:val="ro-RO"/>
        </w:rPr>
        <w:t xml:space="preserve">Am auditat rapoartele financiare consolidate ale Ministerului Agriculturii și Industriei Alimentare (în continuare – </w:t>
      </w:r>
      <w:r>
        <w:rPr>
          <w:rFonts w:asciiTheme="majorHAnsi" w:hAnsiTheme="majorHAnsi" w:cstheme="majorHAnsi"/>
          <w:sz w:val="24"/>
          <w:szCs w:val="24"/>
          <w:lang w:val="ro-RO"/>
        </w:rPr>
        <w:t>M</w:t>
      </w:r>
      <w:r w:rsidRPr="00DE616C">
        <w:rPr>
          <w:rFonts w:asciiTheme="majorHAnsi" w:hAnsiTheme="majorHAnsi" w:cstheme="majorHAnsi"/>
          <w:sz w:val="24"/>
          <w:szCs w:val="24"/>
          <w:lang w:val="ro-RO"/>
        </w:rPr>
        <w:t xml:space="preserve">inisterul) pentru exercițiul încheiat la 31 decembrie 2021, care cuprind </w:t>
      </w:r>
      <w:r w:rsidRPr="00DE616C">
        <w:rPr>
          <w:rFonts w:asciiTheme="majorHAnsi" w:eastAsia="Times New Roman" w:hAnsiTheme="majorHAnsi" w:cstheme="majorHAnsi"/>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E827BA" w:rsidRPr="00DE616C" w:rsidRDefault="00E827BA" w:rsidP="00E827BA">
      <w:pPr>
        <w:tabs>
          <w:tab w:val="left" w:pos="720"/>
        </w:tabs>
        <w:spacing w:before="120" w:after="0" w:line="276" w:lineRule="auto"/>
        <w:jc w:val="both"/>
        <w:rPr>
          <w:rFonts w:asciiTheme="majorHAnsi" w:eastAsia="Times New Roman" w:hAnsiTheme="majorHAnsi" w:cstheme="majorHAnsi"/>
          <w:i/>
          <w:sz w:val="24"/>
          <w:szCs w:val="24"/>
          <w:lang w:val="ro-RO"/>
        </w:rPr>
      </w:pPr>
      <w:r w:rsidRPr="00DE616C">
        <w:rPr>
          <w:rFonts w:asciiTheme="majorHAnsi" w:hAnsiTheme="majorHAnsi" w:cstheme="majorHAnsi"/>
          <w:sz w:val="24"/>
          <w:szCs w:val="24"/>
          <w:lang w:val="ro-RO"/>
        </w:rPr>
        <w:t xml:space="preserve">În opinia noastră, </w:t>
      </w:r>
      <w:r w:rsidRPr="00DE616C">
        <w:rPr>
          <w:rFonts w:asciiTheme="majorHAnsi" w:eastAsia="Times New Roman" w:hAnsiTheme="majorHAnsi" w:cstheme="majorHAnsi"/>
          <w:sz w:val="24"/>
          <w:szCs w:val="24"/>
          <w:lang w:val="ro-RO"/>
        </w:rPr>
        <w:t>cu excepția posibilelor efecte asupra aspectelor</w:t>
      </w:r>
      <w:r w:rsidRPr="00DE616C">
        <w:rPr>
          <w:rFonts w:asciiTheme="majorHAnsi" w:eastAsia="Times New Roman" w:hAnsiTheme="majorHAnsi" w:cstheme="majorHAnsi"/>
          <w:i/>
          <w:sz w:val="24"/>
          <w:szCs w:val="24"/>
          <w:lang w:val="ro-RO"/>
        </w:rPr>
        <w:t xml:space="preserve"> </w:t>
      </w:r>
      <w:r w:rsidRPr="00DE616C">
        <w:rPr>
          <w:rFonts w:asciiTheme="majorHAnsi" w:eastAsia="Times New Roman" w:hAnsiTheme="majorHAnsi" w:cstheme="majorHAnsi"/>
          <w:sz w:val="24"/>
          <w:szCs w:val="24"/>
          <w:lang w:val="ro-RO"/>
        </w:rPr>
        <w:t xml:space="preserve">descrise în secțiunea </w:t>
      </w:r>
      <w:r w:rsidRPr="00DE616C">
        <w:rPr>
          <w:rFonts w:asciiTheme="majorHAnsi" w:eastAsia="Times New Roman" w:hAnsiTheme="majorHAnsi" w:cstheme="majorHAnsi"/>
          <w:i/>
          <w:sz w:val="24"/>
          <w:szCs w:val="24"/>
          <w:lang w:val="ro-RO"/>
        </w:rPr>
        <w:t>Baza pentru opinia cu rezerve</w:t>
      </w:r>
      <w:r w:rsidRPr="00DE616C">
        <w:rPr>
          <w:rFonts w:asciiTheme="majorHAnsi" w:eastAsia="Times New Roman" w:hAnsiTheme="majorHAnsi" w:cstheme="majorHAnsi"/>
          <w:sz w:val="24"/>
          <w:szCs w:val="24"/>
          <w:lang w:val="ro-RO"/>
        </w:rPr>
        <w:t xml:space="preserve">, </w:t>
      </w:r>
      <w:r w:rsidRPr="00DE616C">
        <w:rPr>
          <w:rFonts w:asciiTheme="majorHAnsi" w:hAnsiTheme="majorHAnsi" w:cstheme="majorHAnsi"/>
          <w:sz w:val="24"/>
          <w:szCs w:val="24"/>
          <w:lang w:val="ro-RO"/>
        </w:rPr>
        <w:t>rapoartele financiare</w:t>
      </w:r>
      <w:r>
        <w:rPr>
          <w:rFonts w:asciiTheme="majorHAnsi" w:hAnsiTheme="majorHAnsi" w:cstheme="majorHAnsi"/>
          <w:sz w:val="24"/>
          <w:szCs w:val="24"/>
          <w:lang w:val="ro-RO"/>
        </w:rPr>
        <w:t xml:space="preserve"> oferă</w:t>
      </w:r>
      <w:r w:rsidRPr="00DE616C">
        <w:rPr>
          <w:rFonts w:asciiTheme="majorHAnsi" w:hAnsiTheme="majorHAnsi" w:cstheme="majorHAnsi"/>
          <w:sz w:val="24"/>
          <w:szCs w:val="24"/>
          <w:lang w:val="ro-RO"/>
        </w:rPr>
        <w:t xml:space="preserve">, sub toate aspectele semnificative, o imagine corectă și fidelă în conformitate </w:t>
      </w:r>
      <w:r w:rsidRPr="00DE616C">
        <w:rPr>
          <w:rFonts w:asciiTheme="majorHAnsi" w:eastAsia="Times New Roman" w:hAnsiTheme="majorHAnsi" w:cstheme="majorHAnsi"/>
          <w:sz w:val="24"/>
          <w:szCs w:val="24"/>
          <w:lang w:val="ro-RO"/>
        </w:rPr>
        <w:t>cu cadrul de raportare financiară aplicabil</w:t>
      </w:r>
      <w:r w:rsidRPr="00DE616C">
        <w:rPr>
          <w:rStyle w:val="a9"/>
          <w:rFonts w:asciiTheme="majorHAnsi" w:hAnsiTheme="majorHAnsi" w:cstheme="majorHAnsi"/>
          <w:sz w:val="24"/>
          <w:lang w:val="ro-RO"/>
        </w:rPr>
        <w:footnoteReference w:id="1"/>
      </w:r>
      <w:r w:rsidRPr="00DE616C">
        <w:rPr>
          <w:rFonts w:asciiTheme="majorHAnsi" w:eastAsia="Times New Roman" w:hAnsiTheme="majorHAnsi" w:cstheme="majorHAnsi"/>
          <w:i/>
          <w:sz w:val="24"/>
          <w:szCs w:val="24"/>
          <w:lang w:val="ro-RO"/>
        </w:rPr>
        <w:t>.</w:t>
      </w:r>
    </w:p>
    <w:p w:rsidR="00E827BA" w:rsidRPr="00DE616C" w:rsidRDefault="00E827BA" w:rsidP="00E827BA">
      <w:pPr>
        <w:tabs>
          <w:tab w:val="left" w:pos="720"/>
        </w:tabs>
        <w:spacing w:after="0" w:line="276" w:lineRule="auto"/>
        <w:ind w:hanging="218"/>
        <w:jc w:val="both"/>
        <w:rPr>
          <w:rFonts w:asciiTheme="majorHAnsi" w:eastAsia="Times New Roman" w:hAnsiTheme="majorHAnsi" w:cstheme="majorHAnsi"/>
          <w:i/>
          <w:sz w:val="24"/>
          <w:szCs w:val="24"/>
          <w:lang w:val="ro-RO"/>
        </w:rPr>
      </w:pPr>
    </w:p>
    <w:p w:rsidR="00E827BA" w:rsidRPr="00DE616C" w:rsidRDefault="00E827BA" w:rsidP="00E827BA">
      <w:pPr>
        <w:pStyle w:val="a5"/>
        <w:numPr>
          <w:ilvl w:val="0"/>
          <w:numId w:val="1"/>
        </w:numPr>
        <w:spacing w:after="0" w:line="276" w:lineRule="auto"/>
        <w:jc w:val="both"/>
        <w:outlineLvl w:val="0"/>
        <w:rPr>
          <w:rFonts w:asciiTheme="majorHAnsi" w:hAnsiTheme="majorHAnsi" w:cstheme="majorHAnsi"/>
          <w:b/>
          <w:sz w:val="24"/>
          <w:szCs w:val="24"/>
          <w:lang w:val="ro-RO"/>
        </w:rPr>
      </w:pPr>
      <w:bookmarkStart w:id="2" w:name="_Toc530056757"/>
      <w:bookmarkStart w:id="3" w:name="_Toc532292926"/>
      <w:r w:rsidRPr="00DE616C">
        <w:rPr>
          <w:rFonts w:asciiTheme="majorHAnsi" w:hAnsiTheme="majorHAnsi" w:cstheme="majorHAnsi"/>
          <w:b/>
          <w:sz w:val="24"/>
          <w:szCs w:val="24"/>
          <w:lang w:val="ro-RO"/>
        </w:rPr>
        <w:t xml:space="preserve"> BAZA PENTRU OPINI</w:t>
      </w:r>
      <w:bookmarkEnd w:id="2"/>
      <w:bookmarkEnd w:id="3"/>
      <w:r w:rsidRPr="00DE616C">
        <w:rPr>
          <w:rFonts w:asciiTheme="majorHAnsi" w:hAnsiTheme="majorHAnsi" w:cstheme="majorHAnsi"/>
          <w:b/>
          <w:sz w:val="24"/>
          <w:szCs w:val="24"/>
          <w:lang w:val="ro-RO"/>
        </w:rPr>
        <w:t>A CU REZERVE</w:t>
      </w:r>
    </w:p>
    <w:p w:rsidR="00E827BA" w:rsidRPr="00DE616C" w:rsidRDefault="00E827BA" w:rsidP="00F42BED">
      <w:pPr>
        <w:pStyle w:val="aa"/>
        <w:tabs>
          <w:tab w:val="left" w:pos="0"/>
        </w:tabs>
        <w:spacing w:after="120" w:line="276" w:lineRule="auto"/>
        <w:ind w:firstLine="0"/>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Ministerul, nerespectând prevederile Ordinului ministrului </w:t>
      </w:r>
      <w:r>
        <w:rPr>
          <w:rFonts w:asciiTheme="majorHAnsi" w:hAnsiTheme="majorHAnsi" w:cstheme="majorHAnsi"/>
          <w:sz w:val="24"/>
          <w:szCs w:val="24"/>
          <w:lang w:val="ro-RO"/>
        </w:rPr>
        <w:t>F</w:t>
      </w:r>
      <w:r w:rsidRPr="00DE616C">
        <w:rPr>
          <w:rFonts w:asciiTheme="majorHAnsi" w:hAnsiTheme="majorHAnsi" w:cstheme="majorHAnsi"/>
          <w:sz w:val="24"/>
          <w:szCs w:val="24"/>
          <w:lang w:val="ro-RO"/>
        </w:rPr>
        <w:t>inanțelor nr. 216/2015,  nu a exclus din evidența contabilă volumul acțiunilor şi cotei-părți în capitalul social în interiorul țării în sumă de 25,7 mil. lei, care reprezintă valoarea cotei-părți în capitalul social al 2 întreprinderi de stat</w:t>
      </w:r>
      <w:r w:rsidRPr="00DE616C">
        <w:rPr>
          <w:rStyle w:val="a9"/>
          <w:rFonts w:asciiTheme="majorHAnsi" w:hAnsiTheme="majorHAnsi" w:cstheme="majorHAnsi"/>
          <w:sz w:val="24"/>
          <w:lang w:val="ro-RO"/>
        </w:rPr>
        <w:footnoteReference w:id="2"/>
      </w:r>
      <w:r w:rsidRPr="00DE616C">
        <w:rPr>
          <w:rFonts w:asciiTheme="majorHAnsi" w:hAnsiTheme="majorHAnsi" w:cstheme="majorHAnsi"/>
          <w:sz w:val="24"/>
          <w:szCs w:val="24"/>
          <w:lang w:val="ro-RO"/>
        </w:rPr>
        <w:t xml:space="preserve"> </w:t>
      </w:r>
      <w:r>
        <w:rPr>
          <w:rFonts w:asciiTheme="majorHAnsi" w:hAnsiTheme="majorHAnsi" w:cstheme="majorHAnsi"/>
          <w:sz w:val="24"/>
          <w:szCs w:val="24"/>
          <w:lang w:val="ro-RO"/>
        </w:rPr>
        <w:t>situate</w:t>
      </w:r>
      <w:r w:rsidRPr="00DE616C">
        <w:rPr>
          <w:rFonts w:asciiTheme="majorHAnsi" w:hAnsiTheme="majorHAnsi" w:cstheme="majorHAnsi"/>
          <w:sz w:val="24"/>
          <w:szCs w:val="24"/>
          <w:lang w:val="ro-RO"/>
        </w:rPr>
        <w:t xml:space="preserve"> peste hotare, precum și valoarea cotei sociale a unei întreprinderi în mărime de 20,5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care a fost lichidată și radiată din Registrul de stat al unităților de drept în anul 2021</w:t>
      </w:r>
      <w:r>
        <w:rPr>
          <w:rFonts w:asciiTheme="majorHAnsi" w:hAnsiTheme="majorHAnsi" w:cstheme="majorHAnsi"/>
          <w:sz w:val="24"/>
          <w:szCs w:val="24"/>
          <w:lang w:val="ro-RO"/>
        </w:rPr>
        <w:t>.</w:t>
      </w:r>
    </w:p>
    <w:p w:rsidR="00E827BA" w:rsidRPr="00DE616C" w:rsidRDefault="00E827BA" w:rsidP="00F42BED">
      <w:pPr>
        <w:pStyle w:val="aa"/>
        <w:tabs>
          <w:tab w:val="left" w:pos="0"/>
        </w:tabs>
        <w:spacing w:after="120" w:line="276" w:lineRule="auto"/>
        <w:ind w:firstLine="0"/>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Totodată, </w:t>
      </w:r>
      <w:r>
        <w:rPr>
          <w:rFonts w:asciiTheme="majorHAnsi" w:hAnsiTheme="majorHAnsi" w:cstheme="majorHAnsi"/>
          <w:sz w:val="24"/>
          <w:szCs w:val="24"/>
          <w:lang w:val="ro-RO"/>
        </w:rPr>
        <w:t>M</w:t>
      </w:r>
      <w:r w:rsidRPr="00DE616C">
        <w:rPr>
          <w:rFonts w:asciiTheme="majorHAnsi" w:hAnsiTheme="majorHAnsi" w:cstheme="majorHAnsi"/>
          <w:sz w:val="24"/>
          <w:szCs w:val="24"/>
          <w:lang w:val="ro-RO"/>
        </w:rPr>
        <w:t>inisterul a transmis neregulamentar, cu titlu gratuit, colegiilor care au trecut la autogestiune</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w:t>
      </w:r>
      <w:r>
        <w:rPr>
          <w:rFonts w:asciiTheme="majorHAnsi" w:hAnsiTheme="majorHAnsi" w:cstheme="majorHAnsi"/>
          <w:sz w:val="24"/>
          <w:szCs w:val="24"/>
          <w:lang w:val="ro-RO"/>
        </w:rPr>
        <w:t>ca</w:t>
      </w:r>
      <w:r w:rsidRPr="00DE616C">
        <w:rPr>
          <w:rFonts w:asciiTheme="majorHAnsi" w:hAnsiTheme="majorHAnsi" w:cstheme="majorHAnsi"/>
          <w:sz w:val="24"/>
          <w:szCs w:val="24"/>
          <w:lang w:val="ro-RO"/>
        </w:rPr>
        <w:t xml:space="preserve"> rezultat</w:t>
      </w:r>
      <w:r>
        <w:rPr>
          <w:rFonts w:asciiTheme="majorHAnsi" w:hAnsiTheme="majorHAnsi" w:cstheme="majorHAnsi"/>
          <w:sz w:val="24"/>
          <w:szCs w:val="24"/>
          <w:lang w:val="ro-RO"/>
        </w:rPr>
        <w:t xml:space="preserve"> al</w:t>
      </w:r>
      <w:r w:rsidRPr="00DE616C">
        <w:rPr>
          <w:rFonts w:asciiTheme="majorHAnsi" w:hAnsiTheme="majorHAnsi" w:cstheme="majorHAnsi"/>
          <w:sz w:val="24"/>
          <w:szCs w:val="24"/>
          <w:lang w:val="ro-RO"/>
        </w:rPr>
        <w:t xml:space="preserve"> reformei din anul 2018</w:t>
      </w:r>
      <w:r w:rsidRPr="00DE616C">
        <w:rPr>
          <w:rStyle w:val="a9"/>
          <w:rFonts w:asciiTheme="majorHAnsi" w:hAnsiTheme="majorHAnsi" w:cstheme="majorHAnsi"/>
          <w:sz w:val="24"/>
          <w:lang w:val="ro-RO"/>
        </w:rPr>
        <w:footnoteReference w:id="3"/>
      </w:r>
      <w:r w:rsidRPr="00DE616C">
        <w:rPr>
          <w:rFonts w:asciiTheme="majorHAnsi" w:hAnsiTheme="majorHAnsi" w:cstheme="majorHAnsi"/>
          <w:sz w:val="24"/>
          <w:szCs w:val="24"/>
          <w:lang w:val="ro-RO"/>
        </w:rPr>
        <w:t>, cota-parte în valoare de 247,5 mil.lei, formată din bunurile imobile proprietate publică.</w:t>
      </w:r>
    </w:p>
    <w:p w:rsidR="00E827BA" w:rsidRPr="00DE616C" w:rsidRDefault="00E827BA" w:rsidP="00F42BED">
      <w:pPr>
        <w:pStyle w:val="aa"/>
        <w:tabs>
          <w:tab w:val="left" w:pos="0"/>
        </w:tabs>
        <w:spacing w:after="120" w:line="276" w:lineRule="auto"/>
        <w:ind w:firstLine="0"/>
        <w:rPr>
          <w:rFonts w:asciiTheme="majorHAnsi" w:hAnsiTheme="majorHAnsi" w:cstheme="majorHAnsi"/>
          <w:sz w:val="24"/>
          <w:szCs w:val="24"/>
          <w:lang w:val="ro-RO"/>
        </w:rPr>
      </w:pPr>
      <w:r w:rsidRPr="00DE616C">
        <w:rPr>
          <w:rFonts w:asciiTheme="majorHAnsi" w:hAnsiTheme="majorHAnsi" w:cstheme="majorHAnsi"/>
          <w:sz w:val="24"/>
          <w:szCs w:val="24"/>
          <w:lang w:val="ro-RO"/>
        </w:rPr>
        <w:t>Date fiind aceste erori, valoarea raportată a cotelor-părți în capitalul social al întreprinderilor de stat a fost subevaluată cu 201,3 mil. lei</w:t>
      </w:r>
      <w:r w:rsidRPr="00DE616C">
        <w:rPr>
          <w:rStyle w:val="a9"/>
          <w:rFonts w:asciiTheme="majorHAnsi" w:hAnsiTheme="majorHAnsi" w:cstheme="majorHAnsi"/>
          <w:sz w:val="24"/>
          <w:lang w:val="ro-RO"/>
        </w:rPr>
        <w:footnoteReference w:id="4"/>
      </w:r>
      <w:r w:rsidRPr="00DE616C">
        <w:rPr>
          <w:rFonts w:asciiTheme="majorHAnsi" w:hAnsiTheme="majorHAnsi" w:cstheme="majorHAnsi"/>
          <w:sz w:val="24"/>
          <w:szCs w:val="24"/>
          <w:lang w:val="ro-RO"/>
        </w:rPr>
        <w:t>.</w:t>
      </w:r>
    </w:p>
    <w:p w:rsidR="00E827BA" w:rsidRPr="00DE616C" w:rsidRDefault="00E827BA" w:rsidP="00F42BED">
      <w:pPr>
        <w:pStyle w:val="aa"/>
        <w:tabs>
          <w:tab w:val="left" w:pos="0"/>
        </w:tabs>
        <w:spacing w:after="120" w:line="276" w:lineRule="auto"/>
        <w:ind w:firstLine="0"/>
        <w:rPr>
          <w:rFonts w:asciiTheme="majorHAnsi" w:hAnsiTheme="majorHAnsi" w:cstheme="majorHAnsi"/>
          <w:sz w:val="24"/>
          <w:szCs w:val="24"/>
          <w:lang w:val="ro-RO"/>
        </w:rPr>
      </w:pPr>
      <w:r w:rsidRPr="00DE616C">
        <w:rPr>
          <w:rFonts w:asciiTheme="majorHAnsi" w:hAnsiTheme="majorHAnsi" w:cstheme="majorHAnsi"/>
          <w:sz w:val="24"/>
          <w:szCs w:val="24"/>
          <w:lang w:val="ro-RO"/>
        </w:rPr>
        <w:t>Ministerul nu s-a conf</w:t>
      </w:r>
      <w:r>
        <w:rPr>
          <w:rFonts w:asciiTheme="majorHAnsi" w:hAnsiTheme="majorHAnsi" w:cstheme="majorHAnsi"/>
          <w:sz w:val="24"/>
          <w:szCs w:val="24"/>
          <w:lang w:val="ro-RO"/>
        </w:rPr>
        <w:t>o</w:t>
      </w:r>
      <w:r w:rsidRPr="00DE616C">
        <w:rPr>
          <w:rFonts w:asciiTheme="majorHAnsi" w:hAnsiTheme="majorHAnsi" w:cstheme="majorHAnsi"/>
          <w:sz w:val="24"/>
          <w:szCs w:val="24"/>
          <w:lang w:val="ro-RO"/>
        </w:rPr>
        <w:t>rmat prevederilor Legii nr.29/2018</w:t>
      </w:r>
      <w:r w:rsidRPr="00DE616C">
        <w:rPr>
          <w:rStyle w:val="a9"/>
          <w:rFonts w:asciiTheme="majorHAnsi" w:hAnsiTheme="majorHAnsi" w:cstheme="majorHAnsi"/>
          <w:sz w:val="24"/>
          <w:lang w:val="ro-RO"/>
        </w:rPr>
        <w:footnoteReference w:id="5"/>
      </w:r>
      <w:r w:rsidRPr="00DE616C">
        <w:rPr>
          <w:rFonts w:asciiTheme="majorHAnsi" w:hAnsiTheme="majorHAnsi" w:cstheme="majorHAnsi"/>
          <w:sz w:val="24"/>
          <w:szCs w:val="24"/>
          <w:lang w:val="ro-RO"/>
        </w:rPr>
        <w:t xml:space="preserve"> și Legii nr.246/2017</w:t>
      </w:r>
      <w:r w:rsidRPr="00DE616C">
        <w:rPr>
          <w:rStyle w:val="a9"/>
          <w:rFonts w:asciiTheme="majorHAnsi" w:hAnsiTheme="majorHAnsi" w:cstheme="majorHAnsi"/>
          <w:sz w:val="24"/>
          <w:lang w:val="ro-RO"/>
        </w:rPr>
        <w:footnoteReference w:id="6"/>
      </w:r>
      <w:r w:rsidRPr="00DE616C">
        <w:rPr>
          <w:rFonts w:asciiTheme="majorHAnsi" w:hAnsiTheme="majorHAnsi" w:cstheme="majorHAnsi"/>
          <w:sz w:val="24"/>
          <w:szCs w:val="24"/>
          <w:lang w:val="ro-RO"/>
        </w:rPr>
        <w:t xml:space="preserve"> în ceea ce privește capitalul social și componenţa bunurilor depuse în acesta</w:t>
      </w:r>
      <w:r w:rsidRPr="00DE616C">
        <w:rPr>
          <w:rStyle w:val="a9"/>
          <w:rFonts w:asciiTheme="majorHAnsi" w:hAnsiTheme="majorHAnsi" w:cstheme="majorHAnsi"/>
          <w:sz w:val="24"/>
          <w:lang w:val="ro-RO"/>
        </w:rPr>
        <w:footnoteReference w:id="7"/>
      </w:r>
      <w:r w:rsidRPr="00DE616C">
        <w:rPr>
          <w:rFonts w:asciiTheme="majorHAnsi" w:hAnsiTheme="majorHAnsi" w:cstheme="majorHAnsi"/>
          <w:sz w:val="24"/>
          <w:szCs w:val="24"/>
          <w:lang w:val="ro-RO"/>
        </w:rPr>
        <w:t>. Lipsa listei exhaustive a bunurilor transmise în capitalul social al întreprinderilor de stat nu permite oferirea unei asigurări rezonabile privind fidelitatea și veridicitatea valorii raportate de 579,58 mil.lei, care constituie cota-parte în capitalul social a 15 întreprinderi de stat și societăți pe acțiuni.</w:t>
      </w:r>
    </w:p>
    <w:p w:rsidR="00E827BA" w:rsidRPr="00DE616C" w:rsidRDefault="00E827BA" w:rsidP="00F42BED">
      <w:pPr>
        <w:pStyle w:val="aa"/>
        <w:numPr>
          <w:ilvl w:val="1"/>
          <w:numId w:val="6"/>
        </w:numPr>
        <w:tabs>
          <w:tab w:val="left" w:pos="0"/>
        </w:tabs>
        <w:spacing w:after="120" w:line="276" w:lineRule="auto"/>
        <w:ind w:left="0" w:firstLine="0"/>
        <w:rPr>
          <w:rFonts w:asciiTheme="majorHAnsi" w:hAnsiTheme="majorHAnsi" w:cstheme="majorHAnsi"/>
          <w:sz w:val="24"/>
          <w:szCs w:val="24"/>
          <w:lang w:val="ro-RO"/>
        </w:rPr>
      </w:pPr>
      <w:r w:rsidRPr="00DE616C">
        <w:rPr>
          <w:rFonts w:asciiTheme="majorHAnsi" w:hAnsiTheme="majorHAnsi" w:cstheme="majorHAnsi"/>
          <w:sz w:val="24"/>
          <w:szCs w:val="24"/>
          <w:lang w:val="ro-RO"/>
        </w:rPr>
        <w:t>Ministerul deține 31 loturi de teren, cu suprafața de 698,16 ha</w:t>
      </w:r>
      <w:r w:rsidRPr="00DE616C">
        <w:rPr>
          <w:rStyle w:val="a9"/>
          <w:rFonts w:asciiTheme="majorHAnsi" w:hAnsiTheme="majorHAnsi" w:cstheme="majorHAnsi"/>
          <w:sz w:val="24"/>
          <w:szCs w:val="24"/>
          <w:lang w:val="ro-RO"/>
        </w:rPr>
        <w:footnoteReference w:id="8"/>
      </w:r>
      <w:r w:rsidRPr="00DE616C">
        <w:rPr>
          <w:rFonts w:asciiTheme="majorHAnsi" w:hAnsiTheme="majorHAnsi" w:cstheme="majorHAnsi"/>
          <w:sz w:val="24"/>
          <w:szCs w:val="24"/>
          <w:lang w:val="ro-RO"/>
        </w:rPr>
        <w:t>, care nu se regăsesc în evidența contabilă. Pentru a determina valoarea terenurilor, entitatea trebuia s</w:t>
      </w:r>
      <w:r>
        <w:rPr>
          <w:rFonts w:asciiTheme="majorHAnsi" w:hAnsiTheme="majorHAnsi" w:cstheme="majorHAnsi"/>
          <w:sz w:val="24"/>
          <w:szCs w:val="24"/>
          <w:lang w:val="ro-RO"/>
        </w:rPr>
        <w:t>ă</w:t>
      </w:r>
      <w:r w:rsidRPr="00DE616C">
        <w:rPr>
          <w:rFonts w:asciiTheme="majorHAnsi" w:hAnsiTheme="majorHAnsi" w:cstheme="majorHAnsi"/>
          <w:sz w:val="24"/>
          <w:szCs w:val="24"/>
          <w:lang w:val="ro-RO"/>
        </w:rPr>
        <w:t xml:space="preserve"> aplice, pentru recunoaștere</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prețul normativ calculat conform prevederilor </w:t>
      </w:r>
      <w:r w:rsidRPr="00DE616C">
        <w:rPr>
          <w:rFonts w:asciiTheme="majorHAnsi" w:hAnsiTheme="majorHAnsi" w:cstheme="majorHAnsi"/>
          <w:color w:val="000000" w:themeColor="text1"/>
          <w:sz w:val="24"/>
          <w:szCs w:val="24"/>
          <w:lang w:val="ro-RO"/>
        </w:rPr>
        <w:t>Legii privind prețul normativ și modul de vânzare-cumpărare a pământului nr. 1308-XIII din 25 iulie 1997</w:t>
      </w:r>
      <w:r w:rsidRPr="00DE616C">
        <w:rPr>
          <w:rFonts w:asciiTheme="majorHAnsi" w:hAnsiTheme="majorHAnsi" w:cstheme="majorHAnsi"/>
          <w:sz w:val="24"/>
          <w:szCs w:val="24"/>
          <w:lang w:val="ro-RO"/>
        </w:rPr>
        <w:t>. Astfel, valoarea terenurilor a fost subevaluată cu 112,84 mil. lei.</w:t>
      </w:r>
    </w:p>
    <w:p w:rsidR="00E827BA" w:rsidRPr="00DE616C" w:rsidRDefault="00E827BA" w:rsidP="00F42BED">
      <w:pPr>
        <w:pStyle w:val="aa"/>
        <w:tabs>
          <w:tab w:val="left" w:pos="0"/>
        </w:tabs>
        <w:spacing w:after="120" w:line="276" w:lineRule="auto"/>
        <w:ind w:firstLine="0"/>
        <w:rPr>
          <w:rFonts w:asciiTheme="majorHAnsi" w:hAnsiTheme="majorHAnsi" w:cstheme="majorHAnsi"/>
          <w:sz w:val="24"/>
          <w:szCs w:val="24"/>
          <w:lang w:val="ro-RO"/>
        </w:rPr>
      </w:pPr>
      <w:r w:rsidRPr="00DE616C">
        <w:rPr>
          <w:rFonts w:asciiTheme="majorHAnsi" w:hAnsiTheme="majorHAnsi" w:cstheme="majorHAnsi"/>
          <w:sz w:val="24"/>
          <w:szCs w:val="24"/>
          <w:lang w:val="ro-RO"/>
        </w:rPr>
        <w:lastRenderedPageBreak/>
        <w:t>Totodată,</w:t>
      </w:r>
      <w:r>
        <w:rPr>
          <w:rFonts w:asciiTheme="majorHAnsi" w:hAnsiTheme="majorHAnsi" w:cstheme="majorHAnsi"/>
          <w:sz w:val="24"/>
          <w:szCs w:val="24"/>
          <w:lang w:val="ro-RO"/>
        </w:rPr>
        <w:t xml:space="preserve"> M</w:t>
      </w:r>
      <w:r w:rsidRPr="00DE616C">
        <w:rPr>
          <w:rFonts w:asciiTheme="majorHAnsi" w:hAnsiTheme="majorHAnsi" w:cstheme="majorHAnsi"/>
          <w:sz w:val="24"/>
          <w:szCs w:val="24"/>
          <w:lang w:val="ro-RO"/>
        </w:rPr>
        <w:t>inisterul a recunoscut neregulamentar în evidența contabilă suma de 33,74 mil. lei</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valoarea a 57 loturi de teren cu suprafața totală de 1</w:t>
      </w:r>
      <w:r>
        <w:rPr>
          <w:rFonts w:asciiTheme="majorHAnsi" w:hAnsiTheme="majorHAnsi" w:cstheme="majorHAnsi"/>
          <w:sz w:val="24"/>
          <w:szCs w:val="24"/>
          <w:lang w:val="ro-RO"/>
        </w:rPr>
        <w:t>.</w:t>
      </w:r>
      <w:r w:rsidR="00C94F78">
        <w:rPr>
          <w:rFonts w:asciiTheme="majorHAnsi" w:hAnsiTheme="majorHAnsi" w:cstheme="majorHAnsi"/>
          <w:sz w:val="24"/>
          <w:szCs w:val="24"/>
          <w:lang w:val="ro-RO"/>
        </w:rPr>
        <w:t>1</w:t>
      </w:r>
      <w:r w:rsidRPr="00DE616C">
        <w:rPr>
          <w:rFonts w:asciiTheme="majorHAnsi" w:hAnsiTheme="majorHAnsi" w:cstheme="majorHAnsi"/>
          <w:sz w:val="24"/>
          <w:szCs w:val="24"/>
          <w:lang w:val="ro-RO"/>
        </w:rPr>
        <w:t>69,</w:t>
      </w:r>
      <w:r w:rsidR="00C94F78">
        <w:rPr>
          <w:rFonts w:asciiTheme="majorHAnsi" w:hAnsiTheme="majorHAnsi" w:cstheme="majorHAnsi"/>
          <w:sz w:val="24"/>
          <w:szCs w:val="24"/>
          <w:lang w:val="ro-RO"/>
        </w:rPr>
        <w:t>6</w:t>
      </w:r>
      <w:bookmarkStart w:id="4" w:name="_GoBack"/>
      <w:bookmarkEnd w:id="4"/>
      <w:r w:rsidRPr="00DE616C">
        <w:rPr>
          <w:rFonts w:asciiTheme="majorHAnsi" w:hAnsiTheme="majorHAnsi" w:cstheme="majorHAnsi"/>
          <w:sz w:val="24"/>
          <w:szCs w:val="24"/>
          <w:lang w:val="ro-RO"/>
        </w:rPr>
        <w:t xml:space="preserve"> ha, care, conform înscrisurilor din Registrul bunurilor imobile, aparțin persoanelor terțe, precum și nu a aplicat prevederile regulamentare și a admis contabilizarea a 9 loturi de teren cu suprafața de 1</w:t>
      </w:r>
      <w:r>
        <w:rPr>
          <w:rFonts w:asciiTheme="majorHAnsi" w:hAnsiTheme="majorHAnsi" w:cstheme="majorHAnsi"/>
          <w:sz w:val="24"/>
          <w:szCs w:val="24"/>
          <w:lang w:val="ro-RO"/>
        </w:rPr>
        <w:t>.</w:t>
      </w:r>
      <w:r w:rsidRPr="00DE616C">
        <w:rPr>
          <w:rFonts w:asciiTheme="majorHAnsi" w:hAnsiTheme="majorHAnsi" w:cstheme="majorHAnsi"/>
          <w:sz w:val="24"/>
          <w:szCs w:val="24"/>
          <w:lang w:val="ro-RO"/>
        </w:rPr>
        <w:t>668,73 ha în valoare de 57,13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primite în comodat de la Agenția Proprietății Publice. Astfel, soldul contului 371 „Terenuri” a fost subevaluat cu 21,97</w:t>
      </w:r>
      <w:r w:rsidRPr="00DE616C">
        <w:rPr>
          <w:rStyle w:val="a9"/>
          <w:rFonts w:asciiTheme="majorHAnsi" w:hAnsiTheme="majorHAnsi" w:cstheme="majorHAnsi"/>
          <w:sz w:val="24"/>
          <w:szCs w:val="24"/>
          <w:lang w:val="ro-RO"/>
        </w:rPr>
        <w:footnoteReference w:id="9"/>
      </w:r>
      <w:r w:rsidRPr="00DE616C">
        <w:rPr>
          <w:rFonts w:asciiTheme="majorHAnsi" w:hAnsiTheme="majorHAnsi" w:cstheme="majorHAnsi"/>
          <w:sz w:val="24"/>
          <w:szCs w:val="24"/>
          <w:lang w:val="ro-RO"/>
        </w:rPr>
        <w:t xml:space="preserve">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w:t>
      </w:r>
    </w:p>
    <w:p w:rsidR="00E827BA" w:rsidRPr="00DE616C" w:rsidRDefault="00E827BA" w:rsidP="00F42BED">
      <w:pPr>
        <w:spacing w:after="120" w:line="276" w:lineRule="auto"/>
        <w:jc w:val="both"/>
        <w:rPr>
          <w:rFonts w:asciiTheme="majorHAnsi" w:eastAsia="Times New Roman" w:hAnsiTheme="majorHAnsi" w:cstheme="majorHAnsi"/>
          <w:bCs/>
          <w:color w:val="000000" w:themeColor="text1"/>
          <w:sz w:val="24"/>
          <w:szCs w:val="24"/>
          <w:lang w:val="ro-RO"/>
        </w:rPr>
      </w:pPr>
      <w:r w:rsidRPr="00DE616C">
        <w:rPr>
          <w:rFonts w:asciiTheme="majorHAnsi" w:eastAsia="Times New Roman" w:hAnsiTheme="majorHAnsi" w:cstheme="majorHAnsi"/>
          <w:color w:val="000000" w:themeColor="text1"/>
          <w:sz w:val="24"/>
          <w:szCs w:val="24"/>
          <w:lang w:val="ro-RO"/>
        </w:rPr>
        <w:t>Am realizat misiunea de audit în conformitate cu Standardele Internaționa</w:t>
      </w:r>
      <w:r w:rsidRPr="00DE616C">
        <w:rPr>
          <w:rFonts w:asciiTheme="majorHAnsi" w:eastAsia="Times New Roman" w:hAnsiTheme="majorHAnsi" w:cstheme="majorHAnsi"/>
          <w:bCs/>
          <w:color w:val="000000" w:themeColor="text1"/>
          <w:sz w:val="24"/>
          <w:szCs w:val="24"/>
          <w:lang w:val="ro-RO"/>
        </w:rPr>
        <w:t>le ale Instit</w:t>
      </w:r>
      <w:r w:rsidRPr="00DE616C">
        <w:rPr>
          <w:rFonts w:asciiTheme="majorHAnsi" w:eastAsia="Times New Roman" w:hAnsiTheme="majorHAnsi" w:cstheme="majorHAnsi"/>
          <w:color w:val="000000" w:themeColor="text1"/>
          <w:sz w:val="24"/>
          <w:szCs w:val="24"/>
          <w:lang w:val="ro-RO"/>
        </w:rPr>
        <w:t>uțiilor Supreme de Audit aplicate de Curtea de Conturi</w:t>
      </w:r>
      <w:r w:rsidRPr="00DE616C">
        <w:rPr>
          <w:rStyle w:val="a9"/>
          <w:rFonts w:asciiTheme="majorHAnsi" w:hAnsiTheme="majorHAnsi" w:cstheme="majorHAnsi"/>
          <w:color w:val="000000" w:themeColor="text1"/>
          <w:sz w:val="24"/>
          <w:szCs w:val="24"/>
          <w:lang w:val="ro-RO"/>
        </w:rPr>
        <w:footnoteReference w:id="10"/>
      </w:r>
      <w:r w:rsidRPr="00DE616C">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Pr="00DE616C">
        <w:rPr>
          <w:rFonts w:asciiTheme="majorHAnsi" w:eastAsia="Times New Roman" w:hAnsiTheme="majorHAnsi" w:cstheme="majorHAnsi"/>
          <w:i/>
          <w:color w:val="000000" w:themeColor="text1"/>
          <w:sz w:val="24"/>
          <w:szCs w:val="24"/>
          <w:lang w:val="ro-RO"/>
        </w:rPr>
        <w:t xml:space="preserve">Responsabilitățile auditorului într-un audit al rapoartelor financiare </w:t>
      </w:r>
      <w:r w:rsidRPr="00DE616C">
        <w:rPr>
          <w:rFonts w:asciiTheme="majorHAnsi" w:eastAsia="Times New Roman" w:hAnsiTheme="majorHAnsi" w:cstheme="majorHAnsi"/>
          <w:color w:val="000000" w:themeColor="text1"/>
          <w:sz w:val="24"/>
          <w:szCs w:val="24"/>
          <w:lang w:val="ro-RO"/>
        </w:rPr>
        <w:t xml:space="preserve">din prezentul Raport. Suntem independenți față de instituția auditată și am îndeplinit responsabilitățile de etică conform </w:t>
      </w:r>
      <w:r w:rsidRPr="00DE616C">
        <w:rPr>
          <w:rFonts w:asciiTheme="majorHAnsi" w:eastAsia="Times New Roman" w:hAnsiTheme="majorHAnsi" w:cstheme="majorHAnsi"/>
          <w:bCs/>
          <w:color w:val="000000" w:themeColor="text1"/>
          <w:sz w:val="24"/>
          <w:szCs w:val="24"/>
          <w:lang w:val="ro-RO"/>
        </w:rPr>
        <w:t>cerințelor Codului etic</w:t>
      </w:r>
      <w:r w:rsidRPr="00DE616C">
        <w:rPr>
          <w:rFonts w:asciiTheme="majorHAnsi" w:eastAsia="Times New Roman" w:hAnsiTheme="majorHAnsi" w:cstheme="majorHAnsi"/>
          <w:color w:val="000000" w:themeColor="text1"/>
          <w:sz w:val="24"/>
          <w:szCs w:val="24"/>
          <w:lang w:val="ro-RO"/>
        </w:rPr>
        <w:t xml:space="preserve"> al Curții de Conturi. Considerăm că probele de audit obținute sunt suficiente și adecvate pentru a furniza o bază </w:t>
      </w:r>
      <w:r w:rsidRPr="00DE616C">
        <w:rPr>
          <w:rFonts w:asciiTheme="majorHAnsi" w:eastAsia="Times New Roman" w:hAnsiTheme="majorHAnsi" w:cstheme="majorHAnsi"/>
          <w:bCs/>
          <w:color w:val="000000" w:themeColor="text1"/>
          <w:sz w:val="24"/>
          <w:szCs w:val="24"/>
          <w:lang w:val="ro-RO"/>
        </w:rPr>
        <w:t>pentru opinia noastră.</w:t>
      </w:r>
    </w:p>
    <w:p w:rsidR="00E827BA" w:rsidRPr="00DE616C" w:rsidRDefault="00E827BA" w:rsidP="00E827BA">
      <w:pPr>
        <w:pStyle w:val="a5"/>
        <w:numPr>
          <w:ilvl w:val="0"/>
          <w:numId w:val="1"/>
        </w:numPr>
        <w:spacing w:before="100" w:beforeAutospacing="1" w:after="0" w:line="276" w:lineRule="auto"/>
        <w:jc w:val="both"/>
        <w:outlineLvl w:val="0"/>
        <w:rPr>
          <w:rFonts w:asciiTheme="majorHAnsi" w:hAnsiTheme="majorHAnsi" w:cstheme="majorHAnsi"/>
          <w:b/>
          <w:sz w:val="24"/>
          <w:szCs w:val="24"/>
          <w:lang w:val="ro-RO"/>
        </w:rPr>
      </w:pPr>
      <w:r w:rsidRPr="00DE616C">
        <w:rPr>
          <w:rFonts w:asciiTheme="majorHAnsi" w:hAnsiTheme="majorHAnsi" w:cstheme="majorHAnsi"/>
          <w:b/>
          <w:sz w:val="24"/>
          <w:szCs w:val="24"/>
          <w:lang w:val="ro-RO"/>
        </w:rPr>
        <w:t>PARAGRAF DE EVIDENȚIERE</w:t>
      </w:r>
    </w:p>
    <w:p w:rsidR="00E827BA" w:rsidRPr="00DE616C" w:rsidRDefault="00E827BA" w:rsidP="00E827BA">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Atragem atenția asupra faptului că valoarea contabilizată a mijloacelor fixe procurate până în anii </w:t>
      </w:r>
      <w:r>
        <w:rPr>
          <w:rFonts w:asciiTheme="majorHAnsi" w:hAnsiTheme="majorHAnsi" w:cstheme="majorHAnsi"/>
          <w:sz w:val="24"/>
          <w:szCs w:val="24"/>
          <w:lang w:val="ro-RO"/>
        </w:rPr>
        <w:t>ʼ</w:t>
      </w:r>
      <w:r w:rsidRPr="00DE616C">
        <w:rPr>
          <w:rFonts w:asciiTheme="majorHAnsi" w:hAnsiTheme="majorHAnsi" w:cstheme="majorHAnsi"/>
          <w:sz w:val="24"/>
          <w:szCs w:val="24"/>
          <w:lang w:val="ro-RO"/>
        </w:rPr>
        <w:t>90, dar care sunt funcționale și utilizate până în prezent, este imposibil de validat. Valoarea inițială a mijloacelor fixe procurate în anii 1960-1990 este stabilită în baza evidențelor analitice istorice deținute de către instituții, însă aceasta nu poate fi confirmată prin documente primare (facturi fiscale, procese</w:t>
      </w:r>
      <w:r>
        <w:rPr>
          <w:rFonts w:asciiTheme="majorHAnsi" w:hAnsiTheme="majorHAnsi" w:cstheme="majorHAnsi"/>
          <w:sz w:val="24"/>
          <w:szCs w:val="24"/>
          <w:lang w:val="ro-RO"/>
        </w:rPr>
        <w:t>-</w:t>
      </w:r>
      <w:r w:rsidRPr="00DE616C">
        <w:rPr>
          <w:rFonts w:asciiTheme="majorHAnsi" w:hAnsiTheme="majorHAnsi" w:cstheme="majorHAnsi"/>
          <w:sz w:val="24"/>
          <w:szCs w:val="24"/>
          <w:lang w:val="ro-RO"/>
        </w:rPr>
        <w:t>verbale de dare în exploatare etc</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iar documentele care certifică procurarea/construcția sau capitalizarea valorii acestora lipsesc sau sunt imposibil de a fi restabilite. Deși instituțiile dețin fișele mijloacelor fixe, aplică corespunzător normele de stabilire a valorii mijloacelor fixe, de calculare a uzurii acestora, </w:t>
      </w:r>
      <w:r>
        <w:rPr>
          <w:rFonts w:asciiTheme="majorHAnsi" w:hAnsiTheme="majorHAnsi" w:cstheme="majorHAnsi"/>
          <w:sz w:val="24"/>
          <w:szCs w:val="24"/>
          <w:lang w:val="ro-RO"/>
        </w:rPr>
        <w:t xml:space="preserve">de </w:t>
      </w:r>
      <w:r w:rsidRPr="00DE616C">
        <w:rPr>
          <w:rFonts w:asciiTheme="majorHAnsi" w:hAnsiTheme="majorHAnsi" w:cstheme="majorHAnsi"/>
          <w:sz w:val="24"/>
          <w:szCs w:val="24"/>
          <w:lang w:val="ro-RO"/>
        </w:rPr>
        <w:t xml:space="preserve">reevaluare și capitalizare a cheltuielilor, în lipsa unor norme exhaustive nu pot fi confirmate valorile inițiale istorice. </w:t>
      </w:r>
      <w:r w:rsidRPr="00DE616C">
        <w:rPr>
          <w:rFonts w:asciiTheme="majorHAnsi" w:eastAsia="Times New Roman" w:hAnsiTheme="majorHAnsi" w:cstheme="majorHAnsi"/>
          <w:color w:val="202124"/>
          <w:sz w:val="24"/>
          <w:szCs w:val="24"/>
          <w:lang w:val="ro-RO" w:eastAsia="ru-RU"/>
        </w:rPr>
        <w:t xml:space="preserve">În aceste condiții, pentru a exclude pe viitor nimicirea documentelor care certifică tranzacțiile aferente formării valorii mijlocului fix, pe lângă fișa mijlocului fix, este necesară crearea unui dosar al mijlocului fix, în care  se vor acumula informațiile </w:t>
      </w:r>
      <w:r w:rsidRPr="00DE616C">
        <w:rPr>
          <w:rFonts w:asciiTheme="majorHAnsi" w:hAnsiTheme="majorHAnsi" w:cstheme="majorHAnsi"/>
          <w:sz w:val="24"/>
          <w:szCs w:val="24"/>
          <w:lang w:val="ro-RO"/>
        </w:rPr>
        <w:t xml:space="preserve">privind toate modificările efectuate activului nefinanciar și să fie păstrat până la momentul casării mijlocului fix. </w:t>
      </w:r>
      <w:r w:rsidRPr="00DE616C">
        <w:rPr>
          <w:rFonts w:asciiTheme="majorHAnsi" w:eastAsia="Times New Roman" w:hAnsiTheme="majorHAnsi" w:cstheme="majorHAnsi"/>
          <w:color w:val="202124"/>
          <w:sz w:val="24"/>
          <w:szCs w:val="24"/>
          <w:lang w:val="ro-RO" w:eastAsia="ru-RU"/>
        </w:rPr>
        <w:t>Astfel de reguli să fie aplicate mijloacel</w:t>
      </w:r>
      <w:r>
        <w:rPr>
          <w:rFonts w:asciiTheme="majorHAnsi" w:eastAsia="Times New Roman" w:hAnsiTheme="majorHAnsi" w:cstheme="majorHAnsi"/>
          <w:color w:val="202124"/>
          <w:sz w:val="24"/>
          <w:szCs w:val="24"/>
          <w:lang w:val="ro-RO" w:eastAsia="ru-RU"/>
        </w:rPr>
        <w:t>or</w:t>
      </w:r>
      <w:r w:rsidRPr="00DE616C">
        <w:rPr>
          <w:rFonts w:asciiTheme="majorHAnsi" w:eastAsia="Times New Roman" w:hAnsiTheme="majorHAnsi" w:cstheme="majorHAnsi"/>
          <w:color w:val="202124"/>
          <w:sz w:val="24"/>
          <w:szCs w:val="24"/>
          <w:lang w:val="ro-RO" w:eastAsia="ru-RU"/>
        </w:rPr>
        <w:t xml:space="preserve"> fixe pentru care este posibil de restabilit toate tranzacțiile aferente mijlocului fix respectiv, iar pentru </w:t>
      </w:r>
      <w:r>
        <w:rPr>
          <w:rFonts w:asciiTheme="majorHAnsi" w:eastAsia="Times New Roman" w:hAnsiTheme="majorHAnsi" w:cstheme="majorHAnsi"/>
          <w:color w:val="202124"/>
          <w:sz w:val="24"/>
          <w:szCs w:val="24"/>
          <w:lang w:val="ro-RO" w:eastAsia="ru-RU"/>
        </w:rPr>
        <w:t>a</w:t>
      </w:r>
      <w:r w:rsidRPr="00DE616C">
        <w:rPr>
          <w:rFonts w:asciiTheme="majorHAnsi" w:eastAsia="Times New Roman" w:hAnsiTheme="majorHAnsi" w:cstheme="majorHAnsi"/>
          <w:color w:val="202124"/>
          <w:sz w:val="24"/>
          <w:szCs w:val="24"/>
          <w:lang w:val="ro-RO" w:eastAsia="ru-RU"/>
        </w:rPr>
        <w:t xml:space="preserve">cele mijloace fixe pentru care nu este posibil de restabilit costurile care au participat la formarea valorii lor, să fie create comisii pentru reevaluarea mijloacelor fixe sau </w:t>
      </w:r>
      <w:r>
        <w:rPr>
          <w:rFonts w:asciiTheme="majorHAnsi" w:eastAsia="Times New Roman" w:hAnsiTheme="majorHAnsi" w:cstheme="majorHAnsi"/>
          <w:color w:val="202124"/>
          <w:sz w:val="24"/>
          <w:szCs w:val="24"/>
          <w:lang w:val="ro-RO" w:eastAsia="ru-RU"/>
        </w:rPr>
        <w:t xml:space="preserve">să fie </w:t>
      </w:r>
      <w:r w:rsidRPr="00DE616C">
        <w:rPr>
          <w:rFonts w:asciiTheme="majorHAnsi" w:eastAsia="Times New Roman" w:hAnsiTheme="majorHAnsi" w:cstheme="majorHAnsi"/>
          <w:color w:val="202124"/>
          <w:sz w:val="24"/>
          <w:szCs w:val="24"/>
          <w:lang w:val="ro-RO" w:eastAsia="ru-RU"/>
        </w:rPr>
        <w:t>atrași evaluatorii specializați, iar actele de reevaluare vor servi ca bază pentru certificarea valorii noi a mijlocului fix.</w:t>
      </w:r>
    </w:p>
    <w:p w:rsidR="00E827BA" w:rsidRDefault="00E827BA" w:rsidP="00E827BA">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o-RO"/>
        </w:rPr>
      </w:pPr>
      <w:r w:rsidRPr="00DE616C">
        <w:rPr>
          <w:rFonts w:asciiTheme="majorHAnsi" w:hAnsiTheme="majorHAnsi" w:cstheme="majorHAnsi"/>
          <w:sz w:val="24"/>
          <w:szCs w:val="24"/>
          <w:lang w:val="ro-RO"/>
        </w:rPr>
        <w:t>Atragem atenția asupra faptului că până în prezent APP nu a întreprins măsuri pentru realizarea prevederilor HG nr. 902/2017 privitor la schimbarea fondatorului întreprinderilor de stat</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și anume la întreprinderile de stat aflate în proces de insolvabilitate. Se atestă că</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pe parcursul mai multor ani</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deși HG privind schimbarea fondatorului a fost emisă în anul 2018, pentru 5 Î.S. al căror fondator la momentul intrării în vigoare a prevederilor  HG </w:t>
      </w:r>
      <w:r>
        <w:rPr>
          <w:rFonts w:asciiTheme="majorHAnsi" w:hAnsiTheme="majorHAnsi" w:cstheme="majorHAnsi"/>
          <w:sz w:val="24"/>
          <w:szCs w:val="24"/>
          <w:lang w:val="ro-RO"/>
        </w:rPr>
        <w:t xml:space="preserve">menționate </w:t>
      </w:r>
      <w:r w:rsidRPr="00DE616C">
        <w:rPr>
          <w:rFonts w:asciiTheme="majorHAnsi" w:hAnsiTheme="majorHAnsi" w:cstheme="majorHAnsi"/>
          <w:sz w:val="24"/>
          <w:szCs w:val="24"/>
          <w:lang w:val="ro-RO"/>
        </w:rPr>
        <w:t xml:space="preserve">era și este până în prezent MADRM/MAIA, </w:t>
      </w:r>
      <w:r>
        <w:rPr>
          <w:rFonts w:asciiTheme="majorHAnsi" w:hAnsiTheme="majorHAnsi" w:cstheme="majorHAnsi"/>
          <w:sz w:val="24"/>
          <w:szCs w:val="24"/>
          <w:lang w:val="ro-RO"/>
        </w:rPr>
        <w:t>iar</w:t>
      </w:r>
      <w:r w:rsidRPr="00DE616C">
        <w:rPr>
          <w:rFonts w:asciiTheme="majorHAnsi" w:hAnsiTheme="majorHAnsi" w:cstheme="majorHAnsi"/>
          <w:sz w:val="24"/>
          <w:szCs w:val="24"/>
          <w:lang w:val="ro-RO"/>
        </w:rPr>
        <w:t xml:space="preserve"> APP în calitate de nou fondator nu a întreprins măsurile prevăzute în art. 35 alin. </w:t>
      </w:r>
      <w:r>
        <w:rPr>
          <w:rFonts w:asciiTheme="majorHAnsi" w:hAnsiTheme="majorHAnsi" w:cstheme="majorHAnsi"/>
          <w:sz w:val="24"/>
          <w:szCs w:val="24"/>
          <w:lang w:val="ro-RO"/>
        </w:rPr>
        <w:t>(</w:t>
      </w:r>
      <w:r w:rsidRPr="00DE616C">
        <w:rPr>
          <w:rFonts w:asciiTheme="majorHAnsi" w:hAnsiTheme="majorHAnsi" w:cstheme="majorHAnsi"/>
          <w:sz w:val="24"/>
          <w:szCs w:val="24"/>
          <w:lang w:val="ro-RO"/>
        </w:rPr>
        <w:t>3</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din Legea nr. 149/2012 potrivit căr</w:t>
      </w:r>
      <w:r>
        <w:rPr>
          <w:rFonts w:asciiTheme="majorHAnsi" w:hAnsiTheme="majorHAnsi" w:cstheme="majorHAnsi"/>
          <w:sz w:val="24"/>
          <w:szCs w:val="24"/>
          <w:lang w:val="ro-RO"/>
        </w:rPr>
        <w:t>ora</w:t>
      </w:r>
      <w:r w:rsidRPr="00DE616C">
        <w:rPr>
          <w:rFonts w:asciiTheme="majorHAnsi" w:hAnsiTheme="majorHAnsi" w:cstheme="majorHAnsi"/>
          <w:sz w:val="24"/>
          <w:szCs w:val="24"/>
          <w:lang w:val="ro-RO"/>
        </w:rPr>
        <w:t xml:space="preserve"> orice înscrieri sau </w:t>
      </w:r>
      <w:r w:rsidRPr="00DE616C">
        <w:rPr>
          <w:rFonts w:asciiTheme="majorHAnsi" w:hAnsiTheme="majorHAnsi" w:cstheme="majorHAnsi"/>
          <w:sz w:val="24"/>
          <w:szCs w:val="24"/>
          <w:lang w:val="ro-RO"/>
        </w:rPr>
        <w:lastRenderedPageBreak/>
        <w:t>modificări a</w:t>
      </w:r>
      <w:r>
        <w:rPr>
          <w:rFonts w:asciiTheme="majorHAnsi" w:hAnsiTheme="majorHAnsi" w:cstheme="majorHAnsi"/>
          <w:sz w:val="24"/>
          <w:szCs w:val="24"/>
          <w:lang w:val="ro-RO"/>
        </w:rPr>
        <w:t>le</w:t>
      </w:r>
      <w:r w:rsidRPr="00DE616C">
        <w:rPr>
          <w:rFonts w:asciiTheme="majorHAnsi" w:hAnsiTheme="majorHAnsi" w:cstheme="majorHAnsi"/>
          <w:sz w:val="24"/>
          <w:szCs w:val="24"/>
          <w:lang w:val="ro-RO"/>
        </w:rPr>
        <w:t xml:space="preserve"> statului juridic al debitorului sau bunurilor acestuia se fac prin adresare către administratorul insolvabilității.</w:t>
      </w:r>
    </w:p>
    <w:p w:rsidR="00E827BA" w:rsidRDefault="00E827BA" w:rsidP="00E827BA">
      <w:pPr>
        <w:pStyle w:val="a7"/>
        <w:tabs>
          <w:tab w:val="left" w:pos="142"/>
        </w:tabs>
        <w:spacing w:after="120" w:line="276" w:lineRule="auto"/>
        <w:jc w:val="both"/>
        <w:rPr>
          <w:rFonts w:asciiTheme="majorHAnsi" w:hAnsiTheme="majorHAnsi" w:cs="Calibri Light"/>
          <w:noProof/>
          <w:sz w:val="24"/>
          <w:szCs w:val="24"/>
        </w:rPr>
      </w:pPr>
      <w:r>
        <w:rPr>
          <w:rFonts w:asciiTheme="majorHAnsi" w:hAnsiTheme="majorHAnsi" w:cs="Calibri Light"/>
          <w:noProof/>
          <w:sz w:val="24"/>
          <w:szCs w:val="24"/>
        </w:rPr>
        <w:t>În acest context subliniem că, m</w:t>
      </w:r>
      <w:r w:rsidRPr="002123A9">
        <w:rPr>
          <w:rFonts w:asciiTheme="majorHAnsi" w:hAnsiTheme="majorHAnsi" w:cs="Calibri Light"/>
          <w:noProof/>
          <w:sz w:val="24"/>
          <w:szCs w:val="24"/>
        </w:rPr>
        <w:t>are</w:t>
      </w:r>
      <w:r>
        <w:rPr>
          <w:rFonts w:asciiTheme="majorHAnsi" w:hAnsiTheme="majorHAnsi" w:cs="Calibri Light"/>
          <w:noProof/>
          <w:sz w:val="24"/>
          <w:szCs w:val="24"/>
        </w:rPr>
        <w:t>a</w:t>
      </w:r>
      <w:r w:rsidRPr="002123A9">
        <w:rPr>
          <w:rFonts w:asciiTheme="majorHAnsi" w:hAnsiTheme="majorHAnsi" w:cs="Calibri Light"/>
          <w:noProof/>
          <w:sz w:val="24"/>
          <w:szCs w:val="24"/>
        </w:rPr>
        <w:t xml:space="preserve"> parte a patrimonului întreprinderilor de stat aflate în proces de insolvabilitate</w:t>
      </w:r>
      <w:r>
        <w:rPr>
          <w:rFonts w:asciiTheme="majorHAnsi" w:hAnsiTheme="majorHAnsi" w:cs="Calibri Light"/>
          <w:noProof/>
          <w:sz w:val="24"/>
          <w:szCs w:val="24"/>
        </w:rPr>
        <w:t>,</w:t>
      </w:r>
      <w:r w:rsidRPr="002123A9">
        <w:rPr>
          <w:rFonts w:asciiTheme="majorHAnsi" w:hAnsiTheme="majorHAnsi" w:cs="Calibri Light"/>
          <w:noProof/>
          <w:sz w:val="24"/>
          <w:szCs w:val="24"/>
        </w:rPr>
        <w:t xml:space="preserve"> reprezintă proprietate publică a statului sau proprietate publică privată a statului</w:t>
      </w:r>
      <w:r>
        <w:rPr>
          <w:rFonts w:asciiTheme="majorHAnsi" w:hAnsiTheme="majorHAnsi" w:cs="Calibri Light"/>
          <w:noProof/>
          <w:sz w:val="24"/>
          <w:szCs w:val="24"/>
        </w:rPr>
        <w:t>.</w:t>
      </w:r>
      <w:r w:rsidRPr="002123A9">
        <w:rPr>
          <w:rFonts w:asciiTheme="majorHAnsi" w:hAnsiTheme="majorHAnsi" w:cs="Calibri Light"/>
          <w:noProof/>
          <w:sz w:val="24"/>
          <w:szCs w:val="24"/>
        </w:rPr>
        <w:t xml:space="preserve"> </w:t>
      </w:r>
      <w:r>
        <w:rPr>
          <w:rFonts w:asciiTheme="majorHAnsi" w:hAnsiTheme="majorHAnsi" w:cs="Calibri Light"/>
          <w:noProof/>
          <w:sz w:val="24"/>
          <w:szCs w:val="24"/>
        </w:rPr>
        <w:t>S</w:t>
      </w:r>
      <w:r w:rsidRPr="002123A9">
        <w:rPr>
          <w:rFonts w:asciiTheme="majorHAnsi" w:hAnsiTheme="majorHAnsi" w:cs="Calibri Light"/>
          <w:noProof/>
          <w:sz w:val="24"/>
          <w:szCs w:val="24"/>
        </w:rPr>
        <w:t xml:space="preserve">copul instituirii procesului de insolvabilitate este de ameliorare a situațiilor financiare și partimoniale, dreptul de administrare a întreprinderii fiind transmis administratorului insolvabilității, de la procesul de insolvabilitate fiind înstrăinat nu doar administratorul întreprinderii </w:t>
      </w:r>
      <w:r>
        <w:rPr>
          <w:rFonts w:asciiTheme="majorHAnsi" w:hAnsiTheme="majorHAnsi" w:cs="Calibri Light"/>
          <w:noProof/>
          <w:sz w:val="24"/>
          <w:szCs w:val="24"/>
        </w:rPr>
        <w:t xml:space="preserve">desemnat </w:t>
      </w:r>
      <w:r w:rsidRPr="002123A9">
        <w:rPr>
          <w:rFonts w:asciiTheme="majorHAnsi" w:hAnsiTheme="majorHAnsi" w:cs="Calibri Light"/>
          <w:noProof/>
          <w:sz w:val="24"/>
          <w:szCs w:val="24"/>
        </w:rPr>
        <w:t xml:space="preserve">de fondator, </w:t>
      </w:r>
      <w:r>
        <w:rPr>
          <w:rFonts w:asciiTheme="majorHAnsi" w:hAnsiTheme="majorHAnsi" w:cs="Calibri Light"/>
          <w:noProof/>
          <w:sz w:val="24"/>
          <w:szCs w:val="24"/>
        </w:rPr>
        <w:t xml:space="preserve">dar </w:t>
      </w:r>
      <w:r w:rsidRPr="002123A9">
        <w:rPr>
          <w:rFonts w:asciiTheme="majorHAnsi" w:hAnsiTheme="majorHAnsi" w:cs="Calibri Light"/>
          <w:noProof/>
          <w:sz w:val="24"/>
          <w:szCs w:val="24"/>
        </w:rPr>
        <w:t>și fondatorul, ultimul fiind lipsit de informații privind administrarea proprietății statului, precum și de monitorizarea/supravegherea gestionarii eficiente a aceste</w:t>
      </w:r>
      <w:r>
        <w:rPr>
          <w:rFonts w:asciiTheme="majorHAnsi" w:hAnsiTheme="majorHAnsi" w:cs="Calibri Light"/>
          <w:noProof/>
          <w:sz w:val="24"/>
          <w:szCs w:val="24"/>
        </w:rPr>
        <w:t>i</w:t>
      </w:r>
      <w:r w:rsidRPr="002123A9">
        <w:rPr>
          <w:rFonts w:asciiTheme="majorHAnsi" w:hAnsiTheme="majorHAnsi" w:cs="Calibri Light"/>
          <w:noProof/>
          <w:sz w:val="24"/>
          <w:szCs w:val="24"/>
        </w:rPr>
        <w:t>a, pentru a nu admite decizii care pot duce la pierderea controlului asupra bunurilor statului și neasigur</w:t>
      </w:r>
      <w:r>
        <w:rPr>
          <w:rFonts w:asciiTheme="majorHAnsi" w:hAnsiTheme="majorHAnsi" w:cs="Calibri Light"/>
          <w:noProof/>
          <w:sz w:val="24"/>
          <w:szCs w:val="24"/>
        </w:rPr>
        <w:t>area</w:t>
      </w:r>
      <w:r w:rsidRPr="002123A9">
        <w:rPr>
          <w:rFonts w:asciiTheme="majorHAnsi" w:hAnsiTheme="majorHAnsi" w:cs="Calibri Light"/>
          <w:noProof/>
          <w:sz w:val="24"/>
          <w:szCs w:val="24"/>
        </w:rPr>
        <w:t xml:space="preserve"> integrițății acestora. </w:t>
      </w:r>
    </w:p>
    <w:p w:rsidR="00E827BA" w:rsidRPr="00C2491E" w:rsidRDefault="00E827BA" w:rsidP="00E827BA">
      <w:pPr>
        <w:pStyle w:val="a7"/>
        <w:tabs>
          <w:tab w:val="left" w:pos="142"/>
        </w:tabs>
        <w:spacing w:after="120" w:line="276" w:lineRule="auto"/>
        <w:jc w:val="both"/>
        <w:rPr>
          <w:rFonts w:asciiTheme="majorHAnsi" w:hAnsiTheme="majorHAnsi" w:cstheme="majorHAnsi"/>
          <w:sz w:val="24"/>
          <w:szCs w:val="24"/>
        </w:rPr>
      </w:pPr>
      <w:r>
        <w:rPr>
          <w:rFonts w:asciiTheme="majorHAnsi" w:hAnsiTheme="majorHAnsi" w:cs="Calibri Light"/>
          <w:noProof/>
          <w:sz w:val="24"/>
          <w:szCs w:val="24"/>
        </w:rPr>
        <w:t>În acest sens necesitat</w:t>
      </w:r>
      <w:r w:rsidRPr="002123A9">
        <w:rPr>
          <w:rFonts w:asciiTheme="majorHAnsi" w:hAnsiTheme="majorHAnsi" w:cs="Calibri Light"/>
          <w:noProof/>
          <w:sz w:val="24"/>
          <w:szCs w:val="24"/>
        </w:rPr>
        <w:t xml:space="preserve">ea </w:t>
      </w:r>
      <w:r>
        <w:rPr>
          <w:rFonts w:asciiTheme="majorHAnsi" w:hAnsiTheme="majorHAnsi" w:cs="Calibri Light"/>
          <w:noProof/>
          <w:sz w:val="24"/>
          <w:szCs w:val="24"/>
        </w:rPr>
        <w:t xml:space="preserve">revizuirii </w:t>
      </w:r>
      <w:r w:rsidRPr="00C2491E">
        <w:rPr>
          <w:rFonts w:asciiTheme="majorHAnsi" w:hAnsiTheme="majorHAnsi" w:cstheme="majorHAnsi"/>
          <w:sz w:val="24"/>
          <w:szCs w:val="24"/>
        </w:rPr>
        <w:t>Legii insolvabilității nr. 149/2012</w:t>
      </w:r>
      <w:r w:rsidRPr="00C2491E">
        <w:rPr>
          <w:rStyle w:val="a9"/>
          <w:rFonts w:asciiTheme="majorHAnsi" w:hAnsiTheme="majorHAnsi" w:cstheme="majorHAnsi"/>
          <w:sz w:val="24"/>
          <w:szCs w:val="24"/>
        </w:rPr>
        <w:footnoteReference w:id="11"/>
      </w:r>
      <w:r w:rsidRPr="00C2491E">
        <w:rPr>
          <w:rFonts w:asciiTheme="majorHAnsi" w:hAnsiTheme="majorHAnsi" w:cstheme="majorHAnsi"/>
          <w:sz w:val="24"/>
          <w:szCs w:val="24"/>
        </w:rPr>
        <w:t xml:space="preserve"> este iminentă, pentru a permite fondatorului să supravegheze/monitorizeze procesul de insolvabilitate/lichidare, inclusiv prin participarea unui reprezentant al fondatorului la toate ședințele organizate de administratorul insolvabilității, precum și, după caz, să dețină votul „veto” în deciziile care se vor referi la utilizarea/gestionarea ineficientă de către administratorul insolvabilității a proprietății statului, precum și de înstrăinare a acesteia către terți, ca urmare a includerii  neregulamentare a proprietății statului în masa debitorială. De asemenea, în scopul monitorizării de către fondator a acțiunilor administratorului, ar fi oportun ca fondatorului să-i fie prezentat un exemplar de raport trimestrial, care este prez</w:t>
      </w:r>
      <w:r>
        <w:rPr>
          <w:rFonts w:asciiTheme="majorHAnsi" w:hAnsiTheme="majorHAnsi" w:cstheme="majorHAnsi"/>
          <w:sz w:val="24"/>
          <w:szCs w:val="24"/>
        </w:rPr>
        <w:t>e</w:t>
      </w:r>
      <w:r w:rsidRPr="00C2491E">
        <w:rPr>
          <w:rFonts w:asciiTheme="majorHAnsi" w:hAnsiTheme="majorHAnsi" w:cstheme="majorHAnsi"/>
          <w:sz w:val="24"/>
          <w:szCs w:val="24"/>
        </w:rPr>
        <w:t>ntat și instanțelor de insolvabilitate.</w:t>
      </w:r>
    </w:p>
    <w:p w:rsidR="00E827BA" w:rsidRPr="00C2491E" w:rsidRDefault="00E827BA" w:rsidP="00E827BA">
      <w:pPr>
        <w:pStyle w:val="a7"/>
        <w:tabs>
          <w:tab w:val="left" w:pos="142"/>
        </w:tabs>
        <w:spacing w:after="120" w:line="276" w:lineRule="auto"/>
        <w:jc w:val="both"/>
        <w:rPr>
          <w:rFonts w:asciiTheme="majorHAnsi" w:hAnsiTheme="majorHAnsi" w:cstheme="majorHAnsi"/>
          <w:sz w:val="24"/>
          <w:szCs w:val="24"/>
        </w:rPr>
      </w:pPr>
      <w:r w:rsidRPr="00C2491E">
        <w:rPr>
          <w:rFonts w:asciiTheme="majorHAnsi" w:hAnsiTheme="majorHAnsi" w:cstheme="majorHAnsi"/>
          <w:sz w:val="24"/>
          <w:szCs w:val="24"/>
        </w:rPr>
        <w:t>Includerea neregulamentară a proprietății statului în masa debitorială, în mare parte este o consecință a faptului că</w:t>
      </w:r>
      <w:r>
        <w:rPr>
          <w:rFonts w:asciiTheme="majorHAnsi" w:hAnsiTheme="majorHAnsi" w:cstheme="majorHAnsi"/>
          <w:sz w:val="24"/>
          <w:szCs w:val="24"/>
        </w:rPr>
        <w:t>,</w:t>
      </w:r>
      <w:r w:rsidRPr="00C2491E">
        <w:rPr>
          <w:rFonts w:asciiTheme="majorHAnsi" w:hAnsiTheme="majorHAnsi" w:cstheme="majorHAnsi"/>
          <w:sz w:val="24"/>
          <w:szCs w:val="24"/>
        </w:rPr>
        <w:t xml:space="preserve"> pe parcursul mai multor ani, întreprinderile de stat nu s-au conformat regulilor de contabilizare a proprietății care aparține cu titlul de proprietate persoanelor terțe, și nu au contabilizat acest tip de bunuri în conturi distincte destinate contabilizării mijloacelor fixe și terenurilor primite în gestiune economică</w:t>
      </w:r>
      <w:r w:rsidRPr="00C2491E">
        <w:rPr>
          <w:rStyle w:val="a9"/>
          <w:rFonts w:asciiTheme="majorHAnsi" w:hAnsiTheme="majorHAnsi" w:cstheme="majorHAnsi"/>
          <w:sz w:val="24"/>
          <w:szCs w:val="24"/>
        </w:rPr>
        <w:footnoteReference w:id="12"/>
      </w:r>
      <w:r w:rsidRPr="00C2491E">
        <w:rPr>
          <w:rFonts w:asciiTheme="majorHAnsi" w:hAnsiTheme="majorHAnsi" w:cstheme="majorHAnsi"/>
          <w:sz w:val="24"/>
          <w:szCs w:val="24"/>
        </w:rPr>
        <w:t>.</w:t>
      </w:r>
    </w:p>
    <w:p w:rsidR="00E827BA" w:rsidRPr="002123A9" w:rsidRDefault="00E827BA" w:rsidP="00E827BA">
      <w:pPr>
        <w:pStyle w:val="af1"/>
        <w:tabs>
          <w:tab w:val="left" w:pos="2192"/>
        </w:tabs>
        <w:spacing w:after="120" w:line="276" w:lineRule="auto"/>
        <w:ind w:firstLine="0"/>
        <w:rPr>
          <w:rFonts w:asciiTheme="majorHAnsi" w:hAnsiTheme="majorHAnsi" w:cs="Calibri Light"/>
          <w:noProof/>
        </w:rPr>
      </w:pPr>
      <w:r w:rsidRPr="002123A9">
        <w:rPr>
          <w:rFonts w:asciiTheme="majorHAnsi" w:hAnsiTheme="majorHAnsi" w:cs="Calibri Light"/>
          <w:noProof/>
        </w:rPr>
        <w:t>Totodată</w:t>
      </w:r>
      <w:r>
        <w:rPr>
          <w:rFonts w:asciiTheme="majorHAnsi" w:hAnsiTheme="majorHAnsi" w:cs="Calibri Light"/>
          <w:noProof/>
        </w:rPr>
        <w:t>,</w:t>
      </w:r>
      <w:r w:rsidRPr="002123A9">
        <w:rPr>
          <w:rFonts w:asciiTheme="majorHAnsi" w:hAnsiTheme="majorHAnsi" w:cs="Calibri Light"/>
          <w:noProof/>
        </w:rPr>
        <w:t xml:space="preserve"> menționăm și faptul că, deși, conform art. 117 din Legea insolvabilităţii</w:t>
      </w:r>
      <w:r>
        <w:rPr>
          <w:rFonts w:asciiTheme="majorHAnsi" w:hAnsiTheme="majorHAnsi" w:cs="Calibri Light"/>
          <w:noProof/>
        </w:rPr>
        <w:t>,</w:t>
      </w:r>
      <w:r w:rsidRPr="002123A9">
        <w:rPr>
          <w:rFonts w:asciiTheme="majorHAnsi" w:hAnsiTheme="majorHAnsi" w:cs="Calibri Light"/>
          <w:noProof/>
        </w:rPr>
        <w:t xml:space="preserve"> </w:t>
      </w:r>
      <w:r>
        <w:rPr>
          <w:rFonts w:asciiTheme="majorHAnsi" w:hAnsiTheme="majorHAnsi" w:cs="Calibri Light"/>
          <w:noProof/>
        </w:rPr>
        <w:t>t</w:t>
      </w:r>
      <w:r w:rsidRPr="002123A9">
        <w:rPr>
          <w:rFonts w:asciiTheme="majorHAnsi" w:hAnsiTheme="majorHAnsi" w:cs="Calibri Light"/>
          <w:noProof/>
        </w:rPr>
        <w:t xml:space="preserve">ermenul de valorificare și/sau de lichidare a masei debitoare nu poate depăși 2 ani de la intentarea procedurii falimentului, </w:t>
      </w:r>
      <w:r>
        <w:rPr>
          <w:rFonts w:asciiTheme="majorHAnsi" w:hAnsiTheme="majorHAnsi" w:cs="Calibri Light"/>
          <w:noProof/>
        </w:rPr>
        <w:t>iar conf</w:t>
      </w:r>
      <w:r w:rsidRPr="002123A9">
        <w:rPr>
          <w:rFonts w:asciiTheme="majorHAnsi" w:hAnsiTheme="majorHAnsi" w:cs="Calibri Light"/>
          <w:noProof/>
        </w:rPr>
        <w:t xml:space="preserve">orm art. 190 alin.(6) </w:t>
      </w:r>
      <w:r>
        <w:rPr>
          <w:rFonts w:asciiTheme="majorHAnsi" w:hAnsiTheme="majorHAnsi" w:cs="Calibri Light"/>
          <w:noProof/>
        </w:rPr>
        <w:t>e</w:t>
      </w:r>
      <w:r w:rsidRPr="002123A9">
        <w:rPr>
          <w:rFonts w:asciiTheme="majorHAnsi" w:hAnsiTheme="majorHAnsi" w:cs="Calibri Light"/>
          <w:noProof/>
        </w:rPr>
        <w:t>xecutarea planului procedurii de restructurare nu poate depăși 3 ani, calculați de la data confirmării, iar în cazuri excepționale, temeinic motivate și cu condiția că debitorul a respectat planul de restructurare în primii 2 ani, durata restructurării poate fi prelungită, prin hotărâre a adunării creditorilor, o singură dată, pe un termen de până la 2 ani</w:t>
      </w:r>
      <w:r>
        <w:rPr>
          <w:rFonts w:asciiTheme="majorHAnsi" w:hAnsiTheme="majorHAnsi" w:cs="Calibri Light"/>
          <w:noProof/>
        </w:rPr>
        <w:t>.</w:t>
      </w:r>
      <w:r w:rsidRPr="002123A9">
        <w:rPr>
          <w:rFonts w:asciiTheme="majorHAnsi" w:hAnsiTheme="majorHAnsi" w:cs="Calibri Light"/>
          <w:noProof/>
        </w:rPr>
        <w:t xml:space="preserve"> </w:t>
      </w:r>
      <w:r>
        <w:rPr>
          <w:rFonts w:asciiTheme="majorHAnsi" w:hAnsiTheme="majorHAnsi" w:cs="Calibri Light"/>
          <w:noProof/>
        </w:rPr>
        <w:t>A</w:t>
      </w:r>
      <w:r w:rsidRPr="002123A9">
        <w:rPr>
          <w:rFonts w:asciiTheme="majorHAnsi" w:hAnsiTheme="majorHAnsi" w:cs="Calibri Light"/>
          <w:noProof/>
        </w:rPr>
        <w:t xml:space="preserve">stfel, procedura de restructurare nu poate dura mai mult de 5 ani, </w:t>
      </w:r>
      <w:r>
        <w:rPr>
          <w:rFonts w:asciiTheme="majorHAnsi" w:hAnsiTheme="majorHAnsi" w:cs="Calibri Light"/>
          <w:noProof/>
        </w:rPr>
        <w:t xml:space="preserve">însă </w:t>
      </w:r>
      <w:r w:rsidRPr="002123A9">
        <w:rPr>
          <w:rFonts w:asciiTheme="majorHAnsi" w:hAnsiTheme="majorHAnsi" w:cs="Calibri Light"/>
          <w:noProof/>
        </w:rPr>
        <w:t>la unele Î.S. procesul de ins</w:t>
      </w:r>
      <w:r>
        <w:rPr>
          <w:rFonts w:asciiTheme="majorHAnsi" w:hAnsiTheme="majorHAnsi" w:cs="Calibri Light"/>
          <w:noProof/>
        </w:rPr>
        <w:t>o</w:t>
      </w:r>
      <w:r w:rsidRPr="002123A9">
        <w:rPr>
          <w:rFonts w:asciiTheme="majorHAnsi" w:hAnsiTheme="majorHAnsi" w:cs="Calibri Light"/>
          <w:noProof/>
        </w:rPr>
        <w:t xml:space="preserve">lvabilitate </w:t>
      </w:r>
      <w:r>
        <w:rPr>
          <w:rFonts w:asciiTheme="majorHAnsi" w:hAnsiTheme="majorHAnsi" w:cs="Calibri Light"/>
          <w:noProof/>
        </w:rPr>
        <w:t>a f</w:t>
      </w:r>
      <w:r w:rsidRPr="0074571C">
        <w:rPr>
          <w:rFonts w:asciiTheme="majorHAnsi" w:hAnsiTheme="majorHAnsi" w:cs="Calibri Light"/>
          <w:noProof/>
        </w:rPr>
        <w:t>ost inițiat în anul 2</w:t>
      </w:r>
      <w:r>
        <w:rPr>
          <w:rFonts w:asciiTheme="majorHAnsi" w:hAnsiTheme="majorHAnsi" w:cs="Calibri Light"/>
          <w:noProof/>
        </w:rPr>
        <w:t xml:space="preserve">010 și continuă până în </w:t>
      </w:r>
      <w:r w:rsidRPr="004B3D3B">
        <w:rPr>
          <w:rFonts w:asciiTheme="majorHAnsi" w:hAnsiTheme="majorHAnsi" w:cs="Calibri Light"/>
          <w:noProof/>
        </w:rPr>
        <w:t>prezent</w:t>
      </w:r>
      <w:r w:rsidRPr="004B3D3B">
        <w:rPr>
          <w:rStyle w:val="a9"/>
          <w:rFonts w:asciiTheme="majorHAnsi" w:hAnsiTheme="majorHAnsi" w:cs="Calibri Light"/>
          <w:noProof/>
        </w:rPr>
        <w:footnoteReference w:id="13"/>
      </w:r>
      <w:r w:rsidRPr="004B3D3B">
        <w:rPr>
          <w:rFonts w:asciiTheme="majorHAnsi" w:hAnsiTheme="majorHAnsi" w:cs="Calibri Light"/>
          <w:noProof/>
        </w:rPr>
        <w:t>,</w:t>
      </w:r>
      <w:r w:rsidRPr="002123A9">
        <w:rPr>
          <w:rFonts w:asciiTheme="majorHAnsi" w:hAnsiTheme="majorHAnsi" w:cs="Calibri Light"/>
          <w:noProof/>
        </w:rPr>
        <w:t xml:space="preserve"> ceea ce denotă nerespectarea prevederilor cadrului regulator și</w:t>
      </w:r>
      <w:r>
        <w:rPr>
          <w:rFonts w:asciiTheme="majorHAnsi" w:hAnsiTheme="majorHAnsi" w:cs="Calibri Light"/>
          <w:noProof/>
        </w:rPr>
        <w:t>,</w:t>
      </w:r>
      <w:r w:rsidRPr="002123A9">
        <w:rPr>
          <w:rFonts w:asciiTheme="majorHAnsi" w:hAnsiTheme="majorHAnsi" w:cs="Calibri Light"/>
          <w:noProof/>
        </w:rPr>
        <w:t xml:space="preserve"> ca urmare</w:t>
      </w:r>
      <w:r>
        <w:rPr>
          <w:rFonts w:asciiTheme="majorHAnsi" w:hAnsiTheme="majorHAnsi" w:cs="Calibri Light"/>
          <w:noProof/>
        </w:rPr>
        <w:t>,</w:t>
      </w:r>
      <w:r w:rsidRPr="002123A9">
        <w:rPr>
          <w:rFonts w:asciiTheme="majorHAnsi" w:hAnsiTheme="majorHAnsi" w:cs="Calibri Light"/>
          <w:noProof/>
        </w:rPr>
        <w:t xml:space="preserve"> </w:t>
      </w:r>
      <w:r>
        <w:rPr>
          <w:rFonts w:asciiTheme="majorHAnsi" w:hAnsiTheme="majorHAnsi" w:cs="Calibri Light"/>
          <w:noProof/>
        </w:rPr>
        <w:t>suportarea uno</w:t>
      </w:r>
      <w:r w:rsidRPr="002123A9">
        <w:rPr>
          <w:rFonts w:asciiTheme="majorHAnsi" w:hAnsiTheme="majorHAnsi" w:cs="Calibri Light"/>
          <w:noProof/>
        </w:rPr>
        <w:t xml:space="preserve">r cheltuieli suplimentare, inclusiv pentru salarizarea administratorului insolvabilității și/sau a lichidatorului întreprinderii de stat. </w:t>
      </w:r>
      <w:r>
        <w:rPr>
          <w:rFonts w:asciiTheme="majorHAnsi" w:hAnsiTheme="majorHAnsi" w:cs="Calibri Light"/>
          <w:noProof/>
        </w:rPr>
        <w:t>În acest sens, urmează a fi î</w:t>
      </w:r>
      <w:r w:rsidRPr="002123A9">
        <w:rPr>
          <w:rFonts w:asciiTheme="majorHAnsi" w:hAnsiTheme="majorHAnsi" w:cs="Calibri Light"/>
          <w:noProof/>
        </w:rPr>
        <w:t>ntreprinse măsuri de responsabilizare a administra</w:t>
      </w:r>
      <w:r>
        <w:rPr>
          <w:rFonts w:asciiTheme="majorHAnsi" w:hAnsiTheme="majorHAnsi" w:cs="Calibri Light"/>
          <w:noProof/>
        </w:rPr>
        <w:t>torului insolvabilității și/sau</w:t>
      </w:r>
      <w:r w:rsidRPr="002123A9">
        <w:rPr>
          <w:rFonts w:asciiTheme="majorHAnsi" w:hAnsiTheme="majorHAnsi" w:cs="Calibri Light"/>
          <w:noProof/>
        </w:rPr>
        <w:t xml:space="preserve"> a lichidatorului întreprinderii de stat, asupra r</w:t>
      </w:r>
      <w:r>
        <w:rPr>
          <w:rFonts w:asciiTheme="majorHAnsi" w:hAnsiTheme="majorHAnsi" w:cs="Calibri Light"/>
          <w:noProof/>
        </w:rPr>
        <w:t>espect</w:t>
      </w:r>
      <w:r w:rsidRPr="002123A9">
        <w:rPr>
          <w:rFonts w:asciiTheme="majorHAnsi" w:hAnsiTheme="majorHAnsi" w:cs="Calibri Light"/>
          <w:noProof/>
        </w:rPr>
        <w:t>ării termen</w:t>
      </w:r>
      <w:r>
        <w:rPr>
          <w:rFonts w:asciiTheme="majorHAnsi" w:hAnsiTheme="majorHAnsi" w:cs="Calibri Light"/>
          <w:noProof/>
        </w:rPr>
        <w:t>e</w:t>
      </w:r>
      <w:r w:rsidRPr="002123A9">
        <w:rPr>
          <w:rFonts w:asciiTheme="majorHAnsi" w:hAnsiTheme="majorHAnsi" w:cs="Calibri Light"/>
          <w:noProof/>
        </w:rPr>
        <w:t>lor limită stabil</w:t>
      </w:r>
      <w:r>
        <w:rPr>
          <w:rFonts w:asciiTheme="majorHAnsi" w:hAnsiTheme="majorHAnsi" w:cs="Calibri Light"/>
          <w:noProof/>
        </w:rPr>
        <w:t>ite</w:t>
      </w:r>
      <w:r w:rsidRPr="002123A9">
        <w:rPr>
          <w:rFonts w:asciiTheme="majorHAnsi" w:hAnsiTheme="majorHAnsi" w:cs="Calibri Light"/>
          <w:noProof/>
        </w:rPr>
        <w:t xml:space="preserve"> pentru lichidarea </w:t>
      </w:r>
      <w:r>
        <w:rPr>
          <w:rFonts w:asciiTheme="majorHAnsi" w:hAnsiTheme="majorHAnsi" w:cs="Calibri Light"/>
          <w:noProof/>
        </w:rPr>
        <w:t>ș</w:t>
      </w:r>
      <w:r w:rsidRPr="002123A9">
        <w:rPr>
          <w:rFonts w:asciiTheme="majorHAnsi" w:hAnsiTheme="majorHAnsi" w:cs="Calibri Light"/>
          <w:noProof/>
        </w:rPr>
        <w:t xml:space="preserve">i/sau </w:t>
      </w:r>
      <w:r w:rsidRPr="002123A9">
        <w:rPr>
          <w:rFonts w:asciiTheme="majorHAnsi" w:hAnsiTheme="majorHAnsi" w:cs="Calibri Light"/>
          <w:noProof/>
        </w:rPr>
        <w:lastRenderedPageBreak/>
        <w:t>restructurarea întreprinderilor de stat aflate în proces de insolvabilitate, cu intensificarea controlului asupra respectării acestor prevederi de către organele abilitate (instanța de insolvabilitate).</w:t>
      </w:r>
    </w:p>
    <w:p w:rsidR="00E827BA" w:rsidRPr="00E827BA" w:rsidRDefault="00E827BA" w:rsidP="00E827BA">
      <w:pPr>
        <w:spacing w:after="120" w:line="276" w:lineRule="auto"/>
        <w:jc w:val="both"/>
        <w:rPr>
          <w:rFonts w:asciiTheme="majorHAnsi" w:hAnsiTheme="majorHAnsi" w:cstheme="majorHAnsi"/>
          <w:sz w:val="24"/>
          <w:szCs w:val="24"/>
          <w:lang w:val="ro-RO"/>
        </w:rPr>
      </w:pPr>
      <w:r w:rsidRPr="00E827BA">
        <w:rPr>
          <w:rFonts w:asciiTheme="majorHAnsi" w:hAnsiTheme="majorHAnsi" w:cstheme="majorHAnsi"/>
          <w:sz w:val="24"/>
          <w:szCs w:val="24"/>
          <w:lang w:val="ro-RO"/>
        </w:rPr>
        <w:t>Opinia nu a fost  modificată din cauza acestor aspecte.</w:t>
      </w:r>
    </w:p>
    <w:p w:rsidR="00E827BA" w:rsidRPr="00DE616C" w:rsidRDefault="00E827BA" w:rsidP="00E827BA">
      <w:pPr>
        <w:pStyle w:val="a5"/>
        <w:numPr>
          <w:ilvl w:val="0"/>
          <w:numId w:val="1"/>
        </w:numPr>
        <w:spacing w:before="100" w:beforeAutospacing="1" w:after="0" w:line="276" w:lineRule="auto"/>
        <w:ind w:left="0" w:firstLine="284"/>
        <w:contextualSpacing w:val="0"/>
        <w:jc w:val="both"/>
        <w:outlineLvl w:val="0"/>
        <w:rPr>
          <w:rFonts w:asciiTheme="majorHAnsi" w:hAnsiTheme="majorHAnsi" w:cstheme="majorHAnsi"/>
          <w:b/>
          <w:sz w:val="24"/>
          <w:szCs w:val="24"/>
          <w:lang w:val="ro-RO"/>
        </w:rPr>
      </w:pPr>
      <w:r w:rsidRPr="00DE616C">
        <w:rPr>
          <w:rFonts w:asciiTheme="majorHAnsi" w:hAnsiTheme="majorHAnsi" w:cstheme="majorHAnsi"/>
          <w:b/>
          <w:sz w:val="24"/>
          <w:szCs w:val="24"/>
          <w:lang w:val="ro-RO"/>
        </w:rPr>
        <w:t>ASPECTE-CHEIE DE AUDIT</w:t>
      </w:r>
    </w:p>
    <w:p w:rsidR="00E827BA" w:rsidRPr="00DE616C" w:rsidRDefault="00E827BA" w:rsidP="00E827BA">
      <w:pPr>
        <w:tabs>
          <w:tab w:val="left" w:pos="720"/>
        </w:tabs>
        <w:spacing w:after="120" w:line="276" w:lineRule="auto"/>
        <w:jc w:val="both"/>
        <w:rPr>
          <w:rFonts w:asciiTheme="majorHAnsi" w:hAnsiTheme="majorHAnsi" w:cstheme="majorHAnsi"/>
          <w:sz w:val="24"/>
          <w:szCs w:val="24"/>
          <w:lang w:val="ro-RO"/>
        </w:rPr>
      </w:pPr>
      <w:r w:rsidRPr="00DE616C">
        <w:rPr>
          <w:rFonts w:asciiTheme="majorHAnsi" w:eastAsia="Calibri" w:hAnsiTheme="majorHAnsi" w:cstheme="majorHAnsi"/>
          <w:sz w:val="24"/>
          <w:szCs w:val="24"/>
          <w:lang w:val="ro-RO"/>
        </w:rPr>
        <w:t>Aspectele-cheie de audit sunt acele aspecte care, în baza raționamentului nostru profesional, au avut cea mai mare importanță pentru auditul rapoartelor financiare ale MA</w:t>
      </w:r>
      <w:r>
        <w:rPr>
          <w:rFonts w:asciiTheme="majorHAnsi" w:eastAsia="Calibri" w:hAnsiTheme="majorHAnsi" w:cstheme="majorHAnsi"/>
          <w:sz w:val="24"/>
          <w:szCs w:val="24"/>
          <w:lang w:val="ro-RO"/>
        </w:rPr>
        <w:t>IA</w:t>
      </w:r>
      <w:r w:rsidRPr="00DE616C">
        <w:rPr>
          <w:rFonts w:asciiTheme="majorHAnsi" w:eastAsia="Calibri" w:hAnsiTheme="majorHAnsi" w:cstheme="majorHAnsi"/>
          <w:sz w:val="24"/>
          <w:szCs w:val="24"/>
          <w:lang w:val="ro-RO"/>
        </w:rPr>
        <w:t xml:space="preserve"> încheiate la 31 decembrie 2021. Aceste aspecte au fost abordate în contextul auditului rapoartelor financiare în ansamblu și în formarea opiniei noastre asupra lor</w:t>
      </w:r>
      <w:r w:rsidRPr="00DE616C">
        <w:rPr>
          <w:rFonts w:asciiTheme="majorHAnsi" w:hAnsiTheme="majorHAnsi" w:cstheme="majorHAnsi"/>
          <w:sz w:val="24"/>
          <w:szCs w:val="24"/>
          <w:lang w:val="ro-RO"/>
        </w:rPr>
        <w:t>, fără a oferi o opinie separată privind aspectele date</w:t>
      </w:r>
      <w:r w:rsidRPr="00DE616C">
        <w:rPr>
          <w:rFonts w:asciiTheme="majorHAnsi" w:eastAsia="Calibri" w:hAnsiTheme="majorHAnsi" w:cstheme="majorHAnsi"/>
          <w:sz w:val="24"/>
          <w:szCs w:val="24"/>
          <w:lang w:val="ro-RO"/>
        </w:rPr>
        <w:t xml:space="preserve">. </w:t>
      </w:r>
      <w:r w:rsidRPr="00DE616C">
        <w:rPr>
          <w:rFonts w:asciiTheme="majorHAnsi" w:hAnsiTheme="majorHAnsi" w:cstheme="majorHAnsi"/>
          <w:sz w:val="24"/>
          <w:szCs w:val="24"/>
          <w:lang w:val="ro-RO"/>
        </w:rPr>
        <w:t xml:space="preserve">În plus, față de aspectul descris în secțiunea </w:t>
      </w:r>
      <w:r w:rsidRPr="00DE616C">
        <w:rPr>
          <w:rFonts w:asciiTheme="majorHAnsi" w:hAnsiTheme="majorHAnsi" w:cstheme="majorHAnsi"/>
          <w:i/>
          <w:sz w:val="24"/>
          <w:szCs w:val="24"/>
          <w:lang w:val="ro-RO"/>
        </w:rPr>
        <w:t>Baza pentru opinia cu rezerve</w:t>
      </w:r>
      <w:r w:rsidRPr="00DE616C">
        <w:rPr>
          <w:rFonts w:asciiTheme="majorHAnsi" w:hAnsiTheme="majorHAnsi" w:cstheme="majorHAnsi"/>
          <w:sz w:val="24"/>
          <w:szCs w:val="24"/>
          <w:lang w:val="ro-RO"/>
        </w:rPr>
        <w:t>, am determinat că aspectele descrise în continuare reprezintă aspectele-cheie de audit care trebuie comunicate în Raportul nostru.</w:t>
      </w:r>
    </w:p>
    <w:p w:rsidR="00E827BA" w:rsidRPr="00DE616C" w:rsidRDefault="00E827BA" w:rsidP="00E827BA">
      <w:pPr>
        <w:tabs>
          <w:tab w:val="left" w:pos="720"/>
        </w:tabs>
        <w:spacing w:after="120" w:line="276" w:lineRule="auto"/>
        <w:jc w:val="both"/>
        <w:rPr>
          <w:rFonts w:asciiTheme="majorHAnsi" w:hAnsiTheme="majorHAnsi" w:cstheme="majorHAnsi"/>
          <w:sz w:val="24"/>
          <w:szCs w:val="24"/>
          <w:lang w:val="ro-RO"/>
        </w:rPr>
      </w:pPr>
      <w:r w:rsidRPr="006B0646">
        <w:rPr>
          <w:rFonts w:asciiTheme="majorHAnsi" w:eastAsia="Calibri" w:hAnsiTheme="majorHAnsi" w:cstheme="majorHAnsi"/>
          <w:b/>
          <w:sz w:val="24"/>
          <w:szCs w:val="24"/>
          <w:lang w:val="ro-RO"/>
        </w:rPr>
        <w:t>4.1</w:t>
      </w:r>
      <w:r w:rsidRPr="006B0646">
        <w:rPr>
          <w:rFonts w:asciiTheme="majorHAnsi" w:hAnsiTheme="majorHAnsi" w:cstheme="majorHAnsi"/>
          <w:b/>
          <w:sz w:val="24"/>
          <w:szCs w:val="24"/>
          <w:lang w:val="ro-RO"/>
        </w:rPr>
        <w:t>.</w:t>
      </w:r>
      <w:r w:rsidRPr="00DE616C">
        <w:rPr>
          <w:rFonts w:asciiTheme="majorHAnsi" w:hAnsiTheme="majorHAnsi" w:cstheme="majorHAnsi"/>
          <w:sz w:val="24"/>
          <w:szCs w:val="24"/>
          <w:lang w:val="ro-RO"/>
        </w:rPr>
        <w:t xml:space="preserve"> </w:t>
      </w:r>
      <w:r w:rsidRPr="00DE616C">
        <w:rPr>
          <w:rFonts w:asciiTheme="majorHAnsi" w:hAnsiTheme="majorHAnsi" w:cstheme="minorHAnsi"/>
          <w:bCs/>
          <w:sz w:val="24"/>
          <w:szCs w:val="24"/>
          <w:lang w:val="ro-RO"/>
        </w:rPr>
        <w:t>Atenționăm că</w:t>
      </w:r>
      <w:r>
        <w:rPr>
          <w:rFonts w:asciiTheme="majorHAnsi" w:hAnsiTheme="majorHAnsi" w:cstheme="minorHAnsi"/>
          <w:bCs/>
          <w:sz w:val="24"/>
          <w:szCs w:val="24"/>
          <w:lang w:val="ro-RO"/>
        </w:rPr>
        <w:t>,</w:t>
      </w:r>
      <w:r w:rsidRPr="00DE616C">
        <w:rPr>
          <w:rFonts w:asciiTheme="majorHAnsi" w:hAnsiTheme="majorHAnsi" w:cstheme="minorHAnsi"/>
          <w:bCs/>
          <w:sz w:val="24"/>
          <w:szCs w:val="24"/>
          <w:lang w:val="ro-RO"/>
        </w:rPr>
        <w:t xml:space="preserve"> u</w:t>
      </w:r>
      <w:r w:rsidRPr="00DE616C">
        <w:rPr>
          <w:rFonts w:asciiTheme="majorHAnsi" w:hAnsiTheme="majorHAnsi" w:cstheme="majorHAnsi"/>
          <w:sz w:val="24"/>
          <w:szCs w:val="24"/>
          <w:lang w:val="ro-RO"/>
        </w:rPr>
        <w:t>rmare a comunicării cu entitatea care a admis clasificarea eronată a tranzacțiilor ce reprezintă restituirea alocațiilor din anii precedenți, în coordonare cu Ministerul Finanțelor s-a luat decizia de corectare a acestora în rapoartele financiare consolidate aprobate anterior. Astfel,  o entitate subordonată MAIA</w:t>
      </w:r>
      <w:r w:rsidRPr="00DE616C">
        <w:rPr>
          <w:rStyle w:val="a9"/>
          <w:rFonts w:asciiTheme="majorHAnsi" w:hAnsiTheme="majorHAnsi" w:cstheme="majorHAnsi"/>
          <w:sz w:val="24"/>
          <w:szCs w:val="24"/>
          <w:lang w:val="ro-RO"/>
        </w:rPr>
        <w:footnoteReference w:id="14"/>
      </w:r>
      <w:r w:rsidRPr="00DE616C">
        <w:rPr>
          <w:rFonts w:asciiTheme="majorHAnsi" w:hAnsiTheme="majorHAnsi" w:cstheme="majorHAnsi"/>
          <w:sz w:val="24"/>
          <w:szCs w:val="24"/>
          <w:lang w:val="ro-RO"/>
        </w:rPr>
        <w:t xml:space="preserve"> a corectat erorile prin întocmirea notelor de transfer, contribuind astfel la îmbunătățirea calității rapoartelor financiare anuale. Valoarea corectărilor efectuate constituie per total  0,5 mil.lei.</w:t>
      </w:r>
    </w:p>
    <w:p w:rsidR="00E827BA" w:rsidRPr="00DE616C" w:rsidRDefault="00E827BA" w:rsidP="00E827BA">
      <w:pPr>
        <w:tabs>
          <w:tab w:val="left" w:pos="720"/>
        </w:tabs>
        <w:spacing w:after="0" w:line="276" w:lineRule="auto"/>
        <w:jc w:val="both"/>
        <w:rPr>
          <w:rFonts w:asciiTheme="majorHAnsi" w:hAnsiTheme="majorHAnsi" w:cstheme="majorHAnsi"/>
          <w:sz w:val="24"/>
          <w:szCs w:val="24"/>
          <w:lang w:val="ro-RO"/>
        </w:rPr>
      </w:pPr>
    </w:p>
    <w:p w:rsidR="00E827BA" w:rsidRPr="006B0646" w:rsidRDefault="00E827BA" w:rsidP="00E827BA">
      <w:pPr>
        <w:pStyle w:val="a5"/>
        <w:numPr>
          <w:ilvl w:val="0"/>
          <w:numId w:val="1"/>
        </w:numPr>
        <w:rPr>
          <w:rFonts w:asciiTheme="majorHAnsi" w:hAnsiTheme="majorHAnsi" w:cstheme="majorHAnsi"/>
          <w:b/>
          <w:sz w:val="24"/>
          <w:szCs w:val="24"/>
          <w:lang w:val="ro-RO"/>
        </w:rPr>
      </w:pPr>
      <w:bookmarkStart w:id="5" w:name="_Toc532292919"/>
      <w:bookmarkStart w:id="6" w:name="_Toc532292929"/>
      <w:bookmarkStart w:id="7" w:name="_Toc532292920"/>
      <w:bookmarkStart w:id="8" w:name="_Toc532292930"/>
      <w:bookmarkStart w:id="9" w:name="_Toc530056760"/>
      <w:bookmarkStart w:id="10" w:name="_Toc532292931"/>
      <w:bookmarkEnd w:id="5"/>
      <w:bookmarkEnd w:id="6"/>
      <w:bookmarkEnd w:id="7"/>
      <w:bookmarkEnd w:id="8"/>
      <w:r w:rsidRPr="006B0646">
        <w:rPr>
          <w:rFonts w:asciiTheme="majorHAnsi" w:hAnsiTheme="majorHAnsi" w:cstheme="majorHAnsi"/>
          <w:b/>
          <w:sz w:val="24"/>
          <w:szCs w:val="24"/>
          <w:lang w:val="ro-RO"/>
        </w:rPr>
        <w:t xml:space="preserve">ALTE </w:t>
      </w:r>
      <w:bookmarkEnd w:id="9"/>
      <w:r w:rsidRPr="006B0646">
        <w:rPr>
          <w:rFonts w:asciiTheme="majorHAnsi" w:hAnsiTheme="majorHAnsi" w:cstheme="majorHAnsi"/>
          <w:b/>
          <w:sz w:val="24"/>
          <w:szCs w:val="24"/>
          <w:lang w:val="ro-RO"/>
        </w:rPr>
        <w:t>INFORMAȚII</w:t>
      </w:r>
      <w:bookmarkEnd w:id="10"/>
    </w:p>
    <w:p w:rsidR="00E827BA" w:rsidRPr="009D5E91" w:rsidRDefault="00E827BA" w:rsidP="00F42BED">
      <w:pPr>
        <w:pStyle w:val="a5"/>
        <w:numPr>
          <w:ilvl w:val="1"/>
          <w:numId w:val="4"/>
        </w:numPr>
        <w:spacing w:after="120" w:line="276" w:lineRule="auto"/>
        <w:ind w:left="0" w:firstLine="0"/>
        <w:jc w:val="both"/>
        <w:rPr>
          <w:rFonts w:asciiTheme="majorHAnsi" w:hAnsiTheme="majorHAnsi"/>
          <w:sz w:val="24"/>
          <w:szCs w:val="24"/>
          <w:lang w:val="ro-RO"/>
        </w:rPr>
      </w:pPr>
      <w:r w:rsidRPr="009D5E91">
        <w:rPr>
          <w:rFonts w:asciiTheme="majorHAnsi" w:hAnsiTheme="majorHAnsi" w:cstheme="majorHAnsi"/>
          <w:sz w:val="24"/>
          <w:szCs w:val="24"/>
          <w:lang w:val="ro-RO"/>
        </w:rPr>
        <w:t xml:space="preserve">Ministerul nu a respectat prevederile </w:t>
      </w:r>
      <w:r w:rsidRPr="006B0646">
        <w:rPr>
          <w:rFonts w:asciiTheme="majorHAnsi" w:eastAsia="Times New Roman" w:hAnsiTheme="majorHAnsi" w:cstheme="majorHAnsi"/>
          <w:sz w:val="24"/>
          <w:szCs w:val="24"/>
          <w:lang w:val="ro-RO"/>
        </w:rPr>
        <w:t>Ordinul ministrului Finanțelor</w:t>
      </w:r>
      <w:r>
        <w:rPr>
          <w:rFonts w:asciiTheme="majorHAnsi" w:hAnsiTheme="majorHAnsi" w:cstheme="majorHAnsi"/>
          <w:sz w:val="24"/>
          <w:szCs w:val="24"/>
          <w:lang w:val="ro-RO"/>
        </w:rPr>
        <w:t xml:space="preserve"> </w:t>
      </w:r>
      <w:r w:rsidRPr="009D5E91">
        <w:rPr>
          <w:rFonts w:asciiTheme="majorHAnsi" w:hAnsiTheme="majorHAnsi" w:cstheme="majorHAnsi"/>
          <w:sz w:val="24"/>
          <w:szCs w:val="24"/>
          <w:lang w:val="ro-RO"/>
        </w:rPr>
        <w:t>nr. 216/2015 și a clasificat eronat transferurile bugetare destinate unei instituții publice la autogestiune</w:t>
      </w:r>
      <w:r w:rsidRPr="00DE616C">
        <w:rPr>
          <w:rStyle w:val="a9"/>
          <w:rFonts w:asciiTheme="majorHAnsi" w:hAnsiTheme="majorHAnsi" w:cstheme="majorHAnsi"/>
          <w:sz w:val="24"/>
          <w:szCs w:val="24"/>
          <w:lang w:val="ro-RO"/>
        </w:rPr>
        <w:footnoteReference w:id="15"/>
      </w:r>
      <w:r w:rsidRPr="009D5E91">
        <w:rPr>
          <w:rFonts w:asciiTheme="majorHAnsi" w:hAnsiTheme="majorHAnsi" w:cstheme="majorHAnsi"/>
          <w:sz w:val="24"/>
          <w:szCs w:val="24"/>
          <w:lang w:val="ro-RO"/>
        </w:rPr>
        <w:t xml:space="preserve">, astfel soldul contului 254 „Subsidii acordate autorităţilor/ instituţiilor publice la autogestiune” a fost supraevaluat, iar soldul contului 263 „Granturi acordate beneficiarilor în interiorul țării” a fost </w:t>
      </w:r>
      <w:r w:rsidRPr="00F42BED">
        <w:rPr>
          <w:rFonts w:asciiTheme="majorHAnsi" w:hAnsiTheme="majorHAnsi" w:cstheme="majorHAnsi"/>
          <w:sz w:val="24"/>
          <w:szCs w:val="24"/>
          <w:lang w:val="ro-RO"/>
        </w:rPr>
        <w:t>subevaluat cu 3</w:t>
      </w:r>
      <w:r w:rsidR="00B50A6C">
        <w:rPr>
          <w:rFonts w:asciiTheme="majorHAnsi" w:hAnsiTheme="majorHAnsi" w:cstheme="majorHAnsi"/>
          <w:sz w:val="24"/>
          <w:szCs w:val="24"/>
          <w:lang w:val="ro-RO"/>
        </w:rPr>
        <w:t>,</w:t>
      </w:r>
      <w:r w:rsidRPr="00F42BED">
        <w:rPr>
          <w:rFonts w:asciiTheme="majorHAnsi" w:hAnsiTheme="majorHAnsi" w:cstheme="majorHAnsi"/>
          <w:sz w:val="24"/>
          <w:szCs w:val="24"/>
          <w:lang w:val="ro-RO"/>
        </w:rPr>
        <w:t>1 mil</w:t>
      </w:r>
      <w:r w:rsidRPr="009D5E91">
        <w:rPr>
          <w:rFonts w:asciiTheme="majorHAnsi" w:hAnsiTheme="majorHAnsi" w:cstheme="majorHAnsi"/>
          <w:sz w:val="24"/>
          <w:szCs w:val="24"/>
          <w:lang w:val="ro-RO"/>
        </w:rPr>
        <w:t xml:space="preserve">. lei, totodată soldul contului </w:t>
      </w:r>
      <w:r w:rsidRPr="009D5E91">
        <w:rPr>
          <w:rFonts w:asciiTheme="majorHAnsi" w:hAnsiTheme="majorHAnsi"/>
          <w:sz w:val="24"/>
          <w:szCs w:val="24"/>
          <w:lang w:val="ro-RO"/>
        </w:rPr>
        <w:t>33 „Stocuri de materiale circulante” a fost supraevaluat, iar soldul contului 31 „Mijloace fixe” – subevaluat cu 1,81 mil</w:t>
      </w:r>
      <w:r>
        <w:rPr>
          <w:rFonts w:asciiTheme="majorHAnsi" w:hAnsiTheme="majorHAnsi"/>
          <w:sz w:val="24"/>
          <w:szCs w:val="24"/>
          <w:lang w:val="ro-RO"/>
        </w:rPr>
        <w:t>.</w:t>
      </w:r>
      <w:r w:rsidRPr="009D5E91">
        <w:rPr>
          <w:rFonts w:asciiTheme="majorHAnsi" w:hAnsiTheme="majorHAnsi"/>
          <w:sz w:val="24"/>
          <w:szCs w:val="24"/>
          <w:lang w:val="ro-RO"/>
        </w:rPr>
        <w:t xml:space="preserve"> lei.</w:t>
      </w:r>
    </w:p>
    <w:p w:rsidR="00E827BA" w:rsidRPr="00DE616C" w:rsidRDefault="00E827BA" w:rsidP="00E827BA">
      <w:pPr>
        <w:pStyle w:val="HTML"/>
        <w:numPr>
          <w:ilvl w:val="1"/>
          <w:numId w:val="4"/>
        </w:numPr>
        <w:shd w:val="clear" w:color="auto" w:fill="FFFFFF" w:themeFill="background1"/>
        <w:spacing w:after="120" w:line="276" w:lineRule="auto"/>
        <w:ind w:left="0" w:firstLine="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Ministerul nu a aplicat prevederil</w:t>
      </w:r>
      <w:r>
        <w:rPr>
          <w:rFonts w:asciiTheme="majorHAnsi" w:hAnsiTheme="majorHAnsi" w:cstheme="majorHAnsi"/>
          <w:sz w:val="24"/>
          <w:szCs w:val="24"/>
          <w:lang w:val="ro-RO"/>
        </w:rPr>
        <w:t>e</w:t>
      </w:r>
      <w:r w:rsidRPr="00DE616C">
        <w:rPr>
          <w:rFonts w:asciiTheme="majorHAnsi" w:hAnsiTheme="majorHAnsi" w:cstheme="majorHAnsi"/>
          <w:sz w:val="24"/>
          <w:szCs w:val="24"/>
          <w:lang w:val="ro-RO"/>
        </w:rPr>
        <w:t xml:space="preserve"> Hotărârii Guvernului nr.500/1998 despre aprobarea Regulamentului privind casarea bunurilor uzate, raportate la mijloacele fixe, referitor la Baza de odihnă „Selecția”, </w:t>
      </w:r>
      <w:r>
        <w:rPr>
          <w:rFonts w:asciiTheme="majorHAnsi" w:hAnsiTheme="majorHAnsi" w:cstheme="majorHAnsi"/>
          <w:sz w:val="24"/>
          <w:szCs w:val="24"/>
          <w:lang w:val="ro-RO"/>
        </w:rPr>
        <w:t>situată</w:t>
      </w:r>
      <w:r w:rsidRPr="00DE616C">
        <w:rPr>
          <w:rFonts w:asciiTheme="majorHAnsi" w:hAnsiTheme="majorHAnsi" w:cstheme="majorHAnsi"/>
          <w:sz w:val="24"/>
          <w:szCs w:val="24"/>
          <w:lang w:val="ro-RO"/>
        </w:rPr>
        <w:t xml:space="preserve"> în Ucraina</w:t>
      </w:r>
      <w:r w:rsidRPr="00DE616C">
        <w:rPr>
          <w:rStyle w:val="a9"/>
          <w:rFonts w:asciiTheme="majorHAnsi" w:hAnsiTheme="majorHAnsi" w:cstheme="majorHAnsi"/>
          <w:sz w:val="24"/>
          <w:szCs w:val="24"/>
          <w:lang w:val="ro-RO"/>
        </w:rPr>
        <w:footnoteReference w:id="16"/>
      </w:r>
      <w:r w:rsidRPr="00DE616C">
        <w:rPr>
          <w:rFonts w:asciiTheme="majorHAnsi" w:hAnsiTheme="majorHAnsi" w:cstheme="majorHAnsi"/>
          <w:sz w:val="24"/>
          <w:szCs w:val="24"/>
          <w:lang w:val="ro-RO"/>
        </w:rPr>
        <w:t>, în valoare de 1,3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demolată încă în anul 2013. Totodată</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Ministerul a interpretat eronat prevederile Ordinului ministrului </w:t>
      </w:r>
      <w:r>
        <w:rPr>
          <w:rFonts w:asciiTheme="majorHAnsi" w:hAnsiTheme="majorHAnsi" w:cstheme="majorHAnsi"/>
          <w:sz w:val="24"/>
          <w:szCs w:val="24"/>
          <w:lang w:val="ro-RO"/>
        </w:rPr>
        <w:t>F</w:t>
      </w:r>
      <w:r w:rsidRPr="00DE616C">
        <w:rPr>
          <w:rFonts w:asciiTheme="majorHAnsi" w:hAnsiTheme="majorHAnsi" w:cstheme="majorHAnsi"/>
          <w:sz w:val="24"/>
          <w:szCs w:val="24"/>
          <w:lang w:val="ro-RO"/>
        </w:rPr>
        <w:t>inanțelor nr.216/2015 contabiliz</w:t>
      </w:r>
      <w:r>
        <w:rPr>
          <w:rFonts w:asciiTheme="majorHAnsi" w:hAnsiTheme="majorHAnsi" w:cstheme="majorHAnsi"/>
          <w:sz w:val="24"/>
          <w:szCs w:val="24"/>
          <w:lang w:val="ro-RO"/>
        </w:rPr>
        <w:t>ând</w:t>
      </w:r>
      <w:r w:rsidRPr="00DE616C">
        <w:rPr>
          <w:rFonts w:asciiTheme="majorHAnsi" w:hAnsiTheme="majorHAnsi" w:cstheme="majorHAnsi"/>
          <w:sz w:val="24"/>
          <w:szCs w:val="24"/>
          <w:lang w:val="ro-RO"/>
        </w:rPr>
        <w:t xml:space="preserve"> eronat volumele de investiții în mărime de 0,92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realizate la obiectivele care nu le aparțin. Subliniem asupra faptului că volumele de lucrări care aparțin cu drept de proprietate terților nu au fost transmise la finele anului către proprietarii obiectivelor. Astfel, valoarea totală a soldului grupei de conturi 311 „Clădiri” a fost supraevaluat</w:t>
      </w:r>
      <w:r>
        <w:rPr>
          <w:rFonts w:asciiTheme="majorHAnsi" w:hAnsiTheme="majorHAnsi" w:cstheme="majorHAnsi"/>
          <w:sz w:val="24"/>
          <w:szCs w:val="24"/>
          <w:lang w:val="ro-RO"/>
        </w:rPr>
        <w:t>ă</w:t>
      </w:r>
      <w:r w:rsidRPr="00DE616C">
        <w:rPr>
          <w:rFonts w:asciiTheme="majorHAnsi" w:hAnsiTheme="majorHAnsi" w:cstheme="majorHAnsi"/>
          <w:sz w:val="24"/>
          <w:szCs w:val="24"/>
          <w:lang w:val="ro-RO"/>
        </w:rPr>
        <w:t xml:space="preserve"> cu 2,22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w:t>
      </w:r>
      <w:r w:rsidRPr="00DE616C">
        <w:rPr>
          <w:rStyle w:val="a9"/>
          <w:rFonts w:asciiTheme="majorHAnsi" w:hAnsiTheme="majorHAnsi" w:cstheme="majorHAnsi"/>
          <w:sz w:val="24"/>
          <w:szCs w:val="24"/>
          <w:lang w:val="ro-RO"/>
        </w:rPr>
        <w:footnoteReference w:id="17"/>
      </w:r>
      <w:r w:rsidRPr="00DE616C">
        <w:rPr>
          <w:rFonts w:asciiTheme="majorHAnsi" w:hAnsiTheme="majorHAnsi" w:cstheme="majorHAnsi"/>
          <w:sz w:val="24"/>
          <w:szCs w:val="24"/>
          <w:lang w:val="ro-RO"/>
        </w:rPr>
        <w:t>, iar valoarea soldului contului 319 „Investiții capitale în curs de execuție” a fost subevaluat</w:t>
      </w:r>
      <w:r>
        <w:rPr>
          <w:rFonts w:asciiTheme="majorHAnsi" w:hAnsiTheme="majorHAnsi" w:cstheme="majorHAnsi"/>
          <w:sz w:val="24"/>
          <w:szCs w:val="24"/>
          <w:lang w:val="ro-RO"/>
        </w:rPr>
        <w:t>ă</w:t>
      </w:r>
      <w:r w:rsidRPr="00DE616C">
        <w:rPr>
          <w:rFonts w:asciiTheme="majorHAnsi" w:hAnsiTheme="majorHAnsi" w:cstheme="majorHAnsi"/>
          <w:sz w:val="24"/>
          <w:szCs w:val="24"/>
          <w:lang w:val="ro-RO"/>
        </w:rPr>
        <w:t xml:space="preserve"> cu suma </w:t>
      </w:r>
      <w:r>
        <w:rPr>
          <w:rFonts w:asciiTheme="majorHAnsi" w:hAnsiTheme="majorHAnsi" w:cstheme="majorHAnsi"/>
          <w:sz w:val="24"/>
          <w:szCs w:val="24"/>
          <w:lang w:val="ro-RO"/>
        </w:rPr>
        <w:t>de 2,22</w:t>
      </w:r>
      <w:r w:rsidRPr="00DE616C">
        <w:rPr>
          <w:rFonts w:asciiTheme="majorHAnsi" w:hAnsiTheme="majorHAnsi" w:cstheme="majorHAnsi"/>
          <w:sz w:val="24"/>
          <w:szCs w:val="24"/>
          <w:lang w:val="ro-RO"/>
        </w:rPr>
        <w:t xml:space="preserve">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w:t>
      </w:r>
    </w:p>
    <w:p w:rsidR="00E827BA" w:rsidRPr="00DE616C" w:rsidRDefault="00E827BA" w:rsidP="00E827BA">
      <w:pPr>
        <w:pStyle w:val="aa"/>
        <w:numPr>
          <w:ilvl w:val="1"/>
          <w:numId w:val="4"/>
        </w:numPr>
        <w:tabs>
          <w:tab w:val="left" w:pos="0"/>
        </w:tabs>
        <w:spacing w:after="120" w:line="276" w:lineRule="auto"/>
        <w:ind w:left="0" w:firstLine="0"/>
        <w:rPr>
          <w:rFonts w:asciiTheme="majorHAnsi" w:hAnsiTheme="majorHAnsi"/>
          <w:sz w:val="24"/>
          <w:szCs w:val="24"/>
          <w:lang w:val="ro-RO"/>
        </w:rPr>
      </w:pPr>
      <w:r w:rsidRPr="00DE616C">
        <w:rPr>
          <w:rFonts w:asciiTheme="majorHAnsi" w:hAnsiTheme="majorHAnsi"/>
          <w:sz w:val="24"/>
          <w:szCs w:val="24"/>
          <w:lang w:val="ro-RO"/>
        </w:rPr>
        <w:t xml:space="preserve">Ministerul, contrar prevederilor Ordinului ministrului </w:t>
      </w:r>
      <w:r>
        <w:rPr>
          <w:rFonts w:asciiTheme="majorHAnsi" w:hAnsiTheme="majorHAnsi"/>
          <w:sz w:val="24"/>
          <w:szCs w:val="24"/>
          <w:lang w:val="ro-RO"/>
        </w:rPr>
        <w:t>F</w:t>
      </w:r>
      <w:r w:rsidRPr="00DE616C">
        <w:rPr>
          <w:rFonts w:asciiTheme="majorHAnsi" w:hAnsiTheme="majorHAnsi"/>
          <w:sz w:val="24"/>
          <w:szCs w:val="24"/>
          <w:lang w:val="ro-RO"/>
        </w:rPr>
        <w:t xml:space="preserve">inanțelor nr.216/2015, menține în creanțe valoarea unui sistem informațional, creat din contul mijloacelor donatorului, care </w:t>
      </w:r>
      <w:r w:rsidRPr="00DE616C">
        <w:rPr>
          <w:rFonts w:asciiTheme="majorHAnsi" w:hAnsiTheme="majorHAnsi"/>
          <w:sz w:val="24"/>
          <w:szCs w:val="24"/>
          <w:lang w:val="ro-RO"/>
        </w:rPr>
        <w:lastRenderedPageBreak/>
        <w:t xml:space="preserve">este utilizat de terți pe parcursul mai multor ani. Acest fapt a condiționat subevaluarea soldului grupei de conturi 317 „Active nemateriale” și supraevaluarea soldului contului 419 „Alte creanţe ale autorităţilor/instituţiilor bugetare” cu </w:t>
      </w:r>
      <w:r>
        <w:rPr>
          <w:rFonts w:asciiTheme="majorHAnsi" w:hAnsiTheme="majorHAnsi"/>
          <w:sz w:val="24"/>
          <w:szCs w:val="24"/>
          <w:lang w:val="ro-RO"/>
        </w:rPr>
        <w:t xml:space="preserve">suma de </w:t>
      </w:r>
      <w:r w:rsidRPr="00DE616C">
        <w:rPr>
          <w:rFonts w:asciiTheme="majorHAnsi" w:hAnsiTheme="majorHAnsi"/>
          <w:sz w:val="24"/>
          <w:szCs w:val="24"/>
          <w:lang w:val="ro-RO"/>
        </w:rPr>
        <w:t>2,23 mil.lei.</w:t>
      </w:r>
    </w:p>
    <w:p w:rsidR="00E827BA" w:rsidRPr="00DE616C" w:rsidRDefault="00E827BA" w:rsidP="00E827BA">
      <w:pPr>
        <w:pStyle w:val="aa"/>
        <w:numPr>
          <w:ilvl w:val="1"/>
          <w:numId w:val="4"/>
        </w:numPr>
        <w:tabs>
          <w:tab w:val="left" w:pos="0"/>
        </w:tabs>
        <w:spacing w:after="120" w:line="276" w:lineRule="auto"/>
        <w:ind w:left="0" w:firstLine="0"/>
        <w:rPr>
          <w:rFonts w:asciiTheme="majorHAnsi" w:hAnsiTheme="majorHAnsi"/>
          <w:sz w:val="24"/>
          <w:szCs w:val="24"/>
          <w:lang w:val="ro-RO"/>
        </w:rPr>
      </w:pPr>
      <w:r w:rsidRPr="00DE616C">
        <w:rPr>
          <w:rFonts w:asciiTheme="majorHAnsi" w:hAnsiTheme="majorHAnsi"/>
          <w:sz w:val="24"/>
          <w:szCs w:val="24"/>
          <w:lang w:val="ro-RO"/>
        </w:rPr>
        <w:t xml:space="preserve">Ministerul menține în evidența sa contabilă creanța unui operator economic, care este radiat din Registrul persoanelor juridice ținut de Agenția Servicii Publice, astfel admițând supraevaluarea soldului grupei de conturi 419 „Alte creanţe ale autorităţilor/instituţiilor bugetare” cu </w:t>
      </w:r>
      <w:r>
        <w:rPr>
          <w:rFonts w:asciiTheme="majorHAnsi" w:hAnsiTheme="majorHAnsi"/>
          <w:sz w:val="24"/>
          <w:szCs w:val="24"/>
          <w:lang w:val="ro-RO"/>
        </w:rPr>
        <w:t xml:space="preserve">suma de </w:t>
      </w:r>
      <w:r w:rsidRPr="00DE616C">
        <w:rPr>
          <w:rFonts w:asciiTheme="majorHAnsi" w:hAnsiTheme="majorHAnsi"/>
          <w:sz w:val="24"/>
          <w:szCs w:val="24"/>
          <w:lang w:val="ro-RO"/>
        </w:rPr>
        <w:t>3,48 mil</w:t>
      </w:r>
      <w:r>
        <w:rPr>
          <w:rFonts w:asciiTheme="majorHAnsi" w:hAnsiTheme="majorHAnsi"/>
          <w:sz w:val="24"/>
          <w:szCs w:val="24"/>
          <w:lang w:val="ro-RO"/>
        </w:rPr>
        <w:t>.</w:t>
      </w:r>
      <w:r w:rsidRPr="00DE616C">
        <w:rPr>
          <w:rFonts w:asciiTheme="majorHAnsi" w:hAnsiTheme="majorHAnsi"/>
          <w:sz w:val="24"/>
          <w:szCs w:val="24"/>
          <w:lang w:val="ro-RO"/>
        </w:rPr>
        <w:t xml:space="preserve"> lei.</w:t>
      </w:r>
    </w:p>
    <w:p w:rsidR="00E827BA" w:rsidRPr="00DE616C" w:rsidRDefault="00E827BA" w:rsidP="00E827BA">
      <w:pPr>
        <w:pStyle w:val="a5"/>
        <w:numPr>
          <w:ilvl w:val="0"/>
          <w:numId w:val="1"/>
        </w:numPr>
        <w:spacing w:before="100" w:beforeAutospacing="1" w:after="0" w:line="276" w:lineRule="auto"/>
        <w:ind w:left="0" w:right="-23" w:firstLine="284"/>
        <w:contextualSpacing w:val="0"/>
        <w:jc w:val="both"/>
        <w:rPr>
          <w:rFonts w:asciiTheme="majorHAnsi" w:hAnsiTheme="majorHAnsi" w:cstheme="majorHAnsi"/>
          <w:b/>
          <w:bCs/>
          <w:sz w:val="24"/>
          <w:szCs w:val="24"/>
          <w:lang w:val="ro-RO"/>
        </w:rPr>
      </w:pPr>
      <w:r w:rsidRPr="00DE616C">
        <w:rPr>
          <w:rFonts w:asciiTheme="majorHAnsi" w:hAnsiTheme="majorHAnsi" w:cstheme="majorHAnsi"/>
          <w:b/>
          <w:bCs/>
          <w:sz w:val="24"/>
          <w:szCs w:val="24"/>
          <w:lang w:val="ro-RO"/>
        </w:rPr>
        <w:t>BUNA GUVERNANȚĂ</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Controlul intern managerial în cadrul </w:t>
      </w:r>
      <w:r>
        <w:rPr>
          <w:rFonts w:asciiTheme="majorHAnsi" w:hAnsiTheme="majorHAnsi" w:cstheme="majorHAnsi"/>
          <w:sz w:val="24"/>
          <w:szCs w:val="24"/>
          <w:lang w:val="ro-RO"/>
        </w:rPr>
        <w:t>M</w:t>
      </w:r>
      <w:r w:rsidRPr="00DE616C">
        <w:rPr>
          <w:rFonts w:asciiTheme="majorHAnsi" w:hAnsiTheme="majorHAnsi" w:cstheme="majorHAnsi"/>
          <w:sz w:val="24"/>
          <w:szCs w:val="24"/>
          <w:lang w:val="ro-RO"/>
        </w:rPr>
        <w:t xml:space="preserve">inisterului nu asigură identificarea și gestionarea eficientă a riscurilor aferente procesului financiar-contabil, inclusiv a celor legate de  întocmirea </w:t>
      </w:r>
      <w:r>
        <w:rPr>
          <w:rFonts w:asciiTheme="majorHAnsi" w:hAnsiTheme="majorHAnsi" w:cstheme="majorHAnsi"/>
          <w:sz w:val="24"/>
          <w:szCs w:val="24"/>
          <w:lang w:val="ro-RO"/>
        </w:rPr>
        <w:t>rapoartelor</w:t>
      </w:r>
      <w:r w:rsidRPr="00DE616C">
        <w:rPr>
          <w:rFonts w:asciiTheme="majorHAnsi" w:hAnsiTheme="majorHAnsi" w:cstheme="majorHAnsi"/>
          <w:sz w:val="24"/>
          <w:szCs w:val="24"/>
          <w:lang w:val="ro-RO"/>
        </w:rPr>
        <w:t xml:space="preserve"> financiare consolidate. </w:t>
      </w:r>
      <w:r w:rsidRPr="00DE616C">
        <w:rPr>
          <w:rFonts w:asciiTheme="majorHAnsi" w:eastAsia="Times New Roman" w:hAnsiTheme="majorHAnsi" w:cstheme="majorHAnsi"/>
          <w:sz w:val="24"/>
          <w:szCs w:val="24"/>
          <w:lang w:val="ro-RO"/>
        </w:rPr>
        <w:t>Din totalul sistemului ministerial, doar 12 din 15</w:t>
      </w:r>
      <w:r w:rsidRPr="00DE616C">
        <w:rPr>
          <w:rStyle w:val="a9"/>
          <w:rFonts w:asciiTheme="majorHAnsi" w:eastAsia="Times New Roman" w:hAnsiTheme="majorHAnsi" w:cstheme="majorHAnsi"/>
          <w:sz w:val="24"/>
          <w:szCs w:val="24"/>
          <w:lang w:val="ro-RO"/>
        </w:rPr>
        <w:footnoteReference w:id="18"/>
      </w:r>
      <w:r w:rsidRPr="00DE616C">
        <w:rPr>
          <w:rFonts w:asciiTheme="majorHAnsi" w:eastAsia="Times New Roman" w:hAnsiTheme="majorHAnsi" w:cstheme="majorHAnsi"/>
          <w:sz w:val="24"/>
          <w:szCs w:val="24"/>
          <w:lang w:val="ro-RO"/>
        </w:rPr>
        <w:t xml:space="preserve"> entități au întocmit Declarația de răspundere managerială pentru anul 2021. Neconformitățile constatate denotă lipsa sau insuficiența controlului intern în cadrul acestora. Astfel</w:t>
      </w:r>
      <w:r>
        <w:rPr>
          <w:rFonts w:asciiTheme="majorHAnsi" w:eastAsia="Times New Roman" w:hAnsiTheme="majorHAnsi" w:cstheme="majorHAnsi"/>
          <w:sz w:val="24"/>
          <w:szCs w:val="24"/>
          <w:lang w:val="ro-RO"/>
        </w:rPr>
        <w:t>,</w:t>
      </w:r>
      <w:r w:rsidRPr="00DE616C">
        <w:rPr>
          <w:rFonts w:asciiTheme="majorHAnsi" w:eastAsia="Times New Roman" w:hAnsiTheme="majorHAnsi" w:cstheme="majorHAnsi"/>
          <w:sz w:val="24"/>
          <w:szCs w:val="24"/>
          <w:lang w:val="ro-RO"/>
        </w:rPr>
        <w:t xml:space="preserve"> nu este pe deplin </w:t>
      </w:r>
      <w:r w:rsidRPr="00DE616C">
        <w:rPr>
          <w:rFonts w:asciiTheme="majorHAnsi" w:hAnsiTheme="majorHAnsi" w:cstheme="majorHAnsi"/>
          <w:sz w:val="24"/>
          <w:szCs w:val="24"/>
          <w:lang w:val="ro-RO"/>
        </w:rPr>
        <w:t xml:space="preserve">asigurată </w:t>
      </w:r>
      <w:r w:rsidRPr="00DE616C">
        <w:rPr>
          <w:rFonts w:asciiTheme="majorHAnsi" w:hAnsiTheme="majorHAnsi"/>
          <w:sz w:val="24"/>
          <w:szCs w:val="24"/>
          <w:lang w:val="ro-RO"/>
        </w:rPr>
        <w:t xml:space="preserve">funcționalitatea controalelor-cheie, precum și identificarea și gestionarea riscurilor aferente procesului financiar-contabil, </w:t>
      </w:r>
      <w:r w:rsidRPr="00DE616C">
        <w:rPr>
          <w:rFonts w:asciiTheme="majorHAnsi" w:hAnsiTheme="majorHAnsi" w:cstheme="majorHAnsi"/>
          <w:sz w:val="24"/>
          <w:szCs w:val="24"/>
          <w:lang w:val="ro-RO"/>
        </w:rPr>
        <w:t xml:space="preserve">inclusiv a celor legate de întocmirea </w:t>
      </w:r>
      <w:r>
        <w:rPr>
          <w:rFonts w:asciiTheme="majorHAnsi" w:hAnsiTheme="majorHAnsi" w:cstheme="majorHAnsi"/>
          <w:sz w:val="24"/>
          <w:szCs w:val="24"/>
          <w:lang w:val="ro-RO"/>
        </w:rPr>
        <w:t>rapoartelor</w:t>
      </w:r>
      <w:r w:rsidRPr="00DE616C">
        <w:rPr>
          <w:rFonts w:asciiTheme="majorHAnsi" w:hAnsiTheme="majorHAnsi" w:cstheme="majorHAnsi"/>
          <w:sz w:val="24"/>
          <w:szCs w:val="24"/>
          <w:lang w:val="ro-RO"/>
        </w:rPr>
        <w:t xml:space="preserve"> financiare consolidate. Lacunele identificate în cadrul sistemului de control intern managerial au </w:t>
      </w:r>
      <w:r w:rsidRPr="00DE616C">
        <w:rPr>
          <w:rFonts w:asciiTheme="majorHAnsi" w:hAnsiTheme="majorHAnsi" w:cstheme="majorHAnsi"/>
          <w:bCs/>
          <w:iCs/>
          <w:sz w:val="24"/>
          <w:szCs w:val="24"/>
          <w:lang w:val="ro-RO"/>
        </w:rPr>
        <w:t>influențat veridicitatea și plenitudinea informațiilor reflectate în rapoartele financiare consolidate.</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Atenționăm asupra dificultăților întâmpinate la încadrarea personalului în funcția de audit intern, care urma să evalueze toate procesele cu risc sporit, inclusiv din domeniul financiar-contabil. Astfel, doar la 8 entități sunt create subdiviziuni de audit intern, cu un efectiv de personal de 8 unități, din care 5,5 unități de personal sunt vacante. Nesuplinirea funcțiilor de auditor intern a fost condiționată de prelungirea moratoriului privind încadrarea personalului din sectorul bugetar pe funcțiile vacante înregistrate, pentru anul 2021. Suplinirea la un nivel foarte redus a efectivului de unități din cadrul subdiviziunilor de audit intern a diminuat posibilitățile conducătorilor instituțiilor de a beneficia de evaluări </w:t>
      </w:r>
      <w:r>
        <w:rPr>
          <w:rFonts w:asciiTheme="majorHAnsi" w:hAnsiTheme="majorHAnsi" w:cstheme="majorHAnsi"/>
          <w:sz w:val="24"/>
          <w:szCs w:val="24"/>
          <w:lang w:val="ro-RO"/>
        </w:rPr>
        <w:t>și</w:t>
      </w:r>
      <w:r w:rsidRPr="00DE616C">
        <w:rPr>
          <w:rFonts w:asciiTheme="majorHAnsi" w:hAnsiTheme="majorHAnsi" w:cstheme="majorHAnsi"/>
          <w:sz w:val="24"/>
          <w:szCs w:val="24"/>
          <w:lang w:val="ro-RO"/>
        </w:rPr>
        <w:t xml:space="preserve"> îndrumări corespunzătoare în vederea gestiunii fondurilor publice. În consecință, nu a </w:t>
      </w:r>
      <w:r>
        <w:rPr>
          <w:rFonts w:asciiTheme="majorHAnsi" w:hAnsiTheme="majorHAnsi" w:cstheme="majorHAnsi"/>
          <w:sz w:val="24"/>
          <w:szCs w:val="24"/>
          <w:lang w:val="ro-RO"/>
        </w:rPr>
        <w:t>fost oferită</w:t>
      </w:r>
      <w:r w:rsidRPr="00DE616C">
        <w:rPr>
          <w:rFonts w:asciiTheme="majorHAnsi" w:hAnsiTheme="majorHAnsi" w:cstheme="majorHAnsi"/>
          <w:sz w:val="24"/>
          <w:szCs w:val="24"/>
          <w:lang w:val="ro-RO"/>
        </w:rPr>
        <w:t xml:space="preserve"> asigurarea așteptată asupra eficacității sau neeficacității acțiunilor de control-cheie. Punctele slabe în materie de acțiuni de control intern nu se identifică sistemic și nu se abordează de către conducere. În aceste condiții, conducerea </w:t>
      </w:r>
      <w:r>
        <w:rPr>
          <w:rFonts w:asciiTheme="majorHAnsi" w:hAnsiTheme="majorHAnsi" w:cstheme="majorHAnsi"/>
          <w:sz w:val="24"/>
          <w:szCs w:val="24"/>
          <w:lang w:val="ro-RO"/>
        </w:rPr>
        <w:t>M</w:t>
      </w:r>
      <w:r w:rsidRPr="00DE616C">
        <w:rPr>
          <w:rFonts w:asciiTheme="majorHAnsi" w:hAnsiTheme="majorHAnsi" w:cstheme="majorHAnsi"/>
          <w:sz w:val="24"/>
          <w:szCs w:val="24"/>
          <w:lang w:val="ro-RO"/>
        </w:rPr>
        <w:t>inisterului a fost lipsită de un instrument care asigură gestionarea prudentă a riscurilor, contribuie la îmbunătățirea controlului intern managerial, precum și sporește nivelul de eficiență și eficacitate a proceselor gestionate.</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Menționăm că anterior Curtea de Conturi a auditat rapoartele financiare consolidate ale Ministerului Agriculturii, Dezvoltării </w:t>
      </w:r>
      <w:r>
        <w:rPr>
          <w:rFonts w:asciiTheme="majorHAnsi" w:hAnsiTheme="majorHAnsi" w:cstheme="majorHAnsi"/>
          <w:sz w:val="24"/>
          <w:szCs w:val="24"/>
          <w:lang w:val="ro-RO"/>
        </w:rPr>
        <w:t>R</w:t>
      </w:r>
      <w:r w:rsidRPr="00DE616C">
        <w:rPr>
          <w:rFonts w:asciiTheme="majorHAnsi" w:hAnsiTheme="majorHAnsi" w:cstheme="majorHAnsi"/>
          <w:sz w:val="24"/>
          <w:szCs w:val="24"/>
          <w:lang w:val="ro-RO"/>
        </w:rPr>
        <w:t>egionale și Mediului</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fiind înaintate recomandări menite să contribuie la remedierea neconformităților constatate. Nivelul redus de implementare a recomandărilor de audit a determinat deficiențele stabilite în acest Raport de audit, având în vedere că Ministerul Agriculturii și industriei Alimentare este succesor al MADRM.</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lastRenderedPageBreak/>
        <w:t xml:space="preserve">Pe parcursul misiunii de audit, am atras atenția asupra carențelor care, deși nu au influențat opinia de audit, implică neconformitatea activității de înregistrare și administrare a patrimoniului instituției cu legile și reglementările aferente domeniului. Astfel, Ministerul nu a asigurat înregistrarea drepturilor patrimoniale asupra a 341 </w:t>
      </w:r>
      <w:r>
        <w:rPr>
          <w:rFonts w:asciiTheme="majorHAnsi" w:hAnsiTheme="majorHAnsi" w:cstheme="majorHAnsi"/>
          <w:sz w:val="24"/>
          <w:szCs w:val="24"/>
          <w:lang w:val="ro-RO"/>
        </w:rPr>
        <w:t xml:space="preserve">de </w:t>
      </w:r>
      <w:r w:rsidRPr="00DE616C">
        <w:rPr>
          <w:rFonts w:asciiTheme="majorHAnsi" w:hAnsiTheme="majorHAnsi" w:cstheme="majorHAnsi"/>
          <w:sz w:val="24"/>
          <w:szCs w:val="24"/>
          <w:lang w:val="ro-RO"/>
        </w:rPr>
        <w:t>bunuri imobile (clădiri), în valoare de 49,6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situație care poate afecta integritatea bunurilor gestionate de MAIA</w:t>
      </w:r>
      <w:r w:rsidRPr="00935094">
        <w:rPr>
          <w:rFonts w:asciiTheme="majorHAnsi" w:hAnsiTheme="majorHAnsi" w:cstheme="majorHAnsi"/>
          <w:sz w:val="24"/>
          <w:szCs w:val="24"/>
          <w:lang w:val="ro-RO"/>
        </w:rPr>
        <w:t xml:space="preserve"> </w:t>
      </w:r>
      <w:r w:rsidRPr="00DE616C">
        <w:rPr>
          <w:rFonts w:asciiTheme="majorHAnsi" w:hAnsiTheme="majorHAnsi" w:cstheme="majorHAnsi"/>
          <w:sz w:val="24"/>
          <w:szCs w:val="24"/>
          <w:lang w:val="ro-RO"/>
        </w:rPr>
        <w:t>și entitățile din subordine sau poate determina înstrăinarea necontrolată a acestora</w:t>
      </w:r>
      <w:r>
        <w:rPr>
          <w:rFonts w:asciiTheme="majorHAnsi" w:hAnsiTheme="majorHAnsi" w:cstheme="majorHAnsi"/>
          <w:sz w:val="24"/>
          <w:szCs w:val="24"/>
          <w:lang w:val="ro-RO"/>
        </w:rPr>
        <w:t>.</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Atenționăm </w:t>
      </w:r>
      <w:r>
        <w:rPr>
          <w:rFonts w:asciiTheme="majorHAnsi" w:hAnsiTheme="majorHAnsi" w:cstheme="majorHAnsi"/>
          <w:sz w:val="24"/>
          <w:szCs w:val="24"/>
          <w:lang w:val="ro-RO"/>
        </w:rPr>
        <w:t xml:space="preserve">și faptul </w:t>
      </w:r>
      <w:r w:rsidRPr="00DE616C">
        <w:rPr>
          <w:rFonts w:asciiTheme="majorHAnsi" w:hAnsiTheme="majorHAnsi" w:cstheme="majorHAnsi"/>
          <w:sz w:val="24"/>
          <w:szCs w:val="24"/>
          <w:lang w:val="ro-RO"/>
        </w:rPr>
        <w:t>că</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deși instituțiile au desfășurat procesul de inventariere, întocmind procese-verbale privind rezultatele </w:t>
      </w:r>
      <w:r>
        <w:rPr>
          <w:rFonts w:asciiTheme="majorHAnsi" w:hAnsiTheme="majorHAnsi" w:cstheme="majorHAnsi"/>
          <w:sz w:val="24"/>
          <w:szCs w:val="24"/>
          <w:lang w:val="ro-RO"/>
        </w:rPr>
        <w:t>acesteia și</w:t>
      </w:r>
      <w:r w:rsidRPr="00DE616C">
        <w:rPr>
          <w:rFonts w:asciiTheme="majorHAnsi" w:hAnsiTheme="majorHAnsi" w:cstheme="majorHAnsi"/>
          <w:sz w:val="24"/>
          <w:szCs w:val="24"/>
          <w:lang w:val="ro-RO"/>
        </w:rPr>
        <w:t xml:space="preserve"> nefiind identificate lipsuri și plusuri, auditul a identificat creanțe compromise în valoare de 4,23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din care 0,74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w:t>
      </w:r>
      <w:r>
        <w:rPr>
          <w:rFonts w:asciiTheme="majorHAnsi" w:hAnsiTheme="majorHAnsi" w:cstheme="majorHAnsi"/>
          <w:sz w:val="24"/>
          <w:szCs w:val="24"/>
          <w:lang w:val="ro-RO"/>
        </w:rPr>
        <w:t xml:space="preserve">sunt </w:t>
      </w:r>
      <w:r w:rsidRPr="00DE616C">
        <w:rPr>
          <w:rFonts w:asciiTheme="majorHAnsi" w:hAnsiTheme="majorHAnsi" w:cstheme="majorHAnsi"/>
          <w:sz w:val="24"/>
          <w:szCs w:val="24"/>
          <w:lang w:val="ro-RO"/>
        </w:rPr>
        <w:t>creanțe extrabilanțiere. Totodată, m</w:t>
      </w:r>
      <w:r w:rsidRPr="00DE616C">
        <w:rPr>
          <w:rFonts w:asciiTheme="majorHAnsi" w:hAnsiTheme="majorHAnsi"/>
          <w:sz w:val="24"/>
          <w:szCs w:val="24"/>
          <w:lang w:val="ro-RO"/>
        </w:rPr>
        <w:t>enționăm că Ministerul continu</w:t>
      </w:r>
      <w:r>
        <w:rPr>
          <w:rFonts w:asciiTheme="majorHAnsi" w:hAnsiTheme="majorHAnsi"/>
          <w:sz w:val="24"/>
          <w:szCs w:val="24"/>
          <w:lang w:val="ro-RO"/>
        </w:rPr>
        <w:t>ă</w:t>
      </w:r>
      <w:r w:rsidRPr="00DE616C">
        <w:rPr>
          <w:rFonts w:asciiTheme="majorHAnsi" w:hAnsiTheme="majorHAnsi"/>
          <w:sz w:val="24"/>
          <w:szCs w:val="24"/>
          <w:lang w:val="ro-RO"/>
        </w:rPr>
        <w:t xml:space="preserve"> să mențină la contul extrabilanțier 822900 „Alte conturi extrabilanţiere” valoarea bunurilor în sumă de 1,2 mil</w:t>
      </w:r>
      <w:r>
        <w:rPr>
          <w:rFonts w:asciiTheme="majorHAnsi" w:hAnsiTheme="majorHAnsi"/>
          <w:sz w:val="24"/>
          <w:szCs w:val="24"/>
          <w:lang w:val="ro-RO"/>
        </w:rPr>
        <w:t>.</w:t>
      </w:r>
      <w:r w:rsidRPr="00DE616C">
        <w:rPr>
          <w:rFonts w:asciiTheme="majorHAnsi" w:hAnsiTheme="majorHAnsi"/>
          <w:sz w:val="24"/>
          <w:szCs w:val="24"/>
          <w:lang w:val="ro-RO"/>
        </w:rPr>
        <w:t xml:space="preserve"> lei care nu pot fi identificate</w:t>
      </w:r>
      <w:r>
        <w:rPr>
          <w:rFonts w:asciiTheme="majorHAnsi" w:hAnsiTheme="majorHAnsi"/>
          <w:sz w:val="24"/>
          <w:szCs w:val="24"/>
          <w:lang w:val="ro-RO"/>
        </w:rPr>
        <w:t xml:space="preserve"> ca</w:t>
      </w:r>
      <w:r w:rsidRPr="00DE616C">
        <w:rPr>
          <w:rFonts w:asciiTheme="majorHAnsi" w:hAnsiTheme="majorHAnsi"/>
          <w:sz w:val="24"/>
          <w:szCs w:val="24"/>
          <w:lang w:val="ro-RO"/>
        </w:rPr>
        <w:t xml:space="preserve"> urmare a schimbării sediilor în cadrul reformei APC din 2017. </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De asemenea</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subliniem că AIPA nu a respectat prevederile art. 21 alin.(1) din </w:t>
      </w:r>
      <w:r>
        <w:rPr>
          <w:rFonts w:asciiTheme="majorHAnsi" w:hAnsiTheme="majorHAnsi" w:cstheme="majorHAnsi"/>
          <w:sz w:val="24"/>
          <w:szCs w:val="24"/>
          <w:lang w:val="ro-RO"/>
        </w:rPr>
        <w:t>legea privind sistemul unitar de salarizare în sectorul bugetar</w:t>
      </w:r>
      <w:r w:rsidRPr="00DE616C">
        <w:rPr>
          <w:rFonts w:asciiTheme="majorHAnsi" w:hAnsiTheme="majorHAnsi" w:cstheme="majorHAnsi"/>
          <w:sz w:val="24"/>
          <w:szCs w:val="24"/>
          <w:lang w:val="ro-RO"/>
        </w:rPr>
        <w:t xml:space="preserve"> </w:t>
      </w:r>
      <w:r>
        <w:rPr>
          <w:rFonts w:asciiTheme="majorHAnsi" w:hAnsiTheme="majorHAnsi" w:cstheme="majorHAnsi"/>
          <w:sz w:val="24"/>
          <w:szCs w:val="24"/>
          <w:lang w:val="ro-RO"/>
        </w:rPr>
        <w:t>nr.</w:t>
      </w:r>
      <w:r w:rsidRPr="00DE616C">
        <w:rPr>
          <w:rFonts w:asciiTheme="majorHAnsi" w:hAnsiTheme="majorHAnsi" w:cstheme="majorHAnsi"/>
          <w:sz w:val="24"/>
          <w:szCs w:val="24"/>
          <w:lang w:val="ro-RO"/>
        </w:rPr>
        <w:t>270</w:t>
      </w:r>
      <w:r>
        <w:rPr>
          <w:rFonts w:asciiTheme="majorHAnsi" w:hAnsiTheme="majorHAnsi" w:cstheme="majorHAnsi"/>
          <w:sz w:val="24"/>
          <w:szCs w:val="24"/>
          <w:lang w:val="ro-RO"/>
        </w:rPr>
        <w:t xml:space="preserve"> din 23.11.</w:t>
      </w:r>
      <w:r w:rsidRPr="00DE616C">
        <w:rPr>
          <w:rFonts w:asciiTheme="majorHAnsi" w:hAnsiTheme="majorHAnsi" w:cstheme="majorHAnsi"/>
          <w:sz w:val="24"/>
          <w:szCs w:val="24"/>
          <w:lang w:val="ro-RO"/>
        </w:rPr>
        <w:t xml:space="preserve">2018 și a calculat și </w:t>
      </w:r>
      <w:r>
        <w:rPr>
          <w:rFonts w:asciiTheme="majorHAnsi" w:hAnsiTheme="majorHAnsi" w:cstheme="majorHAnsi"/>
          <w:sz w:val="24"/>
          <w:szCs w:val="24"/>
          <w:lang w:val="ro-RO"/>
        </w:rPr>
        <w:t xml:space="preserve">a </w:t>
      </w:r>
      <w:r w:rsidRPr="00DE616C">
        <w:rPr>
          <w:rFonts w:asciiTheme="majorHAnsi" w:hAnsiTheme="majorHAnsi" w:cstheme="majorHAnsi"/>
          <w:sz w:val="24"/>
          <w:szCs w:val="24"/>
          <w:lang w:val="ro-RO"/>
        </w:rPr>
        <w:t>achitat premii unice în valoare de 1,65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Potrivit explicațiilor </w:t>
      </w:r>
      <w:r>
        <w:rPr>
          <w:rFonts w:asciiTheme="majorHAnsi" w:hAnsiTheme="majorHAnsi" w:cstheme="majorHAnsi"/>
          <w:sz w:val="24"/>
          <w:szCs w:val="24"/>
          <w:lang w:val="ro-RO"/>
        </w:rPr>
        <w:t xml:space="preserve">conducerii </w:t>
      </w:r>
      <w:r w:rsidRPr="00DE616C">
        <w:rPr>
          <w:rFonts w:asciiTheme="majorHAnsi" w:hAnsiTheme="majorHAnsi" w:cstheme="majorHAnsi"/>
          <w:sz w:val="24"/>
          <w:szCs w:val="24"/>
          <w:lang w:val="ro-RO"/>
        </w:rPr>
        <w:t>instituției, a</w:t>
      </w:r>
      <w:r>
        <w:rPr>
          <w:rFonts w:asciiTheme="majorHAnsi" w:hAnsiTheme="majorHAnsi" w:cstheme="majorHAnsi"/>
          <w:sz w:val="24"/>
          <w:szCs w:val="24"/>
          <w:lang w:val="ro-RO"/>
        </w:rPr>
        <w:t xml:space="preserve"> fost</w:t>
      </w:r>
      <w:r w:rsidRPr="00DE616C">
        <w:rPr>
          <w:rFonts w:asciiTheme="majorHAnsi" w:hAnsiTheme="majorHAnsi" w:cstheme="majorHAnsi"/>
          <w:sz w:val="24"/>
          <w:szCs w:val="24"/>
          <w:lang w:val="ro-RO"/>
        </w:rPr>
        <w:t xml:space="preserve"> admis</w:t>
      </w:r>
      <w:r>
        <w:rPr>
          <w:rFonts w:asciiTheme="majorHAnsi" w:hAnsiTheme="majorHAnsi" w:cstheme="majorHAnsi"/>
          <w:sz w:val="24"/>
          <w:szCs w:val="24"/>
          <w:lang w:val="ro-RO"/>
        </w:rPr>
        <w:t>ă această</w:t>
      </w:r>
      <w:r w:rsidRPr="00DE616C">
        <w:rPr>
          <w:rFonts w:asciiTheme="majorHAnsi" w:hAnsiTheme="majorHAnsi" w:cstheme="majorHAnsi"/>
          <w:sz w:val="24"/>
          <w:szCs w:val="24"/>
          <w:lang w:val="ro-RO"/>
        </w:rPr>
        <w:t xml:space="preserve"> deficiența pentru a putea păstra și motiva personalul Agenției, care este depășit de sarcina de lucru, iar remunerarea este nesemnificativă (cca 5000 lei).</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Menționăm că în cadrul Ministerului s-a stabilit un număr semnificativ de zile de concediu anual nefolosite </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9</w:t>
      </w:r>
      <w:r>
        <w:rPr>
          <w:rFonts w:asciiTheme="majorHAnsi" w:hAnsiTheme="majorHAnsi" w:cstheme="majorHAnsi"/>
          <w:sz w:val="24"/>
          <w:szCs w:val="24"/>
          <w:lang w:val="ro-RO"/>
        </w:rPr>
        <w:t>.</w:t>
      </w:r>
      <w:r w:rsidRPr="00DE616C">
        <w:rPr>
          <w:rFonts w:asciiTheme="majorHAnsi" w:hAnsiTheme="majorHAnsi" w:cstheme="majorHAnsi"/>
          <w:sz w:val="24"/>
          <w:szCs w:val="24"/>
          <w:lang w:val="ro-RO"/>
        </w:rPr>
        <w:t>613 de zile, ceea ce ar impune obligații legale față de personalul încadrat</w:t>
      </w:r>
      <w:r>
        <w:rPr>
          <w:rFonts w:asciiTheme="majorHAnsi" w:hAnsiTheme="majorHAnsi" w:cstheme="majorHAnsi"/>
          <w:sz w:val="24"/>
          <w:szCs w:val="24"/>
          <w:lang w:val="ro-RO"/>
        </w:rPr>
        <w:t xml:space="preserve"> și</w:t>
      </w:r>
      <w:r w:rsidRPr="00DE616C">
        <w:rPr>
          <w:rFonts w:asciiTheme="majorHAnsi" w:hAnsiTheme="majorHAnsi" w:cstheme="majorHAnsi"/>
          <w:sz w:val="24"/>
          <w:szCs w:val="24"/>
          <w:lang w:val="ro-RO"/>
        </w:rPr>
        <w:t xml:space="preserve"> ar contribui la apariția unor angajamente financiare în exercițiile financiare viitoare.</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Atragem atenția </w:t>
      </w:r>
      <w:r>
        <w:rPr>
          <w:rFonts w:asciiTheme="majorHAnsi" w:hAnsiTheme="majorHAnsi" w:cstheme="majorHAnsi"/>
          <w:sz w:val="24"/>
          <w:szCs w:val="24"/>
          <w:lang w:val="ro-RO"/>
        </w:rPr>
        <w:t xml:space="preserve">și </w:t>
      </w:r>
      <w:r w:rsidRPr="00DE616C">
        <w:rPr>
          <w:rFonts w:asciiTheme="majorHAnsi" w:hAnsiTheme="majorHAnsi" w:cstheme="majorHAnsi"/>
          <w:sz w:val="24"/>
          <w:szCs w:val="24"/>
          <w:lang w:val="ro-RO"/>
        </w:rPr>
        <w:t>asupra faptului că</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din totalul de 57 de sisteme informaționale/softuri înregistrate în evidența contabilă a Ministerului, în valoare totală de </w:t>
      </w:r>
      <w:r w:rsidR="00C94F78">
        <w:rPr>
          <w:rFonts w:asciiTheme="majorHAnsi" w:hAnsiTheme="majorHAnsi" w:cstheme="majorHAnsi"/>
          <w:sz w:val="24"/>
          <w:szCs w:val="24"/>
          <w:lang w:val="ro-RO"/>
        </w:rPr>
        <w:t xml:space="preserve">20,96 </w:t>
      </w:r>
      <w:r w:rsidRPr="00DE616C">
        <w:rPr>
          <w:rFonts w:asciiTheme="majorHAnsi" w:hAnsiTheme="majorHAnsi" w:cstheme="majorHAnsi"/>
          <w:sz w:val="24"/>
          <w:szCs w:val="24"/>
          <w:lang w:val="ro-RO"/>
        </w:rPr>
        <w:t>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2 din acestea sunt neevaluate. Factorii de decizie nu au întreprins măsuri relevante pentru repunerea în funcțiune a sistemelor informaționale nefuncționale sau pentru luarea deciziilor corespunzătoare privind </w:t>
      </w:r>
      <w:r>
        <w:rPr>
          <w:rFonts w:asciiTheme="majorHAnsi" w:hAnsiTheme="majorHAnsi" w:cstheme="majorHAnsi"/>
          <w:sz w:val="24"/>
          <w:szCs w:val="24"/>
          <w:lang w:val="ro-RO"/>
        </w:rPr>
        <w:t>cele</w:t>
      </w:r>
      <w:r w:rsidRPr="00DE616C">
        <w:rPr>
          <w:rFonts w:asciiTheme="majorHAnsi" w:hAnsiTheme="majorHAnsi" w:cstheme="majorHAnsi"/>
          <w:sz w:val="24"/>
          <w:szCs w:val="24"/>
          <w:lang w:val="ro-RO"/>
        </w:rPr>
        <w:t xml:space="preserve"> neutilizate.</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Subliniem că o entitate subordonată</w:t>
      </w:r>
      <w:r w:rsidRPr="00DE616C">
        <w:rPr>
          <w:rStyle w:val="a9"/>
          <w:rFonts w:asciiTheme="majorHAnsi" w:hAnsiTheme="majorHAnsi" w:cstheme="majorHAnsi"/>
          <w:sz w:val="24"/>
          <w:szCs w:val="24"/>
          <w:lang w:val="ro-RO"/>
        </w:rPr>
        <w:footnoteReference w:id="19"/>
      </w:r>
      <w:r w:rsidRPr="00DE616C">
        <w:rPr>
          <w:rFonts w:asciiTheme="majorHAnsi" w:hAnsiTheme="majorHAnsi" w:cstheme="majorHAnsi"/>
          <w:sz w:val="24"/>
          <w:szCs w:val="24"/>
          <w:lang w:val="ro-RO"/>
        </w:rPr>
        <w:t xml:space="preserve"> acumulează venituri din prestarea serviciilor de aprovizionare cu apă și evacuare a apelor uzate în lipsa actelor permisive pentru acest gen de activitate</w:t>
      </w:r>
      <w:r w:rsidRPr="00DE616C">
        <w:rPr>
          <w:rStyle w:val="a9"/>
          <w:rFonts w:asciiTheme="majorHAnsi" w:hAnsiTheme="majorHAnsi" w:cstheme="majorHAnsi"/>
          <w:sz w:val="24"/>
          <w:szCs w:val="24"/>
          <w:lang w:val="ro-RO"/>
        </w:rPr>
        <w:footnoteReference w:id="20"/>
      </w:r>
      <w:r w:rsidRPr="00DE616C">
        <w:rPr>
          <w:rFonts w:asciiTheme="majorHAnsi" w:hAnsiTheme="majorHAnsi" w:cstheme="majorHAnsi"/>
          <w:sz w:val="24"/>
          <w:szCs w:val="24"/>
          <w:lang w:val="ro-RO"/>
        </w:rPr>
        <w:t xml:space="preserve"> și fără a avea tarifele aprobate în modul corespunzător</w:t>
      </w:r>
      <w:r w:rsidRPr="00DE616C">
        <w:rPr>
          <w:rStyle w:val="a9"/>
          <w:rFonts w:asciiTheme="majorHAnsi" w:hAnsiTheme="majorHAnsi" w:cstheme="majorHAnsi"/>
          <w:sz w:val="24"/>
          <w:szCs w:val="24"/>
          <w:lang w:val="ro-RO"/>
        </w:rPr>
        <w:footnoteReference w:id="21"/>
      </w:r>
      <w:r w:rsidRPr="00DE616C">
        <w:rPr>
          <w:rFonts w:asciiTheme="majorHAnsi" w:hAnsiTheme="majorHAnsi" w:cstheme="majorHAnsi"/>
          <w:sz w:val="24"/>
          <w:szCs w:val="24"/>
          <w:lang w:val="ro-RO"/>
        </w:rPr>
        <w:t>.</w:t>
      </w:r>
    </w:p>
    <w:p w:rsidR="00E827BA" w:rsidRPr="00DE616C" w:rsidRDefault="00E827BA" w:rsidP="00E827BA">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La alocarea mijloacelor financiare pentru efectuarea unor cheltuieli capitale</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nu s-a respectat principiul performanței care prevede utilizarea resurselor bugetare în mod econom, eficient şi eficace și în concordanţă cu principiile bunei guvernări.</w:t>
      </w:r>
    </w:p>
    <w:p w:rsidR="00E827BA" w:rsidRPr="00DE616C" w:rsidRDefault="00E827BA" w:rsidP="00E827BA">
      <w:pPr>
        <w:pStyle w:val="a5"/>
        <w:numPr>
          <w:ilvl w:val="0"/>
          <w:numId w:val="5"/>
        </w:numPr>
        <w:spacing w:after="120"/>
        <w:ind w:left="0" w:firstLine="0"/>
        <w:contextualSpacing w:val="0"/>
        <w:jc w:val="both"/>
        <w:rPr>
          <w:rFonts w:asciiTheme="majorHAnsi" w:hAnsiTheme="majorHAnsi" w:cstheme="majorHAnsi"/>
          <w:bCs/>
          <w:sz w:val="24"/>
          <w:szCs w:val="24"/>
          <w:lang w:val="ro-RO"/>
        </w:rPr>
      </w:pPr>
      <w:r w:rsidRPr="00DE616C">
        <w:rPr>
          <w:rFonts w:asciiTheme="majorHAnsi" w:hAnsiTheme="majorHAnsi" w:cstheme="majorHAnsi"/>
          <w:sz w:val="24"/>
          <w:szCs w:val="24"/>
          <w:lang w:val="ro-RO"/>
        </w:rPr>
        <w:t>Astfel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s-a constatat că</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în anul 2021, Comisia de Stat pentru Testarea Soiurilor de Plante</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în vederea construcției depozitului cu climă controlată pentru păstrarea mostrelor de semințe </w:t>
      </w:r>
      <w:r>
        <w:rPr>
          <w:rFonts w:asciiTheme="majorHAnsi" w:hAnsiTheme="majorHAnsi" w:cstheme="majorHAnsi"/>
          <w:sz w:val="24"/>
          <w:szCs w:val="24"/>
          <w:lang w:val="ro-RO"/>
        </w:rPr>
        <w:t xml:space="preserve">din </w:t>
      </w:r>
      <w:r w:rsidRPr="00DE616C">
        <w:rPr>
          <w:rFonts w:asciiTheme="majorHAnsi" w:hAnsiTheme="majorHAnsi" w:cstheme="majorHAnsi"/>
          <w:sz w:val="24"/>
          <w:szCs w:val="24"/>
          <w:lang w:val="ro-RO"/>
        </w:rPr>
        <w:t>com. Băcioi</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a demarat proiectul investițional cu o valoare estimată de 4,24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din resurse generale și venituri acumulate, fiind valorificate 3,69 mil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lei. </w:t>
      </w:r>
      <w:r>
        <w:rPr>
          <w:rFonts w:asciiTheme="majorHAnsi" w:hAnsiTheme="majorHAnsi" w:cstheme="majorHAnsi"/>
          <w:sz w:val="24"/>
          <w:szCs w:val="24"/>
          <w:lang w:val="ro-RO"/>
        </w:rPr>
        <w:t>Ca u</w:t>
      </w:r>
      <w:r w:rsidRPr="00DE616C">
        <w:rPr>
          <w:rFonts w:asciiTheme="majorHAnsi" w:hAnsiTheme="majorHAnsi" w:cstheme="majorHAnsi"/>
          <w:sz w:val="24"/>
          <w:szCs w:val="24"/>
          <w:lang w:val="ro-RO"/>
        </w:rPr>
        <w:t xml:space="preserve">rmare a procedurilor de audit </w:t>
      </w:r>
      <w:r>
        <w:rPr>
          <w:rFonts w:asciiTheme="majorHAnsi" w:hAnsiTheme="majorHAnsi" w:cstheme="majorHAnsi"/>
          <w:sz w:val="24"/>
          <w:szCs w:val="24"/>
          <w:lang w:val="ro-RO"/>
        </w:rPr>
        <w:t xml:space="preserve">efectuate, </w:t>
      </w:r>
      <w:r w:rsidRPr="00DE616C">
        <w:rPr>
          <w:rFonts w:asciiTheme="majorHAnsi" w:hAnsiTheme="majorHAnsi" w:cstheme="majorHAnsi"/>
          <w:sz w:val="24"/>
          <w:szCs w:val="24"/>
          <w:lang w:val="ro-RO"/>
        </w:rPr>
        <w:t xml:space="preserve">s-a stabilit că autoritatea contractantă a acceptat spre achitare facturi în </w:t>
      </w:r>
      <w:r>
        <w:rPr>
          <w:rFonts w:asciiTheme="majorHAnsi" w:hAnsiTheme="majorHAnsi" w:cstheme="majorHAnsi"/>
          <w:sz w:val="24"/>
          <w:szCs w:val="24"/>
          <w:lang w:val="ro-RO"/>
        </w:rPr>
        <w:t>valoare</w:t>
      </w:r>
      <w:r w:rsidRPr="00DE616C">
        <w:rPr>
          <w:rFonts w:asciiTheme="majorHAnsi" w:hAnsiTheme="majorHAnsi" w:cstheme="majorHAnsi"/>
          <w:sz w:val="24"/>
          <w:szCs w:val="24"/>
          <w:lang w:val="ro-RO"/>
        </w:rPr>
        <w:t xml:space="preserve"> de 157,8 mii lei, care reprezentă plata unor bunuri și servicii care nu au fost livrate/executate la data emiterii acestora. De asemenea</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a</w:t>
      </w:r>
      <w:r>
        <w:rPr>
          <w:rFonts w:asciiTheme="majorHAnsi" w:hAnsiTheme="majorHAnsi" w:cstheme="majorHAnsi"/>
          <w:sz w:val="24"/>
          <w:szCs w:val="24"/>
          <w:lang w:val="ro-RO"/>
        </w:rPr>
        <w:t>u</w:t>
      </w:r>
      <w:r w:rsidRPr="00DE616C">
        <w:rPr>
          <w:rFonts w:asciiTheme="majorHAnsi" w:hAnsiTheme="majorHAnsi" w:cstheme="majorHAnsi"/>
          <w:sz w:val="24"/>
          <w:szCs w:val="24"/>
          <w:lang w:val="ro-RO"/>
        </w:rPr>
        <w:t xml:space="preserve"> fost substituit</w:t>
      </w:r>
      <w:r>
        <w:rPr>
          <w:rFonts w:asciiTheme="majorHAnsi" w:hAnsiTheme="majorHAnsi" w:cstheme="majorHAnsi"/>
          <w:sz w:val="24"/>
          <w:szCs w:val="24"/>
          <w:lang w:val="ro-RO"/>
        </w:rPr>
        <w:t>e</w:t>
      </w:r>
      <w:r w:rsidRPr="00DE616C">
        <w:rPr>
          <w:rFonts w:asciiTheme="majorHAnsi" w:hAnsiTheme="majorHAnsi" w:cstheme="majorHAnsi"/>
          <w:sz w:val="24"/>
          <w:szCs w:val="24"/>
          <w:lang w:val="ro-RO"/>
        </w:rPr>
        <w:t xml:space="preserve"> utilaje</w:t>
      </w:r>
      <w:r>
        <w:rPr>
          <w:rFonts w:asciiTheme="majorHAnsi" w:hAnsiTheme="majorHAnsi" w:cstheme="majorHAnsi"/>
          <w:sz w:val="24"/>
          <w:szCs w:val="24"/>
          <w:lang w:val="ro-RO"/>
        </w:rPr>
        <w:t>le</w:t>
      </w:r>
      <w:r w:rsidRPr="00DE616C">
        <w:rPr>
          <w:rFonts w:asciiTheme="majorHAnsi" w:hAnsiTheme="majorHAnsi" w:cstheme="majorHAnsi"/>
          <w:sz w:val="24"/>
          <w:szCs w:val="24"/>
          <w:lang w:val="ro-RO"/>
        </w:rPr>
        <w:t xml:space="preserve"> </w:t>
      </w:r>
      <w:r w:rsidRPr="00DE616C">
        <w:rPr>
          <w:rFonts w:asciiTheme="majorHAnsi" w:hAnsiTheme="majorHAnsi" w:cstheme="majorHAnsi"/>
          <w:sz w:val="24"/>
          <w:szCs w:val="24"/>
          <w:lang w:val="ro-RO"/>
        </w:rPr>
        <w:lastRenderedPageBreak/>
        <w:t>specificat</w:t>
      </w:r>
      <w:r>
        <w:rPr>
          <w:rFonts w:asciiTheme="majorHAnsi" w:hAnsiTheme="majorHAnsi" w:cstheme="majorHAnsi"/>
          <w:sz w:val="24"/>
          <w:szCs w:val="24"/>
          <w:lang w:val="ro-RO"/>
        </w:rPr>
        <w:t>e</w:t>
      </w:r>
      <w:r w:rsidRPr="00DE616C">
        <w:rPr>
          <w:rFonts w:asciiTheme="majorHAnsi" w:hAnsiTheme="majorHAnsi" w:cstheme="majorHAnsi"/>
          <w:sz w:val="24"/>
          <w:szCs w:val="24"/>
          <w:lang w:val="ro-RO"/>
        </w:rPr>
        <w:t xml:space="preserve"> în caietul de sarcini și </w:t>
      </w:r>
      <w:r>
        <w:rPr>
          <w:rFonts w:asciiTheme="majorHAnsi" w:hAnsiTheme="majorHAnsi" w:cstheme="majorHAnsi"/>
          <w:sz w:val="24"/>
          <w:szCs w:val="24"/>
          <w:lang w:val="ro-RO"/>
        </w:rPr>
        <w:t>î</w:t>
      </w:r>
      <w:r w:rsidRPr="00DE616C">
        <w:rPr>
          <w:rFonts w:asciiTheme="majorHAnsi" w:hAnsiTheme="majorHAnsi" w:cstheme="majorHAnsi"/>
          <w:sz w:val="24"/>
          <w:szCs w:val="24"/>
          <w:lang w:val="ro-RO"/>
        </w:rPr>
        <w:t xml:space="preserve">n ofertele propuse cu alt tip de utilaje, </w:t>
      </w:r>
      <w:r>
        <w:rPr>
          <w:rFonts w:asciiTheme="majorHAnsi" w:hAnsiTheme="majorHAnsi" w:cstheme="majorHAnsi"/>
          <w:sz w:val="24"/>
          <w:szCs w:val="24"/>
          <w:lang w:val="ro-RO"/>
        </w:rPr>
        <w:t xml:space="preserve">a căror </w:t>
      </w:r>
      <w:r w:rsidRPr="00DE616C">
        <w:rPr>
          <w:rFonts w:asciiTheme="majorHAnsi" w:hAnsiTheme="majorHAnsi" w:cstheme="majorHAnsi"/>
          <w:sz w:val="24"/>
          <w:szCs w:val="24"/>
          <w:lang w:val="ro-RO"/>
        </w:rPr>
        <w:t xml:space="preserve">valoare de procurare fiind mai mică față de costurile estimate cu </w:t>
      </w:r>
      <w:r>
        <w:rPr>
          <w:rFonts w:asciiTheme="majorHAnsi" w:hAnsiTheme="majorHAnsi" w:cstheme="majorHAnsi"/>
          <w:sz w:val="24"/>
          <w:szCs w:val="24"/>
          <w:lang w:val="ro-RO"/>
        </w:rPr>
        <w:t>suma de</w:t>
      </w:r>
      <w:r w:rsidRPr="00DE616C">
        <w:rPr>
          <w:rFonts w:asciiTheme="majorHAnsi" w:hAnsiTheme="majorHAnsi" w:cstheme="majorHAnsi"/>
          <w:sz w:val="24"/>
          <w:szCs w:val="24"/>
          <w:lang w:val="ro-RO"/>
        </w:rPr>
        <w:t xml:space="preserve"> 325,5 mii lei. </w:t>
      </w:r>
      <w:r>
        <w:rPr>
          <w:rFonts w:asciiTheme="majorHAnsi" w:hAnsiTheme="majorHAnsi" w:cstheme="majorHAnsi"/>
          <w:sz w:val="24"/>
          <w:szCs w:val="24"/>
          <w:lang w:val="ro-RO"/>
        </w:rPr>
        <w:t xml:space="preserve">La fel, </w:t>
      </w:r>
      <w:r w:rsidRPr="00DE616C">
        <w:rPr>
          <w:rFonts w:asciiTheme="majorHAnsi" w:hAnsiTheme="majorHAnsi" w:cstheme="majorHAnsi"/>
          <w:sz w:val="24"/>
          <w:szCs w:val="24"/>
          <w:lang w:val="ro-RO"/>
        </w:rPr>
        <w:t>s-a stabilit că nu a fost inclusă în contractul de achizi</w:t>
      </w:r>
      <w:r>
        <w:rPr>
          <w:rFonts w:asciiTheme="majorHAnsi" w:hAnsiTheme="majorHAnsi" w:cstheme="majorHAnsi"/>
          <w:sz w:val="24"/>
          <w:szCs w:val="24"/>
          <w:lang w:val="ro-RO"/>
        </w:rPr>
        <w:t>ț</w:t>
      </w:r>
      <w:r w:rsidRPr="00DE616C">
        <w:rPr>
          <w:rFonts w:asciiTheme="majorHAnsi" w:hAnsiTheme="majorHAnsi" w:cstheme="majorHAnsi"/>
          <w:sz w:val="24"/>
          <w:szCs w:val="24"/>
          <w:lang w:val="ro-RO"/>
        </w:rPr>
        <w:t>ie și</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respectiv</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nu a fost instituită garanți</w:t>
      </w:r>
      <w:r>
        <w:rPr>
          <w:rFonts w:asciiTheme="majorHAnsi" w:hAnsiTheme="majorHAnsi" w:cstheme="majorHAnsi"/>
          <w:sz w:val="24"/>
          <w:szCs w:val="24"/>
          <w:lang w:val="ro-RO"/>
        </w:rPr>
        <w:t>a</w:t>
      </w:r>
      <w:r w:rsidRPr="00DE616C">
        <w:rPr>
          <w:rFonts w:asciiTheme="majorHAnsi" w:hAnsiTheme="majorHAnsi" w:cstheme="majorHAnsi"/>
          <w:sz w:val="24"/>
          <w:szCs w:val="24"/>
          <w:lang w:val="ro-RO"/>
        </w:rPr>
        <w:t xml:space="preserve"> de bună execuție în valoare de 0,</w:t>
      </w:r>
      <w:r w:rsidRPr="00DE616C">
        <w:rPr>
          <w:rFonts w:asciiTheme="majorHAnsi" w:hAnsiTheme="majorHAnsi" w:cstheme="majorHAnsi"/>
          <w:color w:val="2C2A2D"/>
          <w:sz w:val="24"/>
          <w:szCs w:val="24"/>
          <w:lang w:val="ro-RO" w:bidi="en-US"/>
        </w:rPr>
        <w:t>18</w:t>
      </w:r>
      <w:r w:rsidRPr="00DE616C">
        <w:rPr>
          <w:rFonts w:asciiTheme="majorHAnsi" w:hAnsiTheme="majorHAnsi" w:cstheme="majorHAnsi"/>
          <w:sz w:val="24"/>
          <w:szCs w:val="24"/>
          <w:lang w:val="ro-RO"/>
        </w:rPr>
        <w:t xml:space="preserve"> mil.lei.</w:t>
      </w:r>
    </w:p>
    <w:p w:rsidR="00E827BA" w:rsidRPr="00DE616C" w:rsidRDefault="00E827BA" w:rsidP="00E827BA">
      <w:pPr>
        <w:tabs>
          <w:tab w:val="left" w:pos="810"/>
          <w:tab w:val="left" w:pos="1701"/>
        </w:tabs>
        <w:spacing w:after="120"/>
        <w:jc w:val="both"/>
        <w:rPr>
          <w:rFonts w:asciiTheme="majorHAnsi" w:hAnsiTheme="majorHAnsi" w:cstheme="majorHAnsi"/>
          <w:sz w:val="24"/>
          <w:szCs w:val="24"/>
          <w:lang w:val="ro-RO"/>
        </w:rPr>
      </w:pPr>
      <w:r w:rsidRPr="00DE616C">
        <w:rPr>
          <w:rFonts w:asciiTheme="majorHAnsi" w:hAnsiTheme="majorHAnsi" w:cstheme="majorHAnsi"/>
          <w:b/>
          <w:sz w:val="24"/>
          <w:szCs w:val="24"/>
          <w:lang w:val="ro-RO"/>
        </w:rPr>
        <w:t xml:space="preserve">6.11. </w:t>
      </w:r>
      <w:r w:rsidRPr="00DE616C">
        <w:rPr>
          <w:rFonts w:asciiTheme="majorHAnsi" w:hAnsiTheme="majorHAnsi" w:cstheme="majorHAnsi"/>
          <w:sz w:val="24"/>
          <w:szCs w:val="24"/>
          <w:lang w:val="ro-RO"/>
        </w:rPr>
        <w:t xml:space="preserve">Atenționăm asupra lipsei unui mecanism exhaustiv privind capitalizarea costurilor aferente proiectelor de cercetare, ceea ce condiționează subevaluarea soldului contului 319 „Investiţii capitale în active în curs de execuţie”, precum și lipsa unor reguli clare referitor la cheltuielile aferente proiectelor științifice care urmează a fi capitalizate în contul </w:t>
      </w:r>
      <w:r>
        <w:rPr>
          <w:rFonts w:asciiTheme="majorHAnsi" w:hAnsiTheme="majorHAnsi" w:cstheme="majorHAnsi"/>
          <w:sz w:val="24"/>
          <w:szCs w:val="24"/>
          <w:lang w:val="ro-RO"/>
        </w:rPr>
        <w:t>menționat</w:t>
      </w:r>
      <w:r w:rsidRPr="00DE616C">
        <w:rPr>
          <w:rFonts w:asciiTheme="majorHAnsi" w:hAnsiTheme="majorHAnsi" w:cstheme="majorHAnsi"/>
          <w:sz w:val="24"/>
          <w:szCs w:val="24"/>
          <w:lang w:val="ro-RO"/>
        </w:rPr>
        <w:t>. Astfel</w:t>
      </w:r>
      <w:r>
        <w:rPr>
          <w:rFonts w:asciiTheme="majorHAnsi" w:hAnsiTheme="majorHAnsi" w:cstheme="majorHAnsi"/>
          <w:sz w:val="24"/>
          <w:szCs w:val="24"/>
          <w:lang w:val="ro-RO"/>
        </w:rPr>
        <w:t>,</w:t>
      </w:r>
      <w:r w:rsidRPr="00DE616C">
        <w:rPr>
          <w:rFonts w:asciiTheme="majorHAnsi" w:hAnsiTheme="majorHAnsi" w:cstheme="majorHAnsi"/>
          <w:sz w:val="24"/>
          <w:szCs w:val="24"/>
          <w:lang w:val="ro-RO"/>
        </w:rPr>
        <w:t xml:space="preserve"> </w:t>
      </w:r>
      <w:r>
        <w:rPr>
          <w:rFonts w:asciiTheme="majorHAnsi" w:hAnsiTheme="majorHAnsi" w:cstheme="majorHAnsi"/>
          <w:sz w:val="24"/>
          <w:szCs w:val="24"/>
          <w:lang w:val="ro-RO"/>
        </w:rPr>
        <w:t>M</w:t>
      </w:r>
      <w:r w:rsidRPr="00DE616C">
        <w:rPr>
          <w:rFonts w:asciiTheme="majorHAnsi" w:hAnsiTheme="majorHAnsi" w:cstheme="majorHAnsi"/>
          <w:sz w:val="24"/>
          <w:szCs w:val="24"/>
          <w:lang w:val="ro-RO"/>
        </w:rPr>
        <w:t xml:space="preserve">inisterul </w:t>
      </w:r>
      <w:r>
        <w:rPr>
          <w:rFonts w:asciiTheme="majorHAnsi" w:hAnsiTheme="majorHAnsi" w:cstheme="majorHAnsi"/>
          <w:sz w:val="24"/>
          <w:szCs w:val="24"/>
          <w:lang w:val="ro-RO"/>
        </w:rPr>
        <w:t>F</w:t>
      </w:r>
      <w:r w:rsidRPr="00DE616C">
        <w:rPr>
          <w:rFonts w:asciiTheme="majorHAnsi" w:hAnsiTheme="majorHAnsi" w:cstheme="majorHAnsi"/>
          <w:sz w:val="24"/>
          <w:szCs w:val="24"/>
          <w:lang w:val="ro-RO"/>
        </w:rPr>
        <w:t xml:space="preserve">inanțelor urmează să elaboreze reglementări în domeniul vizat. </w:t>
      </w:r>
      <w:r w:rsidRPr="00DE616C">
        <w:rPr>
          <w:rFonts w:asciiTheme="majorHAnsi" w:hAnsiTheme="majorHAnsi" w:cstheme="majorHAnsi"/>
          <w:i/>
          <w:sz w:val="24"/>
          <w:szCs w:val="24"/>
          <w:lang w:val="ro-RO"/>
        </w:rPr>
        <w:t>Vezi detalii în Anexa nr. 1 la prezentul Raport de audit.</w:t>
      </w:r>
    </w:p>
    <w:p w:rsidR="00E827BA" w:rsidRPr="00DE616C" w:rsidRDefault="00E827BA" w:rsidP="00E827BA">
      <w:pPr>
        <w:spacing w:after="120" w:line="276" w:lineRule="auto"/>
        <w:ind w:right="-24"/>
        <w:jc w:val="both"/>
        <w:rPr>
          <w:rFonts w:asciiTheme="majorHAnsi" w:hAnsiTheme="majorHAnsi" w:cstheme="majorHAnsi"/>
          <w:sz w:val="24"/>
          <w:szCs w:val="24"/>
          <w:lang w:val="ro-RO"/>
        </w:rPr>
      </w:pPr>
      <w:r w:rsidRPr="00DE616C">
        <w:rPr>
          <w:rFonts w:asciiTheme="majorHAnsi" w:hAnsiTheme="majorHAnsi" w:cstheme="majorHAnsi"/>
          <w:b/>
          <w:sz w:val="24"/>
          <w:szCs w:val="24"/>
          <w:lang w:val="ro-RO"/>
        </w:rPr>
        <w:t>6.12.</w:t>
      </w:r>
      <w:r w:rsidRPr="00DE616C">
        <w:rPr>
          <w:rFonts w:asciiTheme="majorHAnsi" w:hAnsiTheme="majorHAnsi" w:cstheme="majorHAnsi"/>
          <w:sz w:val="24"/>
          <w:szCs w:val="24"/>
          <w:lang w:val="ro-RO"/>
        </w:rPr>
        <w:t xml:space="preserve"> Se atestă menținerea în continuare a statutului dublu atribuit Oficiului Național al Viei și Vinului. Astfel, deși, conform statutului propriu, Oficiul este instituție publică la autogestiune</w:t>
      </w:r>
      <w:r w:rsidRPr="00DE616C">
        <w:rPr>
          <w:rStyle w:val="a9"/>
          <w:rFonts w:asciiTheme="majorHAnsi" w:hAnsiTheme="majorHAnsi" w:cstheme="majorHAnsi"/>
          <w:sz w:val="24"/>
          <w:lang w:val="ro-RO"/>
        </w:rPr>
        <w:footnoteReference w:id="22"/>
      </w:r>
      <w:r w:rsidRPr="00DE616C">
        <w:rPr>
          <w:rFonts w:asciiTheme="majorHAnsi" w:hAnsiTheme="majorHAnsi" w:cstheme="majorHAnsi"/>
          <w:sz w:val="24"/>
          <w:szCs w:val="24"/>
          <w:lang w:val="ro-RO"/>
        </w:rPr>
        <w:t>,  acestuia i-a fost atribuit și codul de executor de buget (org.2  CBO</w:t>
      </w:r>
      <w:r w:rsidRPr="00DE616C">
        <w:rPr>
          <w:rStyle w:val="a9"/>
          <w:rFonts w:asciiTheme="majorHAnsi" w:hAnsiTheme="majorHAnsi" w:cstheme="majorHAnsi"/>
          <w:sz w:val="24"/>
          <w:lang w:val="ro-RO"/>
        </w:rPr>
        <w:footnoteReference w:id="23"/>
      </w:r>
      <w:r w:rsidRPr="00DE616C">
        <w:rPr>
          <w:rFonts w:asciiTheme="majorHAnsi" w:hAnsiTheme="majorHAnsi" w:cstheme="majorHAnsi"/>
          <w:sz w:val="24"/>
          <w:szCs w:val="24"/>
          <w:lang w:val="ro-RO"/>
        </w:rPr>
        <w:t xml:space="preserve"> 15473). Oficiul nu este un executor de buget plenipotențiar, sumele încasate în contul trezorerial fiind transferate integral, prin CBE</w:t>
      </w:r>
      <w:r w:rsidRPr="00DE616C">
        <w:rPr>
          <w:rStyle w:val="a9"/>
          <w:rFonts w:asciiTheme="majorHAnsi" w:hAnsiTheme="majorHAnsi" w:cstheme="majorHAnsi"/>
          <w:sz w:val="24"/>
          <w:lang w:val="ro-RO"/>
        </w:rPr>
        <w:footnoteReference w:id="24"/>
      </w:r>
      <w:r w:rsidRPr="00DE616C">
        <w:rPr>
          <w:rFonts w:asciiTheme="majorHAnsi" w:hAnsiTheme="majorHAnsi" w:cstheme="majorHAnsi"/>
          <w:sz w:val="24"/>
          <w:szCs w:val="24"/>
          <w:lang w:val="ro-RO"/>
        </w:rPr>
        <w:t xml:space="preserve"> 25 „Subsidii”, la contul trezorerial extr</w:t>
      </w:r>
      <w:r w:rsidRPr="00DE616C">
        <w:rPr>
          <w:rFonts w:asciiTheme="majorHAnsi" w:eastAsia="Times New Roman" w:hAnsiTheme="majorHAnsi" w:cstheme="majorHAnsi"/>
          <w:color w:val="000000" w:themeColor="text1"/>
          <w:sz w:val="24"/>
          <w:szCs w:val="24"/>
          <w:lang w:val="ro-RO"/>
        </w:rPr>
        <w:t>abugetar, de unde se efectuează plățile necesare. Acest mecanism nu se încadrează în regulile generale de bugetare, Oficiul acor</w:t>
      </w:r>
      <w:r w:rsidRPr="00DE616C">
        <w:rPr>
          <w:rFonts w:asciiTheme="majorHAnsi" w:hAnsiTheme="majorHAnsi" w:cstheme="majorHAnsi"/>
          <w:sz w:val="24"/>
          <w:szCs w:val="24"/>
          <w:lang w:val="ro-RO"/>
        </w:rPr>
        <w:t>dând</w:t>
      </w:r>
      <w:r>
        <w:rPr>
          <w:rFonts w:asciiTheme="majorHAnsi" w:hAnsiTheme="majorHAnsi" w:cstheme="majorHAnsi"/>
          <w:sz w:val="24"/>
          <w:szCs w:val="24"/>
          <w:lang w:val="ro-RO"/>
        </w:rPr>
        <w:t>u-și</w:t>
      </w:r>
      <w:r w:rsidRPr="00DE616C">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sie </w:t>
      </w:r>
      <w:r w:rsidRPr="00DE616C">
        <w:rPr>
          <w:rFonts w:asciiTheme="majorHAnsi" w:hAnsiTheme="majorHAnsi" w:cstheme="majorHAnsi"/>
          <w:sz w:val="24"/>
          <w:szCs w:val="24"/>
          <w:lang w:val="ro-RO"/>
        </w:rPr>
        <w:t xml:space="preserve">subvenții, contul trezorerial bugetar fiind utilizat </w:t>
      </w:r>
      <w:r>
        <w:rPr>
          <w:rFonts w:asciiTheme="majorHAnsi" w:hAnsiTheme="majorHAnsi" w:cstheme="majorHAnsi"/>
          <w:sz w:val="24"/>
          <w:szCs w:val="24"/>
          <w:lang w:val="ro-RO"/>
        </w:rPr>
        <w:t>drept</w:t>
      </w:r>
      <w:r w:rsidRPr="00DE616C">
        <w:rPr>
          <w:rFonts w:asciiTheme="majorHAnsi" w:hAnsiTheme="majorHAnsi" w:cstheme="majorHAnsi"/>
          <w:sz w:val="24"/>
          <w:szCs w:val="24"/>
          <w:lang w:val="ro-RO"/>
        </w:rPr>
        <w:t xml:space="preserve"> un cont de tranzit. </w:t>
      </w:r>
      <w:r w:rsidRPr="00F42BED">
        <w:rPr>
          <w:rFonts w:asciiTheme="majorHAnsi" w:hAnsiTheme="majorHAnsi" w:cstheme="majorHAnsi"/>
          <w:sz w:val="24"/>
          <w:szCs w:val="24"/>
          <w:lang w:val="ro-RO"/>
        </w:rPr>
        <w:t>Conform cadrului normativ, astfel de tranzacții urmează a fi efectuate direct prin intermediul Ministerului Agriculturii, și Industriei</w:t>
      </w:r>
      <w:r>
        <w:rPr>
          <w:rFonts w:asciiTheme="majorHAnsi" w:hAnsiTheme="majorHAnsi" w:cstheme="majorHAnsi"/>
          <w:sz w:val="24"/>
          <w:szCs w:val="24"/>
          <w:lang w:val="ro-RO"/>
        </w:rPr>
        <w:t xml:space="preserve"> Alimentare</w:t>
      </w:r>
      <w:r w:rsidRPr="00DE616C">
        <w:rPr>
          <w:rFonts w:asciiTheme="majorHAnsi" w:hAnsiTheme="majorHAnsi" w:cstheme="majorHAnsi"/>
          <w:sz w:val="24"/>
          <w:szCs w:val="24"/>
          <w:lang w:val="ro-RO"/>
        </w:rPr>
        <w:t>, fără a se atribui entităților la autogestiune statutul de</w:t>
      </w:r>
      <w:r w:rsidRPr="00DE616C">
        <w:rPr>
          <w:rFonts w:asciiTheme="majorHAnsi" w:eastAsia="Times New Roman" w:hAnsiTheme="majorHAnsi" w:cstheme="majorHAnsi"/>
          <w:color w:val="000000" w:themeColor="text1"/>
          <w:sz w:val="24"/>
          <w:szCs w:val="24"/>
          <w:lang w:val="ro-RO"/>
        </w:rPr>
        <w:t xml:space="preserve"> </w:t>
      </w:r>
      <w:r w:rsidRPr="00DE616C">
        <w:rPr>
          <w:rFonts w:asciiTheme="majorHAnsi" w:hAnsiTheme="majorHAnsi" w:cstheme="majorHAnsi"/>
          <w:sz w:val="24"/>
          <w:szCs w:val="24"/>
          <w:lang w:val="ro-RO"/>
        </w:rPr>
        <w:t>executor de buget (org.2).</w:t>
      </w:r>
    </w:p>
    <w:p w:rsidR="00E827BA" w:rsidRPr="00DE616C" w:rsidRDefault="00E827BA" w:rsidP="00E827BA">
      <w:pPr>
        <w:pStyle w:val="a5"/>
        <w:spacing w:after="120" w:line="276" w:lineRule="auto"/>
        <w:ind w:left="0"/>
        <w:jc w:val="both"/>
        <w:rPr>
          <w:rFonts w:asciiTheme="majorHAnsi" w:hAnsiTheme="majorHAnsi" w:cstheme="majorHAnsi"/>
          <w:i/>
          <w:sz w:val="24"/>
          <w:szCs w:val="24"/>
          <w:lang w:val="ro-RO"/>
        </w:rPr>
      </w:pPr>
      <w:r w:rsidRPr="00DE616C">
        <w:rPr>
          <w:rFonts w:asciiTheme="majorHAnsi" w:hAnsiTheme="majorHAnsi" w:cstheme="majorHAnsi"/>
          <w:b/>
          <w:sz w:val="24"/>
          <w:szCs w:val="24"/>
          <w:lang w:val="ro-RO"/>
        </w:rPr>
        <w:t xml:space="preserve">6.13 </w:t>
      </w:r>
      <w:r w:rsidRPr="00DE616C">
        <w:rPr>
          <w:rFonts w:asciiTheme="majorHAnsi" w:hAnsiTheme="majorHAnsi" w:cstheme="majorHAnsi"/>
          <w:sz w:val="24"/>
          <w:szCs w:val="24"/>
          <w:lang w:val="ro-RO"/>
        </w:rPr>
        <w:t xml:space="preserve">Mecanismele aplicate de Agenția Proprietății Publice </w:t>
      </w:r>
      <w:r>
        <w:rPr>
          <w:rFonts w:asciiTheme="majorHAnsi" w:hAnsiTheme="majorHAnsi" w:cstheme="majorHAnsi"/>
          <w:sz w:val="24"/>
          <w:szCs w:val="24"/>
          <w:lang w:val="ro-RO"/>
        </w:rPr>
        <w:t>la</w:t>
      </w:r>
      <w:r w:rsidRPr="00DE616C">
        <w:rPr>
          <w:rFonts w:asciiTheme="majorHAnsi" w:hAnsiTheme="majorHAnsi" w:cstheme="majorHAnsi"/>
          <w:sz w:val="24"/>
          <w:szCs w:val="24"/>
          <w:lang w:val="ro-RO"/>
        </w:rPr>
        <w:t xml:space="preserve"> transmiterea dreptului de administrare a terenurilor proprietate publică către autoritățile publice centrale determină evidența contabilă defectuoasă a activelor statului și prezența unui risc sporit de denaturare semnificativă a valorii terenurilor proprietate publică. De asemenea, este necesară completarea Planului de conturi pentru instituțiile bugetare cu un cont nou, destinat bunurilor primite în gestiune. </w:t>
      </w:r>
      <w:r w:rsidRPr="00DE616C">
        <w:rPr>
          <w:rFonts w:asciiTheme="majorHAnsi" w:hAnsiTheme="majorHAnsi" w:cstheme="majorHAnsi"/>
          <w:i/>
          <w:sz w:val="24"/>
          <w:szCs w:val="24"/>
          <w:lang w:val="ro-RO"/>
        </w:rPr>
        <w:t>(Detaliile sunt prezentate în Anexa nr.2 la prezentul Raport de audit).</w:t>
      </w:r>
    </w:p>
    <w:p w:rsidR="00E827BA" w:rsidRPr="00DE616C" w:rsidRDefault="00E827BA" w:rsidP="00E827BA">
      <w:pPr>
        <w:tabs>
          <w:tab w:val="left" w:pos="720"/>
        </w:tabs>
        <w:spacing w:before="100" w:beforeAutospacing="1" w:after="0" w:line="276" w:lineRule="auto"/>
        <w:jc w:val="both"/>
        <w:rPr>
          <w:rFonts w:asciiTheme="majorHAnsi" w:hAnsiTheme="majorHAnsi" w:cstheme="majorHAnsi"/>
          <w:sz w:val="24"/>
          <w:szCs w:val="24"/>
          <w:lang w:val="ro-RO"/>
        </w:rPr>
      </w:pPr>
      <w:r w:rsidRPr="00DE616C">
        <w:rPr>
          <w:rFonts w:asciiTheme="majorHAnsi" w:hAnsiTheme="majorHAnsi" w:cstheme="majorHAnsi"/>
          <w:b/>
          <w:sz w:val="24"/>
          <w:szCs w:val="24"/>
          <w:lang w:val="ro-RO"/>
        </w:rPr>
        <w:t>RESPONSABILITĂȚILE CONDUCERII PENTRU RAPOARTELE FINANCIARE</w:t>
      </w:r>
      <w:r w:rsidRPr="00DE616C">
        <w:rPr>
          <w:rFonts w:asciiTheme="majorHAnsi" w:hAnsiTheme="majorHAnsi" w:cstheme="majorHAnsi"/>
          <w:sz w:val="24"/>
          <w:szCs w:val="24"/>
          <w:lang w:val="ro-RO"/>
        </w:rPr>
        <w:t xml:space="preserve"> </w:t>
      </w:r>
    </w:p>
    <w:p w:rsidR="00E827BA" w:rsidRPr="00DE616C" w:rsidRDefault="00E827BA" w:rsidP="00E827BA">
      <w:pPr>
        <w:spacing w:after="120" w:line="276" w:lineRule="auto"/>
        <w:jc w:val="both"/>
        <w:rPr>
          <w:rFonts w:asciiTheme="majorHAnsi" w:hAnsiTheme="majorHAnsi" w:cstheme="majorHAnsi"/>
          <w:color w:val="000000"/>
          <w:sz w:val="24"/>
          <w:szCs w:val="24"/>
          <w:lang w:val="ro-RO"/>
        </w:rPr>
      </w:pPr>
      <w:r w:rsidRPr="00DE616C">
        <w:rPr>
          <w:rFonts w:asciiTheme="majorHAnsi" w:hAnsiTheme="majorHAnsi" w:cstheme="majorHAnsi"/>
          <w:color w:val="000000"/>
          <w:sz w:val="24"/>
          <w:szCs w:val="24"/>
          <w:lang w:val="ro-RO"/>
        </w:rPr>
        <w:t xml:space="preserve">Ministrul Agriculturii și Industriei Alimentare, </w:t>
      </w:r>
      <w:r w:rsidRPr="00DE616C">
        <w:rPr>
          <w:rFonts w:asciiTheme="majorHAnsi" w:hAnsiTheme="majorHAnsi" w:cstheme="majorHAnsi"/>
          <w:sz w:val="24"/>
          <w:szCs w:val="24"/>
          <w:lang w:val="ro-RO"/>
        </w:rPr>
        <w:t xml:space="preserve">în calitate de conducător al organului central de specialitate al administrației publice, </w:t>
      </w:r>
      <w:r w:rsidRPr="00DE616C">
        <w:rPr>
          <w:rFonts w:asciiTheme="majorHAnsi" w:hAnsiTheme="majorHAnsi" w:cstheme="majorHAnsi"/>
          <w:color w:val="000000"/>
          <w:sz w:val="24"/>
          <w:szCs w:val="24"/>
          <w:lang w:val="ro-RO"/>
        </w:rPr>
        <w:t>este responsabil de întocmirea, semnarea și prezentarea fidelă a rapoartelor financiare consolidate</w:t>
      </w:r>
      <w:r w:rsidRPr="00DE616C">
        <w:rPr>
          <w:rStyle w:val="a9"/>
          <w:rFonts w:asciiTheme="majorHAnsi" w:hAnsiTheme="majorHAnsi" w:cstheme="majorHAnsi"/>
          <w:color w:val="000000"/>
          <w:sz w:val="24"/>
          <w:lang w:val="ro-RO"/>
        </w:rPr>
        <w:footnoteReference w:id="25"/>
      </w:r>
      <w:r w:rsidRPr="00DE616C">
        <w:rPr>
          <w:rFonts w:asciiTheme="majorHAnsi" w:hAnsiTheme="majorHAnsi" w:cstheme="majorHAnsi"/>
          <w:color w:val="000000"/>
          <w:sz w:val="24"/>
          <w:szCs w:val="24"/>
          <w:lang w:val="ro-RO"/>
        </w:rPr>
        <w:t xml:space="preserve"> în conformitate cu cadrul de raportare financiară aplicabil</w:t>
      </w:r>
      <w:r w:rsidRPr="00DE616C">
        <w:rPr>
          <w:rStyle w:val="a9"/>
          <w:rFonts w:asciiTheme="majorHAnsi" w:hAnsiTheme="majorHAnsi" w:cstheme="majorHAnsi"/>
          <w:color w:val="000000"/>
          <w:sz w:val="24"/>
          <w:lang w:val="ro-RO"/>
        </w:rPr>
        <w:footnoteReference w:id="26"/>
      </w:r>
      <w:r w:rsidRPr="00DE616C">
        <w:rPr>
          <w:rFonts w:asciiTheme="majorHAnsi" w:hAnsiTheme="majorHAnsi" w:cstheme="majorHAnsi"/>
          <w:color w:val="000000"/>
          <w:sz w:val="24"/>
          <w:szCs w:val="24"/>
          <w:lang w:val="ro-RO"/>
        </w:rPr>
        <w:t xml:space="preserve">, </w:t>
      </w:r>
      <w:r w:rsidRPr="00DE616C">
        <w:rPr>
          <w:rFonts w:asciiTheme="majorHAnsi" w:hAnsiTheme="majorHAnsi" w:cstheme="majorHAnsi"/>
          <w:sz w:val="24"/>
          <w:szCs w:val="24"/>
          <w:lang w:val="ro-RO"/>
        </w:rPr>
        <w:t>precum și de organizarea controlului intern managerial</w:t>
      </w:r>
      <w:r w:rsidRPr="00DE616C">
        <w:rPr>
          <w:rFonts w:asciiTheme="majorHAnsi" w:hAnsiTheme="majorHAnsi" w:cstheme="majorHAnsi"/>
          <w:color w:val="000000"/>
          <w:sz w:val="24"/>
          <w:szCs w:val="24"/>
          <w:lang w:val="ro-RO"/>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rsidR="00E827BA" w:rsidRPr="00DE616C" w:rsidRDefault="00E827BA" w:rsidP="00B378C8">
      <w:pPr>
        <w:pStyle w:val="a5"/>
        <w:numPr>
          <w:ilvl w:val="0"/>
          <w:numId w:val="1"/>
        </w:numPr>
        <w:tabs>
          <w:tab w:val="center" w:pos="426"/>
        </w:tabs>
        <w:autoSpaceDE w:val="0"/>
        <w:autoSpaceDN w:val="0"/>
        <w:adjustRightInd w:val="0"/>
        <w:spacing w:beforeLines="60" w:after="0" w:line="276" w:lineRule="auto"/>
        <w:ind w:hanging="218"/>
        <w:jc w:val="both"/>
        <w:rPr>
          <w:rFonts w:asciiTheme="majorHAnsi" w:hAnsiTheme="majorHAnsi" w:cstheme="majorHAnsi"/>
          <w:b/>
          <w:color w:val="000000" w:themeColor="text1"/>
          <w:sz w:val="24"/>
          <w:szCs w:val="24"/>
          <w:lang w:val="ro-RO"/>
        </w:rPr>
      </w:pPr>
      <w:r w:rsidRPr="00DE616C">
        <w:rPr>
          <w:rFonts w:asciiTheme="majorHAnsi" w:hAnsiTheme="majorHAnsi" w:cstheme="majorHAnsi"/>
          <w:b/>
          <w:color w:val="000000" w:themeColor="text1"/>
          <w:sz w:val="24"/>
          <w:szCs w:val="24"/>
          <w:lang w:val="ro-RO"/>
        </w:rPr>
        <w:lastRenderedPageBreak/>
        <w:t>RESPONSABILITĂȚILE AUDITORULUI</w:t>
      </w:r>
      <w:r w:rsidRPr="00DE616C">
        <w:rPr>
          <w:rFonts w:asciiTheme="majorHAnsi" w:hAnsiTheme="majorHAnsi" w:cstheme="majorHAnsi"/>
          <w:color w:val="000000" w:themeColor="text1"/>
          <w:sz w:val="24"/>
          <w:szCs w:val="24"/>
          <w:lang w:val="ro-RO"/>
        </w:rPr>
        <w:t xml:space="preserve"> </w:t>
      </w:r>
      <w:r w:rsidRPr="00DE616C">
        <w:rPr>
          <w:rFonts w:asciiTheme="majorHAnsi" w:hAnsiTheme="majorHAnsi" w:cstheme="majorHAnsi"/>
          <w:b/>
          <w:color w:val="000000" w:themeColor="text1"/>
          <w:sz w:val="24"/>
          <w:szCs w:val="24"/>
          <w:lang w:val="ro-RO"/>
        </w:rPr>
        <w:t xml:space="preserve">ÎNTR-UN AUDIT AL </w:t>
      </w:r>
      <w:r w:rsidRPr="00DE616C">
        <w:rPr>
          <w:rFonts w:asciiTheme="majorHAnsi" w:hAnsiTheme="majorHAnsi" w:cstheme="majorHAnsi"/>
          <w:b/>
          <w:color w:val="000000"/>
          <w:sz w:val="24"/>
          <w:szCs w:val="24"/>
          <w:lang w:val="ro-RO"/>
        </w:rPr>
        <w:t>RAPOARTELOR</w:t>
      </w:r>
      <w:r w:rsidRPr="00DE616C">
        <w:rPr>
          <w:rFonts w:asciiTheme="majorHAnsi" w:hAnsiTheme="majorHAnsi" w:cstheme="majorHAnsi"/>
          <w:b/>
          <w:color w:val="000000" w:themeColor="text1"/>
          <w:sz w:val="24"/>
          <w:szCs w:val="24"/>
          <w:lang w:val="ro-RO"/>
        </w:rPr>
        <w:t xml:space="preserve"> FINANCIARE</w:t>
      </w:r>
    </w:p>
    <w:p w:rsidR="00E827BA" w:rsidRPr="00DE616C" w:rsidRDefault="00E827BA" w:rsidP="00E827BA">
      <w:pPr>
        <w:autoSpaceDE w:val="0"/>
        <w:autoSpaceDN w:val="0"/>
        <w:adjustRightInd w:val="0"/>
        <w:spacing w:after="120" w:line="276" w:lineRule="auto"/>
        <w:ind w:right="-24"/>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E827BA" w:rsidRPr="00DE616C" w:rsidRDefault="00E827BA" w:rsidP="00E827BA">
      <w:pPr>
        <w:autoSpaceDE w:val="0"/>
        <w:autoSpaceDN w:val="0"/>
        <w:adjustRightInd w:val="0"/>
        <w:spacing w:after="120" w:line="276" w:lineRule="auto"/>
        <w:ind w:right="-24"/>
        <w:jc w:val="both"/>
        <w:rPr>
          <w:rFonts w:asciiTheme="majorHAnsi" w:hAnsiTheme="majorHAnsi" w:cstheme="majorHAnsi"/>
          <w:sz w:val="24"/>
          <w:szCs w:val="24"/>
          <w:lang w:val="ro-RO"/>
        </w:rPr>
      </w:pPr>
      <w:r w:rsidRPr="00DE616C">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w:t>
      </w:r>
      <w:r>
        <w:rPr>
          <w:rFonts w:asciiTheme="majorHAnsi" w:hAnsiTheme="majorHAnsi" w:cstheme="majorHAnsi"/>
          <w:sz w:val="24"/>
          <w:szCs w:val="24"/>
          <w:lang w:val="ro-RO"/>
        </w:rPr>
        <w:t>rapoarte</w:t>
      </w:r>
      <w:r w:rsidRPr="00DE616C">
        <w:rPr>
          <w:rFonts w:asciiTheme="majorHAnsi" w:hAnsiTheme="majorHAnsi" w:cstheme="majorHAnsi"/>
          <w:sz w:val="24"/>
          <w:szCs w:val="24"/>
          <w:lang w:val="ro-RO"/>
        </w:rPr>
        <w:t xml:space="preserve"> financiare.</w:t>
      </w:r>
    </w:p>
    <w:p w:rsidR="00E827BA" w:rsidRPr="00DE616C" w:rsidRDefault="00E827BA" w:rsidP="00E827BA">
      <w:pPr>
        <w:pStyle w:val="Default"/>
        <w:spacing w:after="120" w:line="276" w:lineRule="auto"/>
        <w:ind w:right="-24"/>
        <w:jc w:val="both"/>
        <w:rPr>
          <w:rFonts w:asciiTheme="majorHAnsi" w:hAnsiTheme="majorHAnsi" w:cstheme="majorHAnsi"/>
          <w:color w:val="auto"/>
          <w:lang w:val="ro-RO"/>
        </w:rPr>
      </w:pPr>
      <w:r w:rsidRPr="00DE616C">
        <w:rPr>
          <w:rFonts w:asciiTheme="majorHAnsi" w:hAnsiTheme="majorHAnsi" w:cstheme="majorHAnsi"/>
          <w:color w:val="auto"/>
          <w:lang w:val="ro-RO"/>
        </w:rPr>
        <w:t>O descriere suplimentară a responsabilităților auditorului într-un audit al rapoartelor financiare este plasată pe site-ul Curții de Conturi, la adresa</w:t>
      </w:r>
      <w:r w:rsidRPr="00DE616C">
        <w:rPr>
          <w:rFonts w:asciiTheme="majorHAnsi" w:hAnsiTheme="majorHAnsi" w:cstheme="majorHAnsi"/>
          <w:i/>
          <w:color w:val="auto"/>
          <w:lang w:val="ro-RO"/>
        </w:rPr>
        <w:t xml:space="preserve">: </w:t>
      </w:r>
      <w:hyperlink r:id="rId10" w:history="1">
        <w:r w:rsidRPr="00DE616C">
          <w:rPr>
            <w:rStyle w:val="a4"/>
            <w:rFonts w:asciiTheme="majorHAnsi" w:hAnsiTheme="majorHAnsi" w:cstheme="majorHAnsi"/>
            <w:i/>
            <w:lang w:val="ro-RO"/>
          </w:rPr>
          <w:t>http://www.ccrm.md/activitatea-curtii-de-conturi-1-25</w:t>
        </w:r>
      </w:hyperlink>
      <w:r w:rsidRPr="00DE616C">
        <w:rPr>
          <w:rFonts w:asciiTheme="majorHAnsi" w:hAnsiTheme="majorHAnsi" w:cstheme="majorHAnsi"/>
          <w:i/>
          <w:color w:val="auto"/>
          <w:lang w:val="ro-RO"/>
        </w:rPr>
        <w:t>.</w:t>
      </w:r>
      <w:r w:rsidRPr="00DE616C">
        <w:rPr>
          <w:rFonts w:asciiTheme="majorHAnsi" w:hAnsiTheme="majorHAnsi" w:cstheme="majorHAnsi"/>
          <w:color w:val="auto"/>
          <w:lang w:val="ro-RO"/>
        </w:rPr>
        <w:t xml:space="preserve"> Această descriere face parte din Raportul nostru de audit.</w:t>
      </w: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70"/>
      </w:tblGrid>
      <w:tr w:rsidR="00E827BA" w:rsidRPr="00DE616C" w:rsidTr="006B0646">
        <w:trPr>
          <w:trHeight w:val="878"/>
        </w:trPr>
        <w:tc>
          <w:tcPr>
            <w:tcW w:w="6948" w:type="dxa"/>
          </w:tcPr>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p>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r w:rsidRPr="00DE616C">
              <w:rPr>
                <w:rFonts w:asciiTheme="majorHAnsi" w:eastAsia="Times New Roman" w:hAnsiTheme="majorHAnsi" w:cstheme="majorHAnsi"/>
                <w:b/>
                <w:i/>
                <w:sz w:val="24"/>
                <w:szCs w:val="24"/>
                <w:lang w:val="ro-RO"/>
              </w:rPr>
              <w:t>Responsabili de întocmirea Raportului de audit:</w:t>
            </w:r>
          </w:p>
          <w:p w:rsidR="00E827BA" w:rsidRPr="00DE616C" w:rsidRDefault="00E827BA" w:rsidP="006B0646">
            <w:pPr>
              <w:spacing w:line="276" w:lineRule="auto"/>
              <w:rPr>
                <w:rFonts w:asciiTheme="majorHAnsi" w:eastAsia="Times New Roman" w:hAnsiTheme="majorHAnsi" w:cstheme="majorHAnsi"/>
                <w:sz w:val="24"/>
                <w:szCs w:val="24"/>
                <w:lang w:val="ro-RO"/>
              </w:rPr>
            </w:pPr>
            <w:r w:rsidRPr="00DE616C">
              <w:rPr>
                <w:rFonts w:asciiTheme="majorHAnsi" w:eastAsia="Times New Roman" w:hAnsiTheme="majorHAnsi" w:cstheme="majorHAnsi"/>
                <w:sz w:val="24"/>
                <w:szCs w:val="24"/>
                <w:lang w:val="ro-RO"/>
              </w:rPr>
              <w:t xml:space="preserve">șefa echipei de audit, șefa </w:t>
            </w:r>
            <w:r>
              <w:rPr>
                <w:rFonts w:asciiTheme="majorHAnsi" w:eastAsia="Times New Roman" w:hAnsiTheme="majorHAnsi" w:cstheme="majorHAnsi"/>
                <w:sz w:val="24"/>
                <w:szCs w:val="24"/>
                <w:lang w:val="ro-RO"/>
              </w:rPr>
              <w:t>D</w:t>
            </w:r>
            <w:r w:rsidRPr="00DE616C">
              <w:rPr>
                <w:rFonts w:asciiTheme="majorHAnsi" w:eastAsia="Times New Roman" w:hAnsiTheme="majorHAnsi" w:cstheme="majorHAnsi"/>
                <w:sz w:val="24"/>
                <w:szCs w:val="24"/>
                <w:lang w:val="ro-RO"/>
              </w:rPr>
              <w:t>irecției audit I</w:t>
            </w:r>
          </w:p>
          <w:p w:rsidR="00E827BA" w:rsidRPr="00DE616C" w:rsidRDefault="00E827BA" w:rsidP="006B0646">
            <w:pPr>
              <w:spacing w:line="276" w:lineRule="auto"/>
              <w:rPr>
                <w:rFonts w:asciiTheme="majorHAnsi" w:hAnsiTheme="majorHAnsi" w:cstheme="majorHAnsi"/>
                <w:lang w:val="ro-RO"/>
              </w:rPr>
            </w:pPr>
            <w:r w:rsidRPr="00DE616C">
              <w:rPr>
                <w:rFonts w:asciiTheme="majorHAnsi" w:eastAsia="Times New Roman" w:hAnsiTheme="majorHAnsi" w:cstheme="majorHAnsi"/>
                <w:sz w:val="24"/>
                <w:szCs w:val="24"/>
                <w:lang w:val="ro-RO"/>
              </w:rPr>
              <w:t xml:space="preserve">în cadrul </w:t>
            </w:r>
            <w:r w:rsidRPr="00DE616C">
              <w:rPr>
                <w:rFonts w:asciiTheme="majorHAnsi" w:hAnsiTheme="majorHAnsi" w:cstheme="majorHAnsi"/>
                <w:sz w:val="24"/>
                <w:szCs w:val="24"/>
                <w:lang w:val="ro-RO"/>
              </w:rPr>
              <w:t>Direcției generale de audit III</w:t>
            </w:r>
            <w:r w:rsidRPr="00DE616C">
              <w:rPr>
                <w:rFonts w:asciiTheme="majorHAnsi" w:hAnsiTheme="majorHAnsi" w:cstheme="majorHAnsi"/>
                <w:lang w:val="ro-RO"/>
              </w:rPr>
              <w:t xml:space="preserve">   </w:t>
            </w:r>
            <w:r w:rsidRPr="00DE616C">
              <w:rPr>
                <w:rFonts w:asciiTheme="majorHAnsi" w:hAnsiTheme="majorHAnsi" w:cstheme="majorHAnsi"/>
                <w:b/>
                <w:sz w:val="24"/>
                <w:szCs w:val="24"/>
                <w:lang w:val="ro-RO"/>
              </w:rPr>
              <w:t xml:space="preserve">                                               </w:t>
            </w:r>
          </w:p>
        </w:tc>
        <w:tc>
          <w:tcPr>
            <w:tcW w:w="2670" w:type="dxa"/>
          </w:tcPr>
          <w:p w:rsidR="00E827BA" w:rsidRPr="00DE616C" w:rsidRDefault="00E827BA" w:rsidP="006B0646">
            <w:pPr>
              <w:pStyle w:val="Default"/>
              <w:spacing w:line="276" w:lineRule="auto"/>
              <w:jc w:val="right"/>
              <w:rPr>
                <w:rFonts w:asciiTheme="majorHAnsi" w:hAnsiTheme="majorHAnsi" w:cstheme="majorHAnsi"/>
                <w:b/>
                <w:lang w:val="ro-RO"/>
              </w:rPr>
            </w:pPr>
          </w:p>
          <w:p w:rsidR="00E827BA" w:rsidRPr="00DE616C" w:rsidRDefault="00E827BA" w:rsidP="006B0646">
            <w:pPr>
              <w:pStyle w:val="Default"/>
              <w:spacing w:line="276" w:lineRule="auto"/>
              <w:jc w:val="right"/>
              <w:rPr>
                <w:rFonts w:asciiTheme="majorHAnsi" w:hAnsiTheme="majorHAnsi" w:cstheme="majorHAnsi"/>
                <w:b/>
                <w:lang w:val="ro-RO"/>
              </w:rPr>
            </w:pPr>
            <w:r w:rsidRPr="00DE616C">
              <w:rPr>
                <w:rFonts w:asciiTheme="majorHAnsi" w:hAnsiTheme="majorHAnsi" w:cstheme="majorHAnsi"/>
                <w:b/>
                <w:lang w:val="ro-RO"/>
              </w:rPr>
              <w:t>Verdeș Viorica</w:t>
            </w:r>
          </w:p>
          <w:p w:rsidR="00E827BA" w:rsidRPr="00DE616C" w:rsidRDefault="00E827BA" w:rsidP="006B0646">
            <w:pPr>
              <w:pStyle w:val="Default"/>
              <w:spacing w:line="276" w:lineRule="auto"/>
              <w:jc w:val="right"/>
              <w:rPr>
                <w:rFonts w:asciiTheme="majorHAnsi" w:hAnsiTheme="majorHAnsi" w:cstheme="majorHAnsi"/>
                <w:color w:val="auto"/>
                <w:lang w:val="ro-RO"/>
              </w:rPr>
            </w:pPr>
          </w:p>
        </w:tc>
      </w:tr>
      <w:tr w:rsidR="00E827BA" w:rsidRPr="00DE616C" w:rsidTr="006B0646">
        <w:trPr>
          <w:trHeight w:val="781"/>
        </w:trPr>
        <w:tc>
          <w:tcPr>
            <w:tcW w:w="6948" w:type="dxa"/>
          </w:tcPr>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p>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p>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r w:rsidRPr="00DE616C">
              <w:rPr>
                <w:rFonts w:asciiTheme="majorHAnsi" w:eastAsia="Times New Roman" w:hAnsiTheme="majorHAnsi" w:cstheme="majorHAnsi"/>
                <w:b/>
                <w:i/>
                <w:sz w:val="24"/>
                <w:szCs w:val="24"/>
                <w:lang w:val="ro-RO"/>
              </w:rPr>
              <w:t>Membrii echipei de audit:</w:t>
            </w:r>
          </w:p>
          <w:p w:rsidR="00E827BA" w:rsidRPr="00DE616C" w:rsidRDefault="00E827BA" w:rsidP="006B0646">
            <w:pPr>
              <w:spacing w:line="276" w:lineRule="auto"/>
              <w:jc w:val="both"/>
              <w:rPr>
                <w:rFonts w:asciiTheme="majorHAnsi" w:hAnsiTheme="majorHAnsi" w:cstheme="majorHAnsi"/>
                <w:lang w:val="ro-RO"/>
              </w:rPr>
            </w:pPr>
            <w:r w:rsidRPr="00DE616C">
              <w:rPr>
                <w:rFonts w:asciiTheme="majorHAnsi" w:eastAsia="Times New Roman" w:hAnsiTheme="majorHAnsi" w:cstheme="majorHAnsi"/>
                <w:sz w:val="24"/>
                <w:szCs w:val="24"/>
                <w:lang w:val="ro-RO"/>
              </w:rPr>
              <w:t>auditor public</w:t>
            </w:r>
            <w:r w:rsidRPr="00DE616C">
              <w:rPr>
                <w:rFonts w:asciiTheme="majorHAnsi" w:hAnsiTheme="majorHAnsi" w:cstheme="majorHAnsi"/>
                <w:b/>
                <w:sz w:val="24"/>
                <w:szCs w:val="24"/>
                <w:lang w:val="ro-RO"/>
              </w:rPr>
              <w:t xml:space="preserve"> </w:t>
            </w:r>
            <w:r w:rsidRPr="00DE616C">
              <w:rPr>
                <w:rFonts w:asciiTheme="majorHAnsi" w:hAnsiTheme="majorHAnsi" w:cstheme="majorHAnsi"/>
                <w:sz w:val="24"/>
                <w:szCs w:val="24"/>
                <w:lang w:val="ro-RO"/>
              </w:rPr>
              <w:t>principal</w:t>
            </w:r>
            <w:r w:rsidRPr="00DE616C">
              <w:rPr>
                <w:rFonts w:asciiTheme="majorHAnsi" w:hAnsiTheme="majorHAnsi" w:cstheme="majorHAnsi"/>
                <w:b/>
                <w:sz w:val="24"/>
                <w:szCs w:val="24"/>
                <w:lang w:val="ro-RO"/>
              </w:rPr>
              <w:t xml:space="preserve">                                                                                          </w:t>
            </w:r>
          </w:p>
        </w:tc>
        <w:tc>
          <w:tcPr>
            <w:tcW w:w="2670" w:type="dxa"/>
          </w:tcPr>
          <w:p w:rsidR="00E827BA" w:rsidRPr="00DE616C" w:rsidRDefault="00E827BA"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ind w:right="120"/>
              <w:jc w:val="right"/>
              <w:rPr>
                <w:rFonts w:asciiTheme="majorHAnsi" w:hAnsiTheme="majorHAnsi" w:cstheme="majorHAnsi"/>
                <w:b/>
                <w:sz w:val="24"/>
                <w:szCs w:val="24"/>
                <w:lang w:val="ro-RO"/>
              </w:rPr>
            </w:pPr>
          </w:p>
          <w:p w:rsidR="00E827BA" w:rsidRPr="00DE616C" w:rsidRDefault="00E827BA" w:rsidP="006B0646">
            <w:pPr>
              <w:spacing w:line="276" w:lineRule="auto"/>
              <w:ind w:right="120"/>
              <w:jc w:val="right"/>
              <w:rPr>
                <w:rFonts w:asciiTheme="majorHAnsi" w:hAnsiTheme="majorHAnsi" w:cstheme="majorHAnsi"/>
                <w:lang w:val="ro-RO"/>
              </w:rPr>
            </w:pPr>
            <w:r w:rsidRPr="00DE616C">
              <w:rPr>
                <w:rFonts w:asciiTheme="majorHAnsi" w:hAnsiTheme="majorHAnsi" w:cstheme="majorHAnsi"/>
                <w:b/>
                <w:sz w:val="24"/>
                <w:szCs w:val="24"/>
                <w:lang w:val="ro-RO"/>
              </w:rPr>
              <w:t>Veaceslav Damian</w:t>
            </w:r>
          </w:p>
        </w:tc>
      </w:tr>
      <w:tr w:rsidR="00E827BA" w:rsidRPr="00DE616C" w:rsidTr="006B0646">
        <w:trPr>
          <w:trHeight w:val="678"/>
        </w:trPr>
        <w:tc>
          <w:tcPr>
            <w:tcW w:w="6948" w:type="dxa"/>
          </w:tcPr>
          <w:p w:rsidR="00E827BA" w:rsidRPr="00DE616C" w:rsidRDefault="00E827BA" w:rsidP="006B0646">
            <w:pPr>
              <w:pStyle w:val="Default"/>
              <w:spacing w:line="276" w:lineRule="auto"/>
              <w:rPr>
                <w:rFonts w:asciiTheme="majorHAnsi" w:eastAsia="Times New Roman" w:hAnsiTheme="majorHAnsi" w:cstheme="majorHAnsi"/>
                <w:lang w:val="ro-RO"/>
              </w:rPr>
            </w:pPr>
          </w:p>
          <w:p w:rsidR="00E827BA" w:rsidRPr="00DE616C" w:rsidRDefault="00E827BA" w:rsidP="006B0646">
            <w:pPr>
              <w:pStyle w:val="Default"/>
              <w:spacing w:line="276" w:lineRule="auto"/>
              <w:rPr>
                <w:rFonts w:asciiTheme="majorHAnsi" w:hAnsiTheme="majorHAnsi" w:cstheme="majorHAnsi"/>
                <w:color w:val="auto"/>
                <w:lang w:val="ro-RO"/>
              </w:rPr>
            </w:pPr>
            <w:r w:rsidRPr="00DE616C">
              <w:rPr>
                <w:rFonts w:asciiTheme="majorHAnsi" w:eastAsia="Times New Roman" w:hAnsiTheme="majorHAnsi" w:cstheme="majorHAnsi"/>
                <w:lang w:val="ro-RO"/>
              </w:rPr>
              <w:t>auditoare publică</w:t>
            </w:r>
            <w:r w:rsidRPr="00DE616C">
              <w:rPr>
                <w:rFonts w:asciiTheme="majorHAnsi" w:eastAsia="Times New Roman" w:hAnsiTheme="majorHAnsi" w:cstheme="majorHAnsi"/>
                <w:b/>
                <w:lang w:val="ro-RO"/>
              </w:rPr>
              <w:t xml:space="preserve"> </w:t>
            </w:r>
            <w:r w:rsidRPr="00DE616C">
              <w:rPr>
                <w:rFonts w:asciiTheme="majorHAnsi" w:eastAsia="Times New Roman" w:hAnsiTheme="majorHAnsi" w:cstheme="majorHAnsi"/>
                <w:lang w:val="ro-RO"/>
              </w:rPr>
              <w:t>superioară</w:t>
            </w:r>
          </w:p>
        </w:tc>
        <w:tc>
          <w:tcPr>
            <w:tcW w:w="2670" w:type="dxa"/>
          </w:tcPr>
          <w:p w:rsidR="00E827BA" w:rsidRDefault="00E827BA" w:rsidP="006B0646">
            <w:pPr>
              <w:spacing w:line="276" w:lineRule="auto"/>
              <w:jc w:val="right"/>
              <w:rPr>
                <w:rFonts w:asciiTheme="majorHAnsi" w:hAnsiTheme="majorHAnsi" w:cstheme="majorHAnsi"/>
                <w:b/>
                <w:sz w:val="24"/>
                <w:szCs w:val="24"/>
                <w:lang w:val="ro-RO"/>
              </w:rPr>
            </w:pPr>
          </w:p>
          <w:p w:rsidR="00A74BFB" w:rsidRPr="00DE616C" w:rsidRDefault="00A74BFB"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r w:rsidRPr="00DE616C">
              <w:rPr>
                <w:rFonts w:asciiTheme="majorHAnsi" w:hAnsiTheme="majorHAnsi" w:cstheme="majorHAnsi"/>
                <w:b/>
                <w:sz w:val="24"/>
                <w:szCs w:val="24"/>
                <w:lang w:val="ro-RO"/>
              </w:rPr>
              <w:t xml:space="preserve">Felicia Sîrbu </w:t>
            </w:r>
          </w:p>
          <w:p w:rsidR="00E827BA" w:rsidRPr="00DE616C" w:rsidRDefault="00E827BA" w:rsidP="006B0646">
            <w:pPr>
              <w:spacing w:line="276" w:lineRule="auto"/>
              <w:jc w:val="right"/>
              <w:rPr>
                <w:rFonts w:asciiTheme="majorHAnsi" w:hAnsiTheme="majorHAnsi" w:cstheme="majorHAnsi"/>
                <w:b/>
                <w:sz w:val="24"/>
                <w:szCs w:val="24"/>
                <w:lang w:val="ro-RO"/>
              </w:rPr>
            </w:pPr>
          </w:p>
        </w:tc>
      </w:tr>
      <w:tr w:rsidR="00E827BA" w:rsidRPr="00DE616C" w:rsidTr="006B0646">
        <w:trPr>
          <w:trHeight w:val="52"/>
        </w:trPr>
        <w:tc>
          <w:tcPr>
            <w:tcW w:w="6948" w:type="dxa"/>
          </w:tcPr>
          <w:p w:rsidR="00E827BA" w:rsidRPr="00DE616C" w:rsidRDefault="00E827BA" w:rsidP="006B0646">
            <w:pPr>
              <w:pStyle w:val="Default"/>
              <w:spacing w:line="276" w:lineRule="auto"/>
              <w:rPr>
                <w:rFonts w:asciiTheme="majorHAnsi" w:hAnsiTheme="majorHAnsi" w:cstheme="majorHAnsi"/>
                <w:lang w:val="ro-RO"/>
              </w:rPr>
            </w:pPr>
          </w:p>
          <w:p w:rsidR="00E827BA" w:rsidRPr="00DE616C" w:rsidRDefault="00E827BA" w:rsidP="006B0646">
            <w:pPr>
              <w:pStyle w:val="Default"/>
              <w:spacing w:line="276" w:lineRule="auto"/>
              <w:rPr>
                <w:rFonts w:asciiTheme="majorHAnsi" w:eastAsia="Times New Roman" w:hAnsiTheme="majorHAnsi" w:cstheme="majorHAnsi"/>
                <w:lang w:val="ro-RO"/>
              </w:rPr>
            </w:pPr>
            <w:r w:rsidRPr="00DE616C">
              <w:rPr>
                <w:rFonts w:asciiTheme="majorHAnsi" w:hAnsiTheme="majorHAnsi" w:cstheme="majorHAnsi"/>
                <w:lang w:val="ro-RO"/>
              </w:rPr>
              <w:t xml:space="preserve">auditor public superior                                                                                                         </w:t>
            </w:r>
          </w:p>
        </w:tc>
        <w:tc>
          <w:tcPr>
            <w:tcW w:w="2670" w:type="dxa"/>
          </w:tcPr>
          <w:p w:rsidR="00E827BA" w:rsidRDefault="00E827BA" w:rsidP="006B0646">
            <w:pPr>
              <w:spacing w:line="276" w:lineRule="auto"/>
              <w:jc w:val="right"/>
              <w:rPr>
                <w:rFonts w:asciiTheme="majorHAnsi" w:hAnsiTheme="majorHAnsi" w:cstheme="majorHAnsi"/>
                <w:b/>
                <w:sz w:val="24"/>
                <w:szCs w:val="24"/>
                <w:lang w:val="ro-RO"/>
              </w:rPr>
            </w:pPr>
          </w:p>
          <w:p w:rsidR="00A74BFB" w:rsidRPr="00DE616C" w:rsidRDefault="00A74BFB"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r w:rsidRPr="00DE616C">
              <w:rPr>
                <w:rFonts w:asciiTheme="majorHAnsi" w:hAnsiTheme="majorHAnsi" w:cstheme="majorHAnsi"/>
                <w:b/>
                <w:sz w:val="24"/>
                <w:szCs w:val="24"/>
                <w:lang w:val="ro-RO"/>
              </w:rPr>
              <w:t>Valentin Budeci</w:t>
            </w:r>
          </w:p>
        </w:tc>
      </w:tr>
      <w:tr w:rsidR="00E827BA" w:rsidRPr="00DE616C" w:rsidTr="006B0646">
        <w:trPr>
          <w:trHeight w:val="52"/>
        </w:trPr>
        <w:tc>
          <w:tcPr>
            <w:tcW w:w="6948" w:type="dxa"/>
          </w:tcPr>
          <w:p w:rsidR="00E827BA" w:rsidRPr="00DE616C" w:rsidRDefault="00E827BA" w:rsidP="006B0646">
            <w:pPr>
              <w:pStyle w:val="Default"/>
              <w:spacing w:line="276" w:lineRule="auto"/>
              <w:rPr>
                <w:rFonts w:asciiTheme="majorHAnsi" w:hAnsiTheme="majorHAnsi" w:cstheme="majorHAnsi"/>
                <w:lang w:val="ro-RO"/>
              </w:rPr>
            </w:pPr>
          </w:p>
          <w:p w:rsidR="00E827BA" w:rsidRPr="00DE616C" w:rsidRDefault="00E827BA" w:rsidP="006B0646">
            <w:pPr>
              <w:pStyle w:val="Default"/>
              <w:spacing w:line="276" w:lineRule="auto"/>
              <w:rPr>
                <w:rFonts w:asciiTheme="majorHAnsi" w:hAnsiTheme="majorHAnsi" w:cstheme="majorHAnsi"/>
                <w:lang w:val="ro-RO"/>
              </w:rPr>
            </w:pPr>
          </w:p>
          <w:p w:rsidR="00E827BA" w:rsidRPr="00DE616C" w:rsidRDefault="00E827BA" w:rsidP="006B0646">
            <w:pPr>
              <w:pStyle w:val="Default"/>
              <w:spacing w:line="276" w:lineRule="auto"/>
              <w:rPr>
                <w:rFonts w:asciiTheme="majorHAnsi" w:eastAsia="Times New Roman" w:hAnsiTheme="majorHAnsi" w:cstheme="majorHAnsi"/>
                <w:lang w:val="ro-RO"/>
              </w:rPr>
            </w:pPr>
            <w:r w:rsidRPr="00DE616C">
              <w:rPr>
                <w:rFonts w:asciiTheme="majorHAnsi" w:hAnsiTheme="majorHAnsi" w:cstheme="majorHAnsi"/>
                <w:lang w:val="ro-RO"/>
              </w:rPr>
              <w:t xml:space="preserve">auditor public superior                                                                                                         </w:t>
            </w:r>
          </w:p>
        </w:tc>
        <w:tc>
          <w:tcPr>
            <w:tcW w:w="2670" w:type="dxa"/>
          </w:tcPr>
          <w:p w:rsidR="00E827BA" w:rsidRPr="00DE616C" w:rsidRDefault="00E827BA" w:rsidP="006B0646">
            <w:pPr>
              <w:spacing w:line="276" w:lineRule="auto"/>
              <w:jc w:val="center"/>
              <w:rPr>
                <w:rFonts w:asciiTheme="majorHAnsi" w:hAnsiTheme="majorHAnsi" w:cstheme="majorHAnsi"/>
                <w:b/>
                <w:sz w:val="24"/>
                <w:szCs w:val="24"/>
                <w:lang w:val="ro-RO"/>
              </w:rPr>
            </w:pPr>
          </w:p>
          <w:p w:rsidR="00E827BA" w:rsidRDefault="00E827BA" w:rsidP="006B0646">
            <w:pPr>
              <w:spacing w:line="276" w:lineRule="auto"/>
              <w:jc w:val="center"/>
              <w:rPr>
                <w:rFonts w:asciiTheme="majorHAnsi" w:hAnsiTheme="majorHAnsi" w:cstheme="majorHAnsi"/>
                <w:b/>
                <w:sz w:val="24"/>
                <w:szCs w:val="24"/>
                <w:lang w:val="ro-RO"/>
              </w:rPr>
            </w:pPr>
          </w:p>
          <w:p w:rsidR="00A74BFB" w:rsidRPr="00DE616C" w:rsidRDefault="00A74BFB" w:rsidP="006B0646">
            <w:pPr>
              <w:spacing w:line="276" w:lineRule="auto"/>
              <w:jc w:val="center"/>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r w:rsidRPr="00DE616C">
              <w:rPr>
                <w:rFonts w:asciiTheme="majorHAnsi" w:hAnsiTheme="majorHAnsi" w:cstheme="majorHAnsi"/>
                <w:b/>
                <w:sz w:val="24"/>
                <w:szCs w:val="24"/>
                <w:lang w:val="ro-RO"/>
              </w:rPr>
              <w:t>Eugen Popa</w:t>
            </w:r>
          </w:p>
        </w:tc>
      </w:tr>
      <w:tr w:rsidR="00E827BA" w:rsidRPr="00DE616C" w:rsidTr="006B0646">
        <w:trPr>
          <w:trHeight w:val="727"/>
        </w:trPr>
        <w:tc>
          <w:tcPr>
            <w:tcW w:w="6948" w:type="dxa"/>
          </w:tcPr>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p>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p>
          <w:p w:rsidR="00E827BA" w:rsidRPr="00DE616C" w:rsidRDefault="00E827BA" w:rsidP="006B0646">
            <w:pPr>
              <w:spacing w:line="276" w:lineRule="auto"/>
              <w:jc w:val="both"/>
              <w:rPr>
                <w:rFonts w:asciiTheme="majorHAnsi" w:eastAsia="Times New Roman" w:hAnsiTheme="majorHAnsi" w:cstheme="majorHAnsi"/>
                <w:b/>
                <w:i/>
                <w:sz w:val="24"/>
                <w:szCs w:val="24"/>
                <w:lang w:val="ro-RO"/>
              </w:rPr>
            </w:pPr>
            <w:r w:rsidRPr="00DE616C">
              <w:rPr>
                <w:rFonts w:asciiTheme="majorHAnsi" w:eastAsia="Times New Roman" w:hAnsiTheme="majorHAnsi" w:cstheme="majorHAnsi"/>
                <w:b/>
                <w:i/>
                <w:sz w:val="24"/>
                <w:szCs w:val="24"/>
                <w:lang w:val="ro-RO"/>
              </w:rPr>
              <w:t>Responsabilă de audit:</w:t>
            </w:r>
          </w:p>
          <w:p w:rsidR="00E827BA" w:rsidRPr="00DE616C" w:rsidRDefault="00E827BA" w:rsidP="006B0646">
            <w:pPr>
              <w:pStyle w:val="Default"/>
              <w:spacing w:line="276" w:lineRule="auto"/>
              <w:jc w:val="both"/>
              <w:rPr>
                <w:rFonts w:asciiTheme="majorHAnsi" w:hAnsiTheme="majorHAnsi" w:cstheme="majorHAnsi"/>
                <w:color w:val="auto"/>
                <w:lang w:val="ro-RO"/>
              </w:rPr>
            </w:pPr>
            <w:r w:rsidRPr="00DE616C">
              <w:rPr>
                <w:rFonts w:asciiTheme="majorHAnsi" w:hAnsiTheme="majorHAnsi" w:cstheme="majorHAnsi"/>
                <w:lang w:val="ro-RO"/>
              </w:rPr>
              <w:t xml:space="preserve">șefa Direcției generale de audit III   </w:t>
            </w:r>
          </w:p>
        </w:tc>
        <w:tc>
          <w:tcPr>
            <w:tcW w:w="2670" w:type="dxa"/>
          </w:tcPr>
          <w:p w:rsidR="00E827BA" w:rsidRDefault="00E827BA" w:rsidP="006B0646">
            <w:pPr>
              <w:spacing w:line="276" w:lineRule="auto"/>
              <w:jc w:val="right"/>
              <w:rPr>
                <w:rFonts w:asciiTheme="majorHAnsi" w:hAnsiTheme="majorHAnsi" w:cstheme="majorHAnsi"/>
                <w:b/>
                <w:sz w:val="24"/>
                <w:szCs w:val="24"/>
                <w:lang w:val="ro-RO"/>
              </w:rPr>
            </w:pPr>
          </w:p>
          <w:p w:rsidR="00A74BFB" w:rsidRPr="00DE616C" w:rsidRDefault="00A74BFB"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b/>
                <w:sz w:val="24"/>
                <w:szCs w:val="24"/>
                <w:lang w:val="ro-RO"/>
              </w:rPr>
            </w:pPr>
          </w:p>
          <w:p w:rsidR="00E827BA" w:rsidRPr="00DE616C" w:rsidRDefault="00E827BA" w:rsidP="006B0646">
            <w:pPr>
              <w:spacing w:line="276" w:lineRule="auto"/>
              <w:jc w:val="right"/>
              <w:rPr>
                <w:rFonts w:asciiTheme="majorHAnsi" w:hAnsiTheme="majorHAnsi" w:cstheme="majorHAnsi"/>
                <w:lang w:val="ro-RO"/>
              </w:rPr>
            </w:pPr>
            <w:r w:rsidRPr="00DE616C">
              <w:rPr>
                <w:rFonts w:asciiTheme="majorHAnsi" w:hAnsiTheme="majorHAnsi" w:cstheme="majorHAnsi"/>
                <w:b/>
                <w:sz w:val="24"/>
                <w:szCs w:val="24"/>
                <w:lang w:val="ro-RO"/>
              </w:rPr>
              <w:t>Svetlana Purici</w:t>
            </w:r>
          </w:p>
        </w:tc>
      </w:tr>
    </w:tbl>
    <w:p w:rsidR="00E827BA" w:rsidRPr="00DE616C" w:rsidRDefault="00E827BA" w:rsidP="00E827BA">
      <w:pPr>
        <w:rPr>
          <w:lang w:val="ro-RO"/>
        </w:rPr>
      </w:pPr>
    </w:p>
    <w:p w:rsidR="00E827BA" w:rsidRPr="00DE616C" w:rsidRDefault="00E827BA" w:rsidP="00E827BA">
      <w:pPr>
        <w:rPr>
          <w:lang w:val="ro-RO"/>
        </w:rPr>
      </w:pPr>
    </w:p>
    <w:p w:rsidR="00E827BA" w:rsidRPr="00DE616C" w:rsidRDefault="00E827BA" w:rsidP="00E827BA">
      <w:pPr>
        <w:rPr>
          <w:lang w:val="ro-RO"/>
        </w:rPr>
      </w:pPr>
      <w:r w:rsidRPr="00DE616C">
        <w:rPr>
          <w:lang w:val="ro-RO"/>
        </w:rPr>
        <w:br w:type="page"/>
      </w:r>
    </w:p>
    <w:p w:rsidR="00E827BA" w:rsidRPr="00DE616C" w:rsidRDefault="00E827BA" w:rsidP="00E827BA">
      <w:pPr>
        <w:rPr>
          <w:lang w:val="ro-RO"/>
        </w:rPr>
      </w:pPr>
    </w:p>
    <w:p w:rsidR="00E827BA" w:rsidRPr="00E827BA" w:rsidRDefault="00E827BA" w:rsidP="00E827BA">
      <w:pPr>
        <w:spacing w:line="276" w:lineRule="auto"/>
        <w:jc w:val="right"/>
        <w:rPr>
          <w:rFonts w:asciiTheme="majorHAnsi" w:eastAsia="Times New Roman" w:hAnsiTheme="majorHAnsi" w:cstheme="majorHAnsi"/>
          <w:b/>
          <w:bCs/>
          <w:sz w:val="24"/>
          <w:szCs w:val="24"/>
          <w:lang w:val="ro-RO"/>
        </w:rPr>
      </w:pPr>
      <w:bookmarkStart w:id="11" w:name="_Toc106833692"/>
      <w:r w:rsidRPr="00E827BA">
        <w:rPr>
          <w:rFonts w:asciiTheme="majorHAnsi" w:eastAsia="Times New Roman" w:hAnsiTheme="majorHAnsi" w:cstheme="majorHAnsi"/>
          <w:b/>
          <w:bCs/>
          <w:sz w:val="24"/>
          <w:szCs w:val="24"/>
          <w:lang w:val="ro-RO"/>
        </w:rPr>
        <w:t xml:space="preserve">Anexa nr. 1 </w:t>
      </w:r>
    </w:p>
    <w:p w:rsidR="00E827BA" w:rsidRPr="00E827BA" w:rsidRDefault="00E827BA" w:rsidP="00E827BA">
      <w:pPr>
        <w:spacing w:line="240"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t xml:space="preserve">la Raportul de audit </w:t>
      </w:r>
    </w:p>
    <w:p w:rsidR="00E827BA" w:rsidRPr="00E827BA" w:rsidRDefault="00E827BA" w:rsidP="00E827BA">
      <w:pPr>
        <w:spacing w:line="240"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t xml:space="preserve">aprobat prin Hotărârea Curții de Conturi </w:t>
      </w:r>
    </w:p>
    <w:p w:rsidR="00E827BA" w:rsidRPr="00E827BA" w:rsidRDefault="00E827BA" w:rsidP="00E827BA">
      <w:pPr>
        <w:spacing w:line="240"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t xml:space="preserve"> nr. 30 din 28 iunie 2022</w:t>
      </w:r>
    </w:p>
    <w:p w:rsidR="00E827BA" w:rsidRPr="00E827BA" w:rsidRDefault="00E827BA" w:rsidP="00E827BA">
      <w:pPr>
        <w:tabs>
          <w:tab w:val="left" w:pos="284"/>
          <w:tab w:val="left" w:pos="426"/>
        </w:tabs>
        <w:spacing w:before="100" w:beforeAutospacing="1" w:after="0" w:line="240" w:lineRule="auto"/>
        <w:ind w:left="720"/>
        <w:jc w:val="center"/>
        <w:outlineLvl w:val="1"/>
        <w:rPr>
          <w:rFonts w:asciiTheme="majorHAnsi" w:hAnsiTheme="majorHAnsi" w:cstheme="majorHAnsi"/>
          <w:b/>
          <w:sz w:val="24"/>
          <w:szCs w:val="24"/>
          <w:lang w:val="ro-RO"/>
        </w:rPr>
      </w:pPr>
      <w:bookmarkStart w:id="12" w:name="_Toc106833717"/>
      <w:bookmarkEnd w:id="11"/>
      <w:r w:rsidRPr="00E827BA">
        <w:rPr>
          <w:rFonts w:asciiTheme="majorHAnsi" w:hAnsiTheme="majorHAnsi" w:cstheme="majorHAnsi"/>
          <w:b/>
          <w:sz w:val="24"/>
          <w:szCs w:val="24"/>
          <w:lang w:val="ro-RO"/>
        </w:rPr>
        <w:t>CHELTUIELI PENTRU PROIECTELE DE CERCETARE</w:t>
      </w:r>
      <w:bookmarkEnd w:id="12"/>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În anul 2021 cheltuielile pentru știință au constituit 19,65 mil.lei, din care 18,04 mil.lei – la clasa 2 „Cheltuieli”, și 1,02 mil.lei – la clasa 3 „Active nefinanciare”.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Proiectele au început în anul 2020, iar valoarea pentru anii 2020-2021 cumulativ a constituit 37,5 mil.lei.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 menționat că, pe parcursul mai multor ani, toate cheltuielile aferente proiectelor de cercetare nu au fost supuse capitalizării, fiind casate/închise la rezultatul anului de gestiune.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Această situație se datorează faptului că, deși Ministerul Finanțelor a emis în anul 2020 o circulară</w:t>
      </w:r>
      <w:r w:rsidRPr="00F40961">
        <w:rPr>
          <w:rStyle w:val="a9"/>
          <w:rFonts w:asciiTheme="majorHAnsi" w:hAnsiTheme="majorHAnsi" w:cstheme="majorHAnsi"/>
          <w:sz w:val="24"/>
          <w:szCs w:val="24"/>
          <w:lang w:val="ro-RO"/>
        </w:rPr>
        <w:footnoteReference w:id="27"/>
      </w:r>
      <w:r w:rsidRPr="00F40961">
        <w:rPr>
          <w:rFonts w:asciiTheme="majorHAnsi" w:hAnsiTheme="majorHAnsi" w:cstheme="majorHAnsi"/>
          <w:sz w:val="24"/>
          <w:szCs w:val="24"/>
          <w:lang w:val="ro-RO"/>
        </w:rPr>
        <w:t xml:space="preserve"> conform căreia cheltuielile aferente proiectelor științifice se contabilizează la contul 319 „Investiţii capitale în active în curs de execuţie”, aceasta nu a fost repartizată tuturor APC, fiind adresată doar Ministerului Educației, Culturii și Cercetării.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abordarea ca toate costurile aferente proiectului științific se planifică și se efectuează prin  contul 319 „Investiţii capitale în active în curs de execuţie”, este una greșită, deoarece în cadrul unor PI științifice au fost procurate mijloace fixe, durata de utilizare a acestora depășind durata proiectului, care este de regulă de 4 ani.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Astfel, capitalizării vor fi supuse nu toate costurile efectuate în cadrul proiectului.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Pentru a clarifica situația creată și a stabili reguli clare privind  costurile proiectelor științifice care sunt supuse capitalizării, este necesar ca Ministerul Finanțelor să elaboreze un mecanism de capitalizare a costurilor aferente proiectelor științifice, cu integrarea descrierii lui în Ordinul nr. 216/2015.</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este necesar de specificat cum vor fi contabilizate rezultatele științifice pentru care va fi obținută o patentă și cum vor fi contabilizate rezultatele fără patentă.</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beneficiarii alocațiilor primite pentru realizarea proiectelor științifice urmează să restabilească în evidența lor contabilă costurile efectuate în anii precedenți, pentru a asigura capitalizarea regulamentară și verificarea costurilor real suportate în cadrul proiectului științific finalizat.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Astfel, este evidentă necesitatea urgentă și stringentă de elaborare a unui mecanism în acest sens. </w:t>
      </w:r>
    </w:p>
    <w:p w:rsidR="00E827BA" w:rsidRPr="00F40961" w:rsidRDefault="00E827BA" w:rsidP="00E827BA">
      <w:pPr>
        <w:tabs>
          <w:tab w:val="left" w:pos="810"/>
          <w:tab w:val="left" w:pos="1701"/>
        </w:tabs>
        <w:spacing w:after="120"/>
        <w:jc w:val="both"/>
        <w:rPr>
          <w:rFonts w:asciiTheme="majorHAnsi" w:hAnsiTheme="majorHAnsi" w:cstheme="majorHAnsi"/>
          <w:sz w:val="24"/>
          <w:szCs w:val="24"/>
          <w:lang w:val="ro-RO"/>
        </w:rPr>
      </w:pPr>
    </w:p>
    <w:p w:rsidR="00E827BA" w:rsidRPr="00E827BA" w:rsidRDefault="00E827BA" w:rsidP="00E827BA">
      <w:pPr>
        <w:tabs>
          <w:tab w:val="left" w:pos="810"/>
          <w:tab w:val="left" w:pos="1701"/>
        </w:tabs>
        <w:spacing w:after="0"/>
        <w:ind w:firstLine="709"/>
        <w:jc w:val="right"/>
        <w:rPr>
          <w:rFonts w:asciiTheme="majorHAnsi" w:hAnsiTheme="majorHAnsi" w:cstheme="majorHAnsi"/>
          <w:sz w:val="24"/>
          <w:szCs w:val="24"/>
          <w:highlight w:val="yellow"/>
          <w:lang w:val="ro-RO"/>
        </w:rPr>
      </w:pPr>
    </w:p>
    <w:p w:rsidR="00E827BA" w:rsidRPr="00E827BA" w:rsidRDefault="00E827BA" w:rsidP="00E827BA">
      <w:pPr>
        <w:tabs>
          <w:tab w:val="left" w:pos="810"/>
          <w:tab w:val="left" w:pos="1701"/>
        </w:tabs>
        <w:spacing w:after="0"/>
        <w:ind w:firstLine="709"/>
        <w:jc w:val="right"/>
        <w:rPr>
          <w:rFonts w:asciiTheme="majorHAnsi" w:hAnsiTheme="majorHAnsi" w:cstheme="majorHAnsi"/>
          <w:sz w:val="24"/>
          <w:szCs w:val="24"/>
          <w:highlight w:val="yellow"/>
          <w:lang w:val="ro-RO"/>
        </w:rPr>
      </w:pPr>
    </w:p>
    <w:p w:rsidR="00E827BA" w:rsidRPr="00E827BA" w:rsidRDefault="00E827BA" w:rsidP="00E827BA">
      <w:pPr>
        <w:tabs>
          <w:tab w:val="left" w:pos="810"/>
          <w:tab w:val="left" w:pos="1701"/>
        </w:tabs>
        <w:spacing w:after="0"/>
        <w:ind w:firstLine="709"/>
        <w:jc w:val="right"/>
        <w:rPr>
          <w:rFonts w:asciiTheme="majorHAnsi" w:hAnsiTheme="majorHAnsi" w:cstheme="majorHAnsi"/>
          <w:sz w:val="24"/>
          <w:szCs w:val="24"/>
          <w:highlight w:val="yellow"/>
          <w:lang w:val="ro-RO"/>
        </w:rPr>
      </w:pPr>
    </w:p>
    <w:p w:rsidR="00E827BA" w:rsidRPr="00E827BA" w:rsidRDefault="00E827BA" w:rsidP="00E827BA">
      <w:pPr>
        <w:spacing w:after="0" w:line="276" w:lineRule="auto"/>
        <w:jc w:val="right"/>
        <w:rPr>
          <w:rFonts w:asciiTheme="majorHAnsi" w:eastAsia="Times New Roman" w:hAnsiTheme="majorHAnsi" w:cstheme="majorHAnsi"/>
          <w:b/>
          <w:bCs/>
          <w:sz w:val="24"/>
          <w:szCs w:val="24"/>
          <w:lang w:val="ro-RO"/>
        </w:rPr>
      </w:pPr>
      <w:r w:rsidRPr="00E827BA">
        <w:rPr>
          <w:rFonts w:asciiTheme="majorHAnsi" w:eastAsia="Times New Roman" w:hAnsiTheme="majorHAnsi" w:cstheme="majorHAnsi"/>
          <w:b/>
          <w:bCs/>
          <w:sz w:val="24"/>
          <w:szCs w:val="24"/>
          <w:lang w:val="ro-RO"/>
        </w:rPr>
        <w:t>Anexa nr. 2</w:t>
      </w:r>
    </w:p>
    <w:p w:rsidR="00E827BA" w:rsidRPr="00E827BA" w:rsidRDefault="00E827BA" w:rsidP="00E827BA">
      <w:pPr>
        <w:spacing w:after="0" w:line="276"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lastRenderedPageBreak/>
        <w:t xml:space="preserve">la Raportul de audit </w:t>
      </w:r>
    </w:p>
    <w:p w:rsidR="00E827BA" w:rsidRPr="00E827BA" w:rsidRDefault="00E827BA" w:rsidP="00E827BA">
      <w:pPr>
        <w:spacing w:after="0" w:line="276"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t xml:space="preserve">aprobat prin Hotărârea Curții de Conturi </w:t>
      </w:r>
    </w:p>
    <w:p w:rsidR="00E827BA" w:rsidRPr="00E827BA" w:rsidRDefault="00E827BA" w:rsidP="00E827BA">
      <w:pPr>
        <w:spacing w:after="0" w:line="276" w:lineRule="auto"/>
        <w:jc w:val="right"/>
        <w:rPr>
          <w:rFonts w:asciiTheme="majorHAnsi" w:eastAsia="Times New Roman" w:hAnsiTheme="majorHAnsi" w:cstheme="majorHAnsi"/>
          <w:bCs/>
          <w:sz w:val="24"/>
          <w:szCs w:val="24"/>
          <w:lang w:val="ro-RO"/>
        </w:rPr>
      </w:pPr>
      <w:r w:rsidRPr="00E827BA">
        <w:rPr>
          <w:rFonts w:asciiTheme="majorHAnsi" w:eastAsia="Times New Roman" w:hAnsiTheme="majorHAnsi" w:cstheme="majorHAnsi"/>
          <w:bCs/>
          <w:sz w:val="24"/>
          <w:szCs w:val="24"/>
          <w:lang w:val="ro-RO"/>
        </w:rPr>
        <w:t xml:space="preserve"> nr. 30 din 28 iunie 2022</w:t>
      </w:r>
    </w:p>
    <w:p w:rsidR="00E827BA" w:rsidRPr="00E827BA" w:rsidRDefault="00E827BA" w:rsidP="00E827BA">
      <w:pPr>
        <w:tabs>
          <w:tab w:val="left" w:pos="810"/>
          <w:tab w:val="left" w:pos="1701"/>
        </w:tabs>
        <w:spacing w:after="0"/>
        <w:ind w:firstLine="709"/>
        <w:jc w:val="both"/>
        <w:rPr>
          <w:highlight w:val="yellow"/>
          <w:lang w:val="ro-RO"/>
        </w:rPr>
      </w:pPr>
    </w:p>
    <w:p w:rsidR="00E827BA" w:rsidRPr="00F40961" w:rsidRDefault="00E827BA" w:rsidP="00E827BA">
      <w:pPr>
        <w:tabs>
          <w:tab w:val="left" w:pos="284"/>
          <w:tab w:val="left" w:pos="426"/>
        </w:tabs>
        <w:spacing w:after="0" w:line="240" w:lineRule="auto"/>
        <w:jc w:val="center"/>
        <w:outlineLvl w:val="1"/>
        <w:rPr>
          <w:rFonts w:asciiTheme="majorHAnsi" w:hAnsiTheme="majorHAnsi" w:cstheme="majorHAnsi"/>
          <w:b/>
          <w:sz w:val="24"/>
          <w:szCs w:val="24"/>
          <w:lang w:val="ro-RO"/>
        </w:rPr>
      </w:pPr>
      <w:bookmarkStart w:id="13" w:name="_Toc106833719"/>
      <w:r w:rsidRPr="00F40961">
        <w:rPr>
          <w:rFonts w:asciiTheme="majorHAnsi" w:hAnsiTheme="majorHAnsi" w:cstheme="majorHAnsi"/>
          <w:b/>
          <w:sz w:val="24"/>
          <w:szCs w:val="24"/>
          <w:lang w:val="ro-RO"/>
        </w:rPr>
        <w:t>DEFICIENȚE LA TRANSMITEREA TERENURILOR CĂTRE APP</w:t>
      </w:r>
      <w:bookmarkEnd w:id="13"/>
    </w:p>
    <w:p w:rsidR="00E827BA" w:rsidRPr="00F40961" w:rsidRDefault="00E827BA" w:rsidP="00E827BA">
      <w:pPr>
        <w:tabs>
          <w:tab w:val="left" w:pos="810"/>
          <w:tab w:val="left" w:pos="1701"/>
        </w:tabs>
        <w:spacing w:after="0"/>
        <w:ind w:firstLine="709"/>
        <w:jc w:val="both"/>
        <w:rPr>
          <w:rFonts w:asciiTheme="majorHAnsi" w:hAnsiTheme="majorHAnsi" w:cstheme="majorHAnsi"/>
          <w:sz w:val="24"/>
          <w:szCs w:val="24"/>
          <w:lang w:val="ro-RO"/>
        </w:rPr>
      </w:pP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Evidențiem deficiențele la transmiterea terenurilor de la autoritățile publice centrale   către Agenția Proprietății Publice. </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w:t>
      </w:r>
      <w:r w:rsidRPr="00F40961">
        <w:rPr>
          <w:rFonts w:asciiTheme="majorHAnsi" w:hAnsiTheme="majorHAnsi" w:cstheme="majorHAnsi"/>
          <w:sz w:val="24"/>
          <w:szCs w:val="24"/>
          <w:lang w:val="ro-RO"/>
        </w:rPr>
        <w:t xml:space="preserve"> Ca urmare a faptului că HG nr.161/2019</w:t>
      </w:r>
      <w:r w:rsidRPr="00F40961">
        <w:rPr>
          <w:rStyle w:val="a9"/>
          <w:rFonts w:asciiTheme="majorHAnsi" w:hAnsiTheme="majorHAnsi" w:cstheme="majorHAnsi"/>
          <w:sz w:val="24"/>
          <w:szCs w:val="24"/>
          <w:lang w:val="ro-RO"/>
        </w:rPr>
        <w:footnoteReference w:id="28"/>
      </w:r>
      <w:r w:rsidRPr="00F40961">
        <w:rPr>
          <w:rFonts w:asciiTheme="majorHAnsi" w:hAnsiTheme="majorHAnsi" w:cstheme="majorHAnsi"/>
          <w:sz w:val="24"/>
          <w:szCs w:val="24"/>
          <w:lang w:val="ro-RO"/>
        </w:rPr>
        <w:t xml:space="preserve"> nu prevede modul de transmitere a terenurilor administrate de APC, nefiind făcută trimitere la HG nr.901/2015</w:t>
      </w:r>
      <w:r w:rsidRPr="00F40961">
        <w:rPr>
          <w:rStyle w:val="a9"/>
          <w:rFonts w:asciiTheme="majorHAnsi" w:hAnsiTheme="majorHAnsi" w:cstheme="majorHAnsi"/>
          <w:sz w:val="24"/>
          <w:szCs w:val="24"/>
          <w:lang w:val="ro-RO"/>
        </w:rPr>
        <w:footnoteReference w:id="29"/>
      </w:r>
      <w:r w:rsidRPr="00F40961">
        <w:rPr>
          <w:rFonts w:asciiTheme="majorHAnsi" w:hAnsiTheme="majorHAnsi" w:cstheme="majorHAnsi"/>
          <w:sz w:val="24"/>
          <w:szCs w:val="24"/>
          <w:lang w:val="ro-RO"/>
        </w:rPr>
        <w:t>, ci doar stipulează</w:t>
      </w:r>
      <w:r w:rsidRPr="00F40961">
        <w:rPr>
          <w:rStyle w:val="a9"/>
          <w:rFonts w:asciiTheme="majorHAnsi" w:hAnsiTheme="majorHAnsi" w:cstheme="majorHAnsi"/>
          <w:sz w:val="24"/>
          <w:szCs w:val="24"/>
          <w:lang w:val="ro-RO"/>
        </w:rPr>
        <w:footnoteReference w:id="30"/>
      </w:r>
      <w:r w:rsidRPr="00F40961">
        <w:rPr>
          <w:rFonts w:asciiTheme="majorHAnsi" w:hAnsiTheme="majorHAnsi" w:cstheme="majorHAnsi"/>
          <w:sz w:val="24"/>
          <w:szCs w:val="24"/>
          <w:lang w:val="ro-RO"/>
        </w:rPr>
        <w:t xml:space="preserve"> că Agenția Servicii Publice va înregistra, la cerere, terenurile proprietate publică a statului specificate în pct.1 și pct.2 și terenurile proprietate publică a statului aferente bunurilor imobile proprietate publică a statului specificate în pct. 3, reforma respectivă nu a fost realizată.</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Așadar, în prezent se atestă abordări neuniforme și neregulamentare privitor la transmiterea terenurilor. O parte din terenuri, deși nu au fost transmise, nefiind întocmite actele de primire-predare, conform înscrisurilor din Registrul bunurilor imobile, deja aparțin APP. În aceste condiții, în lipsa actului de primire-predare, nici partea care transmite (APC), nici partea care primește (APP) nu au temei pentru reflectarea intrărilor/ieșirilor de active, ceea ce condiționează, pe de o parte, supraevaluarea activelor gestionate de APC, deoarece terenurile aparțin, conform înscrisurilor din RBI, persoanelor terțe (APP), iar pe de altă parte, nu a fost întocmit actul de primire-predare între părți, care ar servi ca document primar pentru contabilizarea regulamentară a intrărilor de către APP.</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deși înscrisurile în RBI au fost modificate de mai mult timp, abia în luna septembrie 2020 APP a înaintat către APC demersuri privind crearea comisiilor de primire-predare, dar până în prezent transmiterea terenurilor nu a avut loc.</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se atestă situații când unele entități</w:t>
      </w:r>
      <w:r w:rsidRPr="00F40961">
        <w:rPr>
          <w:rStyle w:val="a9"/>
          <w:rFonts w:asciiTheme="majorHAnsi" w:hAnsiTheme="majorHAnsi" w:cstheme="majorHAnsi"/>
          <w:sz w:val="24"/>
          <w:szCs w:val="24"/>
          <w:lang w:val="ro-RO"/>
        </w:rPr>
        <w:footnoteReference w:id="31"/>
      </w:r>
      <w:r w:rsidRPr="00F40961">
        <w:rPr>
          <w:rFonts w:asciiTheme="majorHAnsi" w:hAnsiTheme="majorHAnsi" w:cstheme="majorHAnsi"/>
          <w:sz w:val="24"/>
          <w:szCs w:val="24"/>
          <w:lang w:val="ro-RO"/>
        </w:rPr>
        <w:t xml:space="preserve"> subordonate Ministerului Agriculturii, Dezvoltării Regionale și Mediului</w:t>
      </w:r>
      <w:r w:rsidRPr="00F40961" w:rsidDel="00B54D26">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 deși nu au întocmit actele de primire-predare pentru 9 loturi de teren</w:t>
      </w:r>
      <w:r w:rsidRPr="00F40961">
        <w:rPr>
          <w:rStyle w:val="a9"/>
          <w:rFonts w:asciiTheme="majorHAnsi" w:hAnsiTheme="majorHAnsi" w:cstheme="majorHAnsi"/>
          <w:sz w:val="24"/>
          <w:szCs w:val="24"/>
          <w:lang w:val="ro-RO"/>
        </w:rPr>
        <w:footnoteReference w:id="32"/>
      </w:r>
      <w:r w:rsidRPr="00F40961">
        <w:rPr>
          <w:rFonts w:asciiTheme="majorHAnsi" w:hAnsiTheme="majorHAnsi" w:cstheme="majorHAnsi"/>
          <w:sz w:val="24"/>
          <w:szCs w:val="24"/>
          <w:lang w:val="ro-RO"/>
        </w:rPr>
        <w:t xml:space="preserve">, au încheiat cu APP contracte de dare în comodat a terenurilor. Nici în contractul de comodat, nici în actul de primire în comodat nu este indicată valoarea terenurilor, ci doar destinația lui, numărul cadastral și suprafața. De menționat că în evidența contabilă a entității terenurile respective sunt contabilizate la valoarea lor contabilizată până la încheierea contractului de comodat, care constituie 57,13 mil.lei. </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(ii)</w:t>
      </w:r>
      <w:r w:rsidRPr="00F40961">
        <w:rPr>
          <w:rFonts w:asciiTheme="majorHAnsi" w:hAnsiTheme="majorHAnsi" w:cstheme="majorHAnsi"/>
          <w:sz w:val="24"/>
          <w:szCs w:val="24"/>
          <w:lang w:val="ro-RO"/>
        </w:rPr>
        <w:t xml:space="preserve"> De asemenea, atenționam că, deși Planul de conturi include conturi distincte pentru transmitere în gestiune a bunurilor (4153 „Investiții în părți legate și nelegate”), acesta nu are poziții distincte pentru bunurile primite în gestiune.</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lastRenderedPageBreak/>
        <w:t>În aceste condiții, în evidența contabilă a entității terenurile primite în comodat sunt înregistrate la prețul la care acestea au fost contabilizate anterior (57,13 mil.lei).</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în scopul executării prevederilor HG nr.161/2019, APP a emis un ordin</w:t>
      </w:r>
      <w:r w:rsidRPr="00F40961">
        <w:rPr>
          <w:rStyle w:val="a9"/>
          <w:rFonts w:asciiTheme="majorHAnsi" w:hAnsiTheme="majorHAnsi" w:cstheme="majorHAnsi"/>
          <w:sz w:val="24"/>
          <w:szCs w:val="24"/>
          <w:lang w:val="ro-RO"/>
        </w:rPr>
        <w:footnoteReference w:id="33"/>
      </w:r>
      <w:r w:rsidRPr="00F40961">
        <w:rPr>
          <w:rFonts w:asciiTheme="majorHAnsi" w:hAnsiTheme="majorHAnsi" w:cstheme="majorHAnsi"/>
          <w:sz w:val="24"/>
          <w:szCs w:val="24"/>
          <w:lang w:val="ro-RO"/>
        </w:rPr>
        <w:t xml:space="preserve"> conform căruia a fost instituit un grup de lucru (5 persoane). Conform acestui ordin, Direcția financiară din cadrul APP urmează să înregistreze în evidența contabilă terenurile proprietate publică administrate de APP conform extraselor din RBI și borderoului de calcul al prețului normativ al terenului. Astfel, entitățile care transmit terenurile vor exclude din evidența contabilă terenurile la prețul lor contabilizat, iar APP le va contabiliza ca intrate la prețul normativ.</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Atenționăm că actualul Plan de conturi nu face distincție între bunurile care aparțin entității cu titlu de proprietate și cele care sunt primite în gestiune, utilizare sau comodat, proprietari reali ai bunurilor fiind persoane terțe. În acest sens, este necesar ca Ministerul Finanțelor să completeze Planul de conturi cu conturi noi distincte, aferente bunurilor primite în gestiune.</w:t>
      </w:r>
    </w:p>
    <w:p w:rsidR="00E827BA" w:rsidRPr="00F40961" w:rsidRDefault="00E827BA" w:rsidP="00E827BA">
      <w:pPr>
        <w:spacing w:after="120" w:line="276" w:lineRule="auto"/>
        <w:jc w:val="both"/>
        <w:rPr>
          <w:rFonts w:asciiTheme="majorHAnsi" w:hAnsiTheme="majorHAnsi" w:cstheme="majorHAnsi"/>
          <w:bCs/>
          <w:color w:val="000000"/>
          <w:sz w:val="24"/>
          <w:szCs w:val="24"/>
          <w:lang w:val="ro-RO"/>
        </w:rPr>
      </w:pPr>
      <w:r w:rsidRPr="00F40961">
        <w:rPr>
          <w:rFonts w:asciiTheme="majorHAnsi" w:hAnsiTheme="majorHAnsi" w:cstheme="majorHAnsi"/>
          <w:b/>
          <w:sz w:val="24"/>
          <w:szCs w:val="24"/>
          <w:lang w:val="ro-RO"/>
        </w:rPr>
        <w:t>(iii)</w:t>
      </w:r>
      <w:r w:rsidRPr="00F40961">
        <w:rPr>
          <w:rFonts w:asciiTheme="majorHAnsi" w:hAnsiTheme="majorHAnsi" w:cstheme="majorHAnsi"/>
          <w:sz w:val="24"/>
          <w:szCs w:val="24"/>
          <w:lang w:val="ro-RO"/>
        </w:rPr>
        <w:t xml:space="preserve"> Tot în acest context, menționăm că APP, în cadrul Programului </w:t>
      </w:r>
      <w:r w:rsidRPr="00F40961">
        <w:rPr>
          <w:rFonts w:asciiTheme="majorHAnsi" w:hAnsiTheme="majorHAnsi" w:cstheme="majorHAnsi"/>
          <w:bCs/>
          <w:color w:val="000000"/>
          <w:sz w:val="24"/>
          <w:szCs w:val="24"/>
          <w:lang w:val="ro-RO"/>
        </w:rPr>
        <w:t>de stat pentru delimitarea bunurilor imobile, inclusiv a terenurilor proprietate  publică, pentru anii 2019-2023, aprobat prin HG nr.80/2019, a evaluat terenurile la prețul lor de piață, dar va utiliza această informație doar în cazul dării în arendă a terenurilor, nu și în cazul vânzării/privatizării sau chiar contabilizării terenurilor la valoarea lor justă.</w:t>
      </w:r>
    </w:p>
    <w:p w:rsidR="00E827BA" w:rsidRPr="00F40961" w:rsidRDefault="00E827BA" w:rsidP="00E827BA">
      <w:pPr>
        <w:pStyle w:val="a5"/>
        <w:tabs>
          <w:tab w:val="left" w:pos="284"/>
        </w:tabs>
        <w:spacing w:after="120" w:line="276" w:lineRule="auto"/>
        <w:ind w:left="0"/>
        <w:jc w:val="both"/>
        <w:rPr>
          <w:rFonts w:asciiTheme="majorHAnsi" w:hAnsiTheme="majorHAnsi" w:cstheme="majorHAnsi"/>
          <w:bCs/>
          <w:color w:val="000000"/>
          <w:sz w:val="24"/>
          <w:szCs w:val="24"/>
          <w:lang w:val="ro-RO"/>
        </w:rPr>
      </w:pPr>
      <w:r w:rsidRPr="00F40961">
        <w:rPr>
          <w:rFonts w:asciiTheme="majorHAnsi" w:hAnsiTheme="majorHAnsi" w:cstheme="majorHAnsi"/>
          <w:bCs/>
          <w:color w:val="000000"/>
          <w:sz w:val="24"/>
          <w:szCs w:val="24"/>
          <w:lang w:val="ro-RO"/>
        </w:rPr>
        <w:tab/>
        <w:t>În aceste condiții, în cazul în care o entitate va dori să contabilizeze terenurile la valoarea lor justă (de piață), aceasta va contracta încă o dată un evaluator specializat și va utiliza banii publici în aceleași  scopuri în care statul, prin intermediul APP, deja a procurat servicii de evaluare și reevaluare a terenurilor. Astfel, se creează un eventual risc de risipă de bani publici prin contractarea serviciilor de evaluare/reevaluare a acelorași terenuri de către diferite structuri de stat sau valoarea terenurilor va fi permanent subevaluată, în cazul în care APP le va contabiliza la prețul normativ.</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Astfel, mecanismul de primire-predare instituit de APP este unul defectuos, care, ca efecte, duce la prezentarea eronată a situațiilor patrimoniale și a  valorii terenurilor. În aceste condiții nu este exclus faptul că terenurile al căror administrator, conform Anexelor la HG nr.161/2019, este APP vor fi excluse de către APC din evidența contabilă în mod unilateral, nefiind contabilizate de APP. Totodată, atenționăm că, la contabilizarea terenurilor de către APP, reieșind din prevederile ordinului emis de APP (prețul normativ), nu vor fi aplicare prevederile pct. 1.4.5.1. (evaluarea) și ale pct. 1.4.5.2. (reevaluarea) din Ordinul ministrului Finanțelor nr.216/2015.</w:t>
      </w:r>
    </w:p>
    <w:p w:rsidR="00E827BA" w:rsidRPr="00F40961" w:rsidRDefault="00E827BA" w:rsidP="00E827BA">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(iv)</w:t>
      </w:r>
      <w:r w:rsidRPr="00F40961">
        <w:rPr>
          <w:rFonts w:asciiTheme="majorHAnsi" w:hAnsiTheme="majorHAnsi" w:cstheme="majorHAnsi"/>
          <w:sz w:val="24"/>
          <w:szCs w:val="24"/>
          <w:lang w:val="ro-RO"/>
        </w:rPr>
        <w:t xml:space="preserve">  De menționat că contractele de comodat nu au fost prezentate contabilității APP pentru a servi ca temei pentru contabilizare în contul 415300 „Investiții în părți legate și nelegate”. Astfel, se atestă lipsa de comunicare pe interior în cadrul APP, între diferite structuri implicate în reforma administrării terenurilor proprietate publică a statului.</w:t>
      </w:r>
    </w:p>
    <w:p w:rsidR="00E827BA" w:rsidRPr="00F40961" w:rsidRDefault="00E827BA" w:rsidP="00E827BA">
      <w:pPr>
        <w:ind w:firstLine="709"/>
        <w:jc w:val="both"/>
        <w:rPr>
          <w:rFonts w:asciiTheme="majorHAnsi" w:hAnsiTheme="majorHAnsi" w:cstheme="majorHAnsi"/>
          <w:sz w:val="24"/>
          <w:szCs w:val="24"/>
          <w:lang w:val="ro-RO"/>
        </w:rPr>
      </w:pPr>
    </w:p>
    <w:p w:rsidR="00E74F96" w:rsidRPr="00E827BA" w:rsidRDefault="00E74F96" w:rsidP="00E827BA">
      <w:pPr>
        <w:tabs>
          <w:tab w:val="left" w:pos="284"/>
          <w:tab w:val="left" w:pos="426"/>
        </w:tabs>
        <w:spacing w:after="0" w:line="240" w:lineRule="auto"/>
        <w:jc w:val="center"/>
        <w:outlineLvl w:val="1"/>
        <w:rPr>
          <w:lang w:val="ro-RO"/>
        </w:rPr>
      </w:pPr>
    </w:p>
    <w:sectPr w:rsidR="00E74F96" w:rsidRPr="00E827BA" w:rsidSect="009F1BBC">
      <w:footerReference w:type="default" r:id="rId11"/>
      <w:headerReference w:type="first" r:id="rId12"/>
      <w:pgSz w:w="11906" w:h="16838" w:code="9"/>
      <w:pgMar w:top="851" w:right="1133"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0C" w:rsidRDefault="00B2460C" w:rsidP="00E827BA">
      <w:pPr>
        <w:spacing w:after="0" w:line="240" w:lineRule="auto"/>
      </w:pPr>
      <w:r>
        <w:separator/>
      </w:r>
    </w:p>
  </w:endnote>
  <w:endnote w:type="continuationSeparator" w:id="0">
    <w:p w:rsidR="00B2460C" w:rsidRDefault="00B2460C" w:rsidP="00E82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9295"/>
      <w:docPartObj>
        <w:docPartGallery w:val="Page Numbers (Bottom of Page)"/>
        <w:docPartUnique/>
      </w:docPartObj>
    </w:sdtPr>
    <w:sdtEndPr>
      <w:rPr>
        <w:rFonts w:asciiTheme="majorHAnsi" w:hAnsiTheme="majorHAnsi"/>
      </w:rPr>
    </w:sdtEndPr>
    <w:sdtContent>
      <w:p w:rsidR="006B0646" w:rsidRPr="000A27D8" w:rsidRDefault="008030D9">
        <w:pPr>
          <w:pStyle w:val="ac"/>
          <w:jc w:val="right"/>
          <w:rPr>
            <w:rFonts w:asciiTheme="majorHAnsi" w:hAnsiTheme="majorHAnsi"/>
          </w:rPr>
        </w:pPr>
        <w:r w:rsidRPr="000A27D8">
          <w:rPr>
            <w:rFonts w:asciiTheme="majorHAnsi" w:hAnsiTheme="majorHAnsi"/>
          </w:rPr>
          <w:fldChar w:fldCharType="begin"/>
        </w:r>
        <w:r w:rsidR="00F42BED" w:rsidRPr="000A27D8">
          <w:rPr>
            <w:rFonts w:asciiTheme="majorHAnsi" w:hAnsiTheme="majorHAnsi"/>
          </w:rPr>
          <w:instrText xml:space="preserve"> PAGE   \* MERGEFORMAT </w:instrText>
        </w:r>
        <w:r w:rsidRPr="000A27D8">
          <w:rPr>
            <w:rFonts w:asciiTheme="majorHAnsi" w:hAnsiTheme="majorHAnsi"/>
          </w:rPr>
          <w:fldChar w:fldCharType="separate"/>
        </w:r>
        <w:r w:rsidR="00B378C8">
          <w:rPr>
            <w:rFonts w:asciiTheme="majorHAnsi" w:hAnsiTheme="majorHAnsi"/>
            <w:noProof/>
          </w:rPr>
          <w:t>12</w:t>
        </w:r>
        <w:r w:rsidRPr="000A27D8">
          <w:rPr>
            <w:rFonts w:asciiTheme="majorHAnsi" w:hAnsiTheme="majorHAnsi"/>
            <w:noProof/>
          </w:rPr>
          <w:fldChar w:fldCharType="end"/>
        </w:r>
      </w:p>
    </w:sdtContent>
  </w:sdt>
  <w:p w:rsidR="006B0646" w:rsidRDefault="00B246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0C" w:rsidRDefault="00B2460C" w:rsidP="00E827BA">
      <w:pPr>
        <w:spacing w:after="0" w:line="240" w:lineRule="auto"/>
      </w:pPr>
      <w:r>
        <w:separator/>
      </w:r>
    </w:p>
  </w:footnote>
  <w:footnote w:type="continuationSeparator" w:id="0">
    <w:p w:rsidR="00B2460C" w:rsidRDefault="00B2460C" w:rsidP="00E827BA">
      <w:pPr>
        <w:spacing w:after="0" w:line="240" w:lineRule="auto"/>
      </w:pPr>
      <w:r>
        <w:continuationSeparator/>
      </w:r>
    </w:p>
  </w:footnote>
  <w:footnote w:id="1">
    <w:p w:rsidR="00E827BA" w:rsidRPr="00C609F7" w:rsidRDefault="00E827BA" w:rsidP="00E827BA">
      <w:pPr>
        <w:pStyle w:val="a7"/>
        <w:jc w:val="both"/>
        <w:rPr>
          <w:rFonts w:asciiTheme="majorHAnsi" w:hAnsiTheme="majorHAnsi" w:cstheme="majorHAnsi"/>
          <w:sz w:val="16"/>
          <w:szCs w:val="16"/>
          <w:lang w:val="ro-RO"/>
        </w:rPr>
      </w:pPr>
      <w:r w:rsidRPr="00C609F7">
        <w:rPr>
          <w:rStyle w:val="a9"/>
          <w:rFonts w:asciiTheme="majorHAnsi" w:hAnsiTheme="majorHAnsi" w:cstheme="majorHAnsi"/>
          <w:sz w:val="16"/>
          <w:szCs w:val="16"/>
          <w:lang w:val="ro-RO"/>
        </w:rPr>
        <w:footnoteRef/>
      </w:r>
      <w:r w:rsidRPr="00C609F7">
        <w:rPr>
          <w:rFonts w:asciiTheme="majorHAnsi" w:hAnsiTheme="majorHAnsi" w:cstheme="majorHAnsi"/>
          <w:sz w:val="16"/>
          <w:szCs w:val="16"/>
          <w:lang w:val="ro-RO"/>
        </w:rPr>
        <w:t xml:space="preserve"> Legea contabilității nr.</w:t>
      </w:r>
      <w:r w:rsidRPr="00C609F7">
        <w:rPr>
          <w:rFonts w:asciiTheme="majorHAnsi" w:eastAsia="Times New Roman" w:hAnsiTheme="majorHAnsi" w:cstheme="majorHAnsi"/>
          <w:sz w:val="16"/>
          <w:szCs w:val="16"/>
          <w:lang w:val="ro-RO"/>
        </w:rPr>
        <w:t>113-XVI din 27.04.2007;</w:t>
      </w:r>
      <w:r w:rsidRPr="00C609F7">
        <w:rPr>
          <w:rFonts w:asciiTheme="majorHAnsi" w:hAnsiTheme="majorHAnsi" w:cstheme="majorHAnsi"/>
          <w:sz w:val="16"/>
          <w:szCs w:val="16"/>
          <w:lang w:val="ro-RO"/>
        </w:rPr>
        <w:t xml:space="preserve"> </w:t>
      </w:r>
      <w:r w:rsidRPr="00C609F7">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C609F7">
        <w:rPr>
          <w:rFonts w:asciiTheme="majorHAnsi" w:eastAsia="Times New Roman" w:hAnsiTheme="majorHAnsi" w:cstheme="majorHAnsi"/>
          <w:sz w:val="16"/>
          <w:szCs w:val="16"/>
          <w:lang w:val="ro-RO"/>
        </w:rPr>
        <w:t xml:space="preserve">inanțelor nr.216 din 28.12.2015 (în continuare </w:t>
      </w:r>
      <w:r>
        <w:rPr>
          <w:rFonts w:asciiTheme="majorHAnsi" w:eastAsia="Times New Roman" w:hAnsiTheme="majorHAnsi" w:cstheme="majorHAnsi"/>
          <w:sz w:val="16"/>
          <w:szCs w:val="16"/>
          <w:lang w:val="ro-RO"/>
        </w:rPr>
        <w:t>–</w:t>
      </w:r>
      <w:r w:rsidRPr="00C609F7">
        <w:rPr>
          <w:rFonts w:asciiTheme="majorHAnsi" w:eastAsia="Times New Roman" w:hAnsiTheme="majorHAnsi" w:cstheme="majorHAnsi"/>
          <w:sz w:val="16"/>
          <w:szCs w:val="16"/>
          <w:lang w:val="ro-RO"/>
        </w:rPr>
        <w:t xml:space="preserve"> Ordinul ministrului </w:t>
      </w:r>
      <w:r>
        <w:rPr>
          <w:rFonts w:asciiTheme="majorHAnsi" w:eastAsia="Times New Roman" w:hAnsiTheme="majorHAnsi" w:cstheme="majorHAnsi"/>
          <w:sz w:val="16"/>
          <w:szCs w:val="16"/>
          <w:lang w:val="ro-RO"/>
        </w:rPr>
        <w:t>F</w:t>
      </w:r>
      <w:r w:rsidRPr="00C609F7">
        <w:rPr>
          <w:rFonts w:asciiTheme="majorHAnsi" w:eastAsia="Times New Roman" w:hAnsiTheme="majorHAnsi" w:cstheme="majorHAnsi"/>
          <w:sz w:val="16"/>
          <w:szCs w:val="16"/>
          <w:lang w:val="ro-RO"/>
        </w:rPr>
        <w:t>inanțelor nr.216 din 28.12.2015).</w:t>
      </w:r>
    </w:p>
  </w:footnote>
  <w:footnote w:id="2">
    <w:p w:rsidR="00E827BA" w:rsidRPr="00C609F7" w:rsidRDefault="00E827BA" w:rsidP="00E827BA">
      <w:pPr>
        <w:pStyle w:val="a7"/>
        <w:jc w:val="both"/>
        <w:rPr>
          <w:rFonts w:asciiTheme="majorHAnsi" w:hAnsiTheme="majorHAnsi" w:cstheme="majorHAnsi"/>
          <w:sz w:val="16"/>
          <w:szCs w:val="16"/>
          <w:lang w:val="ro-RO"/>
        </w:rPr>
      </w:pPr>
      <w:r w:rsidRPr="00C609F7">
        <w:rPr>
          <w:rStyle w:val="a9"/>
          <w:rFonts w:asciiTheme="majorHAnsi" w:hAnsiTheme="majorHAnsi" w:cstheme="majorHAnsi"/>
          <w:sz w:val="16"/>
          <w:szCs w:val="16"/>
          <w:lang w:val="ro-RO"/>
        </w:rPr>
        <w:footnoteRef/>
      </w:r>
      <w:r w:rsidRPr="00C609F7">
        <w:rPr>
          <w:rFonts w:asciiTheme="majorHAnsi" w:hAnsiTheme="majorHAnsi" w:cstheme="majorHAnsi"/>
          <w:sz w:val="16"/>
          <w:szCs w:val="16"/>
          <w:lang w:val="ro-RO"/>
        </w:rPr>
        <w:t xml:space="preserve"> Conform extrasului din Registrul de stat unificat al persoanelor juridice, antreprenorilor individuali și asociațiilor publice al Ucrainei, fondator a 2 întreprinderi de stat (Cariera Cernăuți și Cariera Pervomais</w:t>
      </w:r>
      <w:r>
        <w:rPr>
          <w:rFonts w:asciiTheme="majorHAnsi" w:hAnsiTheme="majorHAnsi" w:cstheme="majorHAnsi"/>
          <w:sz w:val="16"/>
          <w:szCs w:val="16"/>
          <w:lang w:val="ro-RO"/>
        </w:rPr>
        <w:t>k</w:t>
      </w:r>
      <w:r w:rsidRPr="00C609F7">
        <w:rPr>
          <w:rFonts w:asciiTheme="majorHAnsi" w:hAnsiTheme="majorHAnsi" w:cstheme="majorHAnsi"/>
          <w:sz w:val="16"/>
          <w:szCs w:val="16"/>
          <w:lang w:val="ro-RO"/>
        </w:rPr>
        <w:t>) a devenit Agenția Proprietății Publice.</w:t>
      </w:r>
    </w:p>
  </w:footnote>
  <w:footnote w:id="3">
    <w:p w:rsidR="00E827BA" w:rsidRPr="0005193F" w:rsidRDefault="00E827BA" w:rsidP="00E827BA">
      <w:pPr>
        <w:pStyle w:val="a7"/>
        <w:jc w:val="both"/>
        <w:rPr>
          <w:rFonts w:asciiTheme="majorHAnsi" w:hAnsiTheme="majorHAnsi"/>
          <w:sz w:val="16"/>
          <w:szCs w:val="16"/>
          <w:lang w:val="ro-RO"/>
        </w:rPr>
      </w:pPr>
      <w:r w:rsidRPr="00A22C70">
        <w:rPr>
          <w:rStyle w:val="a9"/>
          <w:rFonts w:asciiTheme="majorHAnsi" w:hAnsiTheme="majorHAnsi"/>
          <w:sz w:val="16"/>
          <w:szCs w:val="16"/>
          <w:lang w:val="ro-RO"/>
        </w:rPr>
        <w:footnoteRef/>
      </w:r>
      <w:r w:rsidRPr="00A22C70">
        <w:rPr>
          <w:rFonts w:asciiTheme="majorHAnsi" w:hAnsiTheme="majorHAnsi"/>
          <w:sz w:val="16"/>
          <w:szCs w:val="16"/>
          <w:lang w:val="ro-RO"/>
        </w:rPr>
        <w:t xml:space="preserve"> H</w:t>
      </w:r>
      <w:r>
        <w:rPr>
          <w:rFonts w:asciiTheme="majorHAnsi" w:hAnsiTheme="majorHAnsi"/>
          <w:sz w:val="16"/>
          <w:szCs w:val="16"/>
          <w:lang w:val="ro-RO"/>
        </w:rPr>
        <w:t xml:space="preserve">otărârea </w:t>
      </w:r>
      <w:r w:rsidRPr="00A22C70">
        <w:rPr>
          <w:rFonts w:asciiTheme="majorHAnsi" w:hAnsiTheme="majorHAnsi"/>
          <w:sz w:val="16"/>
          <w:szCs w:val="16"/>
          <w:lang w:val="ro-RO"/>
        </w:rPr>
        <w:t>G</w:t>
      </w:r>
      <w:r>
        <w:rPr>
          <w:rFonts w:asciiTheme="majorHAnsi" w:hAnsiTheme="majorHAnsi"/>
          <w:sz w:val="16"/>
          <w:szCs w:val="16"/>
          <w:lang w:val="ro-RO"/>
        </w:rPr>
        <w:t>uvernului</w:t>
      </w:r>
      <w:r w:rsidRPr="00A22C70">
        <w:rPr>
          <w:rFonts w:asciiTheme="majorHAnsi" w:hAnsiTheme="majorHAnsi"/>
          <w:sz w:val="16"/>
          <w:szCs w:val="16"/>
          <w:lang w:val="ro-RO"/>
        </w:rPr>
        <w:t xml:space="preserve"> </w:t>
      </w:r>
      <w:r>
        <w:rPr>
          <w:rFonts w:asciiTheme="majorHAnsi" w:hAnsiTheme="majorHAnsi"/>
          <w:sz w:val="16"/>
          <w:szCs w:val="16"/>
          <w:lang w:val="ro-RO"/>
        </w:rPr>
        <w:t>nr.1077/2016 „Cu privire la instituțiile de învățământ profesional tehnic”. Trecerea</w:t>
      </w:r>
      <w:r w:rsidRPr="00A22C70">
        <w:rPr>
          <w:rFonts w:asciiTheme="majorHAnsi" w:hAnsiTheme="majorHAnsi"/>
          <w:sz w:val="16"/>
          <w:szCs w:val="16"/>
          <w:lang w:val="ro-RO"/>
        </w:rPr>
        <w:t xml:space="preserve"> </w:t>
      </w:r>
      <w:r>
        <w:rPr>
          <w:rFonts w:asciiTheme="majorHAnsi" w:hAnsiTheme="majorHAnsi"/>
          <w:sz w:val="16"/>
          <w:szCs w:val="16"/>
          <w:lang w:val="ro-RO"/>
        </w:rPr>
        <w:t xml:space="preserve">colegiilor la autogestiune </w:t>
      </w:r>
      <w:r w:rsidRPr="00A22C70">
        <w:rPr>
          <w:rFonts w:asciiTheme="majorHAnsi" w:hAnsiTheme="majorHAnsi"/>
          <w:sz w:val="16"/>
          <w:szCs w:val="16"/>
          <w:lang w:val="ro-RO"/>
        </w:rPr>
        <w:t>a avut loc în anul 2020.</w:t>
      </w:r>
    </w:p>
  </w:footnote>
  <w:footnote w:id="4">
    <w:p w:rsidR="00E827BA" w:rsidRPr="00934A04" w:rsidRDefault="00E827BA" w:rsidP="00E827BA">
      <w:pPr>
        <w:pStyle w:val="a7"/>
        <w:jc w:val="both"/>
        <w:rPr>
          <w:rFonts w:asciiTheme="majorHAnsi" w:hAnsiTheme="majorHAnsi"/>
          <w:sz w:val="16"/>
          <w:szCs w:val="16"/>
          <w:lang w:val="ro-RO"/>
        </w:rPr>
      </w:pPr>
      <w:r w:rsidRPr="00934A04">
        <w:rPr>
          <w:rStyle w:val="a9"/>
          <w:rFonts w:asciiTheme="majorHAnsi" w:hAnsiTheme="majorHAnsi"/>
          <w:sz w:val="16"/>
          <w:szCs w:val="16"/>
          <w:lang w:val="ro-RO"/>
        </w:rPr>
        <w:footnoteRef/>
      </w:r>
      <w:r w:rsidRPr="00934A04">
        <w:rPr>
          <w:rFonts w:asciiTheme="majorHAnsi" w:hAnsiTheme="majorHAnsi"/>
          <w:sz w:val="16"/>
          <w:szCs w:val="16"/>
          <w:lang w:val="ro-RO"/>
        </w:rPr>
        <w:t xml:space="preserve"> Calculul: 247,5 mil.lei – 25,7 mil.lei</w:t>
      </w:r>
      <w:r>
        <w:rPr>
          <w:rFonts w:asciiTheme="majorHAnsi" w:hAnsiTheme="majorHAnsi"/>
          <w:sz w:val="16"/>
          <w:szCs w:val="16"/>
          <w:lang w:val="ro-RO"/>
        </w:rPr>
        <w:t xml:space="preserve"> – </w:t>
      </w:r>
      <w:r w:rsidRPr="00934A04">
        <w:rPr>
          <w:rFonts w:asciiTheme="majorHAnsi" w:hAnsiTheme="majorHAnsi"/>
          <w:sz w:val="16"/>
          <w:szCs w:val="16"/>
          <w:lang w:val="ro-RO"/>
        </w:rPr>
        <w:t>20,5 mil.lei = 201,3 mil.lei.</w:t>
      </w:r>
    </w:p>
  </w:footnote>
  <w:footnote w:id="5">
    <w:p w:rsidR="00E827BA" w:rsidRPr="00934A04" w:rsidRDefault="00E827BA" w:rsidP="00E827BA">
      <w:pPr>
        <w:pStyle w:val="a7"/>
        <w:jc w:val="both"/>
        <w:rPr>
          <w:rFonts w:asciiTheme="majorHAnsi" w:hAnsiTheme="majorHAnsi" w:cstheme="majorHAnsi"/>
          <w:sz w:val="16"/>
          <w:szCs w:val="16"/>
          <w:lang w:val="ro-RO"/>
        </w:rPr>
      </w:pPr>
      <w:r w:rsidRPr="00934A04">
        <w:rPr>
          <w:rStyle w:val="a9"/>
          <w:rFonts w:asciiTheme="majorHAnsi" w:hAnsiTheme="majorHAnsi" w:cstheme="majorHAnsi"/>
          <w:sz w:val="16"/>
          <w:szCs w:val="16"/>
          <w:lang w:val="ro-RO"/>
        </w:rPr>
        <w:footnoteRef/>
      </w:r>
      <w:r w:rsidRPr="00934A04">
        <w:rPr>
          <w:rFonts w:asciiTheme="majorHAnsi" w:hAnsiTheme="majorHAnsi" w:cstheme="majorHAnsi"/>
          <w:sz w:val="16"/>
          <w:szCs w:val="16"/>
          <w:lang w:val="ro-RO"/>
        </w:rPr>
        <w:t xml:space="preserve"> Legea nr.29/2018 privind delimitarea proprietății publice</w:t>
      </w:r>
      <w:r>
        <w:rPr>
          <w:rFonts w:asciiTheme="majorHAnsi" w:hAnsiTheme="majorHAnsi" w:cstheme="majorHAnsi"/>
          <w:sz w:val="16"/>
          <w:szCs w:val="16"/>
          <w:lang w:val="ro-RO"/>
        </w:rPr>
        <w:t>.</w:t>
      </w:r>
    </w:p>
  </w:footnote>
  <w:footnote w:id="6">
    <w:p w:rsidR="00E827BA" w:rsidRPr="00934A04" w:rsidRDefault="00E827BA" w:rsidP="00E827BA">
      <w:pPr>
        <w:pStyle w:val="a7"/>
        <w:jc w:val="both"/>
        <w:rPr>
          <w:rFonts w:asciiTheme="majorHAnsi" w:hAnsiTheme="majorHAnsi" w:cstheme="majorHAnsi"/>
          <w:sz w:val="16"/>
          <w:szCs w:val="16"/>
          <w:lang w:val="ro-RO"/>
        </w:rPr>
      </w:pPr>
      <w:r w:rsidRPr="00934A04">
        <w:rPr>
          <w:rStyle w:val="a9"/>
          <w:rFonts w:asciiTheme="majorHAnsi" w:hAnsiTheme="majorHAnsi" w:cstheme="majorHAnsi"/>
          <w:sz w:val="16"/>
          <w:szCs w:val="16"/>
          <w:lang w:val="ro-RO"/>
        </w:rPr>
        <w:footnoteRef/>
      </w:r>
      <w:r w:rsidRPr="00934A04">
        <w:rPr>
          <w:rFonts w:asciiTheme="majorHAnsi" w:hAnsiTheme="majorHAnsi" w:cstheme="majorHAnsi"/>
          <w:sz w:val="16"/>
          <w:szCs w:val="16"/>
          <w:lang w:val="ro-RO"/>
        </w:rPr>
        <w:t xml:space="preserve"> Legea nr.246/2017 cu privire la întreprinderea de stat și întreprinderea municipală (în continuare – Legea nr. 246/2017).</w:t>
      </w:r>
    </w:p>
  </w:footnote>
  <w:footnote w:id="7">
    <w:p w:rsidR="00E827BA" w:rsidRPr="00934A04" w:rsidRDefault="00E827BA" w:rsidP="00E827BA">
      <w:pPr>
        <w:pStyle w:val="a7"/>
        <w:jc w:val="both"/>
        <w:rPr>
          <w:rFonts w:asciiTheme="majorHAnsi" w:hAnsiTheme="majorHAnsi" w:cstheme="majorHAnsi"/>
          <w:sz w:val="16"/>
          <w:szCs w:val="16"/>
          <w:lang w:val="ro-RO"/>
        </w:rPr>
      </w:pPr>
      <w:r w:rsidRPr="00934A04">
        <w:rPr>
          <w:rStyle w:val="a9"/>
          <w:rFonts w:asciiTheme="majorHAnsi" w:hAnsiTheme="majorHAnsi" w:cstheme="majorHAnsi"/>
          <w:sz w:val="16"/>
          <w:szCs w:val="16"/>
          <w:lang w:val="ro-RO"/>
        </w:rPr>
        <w:footnoteRef/>
      </w:r>
      <w:r w:rsidRPr="00934A04">
        <w:rPr>
          <w:rFonts w:asciiTheme="majorHAnsi" w:hAnsiTheme="majorHAnsi" w:cstheme="majorHAnsi"/>
          <w:sz w:val="16"/>
          <w:szCs w:val="16"/>
          <w:lang w:val="ro-RO"/>
        </w:rPr>
        <w:t xml:space="preserve"> Art.4 din Legea nr.246/2017.</w:t>
      </w:r>
    </w:p>
  </w:footnote>
  <w:footnote w:id="8">
    <w:p w:rsidR="00E827BA" w:rsidRPr="00934A04" w:rsidRDefault="00E827BA" w:rsidP="00E827BA">
      <w:pPr>
        <w:pStyle w:val="a7"/>
        <w:jc w:val="both"/>
        <w:rPr>
          <w:lang w:val="ro-RO"/>
        </w:rPr>
      </w:pPr>
      <w:r w:rsidRPr="00934A04">
        <w:rPr>
          <w:rStyle w:val="a9"/>
          <w:rFonts w:asciiTheme="majorHAnsi" w:hAnsiTheme="majorHAnsi" w:cstheme="majorHAnsi"/>
          <w:sz w:val="16"/>
          <w:szCs w:val="16"/>
          <w:lang w:val="ro-RO"/>
        </w:rPr>
        <w:footnoteRef/>
      </w:r>
      <w:r w:rsidRPr="00934A04">
        <w:rPr>
          <w:rFonts w:asciiTheme="majorHAnsi" w:hAnsiTheme="majorHAnsi" w:cstheme="majorHAnsi"/>
          <w:sz w:val="16"/>
          <w:szCs w:val="16"/>
          <w:lang w:val="ro-RO"/>
        </w:rPr>
        <w:t xml:space="preserve"> Pentru a determina valoarea terenurilor, entitatea trebuia s</w:t>
      </w:r>
      <w:r>
        <w:rPr>
          <w:rFonts w:asciiTheme="majorHAnsi" w:hAnsiTheme="majorHAnsi" w:cstheme="majorHAnsi"/>
          <w:sz w:val="16"/>
          <w:szCs w:val="16"/>
          <w:lang w:val="ro-RO"/>
        </w:rPr>
        <w:t>ă</w:t>
      </w:r>
      <w:r w:rsidRPr="00934A04">
        <w:rPr>
          <w:rFonts w:asciiTheme="majorHAnsi" w:hAnsiTheme="majorHAnsi" w:cstheme="majorHAnsi"/>
          <w:sz w:val="16"/>
          <w:szCs w:val="16"/>
          <w:lang w:val="ro-RO"/>
        </w:rPr>
        <w:t xml:space="preserve"> aplice, pentru recunoaștere, valoarea cadastrală indicată în Registrul bunurilor imobile sau, în lipsa acesteia, prețul normativ calculat conform prevederilor Legii privind prețul normativ și modul de vânzare-cumpărare a pământului nr. 1308-XIII din 25</w:t>
      </w:r>
      <w:r>
        <w:rPr>
          <w:rFonts w:asciiTheme="majorHAnsi" w:hAnsiTheme="majorHAnsi" w:cstheme="majorHAnsi"/>
          <w:sz w:val="16"/>
          <w:szCs w:val="16"/>
          <w:lang w:val="ro-RO"/>
        </w:rPr>
        <w:t>.07.</w:t>
      </w:r>
      <w:r w:rsidRPr="00934A04">
        <w:rPr>
          <w:rFonts w:asciiTheme="majorHAnsi" w:hAnsiTheme="majorHAnsi" w:cstheme="majorHAnsi"/>
          <w:sz w:val="16"/>
          <w:szCs w:val="16"/>
          <w:lang w:val="ro-RO"/>
        </w:rPr>
        <w:t>1997</w:t>
      </w:r>
      <w:r>
        <w:rPr>
          <w:rFonts w:asciiTheme="majorHAnsi" w:hAnsiTheme="majorHAnsi" w:cstheme="majorHAnsi"/>
          <w:sz w:val="16"/>
          <w:szCs w:val="16"/>
          <w:lang w:val="ro-RO"/>
        </w:rPr>
        <w:t>.</w:t>
      </w:r>
    </w:p>
  </w:footnote>
  <w:footnote w:id="9">
    <w:p w:rsidR="00E827BA" w:rsidRPr="00F602B7" w:rsidRDefault="00E827BA" w:rsidP="00E827BA">
      <w:pPr>
        <w:pStyle w:val="a7"/>
        <w:jc w:val="both"/>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F602B7">
        <w:rPr>
          <w:rFonts w:asciiTheme="majorHAnsi" w:hAnsiTheme="majorHAnsi" w:cstheme="majorHAnsi"/>
          <w:sz w:val="16"/>
          <w:szCs w:val="16"/>
          <w:lang w:val="ro-RO"/>
        </w:rPr>
        <w:t>Calcul: 112,84 mil</w:t>
      </w:r>
      <w:r>
        <w:rPr>
          <w:rFonts w:asciiTheme="majorHAnsi" w:hAnsiTheme="majorHAnsi" w:cstheme="majorHAnsi"/>
          <w:sz w:val="16"/>
          <w:szCs w:val="16"/>
          <w:lang w:val="ro-RO"/>
        </w:rPr>
        <w:t>.</w:t>
      </w:r>
      <w:r w:rsidRPr="00F602B7">
        <w:rPr>
          <w:rFonts w:asciiTheme="majorHAnsi" w:hAnsiTheme="majorHAnsi" w:cstheme="majorHAnsi"/>
          <w:sz w:val="16"/>
          <w:szCs w:val="16"/>
          <w:lang w:val="ro-RO"/>
        </w:rPr>
        <w:t xml:space="preserve"> lei (terenuri neînregistrate) – 33,74 mil</w:t>
      </w:r>
      <w:r>
        <w:rPr>
          <w:rFonts w:asciiTheme="majorHAnsi" w:hAnsiTheme="majorHAnsi" w:cstheme="majorHAnsi"/>
          <w:sz w:val="16"/>
          <w:szCs w:val="16"/>
          <w:lang w:val="ro-RO"/>
        </w:rPr>
        <w:t>.</w:t>
      </w:r>
      <w:r w:rsidRPr="00F602B7">
        <w:rPr>
          <w:rFonts w:asciiTheme="majorHAnsi" w:hAnsiTheme="majorHAnsi" w:cstheme="majorHAnsi"/>
          <w:sz w:val="16"/>
          <w:szCs w:val="16"/>
          <w:lang w:val="ro-RO"/>
        </w:rPr>
        <w:t xml:space="preserve"> lei (terenuri ale terților) – 57,13 mil</w:t>
      </w:r>
      <w:r>
        <w:rPr>
          <w:rFonts w:asciiTheme="majorHAnsi" w:hAnsiTheme="majorHAnsi" w:cstheme="majorHAnsi"/>
          <w:sz w:val="16"/>
          <w:szCs w:val="16"/>
          <w:lang w:val="ro-RO"/>
        </w:rPr>
        <w:t>.</w:t>
      </w:r>
      <w:r w:rsidRPr="00F602B7">
        <w:rPr>
          <w:rFonts w:asciiTheme="majorHAnsi" w:hAnsiTheme="majorHAnsi" w:cstheme="majorHAnsi"/>
          <w:sz w:val="16"/>
          <w:szCs w:val="16"/>
          <w:lang w:val="ro-RO"/>
        </w:rPr>
        <w:t xml:space="preserve"> lei (</w:t>
      </w:r>
      <w:r w:rsidRPr="004B3D3B">
        <w:rPr>
          <w:rFonts w:asciiTheme="majorHAnsi" w:hAnsiTheme="majorHAnsi" w:cstheme="majorHAnsi"/>
          <w:sz w:val="16"/>
          <w:szCs w:val="16"/>
          <w:lang w:val="ro-RO"/>
        </w:rPr>
        <w:t>terenuri primite în comodat</w:t>
      </w:r>
      <w:r w:rsidRPr="00F602B7">
        <w:rPr>
          <w:rFonts w:asciiTheme="majorHAnsi" w:hAnsiTheme="majorHAnsi" w:cstheme="majorHAnsi"/>
          <w:sz w:val="16"/>
          <w:szCs w:val="16"/>
          <w:lang w:val="ro-RO"/>
        </w:rPr>
        <w:t>)</w:t>
      </w:r>
      <w:r>
        <w:rPr>
          <w:rFonts w:asciiTheme="majorHAnsi" w:hAnsiTheme="majorHAnsi" w:cstheme="majorHAnsi"/>
          <w:sz w:val="16"/>
          <w:szCs w:val="16"/>
          <w:lang w:val="ro-RO"/>
        </w:rPr>
        <w:t xml:space="preserve"> </w:t>
      </w:r>
      <w:r w:rsidRPr="00F602B7">
        <w:rPr>
          <w:rFonts w:asciiTheme="majorHAnsi" w:hAnsiTheme="majorHAnsi" w:cstheme="majorHAnsi"/>
          <w:sz w:val="16"/>
          <w:szCs w:val="16"/>
          <w:lang w:val="ro-RO"/>
        </w:rPr>
        <w:t>=</w:t>
      </w:r>
      <w:r>
        <w:rPr>
          <w:rFonts w:asciiTheme="majorHAnsi" w:hAnsiTheme="majorHAnsi" w:cstheme="majorHAnsi"/>
          <w:sz w:val="16"/>
          <w:szCs w:val="16"/>
          <w:lang w:val="ro-RO"/>
        </w:rPr>
        <w:t xml:space="preserve"> </w:t>
      </w:r>
      <w:r w:rsidRPr="00F602B7">
        <w:rPr>
          <w:rFonts w:asciiTheme="majorHAnsi" w:hAnsiTheme="majorHAnsi" w:cstheme="majorHAnsi"/>
          <w:sz w:val="16"/>
          <w:szCs w:val="16"/>
          <w:lang w:val="ro-RO"/>
        </w:rPr>
        <w:t>21,97 mil</w:t>
      </w:r>
      <w:r>
        <w:rPr>
          <w:rFonts w:asciiTheme="majorHAnsi" w:hAnsiTheme="majorHAnsi" w:cstheme="majorHAnsi"/>
          <w:sz w:val="16"/>
          <w:szCs w:val="16"/>
          <w:lang w:val="ro-RO"/>
        </w:rPr>
        <w:t>.</w:t>
      </w:r>
      <w:r w:rsidRPr="00F602B7">
        <w:rPr>
          <w:rFonts w:asciiTheme="majorHAnsi" w:hAnsiTheme="majorHAnsi" w:cstheme="majorHAnsi"/>
          <w:sz w:val="16"/>
          <w:szCs w:val="16"/>
          <w:lang w:val="ro-RO"/>
        </w:rPr>
        <w:t xml:space="preserve"> lei</w:t>
      </w:r>
    </w:p>
  </w:footnote>
  <w:footnote w:id="10">
    <w:p w:rsidR="00E827BA" w:rsidRPr="00F602B7" w:rsidRDefault="00E827BA" w:rsidP="00E827BA">
      <w:pPr>
        <w:pStyle w:val="a7"/>
        <w:jc w:val="both"/>
        <w:rPr>
          <w:rFonts w:asciiTheme="majorHAnsi" w:hAnsiTheme="majorHAnsi" w:cstheme="majorHAnsi"/>
          <w:sz w:val="16"/>
          <w:szCs w:val="16"/>
          <w:lang w:val="ro-RO"/>
        </w:rPr>
      </w:pPr>
      <w:r w:rsidRPr="00F602B7">
        <w:rPr>
          <w:rFonts w:asciiTheme="majorHAnsi" w:hAnsiTheme="majorHAnsi" w:cstheme="majorHAnsi"/>
          <w:sz w:val="16"/>
          <w:szCs w:val="16"/>
          <w:vertAlign w:val="superscript"/>
          <w:lang w:val="ro-RO"/>
        </w:rPr>
        <w:footnoteRef/>
      </w:r>
      <w:r w:rsidRPr="00F602B7">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11">
    <w:p w:rsidR="00E827BA" w:rsidRPr="006B0646"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6B0646">
        <w:rPr>
          <w:rFonts w:asciiTheme="majorHAnsi" w:hAnsiTheme="majorHAnsi" w:cstheme="majorHAnsi"/>
          <w:noProof/>
          <w:sz w:val="16"/>
          <w:szCs w:val="16"/>
          <w:lang w:val="ro-RO"/>
        </w:rPr>
        <w:t>Legea insolvabilităţii nr. 149 din 29.06.2012</w:t>
      </w:r>
      <w:r>
        <w:rPr>
          <w:rFonts w:asciiTheme="majorHAnsi" w:hAnsiTheme="majorHAnsi" w:cstheme="majorHAnsi"/>
          <w:noProof/>
          <w:sz w:val="16"/>
          <w:szCs w:val="16"/>
          <w:lang w:val="ro-RO"/>
        </w:rPr>
        <w:t>.</w:t>
      </w:r>
    </w:p>
  </w:footnote>
  <w:footnote w:id="12">
    <w:p w:rsidR="00E827BA" w:rsidRPr="006B0646"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Contul 128 </w:t>
      </w:r>
      <w:r>
        <w:rPr>
          <w:rFonts w:asciiTheme="majorHAnsi" w:hAnsiTheme="majorHAnsi" w:cstheme="majorHAnsi"/>
          <w:sz w:val="16"/>
          <w:szCs w:val="16"/>
          <w:lang w:val="ro-RO"/>
        </w:rPr>
        <w:t>„</w:t>
      </w:r>
      <w:r w:rsidRPr="006B0646">
        <w:rPr>
          <w:rFonts w:asciiTheme="majorHAnsi" w:hAnsiTheme="majorHAnsi" w:cstheme="majorHAnsi"/>
          <w:sz w:val="16"/>
          <w:szCs w:val="16"/>
          <w:lang w:val="ro-RO"/>
        </w:rPr>
        <w:t>Deprecierea terenurilor</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și contul 1226 </w:t>
      </w:r>
      <w:r>
        <w:rPr>
          <w:rFonts w:asciiTheme="majorHAnsi" w:hAnsiTheme="majorHAnsi" w:cstheme="majorHAnsi"/>
          <w:sz w:val="16"/>
          <w:szCs w:val="16"/>
          <w:lang w:val="ro-RO"/>
        </w:rPr>
        <w:t>„</w:t>
      </w:r>
      <w:r w:rsidRPr="006B0646">
        <w:rPr>
          <w:rFonts w:asciiTheme="majorHAnsi" w:hAnsiTheme="majorHAnsi" w:cstheme="majorHAnsi"/>
          <w:sz w:val="16"/>
          <w:szCs w:val="16"/>
          <w:lang w:val="ro-RO"/>
        </w:rPr>
        <w:t>Terenuri primite în gestiune</w:t>
      </w:r>
      <w:r>
        <w:rPr>
          <w:rFonts w:asciiTheme="majorHAnsi" w:hAnsiTheme="majorHAnsi" w:cstheme="majorHAnsi"/>
          <w:sz w:val="16"/>
          <w:szCs w:val="16"/>
          <w:lang w:val="ro-RO"/>
        </w:rPr>
        <w:t>”.</w:t>
      </w:r>
    </w:p>
  </w:footnote>
  <w:footnote w:id="13">
    <w:p w:rsidR="00E827BA" w:rsidRPr="006B0646"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74571C">
        <w:rPr>
          <w:rFonts w:asciiTheme="majorHAnsi" w:hAnsiTheme="majorHAnsi" w:cstheme="majorHAnsi"/>
          <w:sz w:val="16"/>
          <w:szCs w:val="16"/>
          <w:lang w:val="ro-RO"/>
        </w:rPr>
        <w:t xml:space="preserve"> Î.S. Combinatul de produse alimentare din Bălți – din anul 2010, Î.S. „Moldresurse” – din anul 2010</w:t>
      </w:r>
      <w:r>
        <w:rPr>
          <w:rFonts w:asciiTheme="majorHAnsi" w:hAnsiTheme="majorHAnsi" w:cstheme="majorHAnsi"/>
          <w:sz w:val="16"/>
          <w:szCs w:val="16"/>
          <w:lang w:val="ro-RO"/>
        </w:rPr>
        <w:t>.</w:t>
      </w:r>
    </w:p>
  </w:footnote>
  <w:footnote w:id="14">
    <w:p w:rsidR="00E827BA" w:rsidRPr="000F3A87"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0F3A87">
        <w:rPr>
          <w:rFonts w:asciiTheme="majorHAnsi" w:hAnsiTheme="majorHAnsi" w:cstheme="majorHAnsi"/>
          <w:sz w:val="16"/>
          <w:szCs w:val="16"/>
          <w:lang w:val="ro-RO"/>
        </w:rPr>
        <w:t xml:space="preserve">Unitatea </w:t>
      </w:r>
      <w:r>
        <w:rPr>
          <w:rFonts w:asciiTheme="majorHAnsi" w:hAnsiTheme="majorHAnsi" w:cstheme="majorHAnsi"/>
          <w:sz w:val="16"/>
          <w:szCs w:val="16"/>
          <w:lang w:val="ro-RO"/>
        </w:rPr>
        <w:t>c</w:t>
      </w:r>
      <w:r w:rsidRPr="000F3A87">
        <w:rPr>
          <w:rFonts w:asciiTheme="majorHAnsi" w:hAnsiTheme="majorHAnsi" w:cstheme="majorHAnsi"/>
          <w:sz w:val="16"/>
          <w:szCs w:val="16"/>
          <w:lang w:val="ro-RO"/>
        </w:rPr>
        <w:t xml:space="preserve">onsolidată pentru implementarea programelor IFAD (UCIP-IFAD) </w:t>
      </w:r>
      <w:r w:rsidRPr="006B0646">
        <w:rPr>
          <w:rFonts w:asciiTheme="majorHAnsi" w:hAnsiTheme="majorHAnsi" w:cstheme="majorHAnsi"/>
          <w:sz w:val="16"/>
          <w:szCs w:val="16"/>
          <w:lang w:val="ro-RO"/>
        </w:rPr>
        <w:t xml:space="preserve">16353 </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suma </w:t>
      </w:r>
      <w:r>
        <w:rPr>
          <w:rFonts w:asciiTheme="majorHAnsi" w:hAnsiTheme="majorHAnsi" w:cstheme="majorHAnsi"/>
          <w:sz w:val="16"/>
          <w:szCs w:val="16"/>
          <w:lang w:val="ro-RO"/>
        </w:rPr>
        <w:t xml:space="preserve">de </w:t>
      </w:r>
      <w:r w:rsidRPr="006B0646">
        <w:rPr>
          <w:rFonts w:asciiTheme="majorHAnsi" w:hAnsiTheme="majorHAnsi" w:cstheme="majorHAnsi"/>
          <w:sz w:val="16"/>
          <w:szCs w:val="16"/>
          <w:lang w:val="ro-RO"/>
        </w:rPr>
        <w:t>458</w:t>
      </w:r>
      <w:r>
        <w:rPr>
          <w:rFonts w:asciiTheme="majorHAnsi" w:hAnsiTheme="majorHAnsi" w:cstheme="majorHAnsi"/>
          <w:sz w:val="16"/>
          <w:szCs w:val="16"/>
          <w:lang w:val="ro-RO"/>
        </w:rPr>
        <w:t>.</w:t>
      </w:r>
      <w:r w:rsidRPr="006B0646">
        <w:rPr>
          <w:rFonts w:asciiTheme="majorHAnsi" w:hAnsiTheme="majorHAnsi" w:cstheme="majorHAnsi"/>
          <w:sz w:val="16"/>
          <w:szCs w:val="16"/>
          <w:lang w:val="ro-RO"/>
        </w:rPr>
        <w:t>707,68 lei</w:t>
      </w:r>
      <w:r>
        <w:rPr>
          <w:rFonts w:asciiTheme="majorHAnsi" w:hAnsiTheme="majorHAnsi" w:cstheme="majorHAnsi"/>
          <w:sz w:val="16"/>
          <w:szCs w:val="16"/>
          <w:lang w:val="ro-RO"/>
        </w:rPr>
        <w:t>.</w:t>
      </w:r>
    </w:p>
  </w:footnote>
  <w:footnote w:id="15">
    <w:p w:rsidR="00E827BA" w:rsidRPr="006B0646"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ONVV</w:t>
      </w:r>
      <w:r>
        <w:rPr>
          <w:rFonts w:asciiTheme="majorHAnsi" w:hAnsiTheme="majorHAnsi" w:cstheme="majorHAnsi"/>
          <w:sz w:val="16"/>
          <w:szCs w:val="16"/>
          <w:lang w:val="ro-RO"/>
        </w:rPr>
        <w:t>.</w:t>
      </w:r>
    </w:p>
  </w:footnote>
  <w:footnote w:id="16">
    <w:p w:rsidR="00E827BA" w:rsidRPr="006B0646" w:rsidRDefault="00E827BA" w:rsidP="00E827BA">
      <w:pPr>
        <w:pStyle w:val="a7"/>
        <w:jc w:val="both"/>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Baza de odihnă „Selecția”, gestionată de Institutul de Cercetări pentru Culturile de Câmp „Selecția”.</w:t>
      </w:r>
    </w:p>
  </w:footnote>
  <w:footnote w:id="17">
    <w:p w:rsidR="00E827BA" w:rsidRPr="006B0646" w:rsidRDefault="00E827BA" w:rsidP="00E827BA">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Calcul</w:t>
      </w:r>
      <w:r>
        <w:rPr>
          <w:rFonts w:asciiTheme="majorHAnsi" w:hAnsiTheme="majorHAnsi" w:cstheme="majorHAnsi"/>
          <w:sz w:val="16"/>
          <w:szCs w:val="16"/>
          <w:lang w:val="ro-RO"/>
        </w:rPr>
        <w:t>ul</w:t>
      </w:r>
      <w:r w:rsidRPr="006B0646">
        <w:rPr>
          <w:rFonts w:asciiTheme="majorHAnsi" w:hAnsiTheme="majorHAnsi" w:cstheme="majorHAnsi"/>
          <w:sz w:val="16"/>
          <w:szCs w:val="16"/>
          <w:lang w:val="ro-RO"/>
        </w:rPr>
        <w:t>: 1,3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 + 0,92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w:t>
      </w:r>
      <w:r>
        <w:rPr>
          <w:rFonts w:asciiTheme="majorHAnsi" w:hAnsiTheme="majorHAnsi" w:cstheme="majorHAnsi"/>
          <w:sz w:val="16"/>
          <w:szCs w:val="16"/>
          <w:lang w:val="ro-RO"/>
        </w:rPr>
        <w:t xml:space="preserve"> </w:t>
      </w:r>
      <w:r w:rsidRPr="006B0646">
        <w:rPr>
          <w:rFonts w:asciiTheme="majorHAnsi" w:hAnsiTheme="majorHAnsi" w:cstheme="majorHAnsi"/>
          <w:sz w:val="16"/>
          <w:szCs w:val="16"/>
          <w:lang w:val="ro-RO"/>
        </w:rPr>
        <w:t>= 2,22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w:t>
      </w:r>
      <w:r>
        <w:rPr>
          <w:rFonts w:asciiTheme="majorHAnsi" w:hAnsiTheme="majorHAnsi" w:cstheme="majorHAnsi"/>
          <w:sz w:val="16"/>
          <w:szCs w:val="16"/>
          <w:lang w:val="ro-RO"/>
        </w:rPr>
        <w:t>.</w:t>
      </w:r>
    </w:p>
  </w:footnote>
  <w:footnote w:id="18">
    <w:p w:rsidR="00E827BA" w:rsidRPr="007802D4" w:rsidRDefault="00E827BA" w:rsidP="00E827BA">
      <w:pPr>
        <w:pStyle w:val="a7"/>
        <w:jc w:val="both"/>
        <w:rPr>
          <w:rFonts w:ascii="Calibri Light" w:hAnsi="Calibri Light" w:cstheme="majorHAnsi"/>
          <w:sz w:val="16"/>
          <w:szCs w:val="16"/>
          <w:lang w:val="ro-RO"/>
        </w:rPr>
      </w:pPr>
      <w:r w:rsidRPr="006B0646">
        <w:rPr>
          <w:rStyle w:val="a9"/>
          <w:rFonts w:ascii="Calibri Light" w:hAnsi="Calibri Light"/>
          <w:sz w:val="16"/>
          <w:szCs w:val="16"/>
          <w:lang w:val="ro-RO"/>
        </w:rPr>
        <w:footnoteRef/>
      </w:r>
      <w:r w:rsidRPr="006B0646">
        <w:rPr>
          <w:rFonts w:ascii="Calibri Light" w:hAnsi="Calibri Light"/>
          <w:sz w:val="16"/>
          <w:szCs w:val="16"/>
          <w:lang w:val="ro-RO"/>
        </w:rPr>
        <w:t xml:space="preserve"> </w:t>
      </w:r>
      <w:r w:rsidRPr="007802D4">
        <w:rPr>
          <w:rFonts w:ascii="Calibri Light" w:hAnsi="Calibri Light" w:cstheme="majorHAnsi"/>
          <w:sz w:val="16"/>
          <w:szCs w:val="16"/>
          <w:lang w:val="ro-RO"/>
        </w:rPr>
        <w:t xml:space="preserve">4 entități au declarat că controlul intern managerial instituit în cadrul acestora este conform, </w:t>
      </w:r>
      <w:r>
        <w:rPr>
          <w:rFonts w:ascii="Calibri Light" w:hAnsi="Calibri Light" w:cstheme="majorHAnsi"/>
          <w:sz w:val="16"/>
          <w:szCs w:val="16"/>
          <w:lang w:val="ro-RO"/>
        </w:rPr>
        <w:t xml:space="preserve">iar </w:t>
      </w:r>
      <w:r w:rsidRPr="007802D4">
        <w:rPr>
          <w:rFonts w:ascii="Calibri Light" w:hAnsi="Calibri Light" w:cstheme="majorHAnsi"/>
          <w:sz w:val="16"/>
          <w:szCs w:val="16"/>
          <w:lang w:val="ro-RO"/>
        </w:rPr>
        <w:t xml:space="preserve">8 entități </w:t>
      </w:r>
      <w:r>
        <w:rPr>
          <w:rFonts w:ascii="Calibri Light" w:hAnsi="Calibri Light" w:cstheme="majorHAnsi"/>
          <w:sz w:val="16"/>
          <w:szCs w:val="16"/>
          <w:lang w:val="ro-RO"/>
        </w:rPr>
        <w:t>–</w:t>
      </w:r>
      <w:r w:rsidRPr="007802D4">
        <w:rPr>
          <w:rFonts w:ascii="Calibri Light" w:hAnsi="Calibri Light" w:cstheme="majorHAnsi"/>
          <w:sz w:val="16"/>
          <w:szCs w:val="16"/>
          <w:lang w:val="ro-RO"/>
        </w:rPr>
        <w:t xml:space="preserve"> că este parțial conform.</w:t>
      </w:r>
    </w:p>
  </w:footnote>
  <w:footnote w:id="19">
    <w:p w:rsidR="00E827BA" w:rsidRPr="00952139" w:rsidRDefault="00E827BA" w:rsidP="00E827BA">
      <w:pPr>
        <w:pStyle w:val="a7"/>
        <w:jc w:val="both"/>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w:t>
      </w:r>
      <w:r w:rsidRPr="00952139">
        <w:rPr>
          <w:rFonts w:asciiTheme="majorHAnsi" w:hAnsiTheme="majorHAnsi"/>
          <w:sz w:val="16"/>
          <w:szCs w:val="16"/>
          <w:lang w:val="ro-RO"/>
        </w:rPr>
        <w:t xml:space="preserve">Institutul de Fitotehnie </w:t>
      </w:r>
      <w:r>
        <w:rPr>
          <w:rFonts w:asciiTheme="majorHAnsi" w:hAnsiTheme="majorHAnsi"/>
          <w:sz w:val="16"/>
          <w:szCs w:val="16"/>
          <w:lang w:val="ro-RO"/>
        </w:rPr>
        <w:t>„</w:t>
      </w:r>
      <w:r w:rsidRPr="00952139">
        <w:rPr>
          <w:rFonts w:asciiTheme="majorHAnsi" w:hAnsiTheme="majorHAnsi"/>
          <w:sz w:val="16"/>
          <w:szCs w:val="16"/>
          <w:lang w:val="ro-RO"/>
        </w:rPr>
        <w:t>Porumbeni</w:t>
      </w:r>
      <w:r>
        <w:rPr>
          <w:rFonts w:asciiTheme="majorHAnsi" w:hAnsiTheme="majorHAnsi"/>
          <w:sz w:val="16"/>
          <w:szCs w:val="16"/>
          <w:lang w:val="ro-RO"/>
        </w:rPr>
        <w:t>”.</w:t>
      </w:r>
    </w:p>
  </w:footnote>
  <w:footnote w:id="20">
    <w:p w:rsidR="00E827BA" w:rsidRPr="00952139" w:rsidRDefault="00E827BA" w:rsidP="00E827BA">
      <w:pPr>
        <w:pStyle w:val="a7"/>
        <w:jc w:val="both"/>
        <w:rPr>
          <w:rFonts w:asciiTheme="majorHAnsi" w:hAnsiTheme="majorHAnsi"/>
          <w:sz w:val="16"/>
          <w:szCs w:val="16"/>
          <w:lang w:val="ro-RO"/>
        </w:rPr>
      </w:pPr>
      <w:r w:rsidRPr="00952139">
        <w:rPr>
          <w:rStyle w:val="a9"/>
          <w:rFonts w:asciiTheme="majorHAnsi" w:hAnsiTheme="majorHAnsi"/>
          <w:sz w:val="16"/>
          <w:szCs w:val="16"/>
          <w:lang w:val="ro-RO"/>
        </w:rPr>
        <w:footnoteRef/>
      </w:r>
      <w:r w:rsidRPr="00952139">
        <w:rPr>
          <w:rFonts w:asciiTheme="majorHAnsi" w:hAnsiTheme="majorHAnsi"/>
          <w:sz w:val="16"/>
          <w:szCs w:val="16"/>
          <w:lang w:val="ro-RO"/>
        </w:rPr>
        <w:t xml:space="preserve"> În condițiile lipsei autorizației de captare a apei pentru folosirea specială</w:t>
      </w:r>
      <w:r>
        <w:rPr>
          <w:rFonts w:asciiTheme="majorHAnsi" w:hAnsiTheme="majorHAnsi"/>
          <w:sz w:val="16"/>
          <w:szCs w:val="16"/>
          <w:lang w:val="ro-RO"/>
        </w:rPr>
        <w:t>,</w:t>
      </w:r>
      <w:r w:rsidRPr="00952139">
        <w:rPr>
          <w:rFonts w:asciiTheme="majorHAnsi" w:hAnsiTheme="majorHAnsi"/>
          <w:sz w:val="16"/>
          <w:szCs w:val="16"/>
          <w:lang w:val="ro-RO"/>
        </w:rPr>
        <w:t xml:space="preserve"> instituția </w:t>
      </w:r>
      <w:r>
        <w:rPr>
          <w:rFonts w:asciiTheme="majorHAnsi" w:hAnsiTheme="majorHAnsi"/>
          <w:sz w:val="16"/>
          <w:szCs w:val="16"/>
          <w:lang w:val="ro-RO"/>
        </w:rPr>
        <w:t xml:space="preserve">este </w:t>
      </w:r>
      <w:r w:rsidRPr="00952139">
        <w:rPr>
          <w:rFonts w:asciiTheme="majorHAnsi" w:hAnsiTheme="majorHAnsi"/>
          <w:sz w:val="16"/>
          <w:szCs w:val="16"/>
          <w:lang w:val="ro-RO"/>
        </w:rPr>
        <w:t xml:space="preserve">pasibilă </w:t>
      </w:r>
      <w:r>
        <w:rPr>
          <w:rFonts w:asciiTheme="majorHAnsi" w:hAnsiTheme="majorHAnsi"/>
          <w:sz w:val="16"/>
          <w:szCs w:val="16"/>
          <w:lang w:val="ro-RO"/>
        </w:rPr>
        <w:t>de</w:t>
      </w:r>
      <w:r w:rsidRPr="00952139">
        <w:rPr>
          <w:rFonts w:asciiTheme="majorHAnsi" w:hAnsiTheme="majorHAnsi"/>
          <w:sz w:val="16"/>
          <w:szCs w:val="16"/>
          <w:lang w:val="ro-RO"/>
        </w:rPr>
        <w:t xml:space="preserve"> amendă </w:t>
      </w:r>
      <w:r>
        <w:rPr>
          <w:rFonts w:asciiTheme="majorHAnsi" w:hAnsiTheme="majorHAnsi"/>
          <w:sz w:val="16"/>
          <w:szCs w:val="16"/>
          <w:lang w:val="ro-RO"/>
        </w:rPr>
        <w:t>de</w:t>
      </w:r>
      <w:r w:rsidRPr="00952139">
        <w:rPr>
          <w:rFonts w:asciiTheme="majorHAnsi" w:hAnsiTheme="majorHAnsi"/>
          <w:sz w:val="16"/>
          <w:szCs w:val="16"/>
          <w:lang w:val="ro-RO"/>
        </w:rPr>
        <w:t xml:space="preserve"> cel puțin 103 mii lei.</w:t>
      </w:r>
    </w:p>
  </w:footnote>
  <w:footnote w:id="21">
    <w:p w:rsidR="00E827BA" w:rsidRPr="00952139" w:rsidRDefault="00E827BA" w:rsidP="00E827BA">
      <w:pPr>
        <w:pStyle w:val="a7"/>
        <w:jc w:val="both"/>
        <w:rPr>
          <w:rFonts w:asciiTheme="majorHAnsi" w:hAnsiTheme="majorHAnsi"/>
          <w:sz w:val="16"/>
          <w:szCs w:val="16"/>
          <w:lang w:val="ro-RO"/>
        </w:rPr>
      </w:pPr>
      <w:r w:rsidRPr="00952139">
        <w:rPr>
          <w:rStyle w:val="a9"/>
          <w:rFonts w:asciiTheme="majorHAnsi" w:hAnsiTheme="majorHAnsi"/>
          <w:sz w:val="16"/>
          <w:szCs w:val="16"/>
          <w:lang w:val="ro-RO"/>
        </w:rPr>
        <w:footnoteRef/>
      </w:r>
      <w:r w:rsidRPr="00952139">
        <w:rPr>
          <w:rFonts w:asciiTheme="majorHAnsi" w:hAnsiTheme="majorHAnsi"/>
          <w:sz w:val="16"/>
          <w:szCs w:val="16"/>
          <w:lang w:val="ro-RO"/>
        </w:rPr>
        <w:t xml:space="preserve"> Tarifele pot fi aprobate de ANRE sau de către consiliul local.</w:t>
      </w:r>
    </w:p>
  </w:footnote>
  <w:footnote w:id="22">
    <w:p w:rsidR="00E827BA" w:rsidRPr="0024287A" w:rsidRDefault="00E827BA" w:rsidP="00E827BA">
      <w:pPr>
        <w:pStyle w:val="a7"/>
        <w:jc w:val="both"/>
        <w:rPr>
          <w:rFonts w:ascii="Calibri Light" w:hAnsi="Calibri Light"/>
          <w:sz w:val="16"/>
          <w:szCs w:val="16"/>
          <w:lang w:val="ro-RO"/>
        </w:rPr>
      </w:pPr>
      <w:r w:rsidRPr="0024287A">
        <w:rPr>
          <w:rStyle w:val="a9"/>
          <w:rFonts w:ascii="Calibri Light" w:hAnsi="Calibri Light"/>
          <w:sz w:val="16"/>
          <w:szCs w:val="16"/>
          <w:lang w:val="ro-RO"/>
        </w:rPr>
        <w:footnoteRef/>
      </w:r>
      <w:r w:rsidRPr="0024287A">
        <w:rPr>
          <w:rFonts w:ascii="Calibri Light" w:hAnsi="Calibri Light"/>
          <w:sz w:val="16"/>
          <w:szCs w:val="16"/>
          <w:lang w:val="ro-RO"/>
        </w:rPr>
        <w:t xml:space="preserve"> </w:t>
      </w:r>
      <w:r w:rsidRPr="0024287A">
        <w:rPr>
          <w:rFonts w:ascii="Calibri Light" w:hAnsi="Calibri Light" w:cstheme="majorHAnsi"/>
          <w:sz w:val="16"/>
          <w:szCs w:val="16"/>
          <w:lang w:val="ro-RO"/>
        </w:rPr>
        <w:t xml:space="preserve">Hotărârea Guvernului nr.725/2019 </w:t>
      </w:r>
      <w:r>
        <w:rPr>
          <w:rFonts w:ascii="Calibri Light" w:hAnsi="Calibri Light" w:cstheme="majorHAnsi"/>
          <w:sz w:val="16"/>
          <w:szCs w:val="16"/>
          <w:lang w:val="ro-RO"/>
        </w:rPr>
        <w:t>„C</w:t>
      </w:r>
      <w:r w:rsidRPr="0024287A">
        <w:rPr>
          <w:rFonts w:ascii="Calibri Light" w:hAnsi="Calibri Light" w:cstheme="majorHAnsi"/>
          <w:sz w:val="16"/>
          <w:szCs w:val="16"/>
          <w:lang w:val="ro-RO"/>
        </w:rPr>
        <w:t>u privire la Oficiul Na</w:t>
      </w:r>
      <w:r>
        <w:rPr>
          <w:rFonts w:ascii="Calibri Light" w:hAnsi="Calibri Light" w:cstheme="majorHAnsi"/>
          <w:sz w:val="16"/>
          <w:szCs w:val="16"/>
          <w:lang w:val="ro-RO"/>
        </w:rPr>
        <w:t>ț</w:t>
      </w:r>
      <w:r w:rsidRPr="0024287A">
        <w:rPr>
          <w:rFonts w:ascii="Calibri Light" w:hAnsi="Calibri Light" w:cstheme="majorHAnsi"/>
          <w:sz w:val="16"/>
          <w:szCs w:val="16"/>
          <w:lang w:val="ro-RO"/>
        </w:rPr>
        <w:t xml:space="preserve">ional al Viei </w:t>
      </w:r>
      <w:r>
        <w:rPr>
          <w:rFonts w:ascii="Calibri Light" w:hAnsi="Calibri Light" w:cstheme="majorHAnsi"/>
          <w:sz w:val="16"/>
          <w:szCs w:val="16"/>
          <w:lang w:val="ro-RO"/>
        </w:rPr>
        <w:t>ș</w:t>
      </w:r>
      <w:r w:rsidRPr="0024287A">
        <w:rPr>
          <w:rFonts w:ascii="Calibri Light" w:hAnsi="Calibri Light" w:cstheme="majorHAnsi"/>
          <w:sz w:val="16"/>
          <w:szCs w:val="16"/>
          <w:lang w:val="ro-RO"/>
        </w:rPr>
        <w:t>i Vinului</w:t>
      </w:r>
      <w:r>
        <w:rPr>
          <w:rFonts w:ascii="Calibri Light" w:hAnsi="Calibri Light" w:cstheme="majorHAnsi"/>
          <w:sz w:val="16"/>
          <w:szCs w:val="16"/>
          <w:lang w:val="ro-RO"/>
        </w:rPr>
        <w:t>”</w:t>
      </w:r>
      <w:r w:rsidRPr="0024287A">
        <w:rPr>
          <w:rFonts w:ascii="Calibri Light" w:hAnsi="Calibri Light" w:cstheme="majorHAnsi"/>
          <w:sz w:val="16"/>
          <w:szCs w:val="16"/>
          <w:lang w:val="ro-RO"/>
        </w:rPr>
        <w:t>.</w:t>
      </w:r>
    </w:p>
  </w:footnote>
  <w:footnote w:id="23">
    <w:p w:rsidR="00E827BA" w:rsidRPr="0024287A" w:rsidRDefault="00E827BA" w:rsidP="00E827BA">
      <w:pPr>
        <w:pStyle w:val="a7"/>
        <w:jc w:val="both"/>
        <w:rPr>
          <w:rFonts w:ascii="Calibri Light" w:hAnsi="Calibri Light"/>
          <w:sz w:val="16"/>
          <w:szCs w:val="16"/>
          <w:lang w:val="ro-RO"/>
        </w:rPr>
      </w:pPr>
      <w:r w:rsidRPr="0024287A">
        <w:rPr>
          <w:rStyle w:val="a9"/>
          <w:rFonts w:ascii="Calibri Light" w:hAnsi="Calibri Light"/>
          <w:sz w:val="16"/>
          <w:szCs w:val="16"/>
          <w:lang w:val="ro-RO"/>
        </w:rPr>
        <w:footnoteRef/>
      </w:r>
      <w:r w:rsidRPr="0024287A">
        <w:rPr>
          <w:rFonts w:ascii="Calibri Light" w:hAnsi="Calibri Light"/>
          <w:sz w:val="16"/>
          <w:szCs w:val="16"/>
          <w:lang w:val="ro-RO"/>
        </w:rPr>
        <w:t xml:space="preserve"> Clasificația bugetară organizațională.</w:t>
      </w:r>
    </w:p>
  </w:footnote>
  <w:footnote w:id="24">
    <w:p w:rsidR="00E827BA" w:rsidRPr="0024287A" w:rsidRDefault="00E827BA" w:rsidP="00E827BA">
      <w:pPr>
        <w:pStyle w:val="a7"/>
        <w:jc w:val="both"/>
        <w:rPr>
          <w:rFonts w:ascii="Calibri Light" w:hAnsi="Calibri Light"/>
          <w:sz w:val="16"/>
          <w:szCs w:val="16"/>
          <w:lang w:val="ro-RO"/>
        </w:rPr>
      </w:pPr>
      <w:r w:rsidRPr="0024287A">
        <w:rPr>
          <w:rStyle w:val="a9"/>
          <w:rFonts w:ascii="Calibri Light" w:hAnsi="Calibri Light"/>
          <w:sz w:val="16"/>
          <w:szCs w:val="16"/>
          <w:lang w:val="ro-RO"/>
        </w:rPr>
        <w:footnoteRef/>
      </w:r>
      <w:r w:rsidRPr="0024287A">
        <w:rPr>
          <w:rFonts w:ascii="Calibri Light" w:hAnsi="Calibri Light"/>
          <w:sz w:val="16"/>
          <w:szCs w:val="16"/>
          <w:lang w:val="ro-RO"/>
        </w:rPr>
        <w:t xml:space="preserve"> Clasificația bugetară economică.</w:t>
      </w:r>
    </w:p>
  </w:footnote>
  <w:footnote w:id="25">
    <w:p w:rsidR="00E827BA" w:rsidRPr="0024287A" w:rsidRDefault="00E827BA" w:rsidP="00E827BA">
      <w:pPr>
        <w:pStyle w:val="a7"/>
        <w:jc w:val="both"/>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24287A">
        <w:rPr>
          <w:rFonts w:asciiTheme="majorHAnsi" w:hAnsiTheme="majorHAnsi" w:cstheme="majorHAnsi"/>
          <w:sz w:val="16"/>
          <w:szCs w:val="16"/>
          <w:lang w:val="ro-RO"/>
        </w:rPr>
        <w:t>Art.13 alin.(2) din Legea contabilității nr.113-XVI din 27.04.2007.</w:t>
      </w:r>
    </w:p>
  </w:footnote>
  <w:footnote w:id="26">
    <w:p w:rsidR="00E827BA" w:rsidRPr="006B0646" w:rsidRDefault="00E827BA" w:rsidP="00E827BA">
      <w:pPr>
        <w:pStyle w:val="a7"/>
        <w:jc w:val="both"/>
        <w:rPr>
          <w:rFonts w:asciiTheme="majorHAnsi" w:hAnsiTheme="majorHAnsi" w:cstheme="majorHAnsi"/>
          <w:sz w:val="16"/>
          <w:szCs w:val="16"/>
          <w:lang w:val="ro-RO"/>
        </w:rPr>
      </w:pPr>
      <w:r w:rsidRPr="0024287A">
        <w:rPr>
          <w:rStyle w:val="a9"/>
          <w:rFonts w:asciiTheme="majorHAnsi" w:hAnsiTheme="majorHAnsi" w:cstheme="majorHAnsi"/>
          <w:sz w:val="16"/>
          <w:szCs w:val="16"/>
          <w:lang w:val="ro-RO"/>
        </w:rPr>
        <w:footnoteRef/>
      </w:r>
      <w:r w:rsidRPr="0024287A">
        <w:rPr>
          <w:rFonts w:asciiTheme="majorHAnsi" w:hAnsiTheme="majorHAnsi" w:cstheme="majorHAnsi"/>
          <w:sz w:val="16"/>
          <w:szCs w:val="16"/>
          <w:lang w:val="ro-RO"/>
        </w:rPr>
        <w:t xml:space="preserve"> Legea contabilității nr.</w:t>
      </w:r>
      <w:r w:rsidRPr="0024287A">
        <w:rPr>
          <w:rFonts w:asciiTheme="majorHAnsi" w:eastAsia="Times New Roman" w:hAnsiTheme="majorHAnsi" w:cstheme="majorHAnsi"/>
          <w:sz w:val="16"/>
          <w:szCs w:val="16"/>
          <w:lang w:val="ro-RO"/>
        </w:rPr>
        <w:t>113-XVI din 27.04.2007;</w:t>
      </w:r>
      <w:r w:rsidRPr="0024287A">
        <w:rPr>
          <w:rFonts w:asciiTheme="majorHAnsi" w:hAnsiTheme="majorHAnsi" w:cstheme="majorHAnsi"/>
          <w:sz w:val="16"/>
          <w:szCs w:val="16"/>
          <w:lang w:val="ro-RO"/>
        </w:rPr>
        <w:t xml:space="preserve"> </w:t>
      </w:r>
      <w:r w:rsidRPr="0024287A">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24287A">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24287A">
        <w:rPr>
          <w:rFonts w:asciiTheme="majorHAnsi" w:eastAsia="Times New Roman" w:hAnsiTheme="majorHAnsi" w:cstheme="majorHAnsi"/>
          <w:sz w:val="16"/>
          <w:szCs w:val="16"/>
          <w:lang w:val="ro-RO"/>
        </w:rPr>
        <w:t xml:space="preserve">inanțelor nr.164 din 09.12.2019 „Cu privire la aprobarea termenelor de prezentare a rapoartelor financiare pe anul 2019”; Ordinul ministrului </w:t>
      </w:r>
      <w:r>
        <w:rPr>
          <w:rFonts w:asciiTheme="majorHAnsi" w:eastAsia="Times New Roman" w:hAnsiTheme="majorHAnsi" w:cstheme="majorHAnsi"/>
          <w:sz w:val="16"/>
          <w:szCs w:val="16"/>
          <w:lang w:val="ro-RO"/>
        </w:rPr>
        <w:t>F</w:t>
      </w:r>
      <w:r w:rsidRPr="0024287A">
        <w:rPr>
          <w:rFonts w:asciiTheme="majorHAnsi" w:eastAsia="Times New Roman"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 w:id="27">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Răspunsul Min</w:t>
      </w:r>
      <w:r>
        <w:rPr>
          <w:rFonts w:asciiTheme="majorHAnsi" w:hAnsiTheme="majorHAnsi" w:cstheme="majorHAnsi"/>
          <w:sz w:val="16"/>
          <w:szCs w:val="16"/>
          <w:lang w:val="ro-RO"/>
        </w:rPr>
        <w:t>i</w:t>
      </w:r>
      <w:r w:rsidRPr="009C670D">
        <w:rPr>
          <w:rFonts w:asciiTheme="majorHAnsi" w:hAnsiTheme="majorHAnsi" w:cstheme="majorHAnsi"/>
          <w:sz w:val="16"/>
          <w:szCs w:val="16"/>
          <w:lang w:val="ro-RO"/>
        </w:rPr>
        <w:t xml:space="preserve">sterului Finanțelor nr. 12/3-4-138 din 26.08.2020 la solicitarea MECC privind acordarea suportului metodologic pentru reflectarea cheltuielilor ce țin de crearea de către instituția bugetară a activelor nemateriale noi </w:t>
      </w:r>
    </w:p>
  </w:footnote>
  <w:footnote w:id="28">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29">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901/2015</w:t>
      </w:r>
      <w:r w:rsidRPr="009C670D">
        <w:rPr>
          <w:rFonts w:asciiTheme="majorHAnsi" w:hAnsiTheme="majorHAnsi" w:cstheme="majorHAnsi"/>
          <w:b/>
          <w:bCs/>
          <w:color w:val="000000"/>
          <w:sz w:val="16"/>
          <w:szCs w:val="16"/>
          <w:lang w:val="ro-RO"/>
        </w:rPr>
        <w:t xml:space="preserve"> </w:t>
      </w:r>
      <w:r>
        <w:rPr>
          <w:rFonts w:asciiTheme="majorHAnsi" w:hAnsiTheme="majorHAnsi" w:cstheme="majorHAnsi"/>
          <w:b/>
          <w:bCs/>
          <w:color w:val="000000"/>
          <w:sz w:val="16"/>
          <w:szCs w:val="16"/>
          <w:lang w:val="ro-RO"/>
        </w:rPr>
        <w:t>„</w:t>
      </w:r>
      <w:r>
        <w:rPr>
          <w:rFonts w:asciiTheme="majorHAnsi" w:hAnsiTheme="majorHAnsi" w:cstheme="majorHAnsi"/>
          <w:sz w:val="16"/>
          <w:szCs w:val="16"/>
          <w:lang w:val="ro-RO"/>
        </w:rPr>
        <w:t>P</w:t>
      </w:r>
      <w:r w:rsidRPr="009C670D">
        <w:rPr>
          <w:rFonts w:asciiTheme="majorHAnsi" w:hAnsiTheme="majorHAnsi" w:cstheme="majorHAnsi"/>
          <w:sz w:val="16"/>
          <w:szCs w:val="16"/>
          <w:lang w:val="ro-RO"/>
        </w:rPr>
        <w:t>entru aprobarea Regulamentului cu privire la modul de transmitere a bunurilor proprietate publică</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30">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Pct. 4 din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31">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IP Institutul de Cercetări pentru Culturile de Câmp „Selecția".</w:t>
      </w:r>
    </w:p>
  </w:footnote>
  <w:footnote w:id="32">
    <w:p w:rsidR="00E827BA" w:rsidRPr="009C670D" w:rsidRDefault="00E827BA" w:rsidP="00E827BA">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Actul de primire-predare nr.2 din 23.09.2020.</w:t>
      </w:r>
    </w:p>
  </w:footnote>
  <w:footnote w:id="33">
    <w:p w:rsidR="00E827BA" w:rsidRPr="009C670D" w:rsidRDefault="00E827BA" w:rsidP="00E827BA">
      <w:pPr>
        <w:pStyle w:val="a7"/>
        <w:jc w:val="both"/>
        <w:rPr>
          <w:rFonts w:asciiTheme="majorHAnsi" w:hAnsiTheme="majorHAnsi" w:cstheme="majorHAnsi"/>
          <w:sz w:val="16"/>
          <w:szCs w:val="16"/>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Ordinul APP nr.356 din 09.10.2020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înregistrarea în evidența contabilă a terenurilor proprietate publică a statutului dreptul de administrare asupra cărora a fost intabulat în Registrul bunurilor imobile după AP</w:t>
      </w:r>
      <w:r w:rsidRPr="009C670D">
        <w:rPr>
          <w:rFonts w:asciiTheme="majorHAnsi" w:hAnsiTheme="majorHAnsi" w:cstheme="majorHAnsi"/>
          <w:sz w:val="16"/>
          <w:szCs w:val="16"/>
        </w:rPr>
        <w:t>P</w:t>
      </w:r>
      <w:r>
        <w:rPr>
          <w:rFonts w:asciiTheme="majorHAnsi" w:hAnsiTheme="majorHAnsi" w:cstheme="majorHAnsi"/>
          <w:sz w:val="16"/>
          <w:szCs w:val="16"/>
        </w:rPr>
        <w:t>”</w:t>
      </w:r>
      <w:r w:rsidRPr="009C670D">
        <w:rPr>
          <w:rFonts w:asciiTheme="majorHAnsi" w:hAnsiTheme="majorHAnsi" w:cstheme="maj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46" w:rsidRPr="00275472" w:rsidRDefault="00B2460C" w:rsidP="009F1BBC">
    <w:pPr>
      <w:pStyle w:val="ae"/>
      <w:jc w:val="right"/>
      <w:rPr>
        <w:rFonts w:asciiTheme="majorHAnsi" w:hAnsiTheme="majorHAnsi"/>
        <w:b/>
        <w:i/>
        <w:sz w:val="24"/>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8D3F61"/>
    <w:multiLevelType w:val="multilevel"/>
    <w:tmpl w:val="0008AC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827BA"/>
    <w:rsid w:val="004B3D3B"/>
    <w:rsid w:val="00622DB3"/>
    <w:rsid w:val="00657206"/>
    <w:rsid w:val="008030D9"/>
    <w:rsid w:val="00867302"/>
    <w:rsid w:val="00931BD7"/>
    <w:rsid w:val="00963D30"/>
    <w:rsid w:val="00A245BB"/>
    <w:rsid w:val="00A74BFB"/>
    <w:rsid w:val="00AF289F"/>
    <w:rsid w:val="00B2460C"/>
    <w:rsid w:val="00B378C8"/>
    <w:rsid w:val="00B50A6C"/>
    <w:rsid w:val="00B76E79"/>
    <w:rsid w:val="00C546C4"/>
    <w:rsid w:val="00C94F78"/>
    <w:rsid w:val="00E73E7A"/>
    <w:rsid w:val="00E74F96"/>
    <w:rsid w:val="00E827BA"/>
    <w:rsid w:val="00F4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27BA"/>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E827BA"/>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E827BA"/>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E827BA"/>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qFormat/>
    <w:rsid w:val="00E827BA"/>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E827BA"/>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E827BA"/>
    <w:pPr>
      <w:spacing w:line="240" w:lineRule="exact"/>
    </w:pPr>
    <w:rPr>
      <w:vertAlign w:val="superscript"/>
    </w:rPr>
  </w:style>
  <w:style w:type="paragraph" w:customStyle="1" w:styleId="Default">
    <w:name w:val="Default"/>
    <w:rsid w:val="00E827BA"/>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E827BA"/>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E827BA"/>
    <w:rPr>
      <w:rFonts w:ascii="Times New Roman" w:eastAsia="Times New Roman" w:hAnsi="Times New Roman" w:cs="Times New Roman"/>
      <w:sz w:val="20"/>
      <w:szCs w:val="20"/>
    </w:rPr>
  </w:style>
  <w:style w:type="paragraph" w:styleId="ac">
    <w:name w:val="footer"/>
    <w:basedOn w:val="a"/>
    <w:link w:val="ad"/>
    <w:uiPriority w:val="99"/>
    <w:unhideWhenUsed/>
    <w:rsid w:val="00E827BA"/>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E827BA"/>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E827BA"/>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E827BA"/>
    <w:rPr>
      <w:szCs w:val="24"/>
    </w:rPr>
  </w:style>
  <w:style w:type="paragraph" w:styleId="HTML">
    <w:name w:val="HTML Preformatted"/>
    <w:basedOn w:val="a"/>
    <w:link w:val="HTML0"/>
    <w:uiPriority w:val="99"/>
    <w:rsid w:val="00E8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E827BA"/>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E827BA"/>
    <w:rPr>
      <w:sz w:val="16"/>
      <w:szCs w:val="16"/>
    </w:rPr>
  </w:style>
  <w:style w:type="paragraph" w:styleId="af1">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f2"/>
    <w:uiPriority w:val="99"/>
    <w:unhideWhenUsed/>
    <w:qFormat/>
    <w:rsid w:val="00E827BA"/>
    <w:pPr>
      <w:spacing w:after="0" w:line="240" w:lineRule="auto"/>
      <w:ind w:firstLine="567"/>
      <w:jc w:val="both"/>
    </w:pPr>
    <w:rPr>
      <w:rFonts w:ascii="Times New Roman" w:eastAsia="Times New Roman" w:hAnsi="Times New Roman" w:cs="Times New Roman"/>
      <w:sz w:val="24"/>
      <w:szCs w:val="24"/>
    </w:rPr>
  </w:style>
  <w:style w:type="character" w:customStyle="1" w:styleId="af2">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f1"/>
    <w:uiPriority w:val="99"/>
    <w:locked/>
    <w:rsid w:val="00E827BA"/>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E827BA"/>
    <w:pPr>
      <w:spacing w:after="0" w:line="240" w:lineRule="auto"/>
    </w:pPr>
    <w:rPr>
      <w:rFonts w:ascii="Segoe UI" w:hAnsi="Segoe UI"/>
      <w:sz w:val="18"/>
      <w:szCs w:val="18"/>
    </w:rPr>
  </w:style>
  <w:style w:type="character" w:customStyle="1" w:styleId="af4">
    <w:name w:val="Текст выноски Знак"/>
    <w:basedOn w:val="a0"/>
    <w:link w:val="af3"/>
    <w:uiPriority w:val="99"/>
    <w:semiHidden/>
    <w:rsid w:val="00E827BA"/>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eu</cp:lastModifiedBy>
  <cp:revision>2</cp:revision>
  <dcterms:created xsi:type="dcterms:W3CDTF">2022-07-19T12:45:00Z</dcterms:created>
  <dcterms:modified xsi:type="dcterms:W3CDTF">2022-07-19T12:45:00Z</dcterms:modified>
</cp:coreProperties>
</file>