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4C" w:rsidRPr="00563C4C" w:rsidRDefault="00563C4C" w:rsidP="00563C4C">
      <w:pPr>
        <w:tabs>
          <w:tab w:val="left" w:pos="720"/>
        </w:tabs>
        <w:spacing w:after="0" w:line="276" w:lineRule="auto"/>
        <w:jc w:val="right"/>
        <w:rPr>
          <w:rFonts w:asciiTheme="majorHAnsi" w:eastAsia="Times New Roman" w:hAnsiTheme="majorHAnsi" w:cstheme="majorHAnsi"/>
          <w:bCs/>
          <w:sz w:val="28"/>
          <w:szCs w:val="28"/>
          <w:lang w:val="ro-RO"/>
        </w:rPr>
      </w:pPr>
      <w:bookmarkStart w:id="0" w:name="_GoBack"/>
      <w:bookmarkEnd w:id="0"/>
      <w:r w:rsidRPr="00563C4C">
        <w:rPr>
          <w:rFonts w:asciiTheme="majorHAnsi" w:eastAsia="Times New Roman" w:hAnsiTheme="majorHAnsi" w:cstheme="majorHAnsi"/>
          <w:bCs/>
          <w:sz w:val="28"/>
          <w:szCs w:val="28"/>
          <w:lang w:val="ro-RO"/>
        </w:rPr>
        <w:t xml:space="preserve"> </w:t>
      </w:r>
    </w:p>
    <w:p w:rsidR="00563C4C" w:rsidRPr="00563C4C" w:rsidRDefault="00563C4C" w:rsidP="00563C4C">
      <w:pPr>
        <w:tabs>
          <w:tab w:val="left" w:pos="720"/>
        </w:tabs>
        <w:spacing w:after="0" w:line="276" w:lineRule="auto"/>
        <w:jc w:val="right"/>
        <w:rPr>
          <w:rFonts w:asciiTheme="majorHAnsi" w:eastAsia="Times New Roman" w:hAnsiTheme="majorHAnsi" w:cstheme="majorHAnsi"/>
          <w:bCs/>
          <w:sz w:val="28"/>
          <w:szCs w:val="28"/>
          <w:lang w:val="ro-RO"/>
        </w:rPr>
      </w:pPr>
      <w:r w:rsidRPr="00563C4C">
        <w:rPr>
          <w:rFonts w:asciiTheme="majorHAnsi" w:eastAsia="Times New Roman" w:hAnsiTheme="majorHAnsi" w:cstheme="majorHAnsi"/>
          <w:bCs/>
          <w:sz w:val="28"/>
          <w:szCs w:val="28"/>
          <w:lang w:val="ro-RO"/>
        </w:rPr>
        <w:t xml:space="preserve">Anexă </w:t>
      </w:r>
    </w:p>
    <w:p w:rsidR="00563C4C" w:rsidRPr="00563C4C" w:rsidRDefault="00563C4C" w:rsidP="00563C4C">
      <w:pPr>
        <w:tabs>
          <w:tab w:val="left" w:pos="720"/>
        </w:tabs>
        <w:spacing w:after="0" w:line="276" w:lineRule="auto"/>
        <w:jc w:val="right"/>
        <w:rPr>
          <w:rFonts w:asciiTheme="majorHAnsi" w:eastAsia="Times New Roman" w:hAnsiTheme="majorHAnsi" w:cstheme="majorHAnsi"/>
          <w:bCs/>
          <w:sz w:val="28"/>
          <w:szCs w:val="28"/>
          <w:lang w:val="ro-RO"/>
        </w:rPr>
      </w:pPr>
      <w:r w:rsidRPr="00563C4C">
        <w:rPr>
          <w:rFonts w:asciiTheme="majorHAnsi" w:eastAsia="Times New Roman" w:hAnsiTheme="majorHAnsi" w:cstheme="majorHAnsi"/>
          <w:bCs/>
          <w:sz w:val="28"/>
          <w:szCs w:val="28"/>
          <w:lang w:val="ro-RO"/>
        </w:rPr>
        <w:t xml:space="preserve">la Hotărârea Curții de Conturi </w:t>
      </w:r>
    </w:p>
    <w:p w:rsidR="00563C4C" w:rsidRPr="00563C4C" w:rsidRDefault="00563C4C" w:rsidP="00563C4C">
      <w:pPr>
        <w:tabs>
          <w:tab w:val="left" w:pos="720"/>
        </w:tabs>
        <w:spacing w:after="0" w:line="276" w:lineRule="auto"/>
        <w:jc w:val="right"/>
        <w:rPr>
          <w:rFonts w:asciiTheme="majorHAnsi" w:eastAsia="Times New Roman" w:hAnsiTheme="majorHAnsi" w:cstheme="majorHAnsi"/>
          <w:bCs/>
          <w:color w:val="1F4E79" w:themeColor="accent1" w:themeShade="80"/>
          <w:sz w:val="28"/>
          <w:szCs w:val="28"/>
          <w:lang w:val="ro-RO"/>
        </w:rPr>
      </w:pPr>
      <w:r w:rsidRPr="00563C4C">
        <w:rPr>
          <w:rFonts w:asciiTheme="majorHAnsi" w:eastAsia="Times New Roman" w:hAnsiTheme="majorHAnsi" w:cstheme="majorHAnsi"/>
          <w:bCs/>
          <w:sz w:val="28"/>
          <w:szCs w:val="28"/>
          <w:lang w:val="ro-RO"/>
        </w:rPr>
        <w:t xml:space="preserve"> nr. </w:t>
      </w:r>
      <w:r w:rsidR="00126E99">
        <w:rPr>
          <w:rFonts w:asciiTheme="majorHAnsi" w:eastAsia="Times New Roman" w:hAnsiTheme="majorHAnsi" w:cstheme="majorHAnsi"/>
          <w:bCs/>
          <w:sz w:val="28"/>
          <w:szCs w:val="28"/>
          <w:lang w:val="ro-RO"/>
        </w:rPr>
        <w:t>16</w:t>
      </w:r>
      <w:r w:rsidRPr="00563C4C">
        <w:rPr>
          <w:rFonts w:asciiTheme="majorHAnsi" w:eastAsia="Times New Roman" w:hAnsiTheme="majorHAnsi" w:cstheme="majorHAnsi"/>
          <w:bCs/>
          <w:sz w:val="28"/>
          <w:szCs w:val="28"/>
          <w:lang w:val="ro-RO"/>
        </w:rPr>
        <w:t xml:space="preserve"> din </w:t>
      </w:r>
      <w:r w:rsidR="000B6AF1">
        <w:rPr>
          <w:rFonts w:asciiTheme="majorHAnsi" w:eastAsia="Times New Roman" w:hAnsiTheme="majorHAnsi" w:cstheme="majorHAnsi"/>
          <w:bCs/>
          <w:sz w:val="28"/>
          <w:szCs w:val="28"/>
          <w:lang w:val="ro-RO"/>
        </w:rPr>
        <w:t>23</w:t>
      </w:r>
      <w:r w:rsidR="003C36F1">
        <w:rPr>
          <w:rFonts w:asciiTheme="majorHAnsi" w:eastAsia="Times New Roman" w:hAnsiTheme="majorHAnsi" w:cstheme="majorHAnsi"/>
          <w:bCs/>
          <w:sz w:val="28"/>
          <w:szCs w:val="28"/>
          <w:lang w:val="ro-RO"/>
        </w:rPr>
        <w:t xml:space="preserve"> mai </w:t>
      </w:r>
      <w:r w:rsidRPr="00563C4C">
        <w:rPr>
          <w:rFonts w:asciiTheme="majorHAnsi" w:eastAsia="Times New Roman" w:hAnsiTheme="majorHAnsi" w:cstheme="majorHAnsi"/>
          <w:bCs/>
          <w:sz w:val="28"/>
          <w:szCs w:val="28"/>
          <w:lang w:val="ro-RO"/>
        </w:rPr>
        <w:t>2022</w:t>
      </w:r>
    </w:p>
    <w:p w:rsidR="00563C4C" w:rsidRPr="00563C4C" w:rsidRDefault="00563C4C" w:rsidP="00563C4C">
      <w:pPr>
        <w:spacing w:after="0" w:line="276" w:lineRule="auto"/>
        <w:jc w:val="center"/>
        <w:rPr>
          <w:rFonts w:asciiTheme="majorHAnsi" w:hAnsiTheme="majorHAnsi" w:cstheme="majorHAnsi"/>
          <w:b/>
          <w:sz w:val="28"/>
          <w:szCs w:val="28"/>
          <w:lang w:val="ro-RO"/>
        </w:rPr>
      </w:pPr>
      <w:r w:rsidRPr="00563C4C">
        <w:rPr>
          <w:rFonts w:asciiTheme="majorHAnsi" w:hAnsiTheme="majorHAnsi" w:cstheme="majorHAnsi"/>
          <w:b/>
          <w:noProof/>
          <w:sz w:val="28"/>
          <w:szCs w:val="28"/>
        </w:rPr>
        <w:drawing>
          <wp:inline distT="0" distB="0" distL="0" distR="0" wp14:anchorId="2FFFB374" wp14:editId="7F943DE2">
            <wp:extent cx="1377950" cy="13836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383665"/>
                    </a:xfrm>
                    <a:prstGeom prst="rect">
                      <a:avLst/>
                    </a:prstGeom>
                    <a:noFill/>
                  </pic:spPr>
                </pic:pic>
              </a:graphicData>
            </a:graphic>
          </wp:inline>
        </w:drawing>
      </w:r>
    </w:p>
    <w:p w:rsidR="00563C4C" w:rsidRPr="00563C4C" w:rsidRDefault="00563C4C" w:rsidP="00563C4C">
      <w:pPr>
        <w:spacing w:after="0" w:line="276" w:lineRule="auto"/>
        <w:jc w:val="center"/>
        <w:rPr>
          <w:rFonts w:asciiTheme="majorHAnsi" w:hAnsiTheme="majorHAnsi" w:cstheme="majorHAnsi"/>
          <w:b/>
          <w:sz w:val="28"/>
          <w:szCs w:val="28"/>
          <w:lang w:val="ro-RO"/>
        </w:rPr>
      </w:pPr>
    </w:p>
    <w:p w:rsidR="00563C4C" w:rsidRPr="00563C4C" w:rsidRDefault="00563C4C" w:rsidP="00563C4C">
      <w:pPr>
        <w:spacing w:after="0" w:line="276" w:lineRule="auto"/>
        <w:jc w:val="center"/>
        <w:rPr>
          <w:rFonts w:asciiTheme="majorHAnsi" w:hAnsiTheme="majorHAnsi" w:cstheme="majorHAnsi"/>
          <w:b/>
          <w:sz w:val="28"/>
          <w:szCs w:val="28"/>
          <w:lang w:val="ro-RO"/>
        </w:rPr>
      </w:pPr>
    </w:p>
    <w:p w:rsidR="00563C4C" w:rsidRPr="00563C4C" w:rsidRDefault="00563C4C" w:rsidP="00563C4C">
      <w:pPr>
        <w:spacing w:after="0" w:line="276" w:lineRule="auto"/>
        <w:jc w:val="center"/>
        <w:rPr>
          <w:rFonts w:asciiTheme="majorHAnsi" w:hAnsiTheme="majorHAnsi" w:cstheme="majorHAnsi"/>
          <w:b/>
          <w:sz w:val="28"/>
          <w:szCs w:val="28"/>
          <w:lang w:val="ro-RO"/>
        </w:rPr>
      </w:pPr>
    </w:p>
    <w:p w:rsidR="00563C4C" w:rsidRPr="00563C4C" w:rsidRDefault="00563C4C" w:rsidP="00563C4C">
      <w:pPr>
        <w:spacing w:after="0" w:line="276" w:lineRule="auto"/>
        <w:jc w:val="center"/>
        <w:rPr>
          <w:rFonts w:asciiTheme="majorHAnsi" w:hAnsiTheme="majorHAnsi" w:cstheme="majorHAnsi"/>
          <w:b/>
          <w:sz w:val="28"/>
          <w:szCs w:val="28"/>
          <w:lang w:val="ro-RO"/>
        </w:rPr>
      </w:pPr>
      <w:r w:rsidRPr="00563C4C">
        <w:rPr>
          <w:rFonts w:asciiTheme="majorHAnsi" w:hAnsiTheme="majorHAnsi" w:cstheme="majorHAnsi"/>
          <w:b/>
          <w:sz w:val="28"/>
          <w:szCs w:val="28"/>
          <w:lang w:val="ro-RO"/>
        </w:rPr>
        <w:t>CURTEA DE CONTURI A REPUBLICII MOLDOVA</w:t>
      </w:r>
    </w:p>
    <w:p w:rsidR="00563C4C" w:rsidRPr="00563C4C" w:rsidRDefault="00563C4C" w:rsidP="00563C4C">
      <w:pPr>
        <w:spacing w:after="0" w:line="276" w:lineRule="auto"/>
        <w:rPr>
          <w:rFonts w:asciiTheme="majorHAnsi" w:hAnsiTheme="majorHAnsi" w:cstheme="majorHAnsi"/>
          <w:lang w:val="ro-RO"/>
        </w:rPr>
      </w:pPr>
    </w:p>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tbl>
      <w:tblPr>
        <w:tblW w:w="0" w:type="auto"/>
        <w:tblBorders>
          <w:top w:val="thinThickSmallGap" w:sz="12" w:space="0" w:color="auto"/>
          <w:bottom w:val="thickThinSmallGap" w:sz="12" w:space="0" w:color="auto"/>
        </w:tblBorders>
        <w:tblLook w:val="04A0" w:firstRow="1" w:lastRow="0" w:firstColumn="1" w:lastColumn="0" w:noHBand="0" w:noVBand="1"/>
      </w:tblPr>
      <w:tblGrid>
        <w:gridCol w:w="9214"/>
      </w:tblGrid>
      <w:tr w:rsidR="00563C4C" w:rsidRPr="00563C4C" w:rsidTr="0087559B">
        <w:trPr>
          <w:trHeight w:val="435"/>
        </w:trPr>
        <w:tc>
          <w:tcPr>
            <w:tcW w:w="9350" w:type="dxa"/>
          </w:tcPr>
          <w:p w:rsidR="00563C4C" w:rsidRPr="00D65FE8" w:rsidRDefault="00563C4C" w:rsidP="00563C4C">
            <w:pPr>
              <w:tabs>
                <w:tab w:val="left" w:pos="720"/>
              </w:tabs>
              <w:spacing w:after="0" w:line="276" w:lineRule="auto"/>
              <w:jc w:val="center"/>
              <w:rPr>
                <w:rFonts w:asciiTheme="majorHAnsi" w:hAnsiTheme="majorHAnsi" w:cstheme="majorHAnsi"/>
                <w:sz w:val="18"/>
                <w:szCs w:val="18"/>
                <w:lang w:val="ro-RO"/>
              </w:rPr>
            </w:pPr>
            <w:r w:rsidRPr="00D65FE8">
              <w:rPr>
                <w:rFonts w:asciiTheme="majorHAnsi" w:hAnsiTheme="majorHAnsi" w:cstheme="majorHAnsi"/>
                <w:sz w:val="18"/>
                <w:szCs w:val="18"/>
                <w:lang w:val="ro-RO"/>
              </w:rPr>
              <w:t xml:space="preserve">MD-2001, mun. Chișinău, bd. Ștefan cel Mare și Sfânt nr.69, tel.: (+373) 22 </w:t>
            </w:r>
            <w:r w:rsidR="00A07DD8" w:rsidRPr="00D65FE8">
              <w:rPr>
                <w:rFonts w:asciiTheme="majorHAnsi" w:hAnsiTheme="majorHAnsi" w:cstheme="majorHAnsi"/>
                <w:noProof/>
                <w:sz w:val="18"/>
                <w:szCs w:val="18"/>
                <w:lang w:val="ro-RO"/>
              </w:rPr>
              <w:t>26 60 02</w:t>
            </w:r>
            <w:r w:rsidRPr="00D65FE8">
              <w:rPr>
                <w:rFonts w:asciiTheme="majorHAnsi" w:hAnsiTheme="majorHAnsi" w:cstheme="majorHAnsi"/>
                <w:sz w:val="18"/>
                <w:szCs w:val="18"/>
                <w:lang w:val="ro-RO"/>
              </w:rPr>
              <w:t xml:space="preserve">, fax: (+373) 22 </w:t>
            </w:r>
            <w:r w:rsidR="00A07DD8" w:rsidRPr="00D65FE8">
              <w:rPr>
                <w:rFonts w:asciiTheme="majorHAnsi" w:hAnsiTheme="majorHAnsi" w:cstheme="majorHAnsi"/>
                <w:noProof/>
                <w:sz w:val="18"/>
                <w:szCs w:val="18"/>
                <w:lang w:val="ro-RO"/>
              </w:rPr>
              <w:t>26 61 00</w:t>
            </w:r>
            <w:r w:rsidRPr="00D65FE8">
              <w:rPr>
                <w:rFonts w:asciiTheme="majorHAnsi" w:hAnsiTheme="majorHAnsi" w:cstheme="majorHAnsi"/>
                <w:sz w:val="18"/>
                <w:szCs w:val="18"/>
                <w:lang w:val="ro-RO"/>
              </w:rPr>
              <w:t xml:space="preserve">, </w:t>
            </w:r>
          </w:p>
          <w:p w:rsidR="00563C4C" w:rsidRPr="00563C4C" w:rsidRDefault="00C73447" w:rsidP="00563C4C">
            <w:pPr>
              <w:tabs>
                <w:tab w:val="left" w:pos="720"/>
              </w:tabs>
              <w:spacing w:after="0" w:line="276" w:lineRule="auto"/>
              <w:jc w:val="center"/>
              <w:rPr>
                <w:rFonts w:asciiTheme="majorHAnsi" w:eastAsia="Times New Roman" w:hAnsiTheme="majorHAnsi" w:cstheme="majorHAnsi"/>
                <w:b/>
                <w:bCs/>
                <w:color w:val="1F4E79" w:themeColor="accent1" w:themeShade="80"/>
                <w:sz w:val="24"/>
                <w:szCs w:val="24"/>
                <w:lang w:val="ro-RO"/>
              </w:rPr>
            </w:pPr>
            <w:hyperlink r:id="rId9" w:history="1">
              <w:r w:rsidR="00563C4C" w:rsidRPr="00D65FE8">
                <w:rPr>
                  <w:rFonts w:asciiTheme="majorHAnsi" w:hAnsiTheme="majorHAnsi" w:cstheme="majorHAnsi"/>
                  <w:b/>
                  <w:color w:val="0563C1" w:themeColor="hyperlink"/>
                  <w:sz w:val="18"/>
                  <w:szCs w:val="18"/>
                  <w:u w:val="single"/>
                  <w:lang w:val="ro-RO"/>
                </w:rPr>
                <w:t>www.ccrm.md</w:t>
              </w:r>
            </w:hyperlink>
            <w:r w:rsidR="00563C4C" w:rsidRPr="00D65FE8">
              <w:rPr>
                <w:rFonts w:asciiTheme="majorHAnsi" w:hAnsiTheme="majorHAnsi" w:cstheme="majorHAnsi"/>
                <w:b/>
                <w:color w:val="0563C1" w:themeColor="hyperlink"/>
                <w:sz w:val="18"/>
                <w:szCs w:val="18"/>
                <w:u w:val="single"/>
                <w:lang w:val="ro-RO"/>
              </w:rPr>
              <w:t xml:space="preserve">; </w:t>
            </w:r>
            <w:r w:rsidR="00563C4C" w:rsidRPr="00D65FE8">
              <w:rPr>
                <w:rFonts w:asciiTheme="majorHAnsi" w:hAnsiTheme="majorHAnsi" w:cstheme="majorHAnsi"/>
                <w:sz w:val="18"/>
                <w:szCs w:val="18"/>
                <w:lang w:val="ro-RO"/>
              </w:rPr>
              <w:t xml:space="preserve">e-mail: </w:t>
            </w:r>
            <w:hyperlink r:id="rId10" w:history="1">
              <w:r w:rsidR="00563C4C" w:rsidRPr="00D65FE8">
                <w:rPr>
                  <w:rFonts w:asciiTheme="majorHAnsi" w:hAnsiTheme="majorHAnsi" w:cstheme="majorHAnsi"/>
                  <w:b/>
                  <w:color w:val="0563C1" w:themeColor="hyperlink"/>
                  <w:sz w:val="18"/>
                  <w:szCs w:val="18"/>
                  <w:u w:val="single"/>
                  <w:lang w:val="ro-RO"/>
                </w:rPr>
                <w:t>ccrm@ccrm.md</w:t>
              </w:r>
            </w:hyperlink>
          </w:p>
        </w:tc>
      </w:tr>
    </w:tbl>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p w:rsidR="00563C4C" w:rsidRPr="00563C4C" w:rsidRDefault="00563C4C" w:rsidP="00563C4C">
      <w:pPr>
        <w:tabs>
          <w:tab w:val="left" w:pos="720"/>
        </w:tabs>
        <w:spacing w:after="0" w:line="276" w:lineRule="auto"/>
        <w:jc w:val="right"/>
        <w:rPr>
          <w:rFonts w:asciiTheme="majorHAnsi" w:eastAsia="Times New Roman" w:hAnsiTheme="majorHAnsi" w:cstheme="majorHAnsi"/>
          <w:b/>
          <w:bCs/>
          <w:color w:val="1F4E79" w:themeColor="accent1" w:themeShade="80"/>
          <w:sz w:val="24"/>
          <w:szCs w:val="24"/>
          <w:lang w:val="ro-RO"/>
        </w:rPr>
      </w:pPr>
    </w:p>
    <w:p w:rsidR="00563C4C" w:rsidRPr="00563C4C" w:rsidRDefault="00563C4C" w:rsidP="00563C4C">
      <w:pPr>
        <w:tabs>
          <w:tab w:val="left" w:pos="720"/>
        </w:tabs>
        <w:spacing w:after="0" w:line="276" w:lineRule="auto"/>
        <w:jc w:val="center"/>
        <w:rPr>
          <w:rFonts w:asciiTheme="majorHAnsi" w:eastAsia="Times New Roman" w:hAnsiTheme="majorHAnsi" w:cstheme="majorHAnsi"/>
          <w:b/>
          <w:bCs/>
          <w:sz w:val="32"/>
          <w:szCs w:val="32"/>
          <w:lang w:val="ro-RO"/>
        </w:rPr>
      </w:pPr>
      <w:r w:rsidRPr="00563C4C">
        <w:rPr>
          <w:rFonts w:asciiTheme="majorHAnsi" w:eastAsia="Times New Roman" w:hAnsiTheme="majorHAnsi" w:cstheme="majorHAnsi"/>
          <w:b/>
          <w:bCs/>
          <w:sz w:val="32"/>
          <w:szCs w:val="32"/>
          <w:lang w:val="ro-RO"/>
        </w:rPr>
        <w:t xml:space="preserve">RAPORTUL </w:t>
      </w:r>
    </w:p>
    <w:p w:rsidR="00563C4C" w:rsidRPr="00563C4C" w:rsidRDefault="00563C4C" w:rsidP="00563C4C">
      <w:pPr>
        <w:tabs>
          <w:tab w:val="left" w:pos="720"/>
        </w:tabs>
        <w:spacing w:after="0" w:line="276" w:lineRule="auto"/>
        <w:ind w:right="-24"/>
        <w:jc w:val="center"/>
        <w:rPr>
          <w:rFonts w:asciiTheme="majorHAnsi" w:eastAsia="Times New Roman" w:hAnsiTheme="majorHAnsi" w:cstheme="majorHAnsi"/>
          <w:b/>
          <w:bCs/>
          <w:sz w:val="32"/>
          <w:szCs w:val="32"/>
          <w:lang w:val="ro-RO"/>
        </w:rPr>
      </w:pPr>
      <w:r w:rsidRPr="00563C4C">
        <w:rPr>
          <w:rFonts w:asciiTheme="majorHAnsi" w:eastAsia="Times New Roman" w:hAnsiTheme="majorHAnsi" w:cstheme="majorHAnsi"/>
          <w:b/>
          <w:bCs/>
          <w:sz w:val="32"/>
          <w:szCs w:val="32"/>
          <w:lang w:val="ro-RO"/>
        </w:rPr>
        <w:t>auditului asupra rapoartelor financiare consolidate ale</w:t>
      </w:r>
    </w:p>
    <w:p w:rsidR="00563C4C" w:rsidRPr="00563C4C" w:rsidRDefault="00563C4C" w:rsidP="00563C4C">
      <w:pPr>
        <w:tabs>
          <w:tab w:val="left" w:pos="720"/>
        </w:tabs>
        <w:spacing w:after="0" w:line="276" w:lineRule="auto"/>
        <w:ind w:right="-24"/>
        <w:jc w:val="center"/>
        <w:rPr>
          <w:rFonts w:asciiTheme="majorHAnsi" w:eastAsia="Times New Roman" w:hAnsiTheme="majorHAnsi" w:cstheme="majorHAnsi"/>
          <w:b/>
          <w:bCs/>
          <w:sz w:val="32"/>
          <w:szCs w:val="32"/>
          <w:lang w:val="ro-RO"/>
        </w:rPr>
      </w:pPr>
      <w:r w:rsidRPr="00563C4C">
        <w:rPr>
          <w:rFonts w:asciiTheme="majorHAnsi" w:eastAsia="Times New Roman" w:hAnsiTheme="majorHAnsi" w:cstheme="majorHAnsi"/>
          <w:b/>
          <w:bCs/>
          <w:sz w:val="32"/>
          <w:szCs w:val="32"/>
          <w:lang w:val="ro-RO"/>
        </w:rPr>
        <w:t xml:space="preserve"> Ministerului Afacerilor Externe și Integrării Europene încheiate la </w:t>
      </w:r>
    </w:p>
    <w:p w:rsidR="00563C4C" w:rsidRPr="00563C4C" w:rsidRDefault="00563C4C" w:rsidP="00563C4C">
      <w:pPr>
        <w:tabs>
          <w:tab w:val="left" w:pos="720"/>
        </w:tabs>
        <w:spacing w:after="0" w:line="276" w:lineRule="auto"/>
        <w:ind w:right="-24"/>
        <w:jc w:val="center"/>
        <w:rPr>
          <w:rFonts w:asciiTheme="majorHAnsi" w:eastAsia="Times New Roman" w:hAnsiTheme="majorHAnsi" w:cstheme="majorHAnsi"/>
          <w:b/>
          <w:bCs/>
          <w:sz w:val="32"/>
          <w:szCs w:val="32"/>
          <w:lang w:val="ro-RO"/>
        </w:rPr>
      </w:pPr>
      <w:r w:rsidRPr="00563C4C">
        <w:rPr>
          <w:rFonts w:asciiTheme="majorHAnsi" w:eastAsia="Times New Roman" w:hAnsiTheme="majorHAnsi" w:cstheme="majorHAnsi"/>
          <w:b/>
          <w:bCs/>
          <w:sz w:val="32"/>
          <w:szCs w:val="32"/>
          <w:lang w:val="ro-RO"/>
        </w:rPr>
        <w:t>31 decembrie 2021</w:t>
      </w:r>
    </w:p>
    <w:p w:rsidR="00563C4C" w:rsidRPr="00563C4C" w:rsidRDefault="00563C4C" w:rsidP="00563C4C">
      <w:pPr>
        <w:tabs>
          <w:tab w:val="left" w:pos="720"/>
        </w:tabs>
        <w:spacing w:after="0" w:line="276" w:lineRule="auto"/>
        <w:ind w:right="-24"/>
        <w:jc w:val="both"/>
        <w:rPr>
          <w:rFonts w:asciiTheme="majorHAnsi" w:eastAsia="Times New Roman" w:hAnsiTheme="majorHAnsi" w:cstheme="majorHAnsi"/>
          <w:b/>
          <w:bCs/>
          <w:sz w:val="32"/>
          <w:szCs w:val="32"/>
          <w:lang w:val="ro-RO"/>
        </w:rPr>
      </w:pPr>
    </w:p>
    <w:p w:rsidR="00563C4C" w:rsidRPr="00563C4C" w:rsidRDefault="00563C4C" w:rsidP="00563C4C">
      <w:pPr>
        <w:tabs>
          <w:tab w:val="left" w:pos="720"/>
        </w:tabs>
        <w:spacing w:after="0" w:line="276" w:lineRule="auto"/>
        <w:ind w:right="-24" w:firstLine="720"/>
        <w:jc w:val="both"/>
        <w:rPr>
          <w:rFonts w:asciiTheme="majorHAnsi" w:eastAsia="Times New Roman" w:hAnsiTheme="majorHAnsi" w:cstheme="majorHAnsi"/>
          <w:b/>
          <w:bCs/>
          <w:sz w:val="32"/>
          <w:szCs w:val="32"/>
          <w:lang w:val="ro-RO"/>
        </w:rPr>
      </w:pPr>
    </w:p>
    <w:p w:rsidR="00563C4C" w:rsidRPr="00563C4C" w:rsidRDefault="00563C4C" w:rsidP="00563C4C">
      <w:pPr>
        <w:tabs>
          <w:tab w:val="left" w:pos="720"/>
        </w:tabs>
        <w:spacing w:after="0" w:line="276" w:lineRule="auto"/>
        <w:ind w:right="-24" w:firstLine="720"/>
        <w:jc w:val="both"/>
        <w:rPr>
          <w:rFonts w:asciiTheme="majorHAnsi" w:eastAsia="Times New Roman" w:hAnsiTheme="majorHAnsi" w:cstheme="majorHAnsi"/>
          <w:b/>
          <w:bCs/>
          <w:sz w:val="32"/>
          <w:szCs w:val="32"/>
          <w:lang w:val="ro-RO"/>
        </w:rPr>
      </w:pPr>
    </w:p>
    <w:p w:rsidR="00563C4C" w:rsidRPr="00563C4C" w:rsidRDefault="00563C4C" w:rsidP="001A41ED">
      <w:pPr>
        <w:tabs>
          <w:tab w:val="left" w:pos="720"/>
          <w:tab w:val="left" w:pos="1276"/>
        </w:tabs>
        <w:spacing w:after="0" w:line="276" w:lineRule="auto"/>
        <w:ind w:right="-24" w:firstLine="720"/>
        <w:jc w:val="both"/>
        <w:rPr>
          <w:rFonts w:asciiTheme="majorHAnsi" w:eastAsia="Times New Roman" w:hAnsiTheme="majorHAnsi" w:cstheme="majorHAnsi"/>
          <w:b/>
          <w:bCs/>
          <w:sz w:val="32"/>
          <w:szCs w:val="32"/>
          <w:lang w:val="ro-RO"/>
        </w:rPr>
      </w:pPr>
    </w:p>
    <w:p w:rsidR="00563C4C" w:rsidRPr="00563C4C" w:rsidRDefault="00563C4C" w:rsidP="00563C4C">
      <w:pPr>
        <w:tabs>
          <w:tab w:val="left" w:pos="720"/>
        </w:tabs>
        <w:spacing w:after="0" w:line="276" w:lineRule="auto"/>
        <w:ind w:right="-24" w:firstLine="720"/>
        <w:jc w:val="both"/>
        <w:rPr>
          <w:rFonts w:asciiTheme="majorHAnsi" w:eastAsia="Times New Roman" w:hAnsiTheme="majorHAnsi" w:cstheme="majorHAnsi"/>
          <w:b/>
          <w:bCs/>
          <w:sz w:val="32"/>
          <w:szCs w:val="32"/>
          <w:lang w:val="ro-RO"/>
        </w:rPr>
      </w:pPr>
    </w:p>
    <w:p w:rsidR="00563C4C" w:rsidRPr="00563C4C" w:rsidRDefault="00563C4C" w:rsidP="00563C4C">
      <w:pPr>
        <w:spacing w:line="276" w:lineRule="auto"/>
        <w:rPr>
          <w:rFonts w:asciiTheme="majorHAnsi" w:eastAsia="Times New Roman" w:hAnsiTheme="majorHAnsi" w:cstheme="majorHAnsi"/>
          <w:b/>
          <w:bCs/>
          <w:sz w:val="32"/>
          <w:szCs w:val="32"/>
          <w:lang w:val="ro-RO"/>
        </w:rPr>
      </w:pPr>
      <w:r w:rsidRPr="00563C4C">
        <w:rPr>
          <w:rFonts w:asciiTheme="majorHAnsi" w:eastAsia="Times New Roman" w:hAnsiTheme="majorHAnsi" w:cstheme="majorHAnsi"/>
          <w:b/>
          <w:bCs/>
          <w:sz w:val="32"/>
          <w:szCs w:val="32"/>
          <w:lang w:val="ro-RO"/>
        </w:rPr>
        <w:br w:type="page"/>
      </w:r>
    </w:p>
    <w:p w:rsidR="00055C48" w:rsidRPr="00F30195" w:rsidRDefault="00055C48" w:rsidP="001A41ED">
      <w:pPr>
        <w:pStyle w:val="ListParagraph"/>
        <w:numPr>
          <w:ilvl w:val="0"/>
          <w:numId w:val="1"/>
        </w:numPr>
        <w:spacing w:after="0" w:line="276" w:lineRule="auto"/>
        <w:jc w:val="center"/>
        <w:rPr>
          <w:rFonts w:asciiTheme="majorHAnsi" w:hAnsiTheme="majorHAnsi" w:cstheme="majorHAnsi"/>
          <w:b/>
          <w:sz w:val="24"/>
          <w:szCs w:val="24"/>
          <w:lang w:val="ro-RO"/>
        </w:rPr>
      </w:pPr>
      <w:r w:rsidRPr="00F30195">
        <w:rPr>
          <w:rFonts w:asciiTheme="majorHAnsi" w:hAnsiTheme="majorHAnsi" w:cstheme="majorHAnsi"/>
          <w:b/>
          <w:bCs/>
          <w:sz w:val="24"/>
          <w:szCs w:val="24"/>
          <w:lang w:val="ro-RO"/>
        </w:rPr>
        <w:lastRenderedPageBreak/>
        <w:t>OPINIE CU REZERVE</w:t>
      </w:r>
    </w:p>
    <w:p w:rsidR="00055C48" w:rsidRDefault="00055C48" w:rsidP="00FF18FB">
      <w:pPr>
        <w:pStyle w:val="FootnoteText"/>
        <w:spacing w:after="120" w:line="276" w:lineRule="auto"/>
        <w:jc w:val="both"/>
        <w:rPr>
          <w:rFonts w:asciiTheme="majorHAnsi" w:hAnsiTheme="majorHAnsi" w:cstheme="majorHAnsi"/>
          <w:sz w:val="24"/>
          <w:szCs w:val="24"/>
          <w:lang w:val="ro-RO"/>
        </w:rPr>
      </w:pPr>
      <w:r w:rsidRPr="00A07DD8">
        <w:rPr>
          <w:rFonts w:asciiTheme="majorHAnsi" w:hAnsiTheme="majorHAnsi" w:cstheme="majorHAnsi"/>
          <w:sz w:val="24"/>
          <w:szCs w:val="24"/>
          <w:lang w:val="ro-RO"/>
        </w:rPr>
        <w:t>Am auditat rapoartele financiare consolidate</w:t>
      </w:r>
      <w:r w:rsidRPr="00A07DD8">
        <w:rPr>
          <w:rStyle w:val="FootnoteReference"/>
          <w:rFonts w:asciiTheme="majorHAnsi" w:eastAsiaTheme="majorEastAsia" w:hAnsiTheme="majorHAnsi" w:cstheme="majorHAnsi"/>
          <w:sz w:val="24"/>
          <w:szCs w:val="24"/>
          <w:lang w:val="ro-RO"/>
        </w:rPr>
        <w:footnoteReference w:id="1"/>
      </w:r>
      <w:r w:rsidRPr="00A07DD8">
        <w:rPr>
          <w:rFonts w:asciiTheme="majorHAnsi" w:hAnsiTheme="majorHAnsi" w:cstheme="majorHAnsi"/>
          <w:sz w:val="24"/>
          <w:szCs w:val="24"/>
          <w:lang w:val="ro-RO"/>
        </w:rPr>
        <w:t xml:space="preserve"> ale Ministerului Afacerilor Externe și Integrării Europene </w:t>
      </w:r>
      <w:r w:rsidR="005448C9" w:rsidRPr="00A07DD8">
        <w:rPr>
          <w:rFonts w:asciiTheme="majorHAnsi" w:hAnsiTheme="majorHAnsi" w:cstheme="majorHAnsi"/>
          <w:sz w:val="24"/>
          <w:szCs w:val="24"/>
          <w:lang w:val="ro-RO"/>
        </w:rPr>
        <w:t>(</w:t>
      </w:r>
      <w:r w:rsidR="005448C9" w:rsidRPr="00A07DD8">
        <w:rPr>
          <w:rFonts w:asciiTheme="majorHAnsi" w:hAnsiTheme="majorHAnsi" w:cstheme="majorHAnsi"/>
          <w:sz w:val="24"/>
          <w:szCs w:val="24"/>
          <w:lang w:val="ro-MD"/>
        </w:rPr>
        <w:t xml:space="preserve">în continuare – </w:t>
      </w:r>
      <w:r w:rsidR="006C3D73">
        <w:rPr>
          <w:rFonts w:asciiTheme="majorHAnsi" w:hAnsiTheme="majorHAnsi" w:cstheme="majorHAnsi"/>
          <w:sz w:val="24"/>
          <w:szCs w:val="24"/>
          <w:lang w:val="ro-MD"/>
        </w:rPr>
        <w:t>M</w:t>
      </w:r>
      <w:r w:rsidR="005448C9" w:rsidRPr="00A07DD8">
        <w:rPr>
          <w:rFonts w:asciiTheme="majorHAnsi" w:hAnsiTheme="majorHAnsi" w:cstheme="majorHAnsi"/>
          <w:sz w:val="24"/>
          <w:szCs w:val="24"/>
          <w:lang w:val="ro-MD"/>
        </w:rPr>
        <w:t xml:space="preserve">inisterul) </w:t>
      </w:r>
      <w:r w:rsidRPr="00A07DD8">
        <w:rPr>
          <w:rFonts w:asciiTheme="majorHAnsi" w:hAnsiTheme="majorHAnsi" w:cstheme="majorHAnsi"/>
          <w:sz w:val="24"/>
          <w:szCs w:val="24"/>
          <w:lang w:val="ro-RO"/>
        </w:rPr>
        <w:t>pentru exercițiul bugetar încheiat la 31 decembrie 2021, care cuprind Bilanțul contabil, Raportul privind veniturile și cheltuielile, Raportul privind fluxul mijloacelor bănești, Raportul privind executarea bugetului, Raportul narativ privind executarea bugetului pentru anul 2021, inclusiv un sumar al politicilor contabile semnificative. În opinia noastră, cu excepția efectelor unor aspecte descrise în secțiunea „Baza pentru opinia cu rezerve”, rapoartele financiare, sub toate aspectele semnificative, oferă o imagine corectă și fidelă în conformitate cu cadrul de raportare financiară aplicabil</w:t>
      </w:r>
      <w:r w:rsidRPr="00A07DD8">
        <w:rPr>
          <w:rStyle w:val="FootnoteReference"/>
          <w:rFonts w:asciiTheme="majorHAnsi" w:eastAsiaTheme="majorEastAsia" w:hAnsiTheme="majorHAnsi" w:cstheme="majorHAnsi"/>
          <w:sz w:val="24"/>
          <w:szCs w:val="24"/>
          <w:lang w:val="ro-RO"/>
        </w:rPr>
        <w:footnoteReference w:id="2"/>
      </w:r>
      <w:r w:rsidR="00CA11E2">
        <w:rPr>
          <w:rFonts w:asciiTheme="majorHAnsi" w:hAnsiTheme="majorHAnsi" w:cstheme="majorHAnsi"/>
          <w:sz w:val="24"/>
          <w:szCs w:val="24"/>
          <w:lang w:val="ro-RO"/>
        </w:rPr>
        <w:t>.</w:t>
      </w:r>
    </w:p>
    <w:p w:rsidR="00CA11E2" w:rsidRPr="00014507" w:rsidRDefault="00CA11E2" w:rsidP="00FF18FB">
      <w:pPr>
        <w:pStyle w:val="FootnoteText"/>
        <w:spacing w:after="120" w:line="276" w:lineRule="auto"/>
        <w:jc w:val="both"/>
        <w:rPr>
          <w:rFonts w:asciiTheme="majorHAnsi" w:hAnsiTheme="majorHAnsi" w:cstheme="majorHAnsi"/>
          <w:sz w:val="4"/>
          <w:szCs w:val="4"/>
          <w:lang w:val="ro-RO"/>
        </w:rPr>
      </w:pPr>
    </w:p>
    <w:p w:rsidR="00563C4C" w:rsidRDefault="00563C4C" w:rsidP="001A41ED">
      <w:pPr>
        <w:pStyle w:val="ListParagraph"/>
        <w:numPr>
          <w:ilvl w:val="0"/>
          <w:numId w:val="1"/>
        </w:numPr>
        <w:spacing w:after="0" w:line="276" w:lineRule="auto"/>
        <w:jc w:val="center"/>
        <w:rPr>
          <w:rFonts w:asciiTheme="majorHAnsi" w:hAnsiTheme="majorHAnsi" w:cstheme="majorHAnsi"/>
          <w:b/>
          <w:bCs/>
          <w:sz w:val="24"/>
          <w:szCs w:val="24"/>
          <w:lang w:val="ro-RO"/>
        </w:rPr>
      </w:pPr>
      <w:r w:rsidRPr="001A41ED">
        <w:rPr>
          <w:rFonts w:asciiTheme="majorHAnsi" w:hAnsiTheme="majorHAnsi" w:cstheme="majorHAnsi"/>
          <w:b/>
          <w:bCs/>
          <w:sz w:val="24"/>
          <w:szCs w:val="24"/>
          <w:lang w:val="ro-RO"/>
        </w:rPr>
        <w:t>B</w:t>
      </w:r>
      <w:r w:rsidR="001A41ED">
        <w:rPr>
          <w:rFonts w:asciiTheme="majorHAnsi" w:hAnsiTheme="majorHAnsi" w:cstheme="majorHAnsi"/>
          <w:b/>
          <w:bCs/>
          <w:sz w:val="24"/>
          <w:szCs w:val="24"/>
          <w:lang w:val="ro-RO"/>
        </w:rPr>
        <w:t>AZA PENTRU OPINIE</w:t>
      </w:r>
    </w:p>
    <w:p w:rsidR="00563C4C" w:rsidRDefault="00563C4C" w:rsidP="00FF18FB">
      <w:pPr>
        <w:tabs>
          <w:tab w:val="left" w:pos="90"/>
          <w:tab w:val="left" w:pos="270"/>
        </w:tabs>
        <w:spacing w:after="120" w:line="276" w:lineRule="auto"/>
        <w:jc w:val="both"/>
        <w:rPr>
          <w:rFonts w:asciiTheme="majorHAnsi" w:hAnsiTheme="majorHAnsi" w:cs="Times New Roman"/>
          <w:sz w:val="24"/>
          <w:szCs w:val="24"/>
          <w:lang w:val="ro-MD"/>
        </w:rPr>
      </w:pPr>
      <w:r w:rsidRPr="00563C4C">
        <w:rPr>
          <w:rFonts w:asciiTheme="majorHAnsi" w:hAnsiTheme="majorHAnsi"/>
          <w:sz w:val="24"/>
          <w:szCs w:val="24"/>
          <w:lang w:val="ro-MD"/>
        </w:rPr>
        <w:t xml:space="preserve">Am realizat misiunea de audit </w:t>
      </w:r>
      <w:r w:rsidRPr="00563C4C">
        <w:rPr>
          <w:rFonts w:asciiTheme="majorHAnsi" w:hAnsiTheme="majorHAnsi" w:cs="Times New Roman"/>
          <w:sz w:val="24"/>
          <w:szCs w:val="24"/>
          <w:lang w:val="ro-MD"/>
        </w:rPr>
        <w:t xml:space="preserve">în conformitate cu </w:t>
      </w:r>
      <w:r w:rsidRPr="00563C4C">
        <w:rPr>
          <w:rFonts w:asciiTheme="majorHAnsi" w:eastAsia="Times New Roman" w:hAnsiTheme="majorHAnsi" w:cs="Times New Roman"/>
          <w:sz w:val="24"/>
          <w:szCs w:val="24"/>
          <w:lang w:val="ro-MD"/>
        </w:rPr>
        <w:t>Standardele Internaționale ale Instituțiilor Supreme de Audit</w:t>
      </w:r>
      <w:r w:rsidRPr="00563C4C">
        <w:rPr>
          <w:rFonts w:asciiTheme="majorHAnsi" w:eastAsia="Times New Roman" w:hAnsiTheme="majorHAnsi" w:cs="Times New Roman"/>
          <w:sz w:val="24"/>
          <w:szCs w:val="24"/>
          <w:vertAlign w:val="superscript"/>
          <w:lang w:val="ro-MD"/>
        </w:rPr>
        <w:footnoteReference w:id="3"/>
      </w:r>
      <w:r w:rsidRPr="00563C4C">
        <w:rPr>
          <w:rFonts w:asciiTheme="majorHAnsi" w:eastAsia="Times New Roman" w:hAnsiTheme="majorHAnsi" w:cs="Times New Roman"/>
          <w:sz w:val="24"/>
          <w:szCs w:val="24"/>
          <w:lang w:val="ro-MD"/>
        </w:rPr>
        <w:t xml:space="preserve">. </w:t>
      </w:r>
      <w:r w:rsidRPr="00563C4C">
        <w:rPr>
          <w:rFonts w:asciiTheme="majorHAnsi" w:hAnsiTheme="majorHAnsi" w:cs="Times New Roman"/>
          <w:sz w:val="24"/>
          <w:szCs w:val="24"/>
          <w:lang w:val="ro-MD"/>
        </w:rPr>
        <w:t>Responsabilitățile noastre, potrivit standardelor respective, sunt descrise în secțiunea VI. Responsabilitățile auditorului într-un audit al rapoartelor financiare.</w:t>
      </w:r>
    </w:p>
    <w:p w:rsidR="0064452D" w:rsidRPr="0064452D" w:rsidRDefault="005448C9" w:rsidP="0064452D">
      <w:pPr>
        <w:spacing w:line="276" w:lineRule="auto"/>
        <w:jc w:val="both"/>
        <w:rPr>
          <w:rFonts w:asciiTheme="majorHAnsi" w:hAnsiTheme="majorHAnsi" w:cstheme="majorHAnsi"/>
          <w:sz w:val="24"/>
          <w:szCs w:val="24"/>
          <w:lang w:val="ro-MD"/>
        </w:rPr>
      </w:pPr>
      <w:r w:rsidRPr="005448C9">
        <w:rPr>
          <w:rFonts w:asciiTheme="majorHAnsi" w:hAnsiTheme="majorHAnsi" w:cstheme="majorHAnsi"/>
          <w:sz w:val="24"/>
          <w:szCs w:val="24"/>
          <w:lang w:val="ro-MD"/>
        </w:rPr>
        <w:t>Ministerul n</w:t>
      </w:r>
      <w:r w:rsidRPr="00563C4C">
        <w:rPr>
          <w:rFonts w:asciiTheme="majorHAnsi" w:hAnsiTheme="majorHAnsi" w:cstheme="majorHAnsi"/>
          <w:sz w:val="24"/>
          <w:szCs w:val="24"/>
          <w:lang w:val="ro-MD"/>
        </w:rPr>
        <w:t xml:space="preserve">u a aplicat prevederile Ordinului ministrului </w:t>
      </w:r>
      <w:r w:rsidR="00A07DD8">
        <w:rPr>
          <w:rFonts w:asciiTheme="majorHAnsi" w:hAnsiTheme="majorHAnsi" w:cstheme="majorHAnsi"/>
          <w:sz w:val="24"/>
          <w:szCs w:val="24"/>
          <w:lang w:val="ro-MD"/>
        </w:rPr>
        <w:t>F</w:t>
      </w:r>
      <w:r w:rsidRPr="00563C4C">
        <w:rPr>
          <w:rFonts w:asciiTheme="majorHAnsi" w:hAnsiTheme="majorHAnsi" w:cstheme="majorHAnsi"/>
          <w:sz w:val="24"/>
          <w:szCs w:val="24"/>
          <w:lang w:val="ro-MD"/>
        </w:rPr>
        <w:t>inanțelor nr.216 din 28.12.2015 și nu a determinat modalitatea</w:t>
      </w:r>
      <w:r>
        <w:rPr>
          <w:rFonts w:asciiTheme="majorHAnsi" w:hAnsiTheme="majorHAnsi" w:cstheme="majorHAnsi"/>
          <w:sz w:val="24"/>
          <w:szCs w:val="24"/>
          <w:lang w:val="ro-MD"/>
        </w:rPr>
        <w:t xml:space="preserve"> de</w:t>
      </w:r>
      <w:r w:rsidRPr="00563C4C">
        <w:rPr>
          <w:rFonts w:asciiTheme="majorHAnsi" w:hAnsiTheme="majorHAnsi" w:cstheme="majorHAnsi"/>
          <w:sz w:val="24"/>
          <w:szCs w:val="24"/>
          <w:lang w:val="ro-MD"/>
        </w:rPr>
        <w:t xml:space="preserve"> divizare și înregistrare în evidența contabilă a unui bun imobil și </w:t>
      </w:r>
      <w:r w:rsidR="00A07DD8">
        <w:rPr>
          <w:rFonts w:asciiTheme="majorHAnsi" w:hAnsiTheme="majorHAnsi" w:cstheme="majorHAnsi"/>
          <w:sz w:val="24"/>
          <w:szCs w:val="24"/>
          <w:lang w:val="ro-MD"/>
        </w:rPr>
        <w:t xml:space="preserve">a </w:t>
      </w:r>
      <w:r w:rsidRPr="00563C4C">
        <w:rPr>
          <w:rFonts w:asciiTheme="majorHAnsi" w:hAnsiTheme="majorHAnsi" w:cstheme="majorHAnsi"/>
          <w:sz w:val="24"/>
          <w:szCs w:val="24"/>
          <w:lang w:val="ro-MD"/>
        </w:rPr>
        <w:t xml:space="preserve">terenului aferent cu suprafața de </w:t>
      </w:r>
      <w:r w:rsidR="00064EEF">
        <w:rPr>
          <w:rFonts w:asciiTheme="majorHAnsi" w:hAnsiTheme="majorHAnsi" w:cstheme="majorHAnsi"/>
          <w:sz w:val="24"/>
          <w:szCs w:val="24"/>
          <w:lang w:val="ro-MD"/>
        </w:rPr>
        <w:t>0,17</w:t>
      </w:r>
      <w:r w:rsidR="00B829A8">
        <w:rPr>
          <w:rFonts w:asciiTheme="majorHAnsi" w:hAnsiTheme="majorHAnsi" w:cstheme="majorHAnsi"/>
          <w:sz w:val="24"/>
          <w:szCs w:val="24"/>
          <w:lang w:val="ro-MD"/>
        </w:rPr>
        <w:t xml:space="preserve"> ha</w:t>
      </w:r>
      <w:r w:rsidRPr="00563C4C">
        <w:rPr>
          <w:rFonts w:asciiTheme="majorHAnsi" w:hAnsiTheme="majorHAnsi" w:cstheme="majorHAnsi"/>
          <w:sz w:val="24"/>
          <w:szCs w:val="24"/>
          <w:lang w:val="ro-MD"/>
        </w:rPr>
        <w:t>, care au fost achiziționate</w:t>
      </w:r>
      <w:r w:rsidR="0064452D">
        <w:rPr>
          <w:rFonts w:asciiTheme="majorHAnsi" w:hAnsiTheme="majorHAnsi" w:cstheme="majorHAnsi"/>
          <w:sz w:val="24"/>
          <w:szCs w:val="24"/>
          <w:lang w:val="ro-MD"/>
        </w:rPr>
        <w:t xml:space="preserve"> în anul 2005 conform contractului de vânzare-cumpărare și legislației țării de reședință</w:t>
      </w:r>
      <w:r>
        <w:rPr>
          <w:rStyle w:val="FootnoteReference"/>
          <w:rFonts w:asciiTheme="majorHAnsi" w:hAnsiTheme="majorHAnsi" w:cstheme="majorHAnsi"/>
          <w:sz w:val="24"/>
          <w:szCs w:val="24"/>
          <w:lang w:val="ro-MD"/>
        </w:rPr>
        <w:footnoteReference w:id="4"/>
      </w:r>
      <w:r w:rsidRPr="00563C4C">
        <w:rPr>
          <w:rFonts w:asciiTheme="majorHAnsi" w:hAnsiTheme="majorHAnsi" w:cstheme="majorHAnsi"/>
          <w:sz w:val="24"/>
          <w:szCs w:val="24"/>
          <w:lang w:val="ro-MD"/>
        </w:rPr>
        <w:t>. Modul de recunoaștere a bunurilor imobile a condiționat clasificarea ca un singur obiect de inventar și calificarea integrală a valorii ca uzurabilă (clădiri), în timp ce unele active nu se depreciază în timp (terenul)</w:t>
      </w:r>
      <w:r>
        <w:rPr>
          <w:rFonts w:asciiTheme="majorHAnsi" w:hAnsiTheme="majorHAnsi" w:cstheme="majorHAnsi"/>
          <w:sz w:val="24"/>
          <w:szCs w:val="24"/>
          <w:lang w:val="ro-MD"/>
        </w:rPr>
        <w:t xml:space="preserve">. </w:t>
      </w:r>
      <w:r w:rsidR="00F32736">
        <w:rPr>
          <w:rFonts w:asciiTheme="majorHAnsi" w:hAnsiTheme="majorHAnsi" w:cstheme="majorHAnsi"/>
          <w:sz w:val="24"/>
          <w:szCs w:val="24"/>
          <w:lang w:val="ro-MD"/>
        </w:rPr>
        <w:t>Valoarea</w:t>
      </w:r>
      <w:r>
        <w:rPr>
          <w:rFonts w:asciiTheme="majorHAnsi" w:hAnsiTheme="majorHAnsi" w:cstheme="majorHAnsi"/>
          <w:sz w:val="24"/>
          <w:szCs w:val="24"/>
          <w:lang w:val="ro-MD"/>
        </w:rPr>
        <w:t xml:space="preserve"> denaturărilor între grupa de conturi 311 „Clădiri” și grupa de conturi 371 „Terenuri” poate genera posibile efecte de denaturare </w:t>
      </w:r>
      <w:r w:rsidR="00F32736">
        <w:rPr>
          <w:rFonts w:asciiTheme="majorHAnsi" w:hAnsiTheme="majorHAnsi" w:cstheme="majorHAnsi"/>
          <w:sz w:val="24"/>
          <w:szCs w:val="24"/>
          <w:lang w:val="ro-MD"/>
        </w:rPr>
        <w:t xml:space="preserve">semnificativă </w:t>
      </w:r>
      <w:r>
        <w:rPr>
          <w:rFonts w:asciiTheme="majorHAnsi" w:hAnsiTheme="majorHAnsi" w:cstheme="majorHAnsi"/>
          <w:sz w:val="24"/>
          <w:szCs w:val="24"/>
          <w:lang w:val="ro-MD"/>
        </w:rPr>
        <w:t xml:space="preserve">a rapoartelor financiare consolidate. </w:t>
      </w:r>
      <w:r w:rsidR="0064452D">
        <w:rPr>
          <w:rFonts w:asciiTheme="majorHAnsi" w:hAnsiTheme="majorHAnsi" w:cstheme="majorHAnsi"/>
          <w:sz w:val="24"/>
          <w:szCs w:val="24"/>
          <w:lang w:val="ro-MD"/>
        </w:rPr>
        <w:t>Menționăm că</w:t>
      </w:r>
      <w:r w:rsidR="000632CC">
        <w:rPr>
          <w:rFonts w:asciiTheme="majorHAnsi" w:hAnsiTheme="majorHAnsi" w:cstheme="majorHAnsi"/>
          <w:sz w:val="24"/>
          <w:szCs w:val="24"/>
          <w:lang w:val="ro-MD"/>
        </w:rPr>
        <w:t>,</w:t>
      </w:r>
      <w:r w:rsidR="0064452D">
        <w:rPr>
          <w:rFonts w:asciiTheme="majorHAnsi" w:hAnsiTheme="majorHAnsi" w:cstheme="majorHAnsi"/>
          <w:sz w:val="24"/>
          <w:szCs w:val="24"/>
          <w:lang w:val="ro-MD"/>
        </w:rPr>
        <w:t xml:space="preserve"> costul terenului inclus în prețul unic </w:t>
      </w:r>
      <w:r w:rsidR="000632CC">
        <w:rPr>
          <w:rFonts w:asciiTheme="majorHAnsi" w:hAnsiTheme="majorHAnsi" w:cstheme="majorHAnsi"/>
          <w:sz w:val="24"/>
          <w:szCs w:val="24"/>
          <w:lang w:val="ro-MD"/>
        </w:rPr>
        <w:t xml:space="preserve">prevăzut </w:t>
      </w:r>
      <w:r w:rsidR="0064452D">
        <w:rPr>
          <w:rFonts w:asciiTheme="majorHAnsi" w:hAnsiTheme="majorHAnsi" w:cstheme="majorHAnsi"/>
          <w:sz w:val="24"/>
          <w:szCs w:val="24"/>
          <w:lang w:val="ro-MD"/>
        </w:rPr>
        <w:t>în contractul de vânzare</w:t>
      </w:r>
      <w:r w:rsidR="000632CC">
        <w:rPr>
          <w:rFonts w:asciiTheme="majorHAnsi" w:hAnsiTheme="majorHAnsi" w:cstheme="majorHAnsi"/>
          <w:sz w:val="24"/>
          <w:szCs w:val="24"/>
          <w:lang w:val="ro-MD"/>
        </w:rPr>
        <w:t>-</w:t>
      </w:r>
      <w:r w:rsidR="0064452D">
        <w:rPr>
          <w:rFonts w:asciiTheme="majorHAnsi" w:hAnsiTheme="majorHAnsi" w:cstheme="majorHAnsi"/>
          <w:sz w:val="24"/>
          <w:szCs w:val="24"/>
          <w:lang w:val="ro-MD"/>
        </w:rPr>
        <w:t>cumpărare a</w:t>
      </w:r>
      <w:r w:rsidR="000632CC">
        <w:rPr>
          <w:rFonts w:asciiTheme="majorHAnsi" w:hAnsiTheme="majorHAnsi" w:cstheme="majorHAnsi"/>
          <w:sz w:val="24"/>
          <w:szCs w:val="24"/>
          <w:lang w:val="ro-MD"/>
        </w:rPr>
        <w:t>l</w:t>
      </w:r>
      <w:r w:rsidR="0064452D">
        <w:rPr>
          <w:rFonts w:asciiTheme="majorHAnsi" w:hAnsiTheme="majorHAnsi" w:cstheme="majorHAnsi"/>
          <w:sz w:val="24"/>
          <w:szCs w:val="24"/>
          <w:lang w:val="ro-MD"/>
        </w:rPr>
        <w:t xml:space="preserve"> Ambasadei Republicii Moldova în Regatul Belgiei</w:t>
      </w:r>
      <w:r w:rsidR="000632CC">
        <w:rPr>
          <w:rFonts w:asciiTheme="majorHAnsi" w:hAnsiTheme="majorHAnsi" w:cstheme="majorHAnsi"/>
          <w:sz w:val="24"/>
          <w:szCs w:val="24"/>
          <w:lang w:val="ro-MD"/>
        </w:rPr>
        <w:t>,</w:t>
      </w:r>
      <w:r w:rsidR="0064452D">
        <w:rPr>
          <w:rFonts w:asciiTheme="majorHAnsi" w:hAnsiTheme="majorHAnsi" w:cstheme="majorHAnsi"/>
          <w:sz w:val="24"/>
          <w:szCs w:val="24"/>
          <w:lang w:val="ro-MD"/>
        </w:rPr>
        <w:t xml:space="preserve"> conform documentelor cadastrale</w:t>
      </w:r>
      <w:r w:rsidR="000632CC">
        <w:rPr>
          <w:rFonts w:asciiTheme="majorHAnsi" w:hAnsiTheme="majorHAnsi" w:cstheme="majorHAnsi"/>
          <w:sz w:val="24"/>
          <w:szCs w:val="24"/>
          <w:lang w:val="ro-MD"/>
        </w:rPr>
        <w:t>,</w:t>
      </w:r>
      <w:r w:rsidR="0064452D">
        <w:rPr>
          <w:rFonts w:asciiTheme="majorHAnsi" w:hAnsiTheme="majorHAnsi" w:cstheme="majorHAnsi"/>
          <w:sz w:val="24"/>
          <w:szCs w:val="24"/>
          <w:lang w:val="ro-MD"/>
        </w:rPr>
        <w:t xml:space="preserve"> constituie 247,6 mii lei, iar suma uzurii clădirii recalculat</w:t>
      </w:r>
      <w:r w:rsidR="000632CC">
        <w:rPr>
          <w:rFonts w:asciiTheme="majorHAnsi" w:hAnsiTheme="majorHAnsi" w:cstheme="majorHAnsi"/>
          <w:sz w:val="24"/>
          <w:szCs w:val="24"/>
          <w:lang w:val="ro-MD"/>
        </w:rPr>
        <w:t>e ca</w:t>
      </w:r>
      <w:r w:rsidR="0064452D">
        <w:rPr>
          <w:rFonts w:asciiTheme="majorHAnsi" w:hAnsiTheme="majorHAnsi" w:cstheme="majorHAnsi"/>
          <w:sz w:val="24"/>
          <w:szCs w:val="24"/>
          <w:lang w:val="ro-MD"/>
        </w:rPr>
        <w:t xml:space="preserve"> urmare </w:t>
      </w:r>
      <w:r w:rsidR="000632CC">
        <w:rPr>
          <w:rFonts w:asciiTheme="majorHAnsi" w:hAnsiTheme="majorHAnsi" w:cstheme="majorHAnsi"/>
          <w:sz w:val="24"/>
          <w:szCs w:val="24"/>
          <w:lang w:val="ro-MD"/>
        </w:rPr>
        <w:t xml:space="preserve">a </w:t>
      </w:r>
      <w:r w:rsidR="0064452D">
        <w:rPr>
          <w:rFonts w:asciiTheme="majorHAnsi" w:hAnsiTheme="majorHAnsi" w:cstheme="majorHAnsi"/>
          <w:sz w:val="24"/>
          <w:szCs w:val="24"/>
          <w:lang w:val="ro-MD"/>
        </w:rPr>
        <w:t xml:space="preserve">efectuării corectărilor de </w:t>
      </w:r>
      <w:r w:rsidR="00BE71F3">
        <w:rPr>
          <w:rFonts w:asciiTheme="majorHAnsi" w:hAnsiTheme="majorHAnsi" w:cstheme="majorHAnsi"/>
          <w:sz w:val="24"/>
          <w:szCs w:val="24"/>
          <w:lang w:val="ro-MD"/>
        </w:rPr>
        <w:t>separare</w:t>
      </w:r>
      <w:r w:rsidR="0064452D">
        <w:rPr>
          <w:rFonts w:asciiTheme="majorHAnsi" w:hAnsiTheme="majorHAnsi" w:cstheme="majorHAnsi"/>
          <w:sz w:val="24"/>
          <w:szCs w:val="24"/>
          <w:lang w:val="ro-MD"/>
        </w:rPr>
        <w:t xml:space="preserve"> a valorii terenului constituie 105,2 mii lei.</w:t>
      </w:r>
    </w:p>
    <w:p w:rsidR="0064452D" w:rsidRDefault="000632CC" w:rsidP="0064452D">
      <w:pPr>
        <w:shd w:val="clear" w:color="auto" w:fill="FFFFFF" w:themeFill="background1"/>
        <w:tabs>
          <w:tab w:val="left" w:pos="630"/>
        </w:tabs>
        <w:spacing w:line="276" w:lineRule="auto"/>
        <w:jc w:val="both"/>
        <w:rPr>
          <w:rFonts w:asciiTheme="majorHAnsi" w:hAnsiTheme="majorHAnsi" w:cstheme="majorHAnsi"/>
          <w:sz w:val="24"/>
          <w:szCs w:val="24"/>
          <w:lang w:val="ro-MD"/>
        </w:rPr>
      </w:pPr>
      <w:r>
        <w:rPr>
          <w:rFonts w:asciiTheme="majorHAnsi" w:hAnsiTheme="majorHAnsi" w:cstheme="majorHAnsi"/>
          <w:sz w:val="24"/>
          <w:szCs w:val="24"/>
          <w:lang w:val="ro-MD"/>
        </w:rPr>
        <w:t xml:space="preserve">Ministerul nu a </w:t>
      </w:r>
      <w:r w:rsidR="0064452D" w:rsidRPr="00563C4C">
        <w:rPr>
          <w:rFonts w:asciiTheme="majorHAnsi" w:hAnsiTheme="majorHAnsi" w:cstheme="majorHAnsi"/>
          <w:sz w:val="24"/>
          <w:szCs w:val="24"/>
          <w:lang w:val="ro-MD"/>
        </w:rPr>
        <w:t>înregistra</w:t>
      </w:r>
      <w:r>
        <w:rPr>
          <w:rFonts w:asciiTheme="majorHAnsi" w:hAnsiTheme="majorHAnsi" w:cstheme="majorHAnsi"/>
          <w:sz w:val="24"/>
          <w:szCs w:val="24"/>
          <w:lang w:val="ro-MD"/>
        </w:rPr>
        <w:t>t</w:t>
      </w:r>
      <w:r w:rsidR="0064452D" w:rsidRPr="00563C4C">
        <w:rPr>
          <w:rFonts w:asciiTheme="majorHAnsi" w:hAnsiTheme="majorHAnsi" w:cstheme="majorHAnsi"/>
          <w:sz w:val="24"/>
          <w:szCs w:val="24"/>
          <w:lang w:val="ro-MD"/>
        </w:rPr>
        <w:t xml:space="preserve"> în evidența contabilă, la subcontul extrabilanţier 822100 „Active luate în locațiune/arendă”, terenul cu suprafața de 0,29 ha,</w:t>
      </w:r>
      <w:r w:rsidR="0064452D">
        <w:rPr>
          <w:rFonts w:asciiTheme="majorHAnsi" w:hAnsiTheme="majorHAnsi" w:cstheme="majorHAnsi"/>
          <w:sz w:val="24"/>
          <w:szCs w:val="24"/>
          <w:lang w:val="ro-MD"/>
        </w:rPr>
        <w:t xml:space="preserve"> fără valoare, </w:t>
      </w:r>
      <w:r w:rsidR="0064452D" w:rsidRPr="00563C4C">
        <w:rPr>
          <w:rFonts w:asciiTheme="majorHAnsi" w:hAnsiTheme="majorHAnsi" w:cstheme="majorHAnsi"/>
          <w:sz w:val="24"/>
          <w:szCs w:val="24"/>
          <w:lang w:val="ro-MD"/>
        </w:rPr>
        <w:t>arendat în anul 2015</w:t>
      </w:r>
      <w:r w:rsidR="0064452D" w:rsidRPr="00563C4C">
        <w:rPr>
          <w:rFonts w:asciiTheme="majorHAnsi" w:hAnsiTheme="majorHAnsi" w:cstheme="majorHAnsi"/>
          <w:sz w:val="24"/>
          <w:szCs w:val="24"/>
          <w:vertAlign w:val="superscript"/>
          <w:lang w:val="ro-MD"/>
        </w:rPr>
        <w:footnoteReference w:id="5"/>
      </w:r>
      <w:r w:rsidR="0064452D" w:rsidRPr="00563C4C">
        <w:rPr>
          <w:rFonts w:asciiTheme="majorHAnsi" w:hAnsiTheme="majorHAnsi" w:cstheme="majorHAnsi"/>
          <w:sz w:val="24"/>
          <w:szCs w:val="24"/>
          <w:lang w:val="ro-MD"/>
        </w:rPr>
        <w:t xml:space="preserve"> pe o perioadă de 49 de ani, în condiții de reciprocitate pentru construcția sediului unei ambasade.</w:t>
      </w:r>
      <w:r w:rsidR="0064452D">
        <w:rPr>
          <w:rFonts w:asciiTheme="majorHAnsi" w:hAnsiTheme="majorHAnsi" w:cstheme="majorHAnsi"/>
          <w:sz w:val="24"/>
          <w:szCs w:val="24"/>
          <w:lang w:val="ro-MD"/>
        </w:rPr>
        <w:t xml:space="preserve"> În acest context, Ambasada Republicii Moldova în Republica Belarus a inițiat procedura de reflectare în evidența contabilă a valorii teren</w:t>
      </w:r>
      <w:r w:rsidR="00CA11E2">
        <w:rPr>
          <w:rFonts w:asciiTheme="majorHAnsi" w:hAnsiTheme="majorHAnsi" w:cstheme="majorHAnsi"/>
          <w:sz w:val="24"/>
          <w:szCs w:val="24"/>
          <w:lang w:val="ro-MD"/>
        </w:rPr>
        <w:t>ului arendat, care constituie 3,1</w:t>
      </w:r>
      <w:r w:rsidR="0064452D">
        <w:rPr>
          <w:rFonts w:asciiTheme="majorHAnsi" w:hAnsiTheme="majorHAnsi" w:cstheme="majorHAnsi"/>
          <w:sz w:val="24"/>
          <w:szCs w:val="24"/>
          <w:lang w:val="ro-MD"/>
        </w:rPr>
        <w:t xml:space="preserve"> mil.lei conform </w:t>
      </w:r>
      <w:r w:rsidR="0064452D" w:rsidRPr="004A2DF8">
        <w:rPr>
          <w:rFonts w:asciiTheme="majorHAnsi" w:hAnsiTheme="majorHAnsi" w:cstheme="majorHAnsi"/>
          <w:sz w:val="24"/>
          <w:szCs w:val="24"/>
          <w:lang w:val="ro-MD"/>
        </w:rPr>
        <w:t xml:space="preserve">extraselor </w:t>
      </w:r>
      <w:r>
        <w:rPr>
          <w:rFonts w:asciiTheme="majorHAnsi" w:hAnsiTheme="majorHAnsi" w:cstheme="majorHAnsi"/>
          <w:sz w:val="24"/>
          <w:szCs w:val="24"/>
          <w:lang w:val="ro-MD"/>
        </w:rPr>
        <w:t xml:space="preserve">din </w:t>
      </w:r>
      <w:r w:rsidR="0064452D" w:rsidRPr="004A2DF8">
        <w:rPr>
          <w:rFonts w:asciiTheme="majorHAnsi" w:hAnsiTheme="majorHAnsi" w:cstheme="majorHAnsi"/>
          <w:sz w:val="24"/>
          <w:szCs w:val="24"/>
          <w:lang w:val="ro-MD"/>
        </w:rPr>
        <w:t>documentel</w:t>
      </w:r>
      <w:r>
        <w:rPr>
          <w:rFonts w:asciiTheme="majorHAnsi" w:hAnsiTheme="majorHAnsi" w:cstheme="majorHAnsi"/>
          <w:sz w:val="24"/>
          <w:szCs w:val="24"/>
          <w:lang w:val="ro-MD"/>
        </w:rPr>
        <w:t>e</w:t>
      </w:r>
      <w:r w:rsidR="0064452D" w:rsidRPr="004A2DF8">
        <w:rPr>
          <w:rFonts w:asciiTheme="majorHAnsi" w:hAnsiTheme="majorHAnsi" w:cstheme="majorHAnsi"/>
          <w:sz w:val="24"/>
          <w:szCs w:val="24"/>
          <w:lang w:val="ro-MD"/>
        </w:rPr>
        <w:t xml:space="preserve"> cadastrale.</w:t>
      </w:r>
    </w:p>
    <w:p w:rsidR="00E84A64" w:rsidRPr="00563C4C" w:rsidRDefault="00E84A64" w:rsidP="00E84A64">
      <w:pPr>
        <w:shd w:val="clear" w:color="auto" w:fill="FFFFFF" w:themeFill="background1"/>
        <w:tabs>
          <w:tab w:val="right" w:pos="9356"/>
        </w:tabs>
        <w:spacing w:after="120" w:line="276" w:lineRule="auto"/>
        <w:ind w:right="-2"/>
        <w:jc w:val="both"/>
        <w:rPr>
          <w:rFonts w:asciiTheme="majorHAnsi" w:eastAsia="Times New Roman" w:hAnsiTheme="majorHAnsi" w:cstheme="majorHAnsi"/>
          <w:sz w:val="24"/>
          <w:szCs w:val="24"/>
          <w:lang w:val="ro-MD" w:eastAsia="ja-JP"/>
        </w:rPr>
      </w:pPr>
      <w:r w:rsidRPr="00CA11E2">
        <w:rPr>
          <w:rFonts w:asciiTheme="majorHAnsi" w:eastAsia="Times New Roman" w:hAnsiTheme="majorHAnsi" w:cstheme="majorHAnsi"/>
          <w:sz w:val="24"/>
          <w:szCs w:val="24"/>
          <w:lang w:val="ro-MD"/>
        </w:rPr>
        <w:t xml:space="preserve">În aspect financiar, nefuncționalitatea unor activități de control a generat </w:t>
      </w:r>
      <w:r w:rsidRPr="00CA11E2">
        <w:rPr>
          <w:rFonts w:asciiTheme="majorHAnsi" w:eastAsia="Times New Roman" w:hAnsiTheme="majorHAnsi" w:cstheme="majorHAnsi"/>
          <w:sz w:val="24"/>
          <w:szCs w:val="24"/>
          <w:lang w:val="ro-MD" w:eastAsia="ja-JP"/>
        </w:rPr>
        <w:t>deficiențe și nereguli la raportarea veniturilor (1 790,6 mii lei), evaluarea și înregistrarea în evidența contabilă a unor mijloace fixe și active neproductive din gestiune,</w:t>
      </w:r>
      <w:r w:rsidRPr="00CA11E2">
        <w:rPr>
          <w:rFonts w:asciiTheme="majorHAnsi" w:eastAsia="Times New Roman" w:hAnsiTheme="majorHAnsi" w:cstheme="majorHAnsi"/>
          <w:sz w:val="24"/>
          <w:szCs w:val="24"/>
          <w:lang w:val="ro-RO" w:eastAsia="ja-JP"/>
        </w:rPr>
        <w:t xml:space="preserve"> la calcularea uzurii mijloacelor fixe și amortizării </w:t>
      </w:r>
      <w:r w:rsidRPr="00CA11E2">
        <w:rPr>
          <w:rFonts w:asciiTheme="majorHAnsi" w:eastAsia="Times New Roman" w:hAnsiTheme="majorHAnsi" w:cstheme="majorHAnsi"/>
          <w:sz w:val="24"/>
          <w:szCs w:val="24"/>
          <w:lang w:val="ro-RO" w:eastAsia="ja-JP"/>
        </w:rPr>
        <w:lastRenderedPageBreak/>
        <w:t>activelor nemateriale (52,6 mii lei),</w:t>
      </w:r>
      <w:r w:rsidRPr="00CA11E2">
        <w:rPr>
          <w:rFonts w:asciiTheme="majorHAnsi" w:eastAsia="Times New Roman" w:hAnsiTheme="majorHAnsi" w:cstheme="majorHAnsi"/>
          <w:sz w:val="24"/>
          <w:szCs w:val="24"/>
          <w:lang w:val="ro-MD" w:eastAsia="ja-JP"/>
        </w:rPr>
        <w:t xml:space="preserve"> </w:t>
      </w:r>
      <w:r w:rsidRPr="00CA11E2">
        <w:rPr>
          <w:rFonts w:asciiTheme="majorHAnsi" w:eastAsia="Times New Roman" w:hAnsiTheme="majorHAnsi" w:cstheme="majorHAnsi"/>
          <w:sz w:val="24"/>
          <w:szCs w:val="24"/>
          <w:lang w:val="ro-RO" w:eastAsia="ja-JP"/>
        </w:rPr>
        <w:t>la recunoașterea, clasificarea și înregistrarea unor active nefinanciare (57,1 mii lei),</w:t>
      </w:r>
      <w:r w:rsidRPr="00CA11E2">
        <w:rPr>
          <w:rFonts w:asciiTheme="majorHAnsi" w:eastAsia="Times New Roman" w:hAnsiTheme="majorHAnsi" w:cstheme="majorHAnsi"/>
          <w:sz w:val="24"/>
          <w:szCs w:val="24"/>
          <w:lang w:val="ro-MD" w:eastAsia="ja-JP"/>
        </w:rPr>
        <w:t xml:space="preserve"> care au denaturat ra</w:t>
      </w:r>
      <w:r w:rsidRPr="00CA11E2">
        <w:rPr>
          <w:rFonts w:asciiTheme="majorHAnsi" w:eastAsia="Times New Roman" w:hAnsiTheme="majorHAnsi" w:cstheme="majorHAnsi"/>
          <w:sz w:val="24"/>
          <w:szCs w:val="24"/>
          <w:lang w:val="ro-MD"/>
        </w:rPr>
        <w:t>poartele financiare consolidate ale Ministerului</w:t>
      </w:r>
      <w:r w:rsidRPr="00CA11E2">
        <w:rPr>
          <w:rFonts w:asciiTheme="majorHAnsi" w:hAnsiTheme="majorHAnsi" w:cs="Times New Roman"/>
          <w:sz w:val="24"/>
          <w:szCs w:val="24"/>
          <w:lang w:val="ro-MD"/>
        </w:rPr>
        <w:t xml:space="preserve"> </w:t>
      </w:r>
      <w:r w:rsidRPr="00CA11E2">
        <w:rPr>
          <w:rFonts w:asciiTheme="majorHAnsi" w:eastAsia="Times New Roman" w:hAnsiTheme="majorHAnsi" w:cstheme="majorHAnsi"/>
          <w:sz w:val="24"/>
          <w:szCs w:val="24"/>
          <w:lang w:val="ro-MD"/>
        </w:rPr>
        <w:t>încheiate la</w:t>
      </w:r>
      <w:r w:rsidRPr="00CA11E2">
        <w:rPr>
          <w:rFonts w:asciiTheme="majorHAnsi" w:eastAsia="Times New Roman" w:hAnsiTheme="majorHAnsi" w:cstheme="majorHAnsi"/>
          <w:iCs/>
          <w:sz w:val="24"/>
          <w:szCs w:val="24"/>
          <w:lang w:val="ro-MD" w:eastAsia="ru-RU"/>
        </w:rPr>
        <w:t xml:space="preserve"> 31 decembrie 2021 cu suma </w:t>
      </w:r>
      <w:r w:rsidRPr="00CA11E2">
        <w:rPr>
          <w:rFonts w:asciiTheme="majorHAnsi" w:eastAsia="Times New Roman" w:hAnsiTheme="majorHAnsi" w:cstheme="majorHAnsi"/>
          <w:sz w:val="24"/>
          <w:szCs w:val="24"/>
          <w:lang w:val="ro-MD"/>
        </w:rPr>
        <w:t>totală de 1</w:t>
      </w:r>
      <w:r w:rsidR="000632CC">
        <w:rPr>
          <w:rFonts w:asciiTheme="majorHAnsi" w:eastAsia="Times New Roman" w:hAnsiTheme="majorHAnsi" w:cstheme="majorHAnsi"/>
          <w:sz w:val="24"/>
          <w:szCs w:val="24"/>
          <w:lang w:val="ro-MD"/>
        </w:rPr>
        <w:t xml:space="preserve"> </w:t>
      </w:r>
      <w:r w:rsidRPr="00CA11E2">
        <w:rPr>
          <w:rFonts w:asciiTheme="majorHAnsi" w:eastAsia="Times New Roman" w:hAnsiTheme="majorHAnsi" w:cstheme="majorHAnsi"/>
          <w:sz w:val="24"/>
          <w:szCs w:val="24"/>
          <w:lang w:val="ro-MD"/>
        </w:rPr>
        <w:t>900,3 mii lei.</w:t>
      </w:r>
      <w:r w:rsidRPr="00563C4C">
        <w:rPr>
          <w:rFonts w:asciiTheme="majorHAnsi" w:eastAsia="Times New Roman" w:hAnsiTheme="majorHAnsi" w:cstheme="majorHAnsi"/>
          <w:sz w:val="24"/>
          <w:szCs w:val="24"/>
          <w:lang w:val="ro-MD"/>
        </w:rPr>
        <w:t xml:space="preserve"> </w:t>
      </w:r>
    </w:p>
    <w:p w:rsidR="00563C4C" w:rsidRDefault="00563C4C" w:rsidP="00FF18FB">
      <w:pPr>
        <w:spacing w:after="0" w:line="276" w:lineRule="auto"/>
        <w:contextualSpacing/>
        <w:jc w:val="both"/>
        <w:rPr>
          <w:rFonts w:cs="Times New Roman"/>
          <w:sz w:val="24"/>
          <w:szCs w:val="24"/>
          <w:lang w:val="ro-MD" w:eastAsia="ro-RO"/>
        </w:rPr>
      </w:pPr>
      <w:r w:rsidRPr="00563C4C">
        <w:rPr>
          <w:rFonts w:asciiTheme="majorHAnsi" w:hAnsiTheme="majorHAnsi" w:cs="Times New Roman"/>
          <w:sz w:val="24"/>
          <w:szCs w:val="24"/>
          <w:lang w:val="ro-MD"/>
        </w:rPr>
        <w:t xml:space="preserve">Suntem independenți față de entitate și am îndeplinit responsabilitățile de etică în conformitate cu </w:t>
      </w:r>
      <w:r w:rsidRPr="00563C4C">
        <w:rPr>
          <w:rFonts w:asciiTheme="majorHAnsi" w:eastAsia="Times New Roman" w:hAnsiTheme="majorHAnsi" w:cs="Times New Roman"/>
          <w:sz w:val="24"/>
          <w:szCs w:val="24"/>
          <w:lang w:val="ro-MD"/>
        </w:rPr>
        <w:t>cerințele Codului etic al Curții de Conturi</w:t>
      </w:r>
      <w:r w:rsidR="00F51109">
        <w:rPr>
          <w:rFonts w:cs="Times New Roman"/>
          <w:sz w:val="24"/>
          <w:szCs w:val="24"/>
          <w:lang w:val="ro-MD" w:eastAsia="ro-RO"/>
        </w:rPr>
        <w:t>.</w:t>
      </w:r>
    </w:p>
    <w:p w:rsidR="00F51109" w:rsidRPr="00F51109" w:rsidRDefault="00F51109" w:rsidP="00FF18FB">
      <w:pPr>
        <w:spacing w:after="0" w:line="276" w:lineRule="auto"/>
        <w:contextualSpacing/>
        <w:jc w:val="both"/>
        <w:rPr>
          <w:rFonts w:cs="Times New Roman"/>
          <w:sz w:val="10"/>
          <w:szCs w:val="10"/>
          <w:lang w:val="ro-MD" w:eastAsia="ro-RO"/>
        </w:rPr>
      </w:pPr>
    </w:p>
    <w:p w:rsidR="00563C4C" w:rsidRPr="00014507" w:rsidRDefault="00563C4C" w:rsidP="00563C4C">
      <w:pPr>
        <w:spacing w:after="0" w:line="240" w:lineRule="auto"/>
        <w:contextualSpacing/>
        <w:jc w:val="both"/>
        <w:rPr>
          <w:rFonts w:cs="Times New Roman"/>
          <w:sz w:val="4"/>
          <w:szCs w:val="4"/>
          <w:lang w:val="ro-MD" w:eastAsia="ro-RO"/>
        </w:rPr>
      </w:pPr>
    </w:p>
    <w:p w:rsidR="00933A1A" w:rsidRDefault="00563C4C" w:rsidP="001A41ED">
      <w:pPr>
        <w:numPr>
          <w:ilvl w:val="0"/>
          <w:numId w:val="1"/>
        </w:numPr>
        <w:spacing w:after="0" w:line="240" w:lineRule="auto"/>
        <w:ind w:left="567" w:hanging="425"/>
        <w:contextualSpacing/>
        <w:jc w:val="center"/>
        <w:rPr>
          <w:rFonts w:asciiTheme="majorHAnsi" w:hAnsiTheme="majorHAnsi" w:cstheme="majorHAnsi"/>
          <w:b/>
          <w:sz w:val="24"/>
          <w:szCs w:val="24"/>
        </w:rPr>
      </w:pPr>
      <w:r w:rsidRPr="00563C4C">
        <w:rPr>
          <w:rFonts w:asciiTheme="majorHAnsi" w:hAnsiTheme="majorHAnsi" w:cstheme="majorHAnsi"/>
          <w:b/>
          <w:sz w:val="24"/>
          <w:szCs w:val="24"/>
        </w:rPr>
        <w:t>PARAGRAF DE EVIDENȚIERE A UNOR ASPECTE</w:t>
      </w:r>
    </w:p>
    <w:p w:rsidR="00CA11E2" w:rsidRPr="00CA11E2" w:rsidRDefault="00CA11E2" w:rsidP="00CA11E2">
      <w:pPr>
        <w:spacing w:after="0" w:line="240" w:lineRule="auto"/>
        <w:ind w:left="567"/>
        <w:contextualSpacing/>
        <w:rPr>
          <w:rFonts w:asciiTheme="majorHAnsi" w:hAnsiTheme="majorHAnsi" w:cstheme="majorHAnsi"/>
          <w:b/>
          <w:sz w:val="8"/>
          <w:szCs w:val="8"/>
        </w:rPr>
      </w:pPr>
    </w:p>
    <w:p w:rsidR="00CA11E2" w:rsidRDefault="00563C4C" w:rsidP="00CA11E2">
      <w:pPr>
        <w:spacing w:after="0" w:line="276" w:lineRule="auto"/>
        <w:jc w:val="both"/>
        <w:rPr>
          <w:rFonts w:asciiTheme="majorHAnsi" w:hAnsiTheme="majorHAnsi" w:cstheme="majorHAnsi"/>
          <w:sz w:val="24"/>
          <w:szCs w:val="24"/>
          <w:lang w:val="ro-MD"/>
        </w:rPr>
      </w:pPr>
      <w:r w:rsidRPr="00933A1A">
        <w:rPr>
          <w:rFonts w:asciiTheme="majorHAnsi" w:eastAsia="Calibri" w:hAnsiTheme="majorHAnsi" w:cstheme="majorHAnsi"/>
          <w:b/>
          <w:sz w:val="24"/>
          <w:szCs w:val="24"/>
          <w:lang w:val="ro-MD"/>
        </w:rPr>
        <w:t>3.1.</w:t>
      </w:r>
      <w:r w:rsidRPr="00933A1A">
        <w:rPr>
          <w:rFonts w:asciiTheme="majorHAnsi" w:eastAsia="Calibri" w:hAnsiTheme="majorHAnsi" w:cstheme="majorHAnsi"/>
          <w:sz w:val="24"/>
          <w:szCs w:val="24"/>
          <w:lang w:val="ro-MD"/>
        </w:rPr>
        <w:t xml:space="preserve"> </w:t>
      </w:r>
      <w:r w:rsidR="00CA629C" w:rsidRPr="00933A1A">
        <w:rPr>
          <w:rFonts w:asciiTheme="majorHAnsi" w:eastAsia="Calibri" w:hAnsiTheme="majorHAnsi" w:cstheme="majorHAnsi"/>
          <w:sz w:val="24"/>
          <w:szCs w:val="24"/>
          <w:lang w:val="ro-MD"/>
        </w:rPr>
        <w:t xml:space="preserve">Nesoluționarea și menținerea problematicii </w:t>
      </w:r>
      <w:r w:rsidR="00CA629C" w:rsidRPr="00933A1A">
        <w:rPr>
          <w:rFonts w:asciiTheme="majorHAnsi" w:eastAsiaTheme="minorEastAsia" w:hAnsiTheme="majorHAnsi" w:cstheme="majorHAnsi"/>
          <w:sz w:val="24"/>
          <w:szCs w:val="24"/>
          <w:lang w:val="ro-MD"/>
        </w:rPr>
        <w:t>privind valorificarea dreptului de proprietate a complexului de clădiri cu suprafața totală de 4</w:t>
      </w:r>
      <w:r w:rsidR="0042525E" w:rsidRPr="00933A1A">
        <w:rPr>
          <w:rFonts w:asciiTheme="majorHAnsi" w:eastAsiaTheme="minorEastAsia" w:hAnsiTheme="majorHAnsi" w:cstheme="majorHAnsi"/>
          <w:sz w:val="24"/>
          <w:szCs w:val="24"/>
          <w:lang w:val="ro-MD"/>
        </w:rPr>
        <w:t xml:space="preserve"> </w:t>
      </w:r>
      <w:r w:rsidR="00CA629C" w:rsidRPr="00933A1A">
        <w:rPr>
          <w:rFonts w:asciiTheme="majorHAnsi" w:eastAsiaTheme="minorEastAsia" w:hAnsiTheme="majorHAnsi" w:cstheme="majorHAnsi"/>
          <w:sz w:val="24"/>
          <w:szCs w:val="24"/>
          <w:lang w:val="ro-MD"/>
        </w:rPr>
        <w:t>273,2 m</w:t>
      </w:r>
      <w:r w:rsidR="00CA629C" w:rsidRPr="00933A1A">
        <w:rPr>
          <w:rFonts w:asciiTheme="majorHAnsi" w:eastAsiaTheme="minorEastAsia" w:hAnsiTheme="majorHAnsi" w:cstheme="majorHAnsi"/>
          <w:sz w:val="24"/>
          <w:szCs w:val="24"/>
          <w:vertAlign w:val="superscript"/>
          <w:lang w:val="ro-MD"/>
        </w:rPr>
        <w:t>2</w:t>
      </w:r>
      <w:r w:rsidR="00CA629C" w:rsidRPr="00933A1A">
        <w:rPr>
          <w:rFonts w:asciiTheme="majorHAnsi" w:eastAsiaTheme="minorEastAsia" w:hAnsiTheme="majorHAnsi" w:cstheme="majorHAnsi"/>
          <w:sz w:val="24"/>
          <w:szCs w:val="24"/>
          <w:lang w:val="ro-MD"/>
        </w:rPr>
        <w:t xml:space="preserve">, în care este amplasată Ambasada Republicii Moldova în Federația Rusă, </w:t>
      </w:r>
      <w:r w:rsidR="00C83B81" w:rsidRPr="00933A1A">
        <w:rPr>
          <w:rFonts w:asciiTheme="majorHAnsi" w:hAnsiTheme="majorHAnsi" w:cstheme="majorHAnsi"/>
          <w:sz w:val="24"/>
          <w:szCs w:val="24"/>
          <w:lang w:val="ro-MD"/>
        </w:rPr>
        <w:t>precum și a terenurilor aferente acestora care nu sunt reflectate în evidența contabilă la active nefinanciare. De menționat că acest context creează incertitudini în domeniul evidenței contabile și calificării cheltuielilor efectuate din banii publici.</w:t>
      </w:r>
    </w:p>
    <w:p w:rsidR="00C83B81" w:rsidRPr="00CA11E2" w:rsidRDefault="00C83B81" w:rsidP="00CA11E2">
      <w:pPr>
        <w:spacing w:after="0" w:line="276" w:lineRule="auto"/>
        <w:jc w:val="both"/>
        <w:rPr>
          <w:rFonts w:asciiTheme="majorHAnsi" w:hAnsiTheme="majorHAnsi" w:cstheme="majorHAnsi"/>
          <w:sz w:val="8"/>
          <w:szCs w:val="8"/>
          <w:lang w:val="ro-MD"/>
        </w:rPr>
      </w:pPr>
      <w:r w:rsidRPr="00933A1A">
        <w:rPr>
          <w:rFonts w:asciiTheme="majorHAnsi" w:hAnsiTheme="majorHAnsi" w:cstheme="majorHAnsi"/>
          <w:sz w:val="24"/>
          <w:szCs w:val="24"/>
          <w:lang w:val="ro-MD"/>
        </w:rPr>
        <w:t xml:space="preserve"> </w:t>
      </w:r>
    </w:p>
    <w:p w:rsidR="003B1DE7" w:rsidRDefault="003B1DE7" w:rsidP="00CA11E2">
      <w:pPr>
        <w:pStyle w:val="ListParagraph"/>
        <w:spacing w:after="0" w:line="276" w:lineRule="auto"/>
        <w:ind w:left="0"/>
        <w:jc w:val="both"/>
        <w:rPr>
          <w:rFonts w:asciiTheme="majorHAnsi" w:hAnsiTheme="majorHAnsi" w:cstheme="majorHAnsi"/>
          <w:color w:val="000000" w:themeColor="text1"/>
          <w:sz w:val="24"/>
          <w:szCs w:val="24"/>
          <w:lang w:val="ro-MD"/>
        </w:rPr>
      </w:pPr>
      <w:r>
        <w:rPr>
          <w:rFonts w:asciiTheme="majorHAnsi" w:eastAsia="Times New Roman" w:hAnsiTheme="majorHAnsi" w:cstheme="majorHAnsi"/>
          <w:b/>
          <w:color w:val="000000" w:themeColor="text1"/>
          <w:sz w:val="24"/>
          <w:szCs w:val="24"/>
          <w:lang w:val="ro-RO"/>
        </w:rPr>
        <w:t>3.2</w:t>
      </w:r>
      <w:r w:rsidRPr="00563C4C">
        <w:rPr>
          <w:rFonts w:asciiTheme="majorHAnsi" w:eastAsia="Times New Roman" w:hAnsiTheme="majorHAnsi" w:cstheme="majorHAnsi"/>
          <w:color w:val="000000" w:themeColor="text1"/>
          <w:sz w:val="24"/>
          <w:szCs w:val="24"/>
          <w:lang w:val="ro-RO"/>
        </w:rPr>
        <w:t>.</w:t>
      </w:r>
      <w:r w:rsidRPr="00563C4C">
        <w:rPr>
          <w:rFonts w:asciiTheme="majorHAnsi" w:hAnsiTheme="majorHAnsi" w:cstheme="majorHAnsi"/>
          <w:color w:val="000000" w:themeColor="text1"/>
          <w:sz w:val="24"/>
          <w:szCs w:val="24"/>
          <w:lang w:val="ro-MD"/>
        </w:rPr>
        <w:t xml:space="preserve"> </w:t>
      </w:r>
      <w:r w:rsidR="00D75156">
        <w:rPr>
          <w:rFonts w:asciiTheme="majorHAnsi" w:hAnsiTheme="majorHAnsi" w:cstheme="majorHAnsi"/>
          <w:sz w:val="24"/>
          <w:szCs w:val="24"/>
          <w:lang w:val="ro-MD"/>
        </w:rPr>
        <w:t xml:space="preserve">În exercițiul bugetar 2021 </w:t>
      </w:r>
      <w:r w:rsidR="006C3D73">
        <w:rPr>
          <w:rFonts w:asciiTheme="majorHAnsi" w:hAnsiTheme="majorHAnsi" w:cstheme="majorHAnsi"/>
          <w:sz w:val="24"/>
          <w:szCs w:val="24"/>
          <w:lang w:val="ro-MD"/>
        </w:rPr>
        <w:t>M</w:t>
      </w:r>
      <w:r w:rsidRPr="00563C4C">
        <w:rPr>
          <w:rFonts w:asciiTheme="majorHAnsi" w:hAnsiTheme="majorHAnsi" w:cstheme="majorHAnsi"/>
          <w:sz w:val="24"/>
          <w:szCs w:val="24"/>
          <w:lang w:val="ro-MD"/>
        </w:rPr>
        <w:t>inisterul</w:t>
      </w:r>
      <w:r w:rsidR="003E4F2F">
        <w:rPr>
          <w:rFonts w:asciiTheme="majorHAnsi" w:hAnsiTheme="majorHAnsi" w:cstheme="majorHAnsi"/>
          <w:sz w:val="24"/>
          <w:szCs w:val="24"/>
          <w:lang w:val="ro-MD"/>
        </w:rPr>
        <w:t>,</w:t>
      </w:r>
      <w:r w:rsidRPr="00563C4C">
        <w:rPr>
          <w:rFonts w:asciiTheme="majorHAnsi" w:hAnsiTheme="majorHAnsi" w:cstheme="majorHAnsi"/>
          <w:sz w:val="24"/>
          <w:szCs w:val="24"/>
          <w:lang w:val="ro-MD"/>
        </w:rPr>
        <w:t xml:space="preserve"> conform actului de transmitere a terenurilor către </w:t>
      </w:r>
      <w:r w:rsidR="004E73A2">
        <w:rPr>
          <w:rFonts w:asciiTheme="majorHAnsi" w:hAnsiTheme="majorHAnsi" w:cstheme="majorHAnsi"/>
          <w:sz w:val="24"/>
          <w:szCs w:val="24"/>
          <w:lang w:val="ro-MD"/>
        </w:rPr>
        <w:t xml:space="preserve">Instituția Publică </w:t>
      </w:r>
      <w:r w:rsidRPr="00563C4C">
        <w:rPr>
          <w:rFonts w:asciiTheme="majorHAnsi" w:hAnsiTheme="majorHAnsi" w:cstheme="majorHAnsi"/>
          <w:sz w:val="24"/>
          <w:szCs w:val="24"/>
          <w:lang w:val="ro-MD"/>
        </w:rPr>
        <w:t>Agenția Proprietății Publice</w:t>
      </w:r>
      <w:r w:rsidR="004E73A2">
        <w:rPr>
          <w:rFonts w:asciiTheme="majorHAnsi" w:hAnsiTheme="majorHAnsi" w:cstheme="majorHAnsi"/>
          <w:sz w:val="24"/>
          <w:szCs w:val="24"/>
          <w:lang w:val="ro-MD"/>
        </w:rPr>
        <w:t xml:space="preserve"> (în continuare – IP Agenția Proprietății Publice)</w:t>
      </w:r>
      <w:r w:rsidRPr="00563C4C">
        <w:rPr>
          <w:rFonts w:asciiTheme="majorHAnsi" w:hAnsiTheme="majorHAnsi" w:cstheme="majorHAnsi"/>
          <w:sz w:val="24"/>
          <w:szCs w:val="24"/>
          <w:lang w:val="ro-MD"/>
        </w:rPr>
        <w:t xml:space="preserve"> din 15.10.2021</w:t>
      </w:r>
      <w:r w:rsidRPr="00563C4C">
        <w:rPr>
          <w:rFonts w:asciiTheme="majorHAnsi" w:hAnsiTheme="majorHAnsi" w:cstheme="majorHAnsi"/>
          <w:vertAlign w:val="superscript"/>
          <w:lang w:val="ro-MD"/>
        </w:rPr>
        <w:footnoteReference w:id="6"/>
      </w:r>
      <w:r w:rsidRPr="00563C4C">
        <w:rPr>
          <w:rFonts w:asciiTheme="majorHAnsi" w:hAnsiTheme="majorHAnsi" w:cstheme="majorHAnsi"/>
          <w:sz w:val="24"/>
          <w:szCs w:val="24"/>
          <w:lang w:val="ro-MD"/>
        </w:rPr>
        <w:t xml:space="preserve"> și în baza facturii fiscale din 15.07.2021</w:t>
      </w:r>
      <w:r w:rsidR="003E4F2F">
        <w:rPr>
          <w:rFonts w:asciiTheme="majorHAnsi" w:hAnsiTheme="majorHAnsi" w:cstheme="majorHAnsi"/>
          <w:sz w:val="24"/>
          <w:szCs w:val="24"/>
          <w:lang w:val="ro-MD"/>
        </w:rPr>
        <w:t>,</w:t>
      </w:r>
      <w:r w:rsidRPr="00563C4C">
        <w:rPr>
          <w:rFonts w:asciiTheme="majorHAnsi" w:hAnsiTheme="majorHAnsi" w:cstheme="majorHAnsi"/>
          <w:sz w:val="24"/>
          <w:szCs w:val="24"/>
          <w:lang w:val="ro-MD"/>
        </w:rPr>
        <w:t xml:space="preserve"> a transmis și a exclus din evidența contabilă 2 terenuri cu suprafața</w:t>
      </w:r>
      <w:r w:rsidR="00D75156">
        <w:rPr>
          <w:rFonts w:asciiTheme="majorHAnsi" w:hAnsiTheme="majorHAnsi" w:cstheme="majorHAnsi"/>
          <w:sz w:val="24"/>
          <w:szCs w:val="24"/>
          <w:lang w:val="ro-MD"/>
        </w:rPr>
        <w:t xml:space="preserve"> totală</w:t>
      </w:r>
      <w:r w:rsidRPr="00563C4C">
        <w:rPr>
          <w:rFonts w:asciiTheme="majorHAnsi" w:hAnsiTheme="majorHAnsi" w:cstheme="majorHAnsi"/>
          <w:sz w:val="24"/>
          <w:szCs w:val="24"/>
          <w:lang w:val="ro-MD"/>
        </w:rPr>
        <w:t xml:space="preserve"> de 0,6</w:t>
      </w:r>
      <w:r w:rsidR="004E73A2">
        <w:rPr>
          <w:rFonts w:asciiTheme="majorHAnsi" w:hAnsiTheme="majorHAnsi" w:cstheme="majorHAnsi"/>
          <w:sz w:val="24"/>
          <w:szCs w:val="24"/>
          <w:lang w:val="ro-MD"/>
        </w:rPr>
        <w:t>4</w:t>
      </w:r>
      <w:r w:rsidRPr="00563C4C">
        <w:rPr>
          <w:rFonts w:asciiTheme="majorHAnsi" w:hAnsiTheme="majorHAnsi" w:cstheme="majorHAnsi"/>
          <w:sz w:val="24"/>
          <w:szCs w:val="24"/>
          <w:lang w:val="ro-MD"/>
        </w:rPr>
        <w:t xml:space="preserve"> ha, în valoare totală de 17 664,1 mii lei. Potrivit explicațiilor responsabililor din cadrul </w:t>
      </w:r>
      <w:r w:rsidR="006C3D73">
        <w:rPr>
          <w:rFonts w:asciiTheme="majorHAnsi" w:hAnsiTheme="majorHAnsi" w:cstheme="majorHAnsi"/>
          <w:sz w:val="24"/>
          <w:szCs w:val="24"/>
          <w:lang w:val="ro-MD"/>
        </w:rPr>
        <w:t>M</w:t>
      </w:r>
      <w:r w:rsidRPr="00563C4C">
        <w:rPr>
          <w:rFonts w:asciiTheme="majorHAnsi" w:hAnsiTheme="majorHAnsi" w:cstheme="majorHAnsi"/>
          <w:sz w:val="24"/>
          <w:szCs w:val="24"/>
          <w:lang w:val="ro-MD"/>
        </w:rPr>
        <w:t xml:space="preserve">inisterului, scoaterea </w:t>
      </w:r>
      <w:r w:rsidR="003E4F2F">
        <w:rPr>
          <w:rFonts w:asciiTheme="majorHAnsi" w:hAnsiTheme="majorHAnsi" w:cstheme="majorHAnsi"/>
          <w:sz w:val="24"/>
          <w:szCs w:val="24"/>
          <w:lang w:val="ro-MD"/>
        </w:rPr>
        <w:t>din</w:t>
      </w:r>
      <w:r w:rsidRPr="00563C4C">
        <w:rPr>
          <w:rFonts w:asciiTheme="majorHAnsi" w:hAnsiTheme="majorHAnsi" w:cstheme="majorHAnsi"/>
          <w:sz w:val="24"/>
          <w:szCs w:val="24"/>
          <w:lang w:val="ro-MD"/>
        </w:rPr>
        <w:t xml:space="preserve"> evidență a terenurilor respective s-a efectuat în baza Hotărârii Guvernului nr. 161 din 07.03.2019</w:t>
      </w:r>
      <w:r w:rsidRPr="00563C4C">
        <w:rPr>
          <w:rFonts w:asciiTheme="majorHAnsi" w:hAnsiTheme="majorHAnsi" w:cstheme="majorHAnsi"/>
          <w:vertAlign w:val="superscript"/>
          <w:lang w:val="ro-MD"/>
        </w:rPr>
        <w:footnoteReference w:id="7"/>
      </w:r>
      <w:r w:rsidRPr="00563C4C">
        <w:rPr>
          <w:rFonts w:asciiTheme="majorHAnsi" w:hAnsiTheme="majorHAnsi" w:cstheme="majorHAnsi"/>
          <w:sz w:val="24"/>
          <w:szCs w:val="24"/>
          <w:lang w:val="ro-MD"/>
        </w:rPr>
        <w:t xml:space="preserve">, prin care a fost aprobată lista terenurilor proprietate publică de stat transmise în administrarea </w:t>
      </w:r>
      <w:r w:rsidR="004E73A2">
        <w:rPr>
          <w:rFonts w:asciiTheme="majorHAnsi" w:hAnsiTheme="majorHAnsi" w:cstheme="majorHAnsi"/>
          <w:sz w:val="24"/>
          <w:szCs w:val="24"/>
          <w:lang w:val="ro-MD"/>
        </w:rPr>
        <w:t xml:space="preserve">IP </w:t>
      </w:r>
      <w:r w:rsidRPr="00563C4C">
        <w:rPr>
          <w:rFonts w:asciiTheme="majorHAnsi" w:hAnsiTheme="majorHAnsi" w:cstheme="majorHAnsi"/>
          <w:sz w:val="24"/>
          <w:szCs w:val="24"/>
          <w:lang w:val="ro-MD"/>
        </w:rPr>
        <w:t xml:space="preserve">Agenției Proprietății Publice. Auditul relevă că </w:t>
      </w:r>
      <w:r w:rsidR="004E73A2">
        <w:rPr>
          <w:rFonts w:asciiTheme="majorHAnsi" w:hAnsiTheme="majorHAnsi" w:cstheme="majorHAnsi"/>
          <w:sz w:val="24"/>
          <w:szCs w:val="24"/>
          <w:lang w:val="ro-MD"/>
        </w:rPr>
        <w:t xml:space="preserve">IP </w:t>
      </w:r>
      <w:r w:rsidRPr="00563C4C">
        <w:rPr>
          <w:rFonts w:asciiTheme="majorHAnsi" w:hAnsiTheme="majorHAnsi" w:cstheme="majorHAnsi"/>
          <w:sz w:val="24"/>
          <w:szCs w:val="24"/>
          <w:shd w:val="clear" w:color="auto" w:fill="FFFFFF"/>
          <w:lang w:val="ro-MD"/>
        </w:rPr>
        <w:t>Agenția Proprietății Publice</w:t>
      </w:r>
      <w:r w:rsidR="003E4F2F">
        <w:rPr>
          <w:rFonts w:asciiTheme="majorHAnsi" w:hAnsiTheme="majorHAnsi" w:cstheme="majorHAnsi"/>
          <w:sz w:val="24"/>
          <w:szCs w:val="24"/>
          <w:shd w:val="clear" w:color="auto" w:fill="FFFFFF"/>
          <w:lang w:val="ro-MD"/>
        </w:rPr>
        <w:t>,</w:t>
      </w:r>
      <w:r w:rsidRPr="00563C4C">
        <w:rPr>
          <w:rFonts w:asciiTheme="majorHAnsi" w:hAnsiTheme="majorHAnsi" w:cstheme="majorHAnsi"/>
          <w:sz w:val="24"/>
          <w:szCs w:val="24"/>
          <w:shd w:val="clear" w:color="auto" w:fill="FFFFFF"/>
          <w:lang w:val="ro-MD"/>
        </w:rPr>
        <w:t xml:space="preserve"> </w:t>
      </w:r>
      <w:r w:rsidRPr="00563C4C">
        <w:rPr>
          <w:rFonts w:asciiTheme="majorHAnsi" w:hAnsiTheme="majorHAnsi" w:cstheme="majorHAnsi"/>
          <w:sz w:val="24"/>
          <w:szCs w:val="24"/>
          <w:lang w:val="ro-MD"/>
        </w:rPr>
        <w:t>contrar pct.</w:t>
      </w:r>
      <w:r w:rsidRPr="00563C4C">
        <w:rPr>
          <w:rFonts w:asciiTheme="majorHAnsi" w:hAnsiTheme="majorHAnsi" w:cstheme="majorHAnsi"/>
          <w:sz w:val="24"/>
          <w:szCs w:val="24"/>
          <w:shd w:val="clear" w:color="auto" w:fill="FFFFFF"/>
          <w:lang w:val="ro-MD"/>
        </w:rPr>
        <w:t>5</w:t>
      </w:r>
      <w:r w:rsidRPr="00563C4C">
        <w:rPr>
          <w:rFonts w:asciiTheme="majorHAnsi" w:eastAsia="Times New Roman" w:hAnsiTheme="majorHAnsi" w:cstheme="majorHAnsi"/>
          <w:bCs/>
          <w:sz w:val="24"/>
          <w:szCs w:val="24"/>
          <w:lang w:val="ro-MD" w:eastAsia="ro-RO"/>
        </w:rPr>
        <w:t xml:space="preserve"> din Hotărârea Guvernului nr</w:t>
      </w:r>
      <w:r w:rsidRPr="00563C4C">
        <w:rPr>
          <w:rFonts w:asciiTheme="majorHAnsi" w:eastAsia="Times New Roman" w:hAnsiTheme="majorHAnsi" w:cstheme="majorHAnsi"/>
          <w:sz w:val="24"/>
          <w:szCs w:val="24"/>
          <w:lang w:val="ro-MD" w:eastAsia="ro-RO"/>
        </w:rPr>
        <w:t>. 91 din 11.02.2019</w:t>
      </w:r>
      <w:r w:rsidRPr="009E69FA">
        <w:rPr>
          <w:rFonts w:asciiTheme="majorHAnsi" w:hAnsiTheme="majorHAnsi" w:cstheme="majorHAnsi"/>
          <w:sz w:val="24"/>
          <w:szCs w:val="24"/>
          <w:vertAlign w:val="superscript"/>
          <w:lang w:val="ro-MD" w:eastAsia="ro-RO"/>
        </w:rPr>
        <w:footnoteReference w:id="8"/>
      </w:r>
      <w:r w:rsidR="003E4F2F">
        <w:rPr>
          <w:rFonts w:asciiTheme="majorHAnsi" w:eastAsia="Times New Roman" w:hAnsiTheme="majorHAnsi" w:cstheme="majorHAnsi"/>
          <w:sz w:val="24"/>
          <w:szCs w:val="24"/>
          <w:lang w:val="ro-MD" w:eastAsia="ro-RO"/>
        </w:rPr>
        <w:t>,</w:t>
      </w:r>
      <w:r w:rsidR="0023449F">
        <w:rPr>
          <w:rFonts w:asciiTheme="majorHAnsi" w:eastAsia="Times New Roman" w:hAnsiTheme="majorHAnsi" w:cstheme="majorHAnsi"/>
          <w:sz w:val="24"/>
          <w:szCs w:val="24"/>
          <w:lang w:val="ro-MD" w:eastAsia="ro-RO"/>
        </w:rPr>
        <w:t xml:space="preserve"> nu a </w:t>
      </w:r>
      <w:r w:rsidRPr="00563C4C">
        <w:rPr>
          <w:rFonts w:asciiTheme="majorHAnsi" w:hAnsiTheme="majorHAnsi" w:cstheme="majorHAnsi"/>
          <w:sz w:val="24"/>
          <w:szCs w:val="24"/>
          <w:shd w:val="clear" w:color="auto" w:fill="FFFFFF"/>
          <w:lang w:val="ro-MD"/>
        </w:rPr>
        <w:t>leg</w:t>
      </w:r>
      <w:r w:rsidR="00EC1CE2">
        <w:rPr>
          <w:rFonts w:asciiTheme="majorHAnsi" w:hAnsiTheme="majorHAnsi" w:cstheme="majorHAnsi"/>
          <w:sz w:val="24"/>
          <w:szCs w:val="24"/>
          <w:shd w:val="clear" w:color="auto" w:fill="FFFFFF"/>
          <w:lang w:val="ro-MD"/>
        </w:rPr>
        <w:t>alizat</w:t>
      </w:r>
      <w:r w:rsidRPr="00563C4C">
        <w:rPr>
          <w:rFonts w:asciiTheme="majorHAnsi" w:hAnsiTheme="majorHAnsi" w:cstheme="majorHAnsi"/>
          <w:sz w:val="24"/>
          <w:szCs w:val="24"/>
          <w:shd w:val="clear" w:color="auto" w:fill="FFFFFF"/>
          <w:lang w:val="ro-MD"/>
        </w:rPr>
        <w:t xml:space="preserve"> posesia/folosința terenului proprietate publică a statului aferent construcțiilor prin neîncheierea cu</w:t>
      </w:r>
      <w:r w:rsidR="0023449F">
        <w:rPr>
          <w:rFonts w:asciiTheme="majorHAnsi" w:hAnsiTheme="majorHAnsi" w:cstheme="majorHAnsi"/>
          <w:sz w:val="24"/>
          <w:szCs w:val="24"/>
          <w:shd w:val="clear" w:color="auto" w:fill="FFFFFF"/>
          <w:lang w:val="ro-MD"/>
        </w:rPr>
        <w:t xml:space="preserve"> </w:t>
      </w:r>
      <w:r w:rsidR="006C3D73">
        <w:rPr>
          <w:rFonts w:asciiTheme="majorHAnsi" w:hAnsiTheme="majorHAnsi" w:cstheme="majorHAnsi"/>
          <w:sz w:val="24"/>
          <w:szCs w:val="24"/>
          <w:shd w:val="clear" w:color="auto" w:fill="FFFFFF"/>
          <w:lang w:val="ro-MD"/>
        </w:rPr>
        <w:t>M</w:t>
      </w:r>
      <w:r>
        <w:rPr>
          <w:rFonts w:asciiTheme="majorHAnsi" w:hAnsiTheme="majorHAnsi" w:cstheme="majorHAnsi"/>
          <w:sz w:val="24"/>
          <w:szCs w:val="24"/>
          <w:shd w:val="clear" w:color="auto" w:fill="FFFFFF"/>
          <w:lang w:val="ro-MD"/>
        </w:rPr>
        <w:t>inisterul</w:t>
      </w:r>
      <w:r w:rsidRPr="00563C4C">
        <w:rPr>
          <w:rFonts w:asciiTheme="majorHAnsi" w:hAnsiTheme="majorHAnsi" w:cstheme="majorHAnsi"/>
          <w:sz w:val="24"/>
          <w:szCs w:val="24"/>
          <w:shd w:val="clear" w:color="auto" w:fill="FFFFFF"/>
          <w:lang w:val="ro-MD"/>
        </w:rPr>
        <w:t xml:space="preserve"> a contractului de arendă/</w:t>
      </w:r>
      <w:r w:rsidR="00B829A8">
        <w:rPr>
          <w:rFonts w:asciiTheme="majorHAnsi" w:hAnsiTheme="majorHAnsi" w:cstheme="majorHAnsi"/>
          <w:sz w:val="24"/>
          <w:szCs w:val="24"/>
          <w:shd w:val="clear" w:color="auto" w:fill="FFFFFF"/>
          <w:lang w:val="ro-MD"/>
        </w:rPr>
        <w:t>comodat</w:t>
      </w:r>
      <w:r w:rsidRPr="00563C4C">
        <w:rPr>
          <w:rFonts w:asciiTheme="majorHAnsi" w:hAnsiTheme="majorHAnsi" w:cstheme="majorHAnsi"/>
          <w:sz w:val="24"/>
          <w:szCs w:val="24"/>
          <w:shd w:val="clear" w:color="auto" w:fill="FFFFFF"/>
          <w:lang w:val="ro-MD"/>
        </w:rPr>
        <w:t xml:space="preserve">. </w:t>
      </w:r>
      <w:r w:rsidRPr="00563C4C">
        <w:rPr>
          <w:rFonts w:asciiTheme="majorHAnsi" w:hAnsiTheme="majorHAnsi" w:cstheme="majorHAnsi"/>
          <w:sz w:val="24"/>
          <w:szCs w:val="24"/>
          <w:lang w:val="ro-MD"/>
        </w:rPr>
        <w:t xml:space="preserve">Drepturile de administrare ale </w:t>
      </w:r>
      <w:r w:rsidR="004E73A2">
        <w:rPr>
          <w:rFonts w:asciiTheme="majorHAnsi" w:hAnsiTheme="majorHAnsi" w:cstheme="majorHAnsi"/>
          <w:sz w:val="24"/>
          <w:szCs w:val="24"/>
          <w:lang w:val="ro-MD"/>
        </w:rPr>
        <w:t xml:space="preserve">IP </w:t>
      </w:r>
      <w:r w:rsidRPr="00563C4C">
        <w:rPr>
          <w:rFonts w:asciiTheme="majorHAnsi" w:hAnsiTheme="majorHAnsi" w:cstheme="majorHAnsi"/>
          <w:sz w:val="24"/>
          <w:szCs w:val="24"/>
          <w:lang w:val="ro-MD"/>
        </w:rPr>
        <w:t>Agenți</w:t>
      </w:r>
      <w:r w:rsidR="006C3D73">
        <w:rPr>
          <w:rFonts w:asciiTheme="majorHAnsi" w:hAnsiTheme="majorHAnsi" w:cstheme="majorHAnsi"/>
          <w:sz w:val="24"/>
          <w:szCs w:val="24"/>
          <w:lang w:val="ro-MD"/>
        </w:rPr>
        <w:t>a</w:t>
      </w:r>
      <w:r w:rsidRPr="00563C4C">
        <w:rPr>
          <w:rFonts w:asciiTheme="majorHAnsi" w:hAnsiTheme="majorHAnsi" w:cstheme="majorHAnsi"/>
          <w:sz w:val="24"/>
          <w:szCs w:val="24"/>
          <w:lang w:val="ro-MD"/>
        </w:rPr>
        <w:t xml:space="preserve"> Proprietății Publice asupra terenurilor respective nu au fost înregistrate</w:t>
      </w:r>
      <w:r>
        <w:rPr>
          <w:rFonts w:asciiTheme="majorHAnsi" w:hAnsiTheme="majorHAnsi" w:cstheme="majorHAnsi"/>
          <w:sz w:val="24"/>
          <w:szCs w:val="24"/>
          <w:lang w:val="ro-MD"/>
        </w:rPr>
        <w:t xml:space="preserve"> </w:t>
      </w:r>
      <w:r w:rsidRPr="0023449F">
        <w:rPr>
          <w:rFonts w:asciiTheme="majorHAnsi" w:hAnsiTheme="majorHAnsi" w:cstheme="majorHAnsi"/>
          <w:sz w:val="24"/>
          <w:szCs w:val="24"/>
          <w:lang w:val="ro-MD"/>
        </w:rPr>
        <w:t>nici</w:t>
      </w:r>
      <w:r w:rsidRPr="00563C4C">
        <w:rPr>
          <w:rFonts w:asciiTheme="majorHAnsi" w:hAnsiTheme="majorHAnsi" w:cstheme="majorHAnsi"/>
          <w:sz w:val="24"/>
          <w:szCs w:val="24"/>
          <w:lang w:val="ro-MD"/>
        </w:rPr>
        <w:t xml:space="preserve"> în Registrul bu</w:t>
      </w:r>
      <w:r w:rsidR="0023449F">
        <w:rPr>
          <w:rFonts w:asciiTheme="majorHAnsi" w:hAnsiTheme="majorHAnsi" w:cstheme="majorHAnsi"/>
          <w:sz w:val="24"/>
          <w:szCs w:val="24"/>
          <w:lang w:val="ro-MD"/>
        </w:rPr>
        <w:t>nurilor imobile (RBI).</w:t>
      </w:r>
      <w:r w:rsidRPr="000321C5">
        <w:rPr>
          <w:rFonts w:asciiTheme="majorHAnsi" w:hAnsiTheme="majorHAnsi" w:cstheme="majorHAnsi"/>
          <w:color w:val="FF0000"/>
          <w:sz w:val="24"/>
          <w:szCs w:val="24"/>
          <w:lang w:val="ro-MD"/>
        </w:rPr>
        <w:t xml:space="preserve"> </w:t>
      </w:r>
      <w:r w:rsidR="0023449F">
        <w:rPr>
          <w:rFonts w:asciiTheme="majorHAnsi" w:hAnsiTheme="majorHAnsi" w:cstheme="majorHAnsi"/>
          <w:sz w:val="24"/>
          <w:szCs w:val="24"/>
          <w:lang w:val="ro-MD"/>
        </w:rPr>
        <w:t>D</w:t>
      </w:r>
      <w:r w:rsidRPr="00563C4C">
        <w:rPr>
          <w:rFonts w:asciiTheme="majorHAnsi" w:hAnsiTheme="majorHAnsi" w:cstheme="majorHAnsi"/>
          <w:sz w:val="24"/>
          <w:szCs w:val="24"/>
          <w:lang w:val="ro-MD"/>
        </w:rPr>
        <w:t>repturi</w:t>
      </w:r>
      <w:r w:rsidR="000321C5">
        <w:rPr>
          <w:rFonts w:asciiTheme="majorHAnsi" w:hAnsiTheme="majorHAnsi" w:cstheme="majorHAnsi"/>
          <w:sz w:val="24"/>
          <w:szCs w:val="24"/>
          <w:lang w:val="ro-MD"/>
        </w:rPr>
        <w:t>le de folosință</w:t>
      </w:r>
      <w:r w:rsidRPr="00563C4C">
        <w:rPr>
          <w:rFonts w:asciiTheme="majorHAnsi" w:hAnsiTheme="majorHAnsi" w:cstheme="majorHAnsi"/>
          <w:sz w:val="24"/>
          <w:szCs w:val="24"/>
          <w:lang w:val="ro-MD"/>
        </w:rPr>
        <w:t xml:space="preserve"> asupra acestor terenuri până în prezent </w:t>
      </w:r>
      <w:r w:rsidR="003E4F2F">
        <w:rPr>
          <w:rFonts w:asciiTheme="majorHAnsi" w:hAnsiTheme="majorHAnsi" w:cstheme="majorHAnsi"/>
          <w:sz w:val="24"/>
          <w:szCs w:val="24"/>
          <w:lang w:val="ro-MD"/>
        </w:rPr>
        <w:t>continuă să</w:t>
      </w:r>
      <w:r w:rsidRPr="00563C4C">
        <w:rPr>
          <w:rFonts w:asciiTheme="majorHAnsi" w:hAnsiTheme="majorHAnsi" w:cstheme="majorHAnsi"/>
          <w:sz w:val="24"/>
          <w:szCs w:val="24"/>
          <w:lang w:val="ro-MD"/>
        </w:rPr>
        <w:t xml:space="preserve"> fi</w:t>
      </w:r>
      <w:r w:rsidR="003E4F2F">
        <w:rPr>
          <w:rFonts w:asciiTheme="majorHAnsi" w:hAnsiTheme="majorHAnsi" w:cstheme="majorHAnsi"/>
          <w:sz w:val="24"/>
          <w:szCs w:val="24"/>
          <w:lang w:val="ro-MD"/>
        </w:rPr>
        <w:t>e</w:t>
      </w:r>
      <w:r w:rsidRPr="00563C4C">
        <w:rPr>
          <w:rFonts w:asciiTheme="majorHAnsi" w:hAnsiTheme="majorHAnsi" w:cstheme="majorHAnsi"/>
          <w:sz w:val="24"/>
          <w:szCs w:val="24"/>
          <w:lang w:val="ro-MD"/>
        </w:rPr>
        <w:t xml:space="preserve"> înregistrate în RBI</w:t>
      </w:r>
      <w:r w:rsidR="0023449F">
        <w:rPr>
          <w:rFonts w:asciiTheme="majorHAnsi" w:hAnsiTheme="majorHAnsi" w:cstheme="majorHAnsi"/>
          <w:sz w:val="24"/>
          <w:szCs w:val="24"/>
          <w:lang w:val="ro-MD"/>
        </w:rPr>
        <w:t xml:space="preserve"> după </w:t>
      </w:r>
      <w:r w:rsidR="006C3D73">
        <w:rPr>
          <w:rFonts w:asciiTheme="majorHAnsi" w:hAnsiTheme="majorHAnsi" w:cstheme="majorHAnsi"/>
          <w:sz w:val="24"/>
          <w:szCs w:val="24"/>
          <w:lang w:val="ro-MD"/>
        </w:rPr>
        <w:t>M</w:t>
      </w:r>
      <w:r w:rsidR="000321C5">
        <w:rPr>
          <w:rFonts w:asciiTheme="majorHAnsi" w:hAnsiTheme="majorHAnsi" w:cstheme="majorHAnsi"/>
          <w:sz w:val="24"/>
          <w:szCs w:val="24"/>
          <w:lang w:val="ro-MD"/>
        </w:rPr>
        <w:t>inister</w:t>
      </w:r>
      <w:r w:rsidRPr="0023449F">
        <w:rPr>
          <w:rFonts w:asciiTheme="majorHAnsi" w:hAnsiTheme="majorHAnsi" w:cstheme="majorHAnsi"/>
          <w:sz w:val="24"/>
          <w:szCs w:val="24"/>
          <w:lang w:val="ro-MD"/>
        </w:rPr>
        <w:t xml:space="preserve">. </w:t>
      </w:r>
      <w:r w:rsidR="000321C5" w:rsidRPr="0023449F">
        <w:rPr>
          <w:rFonts w:asciiTheme="majorHAnsi" w:hAnsiTheme="majorHAnsi" w:cstheme="majorHAnsi"/>
          <w:color w:val="000000" w:themeColor="text1"/>
          <w:sz w:val="24"/>
          <w:szCs w:val="24"/>
          <w:lang w:val="ro-MD"/>
        </w:rPr>
        <w:t>În contextul acestor incertitudini</w:t>
      </w:r>
      <w:r w:rsidRPr="0023449F">
        <w:rPr>
          <w:rFonts w:asciiTheme="majorHAnsi" w:hAnsiTheme="majorHAnsi" w:cstheme="majorHAnsi"/>
          <w:color w:val="000000" w:themeColor="text1"/>
          <w:sz w:val="24"/>
          <w:szCs w:val="24"/>
          <w:lang w:val="ro-MD"/>
        </w:rPr>
        <w:t>,</w:t>
      </w:r>
      <w:r w:rsidR="000321C5" w:rsidRPr="0023449F">
        <w:rPr>
          <w:rFonts w:asciiTheme="majorHAnsi" w:hAnsiTheme="majorHAnsi" w:cstheme="majorHAnsi"/>
          <w:color w:val="000000" w:themeColor="text1"/>
          <w:sz w:val="24"/>
          <w:szCs w:val="24"/>
          <w:lang w:val="ro-MD"/>
        </w:rPr>
        <w:t xml:space="preserve"> auditul</w:t>
      </w:r>
      <w:r w:rsidR="004A5046">
        <w:rPr>
          <w:rFonts w:asciiTheme="majorHAnsi" w:hAnsiTheme="majorHAnsi" w:cstheme="majorHAnsi"/>
          <w:color w:val="000000" w:themeColor="text1"/>
          <w:sz w:val="24"/>
          <w:szCs w:val="24"/>
          <w:lang w:val="ro-MD"/>
        </w:rPr>
        <w:t xml:space="preserve"> public extern</w:t>
      </w:r>
      <w:r w:rsidR="000321C5" w:rsidRPr="0023449F">
        <w:rPr>
          <w:rFonts w:asciiTheme="majorHAnsi" w:hAnsiTheme="majorHAnsi" w:cstheme="majorHAnsi"/>
          <w:color w:val="000000" w:themeColor="text1"/>
          <w:sz w:val="24"/>
          <w:szCs w:val="24"/>
          <w:lang w:val="ro-MD"/>
        </w:rPr>
        <w:t xml:space="preserve"> constată că </w:t>
      </w:r>
      <w:r w:rsidR="006C3D73">
        <w:rPr>
          <w:rFonts w:asciiTheme="majorHAnsi" w:hAnsiTheme="majorHAnsi" w:cstheme="majorHAnsi"/>
          <w:color w:val="000000" w:themeColor="text1"/>
          <w:sz w:val="24"/>
          <w:szCs w:val="24"/>
          <w:lang w:val="ro-MD"/>
        </w:rPr>
        <w:t>M</w:t>
      </w:r>
      <w:r w:rsidRPr="0023449F">
        <w:rPr>
          <w:rFonts w:asciiTheme="majorHAnsi" w:hAnsiTheme="majorHAnsi" w:cstheme="majorHAnsi"/>
          <w:color w:val="000000" w:themeColor="text1"/>
          <w:sz w:val="24"/>
          <w:szCs w:val="24"/>
          <w:lang w:val="ro-MD"/>
        </w:rPr>
        <w:t>inisterul</w:t>
      </w:r>
      <w:r w:rsidR="003E4F2F">
        <w:rPr>
          <w:rFonts w:asciiTheme="majorHAnsi" w:hAnsiTheme="majorHAnsi" w:cstheme="majorHAnsi"/>
          <w:color w:val="000000" w:themeColor="text1"/>
          <w:sz w:val="24"/>
          <w:szCs w:val="24"/>
          <w:lang w:val="ro-MD"/>
        </w:rPr>
        <w:t>,</w:t>
      </w:r>
      <w:r w:rsidRPr="0023449F">
        <w:rPr>
          <w:rFonts w:asciiTheme="majorHAnsi" w:hAnsiTheme="majorHAnsi" w:cstheme="majorHAnsi"/>
          <w:color w:val="000000" w:themeColor="text1"/>
          <w:sz w:val="24"/>
          <w:szCs w:val="24"/>
          <w:lang w:val="ro-MD"/>
        </w:rPr>
        <w:t xml:space="preserve"> </w:t>
      </w:r>
      <w:r w:rsidR="000321C5" w:rsidRPr="0023449F">
        <w:rPr>
          <w:rFonts w:asciiTheme="majorHAnsi" w:hAnsiTheme="majorHAnsi" w:cstheme="majorHAnsi"/>
          <w:color w:val="000000" w:themeColor="text1"/>
          <w:sz w:val="24"/>
          <w:szCs w:val="24"/>
          <w:lang w:val="ro-MD"/>
        </w:rPr>
        <w:t>din momentul emiterii facturii fiscale</w:t>
      </w:r>
      <w:r w:rsidR="003E4F2F">
        <w:rPr>
          <w:rFonts w:asciiTheme="majorHAnsi" w:hAnsiTheme="majorHAnsi" w:cstheme="majorHAnsi"/>
          <w:color w:val="000000" w:themeColor="text1"/>
          <w:sz w:val="24"/>
          <w:szCs w:val="24"/>
          <w:lang w:val="ro-MD"/>
        </w:rPr>
        <w:t>,</w:t>
      </w:r>
      <w:r w:rsidR="000321C5" w:rsidRPr="0023449F">
        <w:rPr>
          <w:rFonts w:asciiTheme="majorHAnsi" w:hAnsiTheme="majorHAnsi" w:cstheme="majorHAnsi"/>
          <w:color w:val="000000" w:themeColor="text1"/>
          <w:sz w:val="24"/>
          <w:szCs w:val="24"/>
          <w:lang w:val="ro-MD"/>
        </w:rPr>
        <w:t xml:space="preserve"> a înregistrat</w:t>
      </w:r>
      <w:r w:rsidRPr="0023449F">
        <w:rPr>
          <w:rFonts w:asciiTheme="majorHAnsi" w:hAnsiTheme="majorHAnsi" w:cstheme="majorHAnsi"/>
          <w:color w:val="000000" w:themeColor="text1"/>
          <w:sz w:val="24"/>
          <w:szCs w:val="24"/>
          <w:lang w:val="ro-MD"/>
        </w:rPr>
        <w:t xml:space="preserve"> </w:t>
      </w:r>
      <w:r w:rsidR="000321C5" w:rsidRPr="0023449F">
        <w:rPr>
          <w:rFonts w:asciiTheme="majorHAnsi" w:hAnsiTheme="majorHAnsi" w:cstheme="majorHAnsi"/>
          <w:color w:val="000000" w:themeColor="text1"/>
          <w:sz w:val="24"/>
          <w:szCs w:val="24"/>
          <w:lang w:val="ro-MD"/>
        </w:rPr>
        <w:t>cheltuieli pentru</w:t>
      </w:r>
      <w:r w:rsidRPr="0023449F">
        <w:rPr>
          <w:rFonts w:asciiTheme="majorHAnsi" w:hAnsiTheme="majorHAnsi" w:cstheme="majorHAnsi"/>
          <w:color w:val="000000" w:themeColor="text1"/>
          <w:sz w:val="24"/>
          <w:szCs w:val="24"/>
          <w:lang w:val="ro-MD"/>
        </w:rPr>
        <w:t xml:space="preserve"> prestarea serviciilor de îngrijire și amenajare a terit</w:t>
      </w:r>
      <w:r w:rsidR="000321C5" w:rsidRPr="0023449F">
        <w:rPr>
          <w:rFonts w:asciiTheme="majorHAnsi" w:hAnsiTheme="majorHAnsi" w:cstheme="majorHAnsi"/>
          <w:color w:val="000000" w:themeColor="text1"/>
          <w:sz w:val="24"/>
          <w:szCs w:val="24"/>
          <w:lang w:val="ro-MD"/>
        </w:rPr>
        <w:t>oriului în sumă de 50,6 mii lei, de facto nedispunând de acestea.</w:t>
      </w:r>
    </w:p>
    <w:p w:rsidR="00657A2E" w:rsidRPr="004E73A2" w:rsidRDefault="00657A2E" w:rsidP="00CA11E2">
      <w:pPr>
        <w:pStyle w:val="ListParagraph"/>
        <w:spacing w:after="0" w:line="276" w:lineRule="auto"/>
        <w:ind w:left="0"/>
        <w:jc w:val="both"/>
        <w:rPr>
          <w:rFonts w:asciiTheme="majorHAnsi" w:hAnsiTheme="majorHAnsi" w:cstheme="majorHAnsi"/>
          <w:color w:val="000000" w:themeColor="text1"/>
          <w:sz w:val="8"/>
          <w:szCs w:val="8"/>
          <w:lang w:val="ro-MD"/>
        </w:rPr>
      </w:pPr>
    </w:p>
    <w:p w:rsidR="00657A2E" w:rsidRPr="00657A2E" w:rsidRDefault="00657A2E" w:rsidP="00CA11E2">
      <w:pPr>
        <w:spacing w:line="276" w:lineRule="auto"/>
        <w:jc w:val="both"/>
        <w:rPr>
          <w:rFonts w:asciiTheme="majorHAnsi" w:eastAsiaTheme="minorEastAsia" w:hAnsiTheme="majorHAnsi" w:cstheme="majorHAnsi"/>
          <w:sz w:val="24"/>
          <w:szCs w:val="24"/>
        </w:rPr>
      </w:pPr>
      <w:r w:rsidRPr="00657A2E">
        <w:rPr>
          <w:rFonts w:asciiTheme="majorHAnsi" w:hAnsiTheme="majorHAnsi" w:cstheme="majorHAnsi"/>
          <w:b/>
          <w:color w:val="000000" w:themeColor="text1"/>
          <w:sz w:val="24"/>
          <w:szCs w:val="24"/>
          <w:lang w:val="ro-MD"/>
        </w:rPr>
        <w:t>3.3.</w:t>
      </w:r>
      <w:r>
        <w:rPr>
          <w:rFonts w:asciiTheme="majorHAnsi" w:hAnsiTheme="majorHAnsi" w:cstheme="majorHAnsi"/>
          <w:color w:val="000000" w:themeColor="text1"/>
          <w:sz w:val="24"/>
          <w:szCs w:val="24"/>
          <w:lang w:val="ro-MD"/>
        </w:rPr>
        <w:t xml:space="preserve"> </w:t>
      </w:r>
      <w:r>
        <w:rPr>
          <w:rFonts w:asciiTheme="majorHAnsi" w:eastAsiaTheme="minorEastAsia" w:hAnsiTheme="majorHAnsi" w:cstheme="majorHAnsi"/>
          <w:sz w:val="24"/>
          <w:szCs w:val="24"/>
          <w:lang w:val="ro-MD"/>
        </w:rPr>
        <w:t>S</w:t>
      </w:r>
      <w:r w:rsidRPr="007B225F">
        <w:rPr>
          <w:rFonts w:asciiTheme="majorHAnsi" w:eastAsiaTheme="minorEastAsia" w:hAnsiTheme="majorHAnsi" w:cstheme="majorHAnsi"/>
          <w:sz w:val="24"/>
          <w:szCs w:val="24"/>
          <w:lang w:val="ro-MD"/>
        </w:rPr>
        <w:t xml:space="preserve">e menționează că la începutul anului subdiviziunile </w:t>
      </w:r>
      <w:r w:rsidR="006C3D73">
        <w:rPr>
          <w:rFonts w:asciiTheme="majorHAnsi" w:eastAsiaTheme="minorEastAsia" w:hAnsiTheme="majorHAnsi" w:cstheme="majorHAnsi"/>
          <w:sz w:val="24"/>
          <w:szCs w:val="24"/>
          <w:lang w:val="ro-MD"/>
        </w:rPr>
        <w:t>M</w:t>
      </w:r>
      <w:r w:rsidRPr="007B225F">
        <w:rPr>
          <w:rFonts w:asciiTheme="majorHAnsi" w:eastAsiaTheme="minorEastAsia" w:hAnsiTheme="majorHAnsi" w:cstheme="majorHAnsi"/>
          <w:sz w:val="24"/>
          <w:szCs w:val="24"/>
          <w:lang w:val="ro-MD"/>
        </w:rPr>
        <w:t xml:space="preserve">inisterului dispuneau de un sold de mijloace temporar intrate în sumă de 871,1 mii lei. Pe parcursul anului, ca urmare a prestării serviciilor consulare, au fost încasate mijloace temporar intrate în posesia instituției în sumă de 51,7 mil.lei, transferate ulterior </w:t>
      </w:r>
      <w:r w:rsidR="007D7C18">
        <w:rPr>
          <w:rFonts w:asciiTheme="majorHAnsi" w:eastAsiaTheme="minorEastAsia" w:hAnsiTheme="majorHAnsi" w:cstheme="majorHAnsi"/>
          <w:sz w:val="24"/>
          <w:szCs w:val="24"/>
          <w:lang w:val="ro-MD"/>
        </w:rPr>
        <w:t xml:space="preserve">IP </w:t>
      </w:r>
      <w:r w:rsidRPr="007B225F">
        <w:rPr>
          <w:rFonts w:asciiTheme="majorHAnsi" w:eastAsiaTheme="minorEastAsia" w:hAnsiTheme="majorHAnsi" w:cstheme="majorHAnsi"/>
          <w:sz w:val="24"/>
          <w:szCs w:val="24"/>
          <w:lang w:val="ro-MD"/>
        </w:rPr>
        <w:t>Agenți</w:t>
      </w:r>
      <w:r w:rsidR="006C3D73">
        <w:rPr>
          <w:rFonts w:asciiTheme="majorHAnsi" w:eastAsiaTheme="minorEastAsia" w:hAnsiTheme="majorHAnsi" w:cstheme="majorHAnsi"/>
          <w:sz w:val="24"/>
          <w:szCs w:val="24"/>
          <w:lang w:val="ro-MD"/>
        </w:rPr>
        <w:t>a</w:t>
      </w:r>
      <w:r w:rsidRPr="007B225F">
        <w:rPr>
          <w:rFonts w:asciiTheme="majorHAnsi" w:eastAsiaTheme="minorEastAsia" w:hAnsiTheme="majorHAnsi" w:cstheme="majorHAnsi"/>
          <w:sz w:val="24"/>
          <w:szCs w:val="24"/>
          <w:lang w:val="ro-MD"/>
        </w:rPr>
        <w:t xml:space="preserve"> Servicii Publice pentru serviciile </w:t>
      </w:r>
      <w:r>
        <w:rPr>
          <w:rFonts w:asciiTheme="majorHAnsi" w:eastAsiaTheme="minorEastAsia" w:hAnsiTheme="majorHAnsi" w:cstheme="majorHAnsi"/>
          <w:sz w:val="24"/>
          <w:szCs w:val="24"/>
          <w:lang w:val="ro-MD"/>
        </w:rPr>
        <w:t xml:space="preserve">de </w:t>
      </w:r>
      <w:r w:rsidRPr="007B225F">
        <w:rPr>
          <w:rFonts w:asciiTheme="majorHAnsi" w:eastAsiaTheme="minorEastAsia" w:hAnsiTheme="majorHAnsi" w:cstheme="majorHAnsi"/>
          <w:sz w:val="24"/>
          <w:szCs w:val="24"/>
          <w:lang w:val="ro-MD"/>
        </w:rPr>
        <w:t>perfectare</w:t>
      </w:r>
      <w:r>
        <w:rPr>
          <w:rFonts w:asciiTheme="majorHAnsi" w:eastAsiaTheme="minorEastAsia" w:hAnsiTheme="majorHAnsi" w:cstheme="majorHAnsi"/>
          <w:sz w:val="24"/>
          <w:szCs w:val="24"/>
          <w:lang w:val="ro-MD"/>
        </w:rPr>
        <w:t xml:space="preserve"> </w:t>
      </w:r>
      <w:r w:rsidRPr="007B225F">
        <w:rPr>
          <w:rFonts w:asciiTheme="majorHAnsi" w:eastAsiaTheme="minorEastAsia" w:hAnsiTheme="majorHAnsi" w:cstheme="majorHAnsi"/>
          <w:sz w:val="24"/>
          <w:szCs w:val="24"/>
          <w:lang w:val="ro-MD"/>
        </w:rPr>
        <w:t>a actelor de identitate</w:t>
      </w:r>
      <w:r>
        <w:rPr>
          <w:rFonts w:asciiTheme="majorHAnsi" w:eastAsiaTheme="minorEastAsia" w:hAnsiTheme="majorHAnsi" w:cstheme="majorHAnsi"/>
          <w:sz w:val="24"/>
          <w:szCs w:val="24"/>
          <w:lang w:val="ro-MD"/>
        </w:rPr>
        <w:t xml:space="preserve"> de către instituțiile serviciului diplomatic</w:t>
      </w:r>
      <w:r w:rsidRPr="007B225F">
        <w:rPr>
          <w:rFonts w:asciiTheme="majorHAnsi" w:eastAsiaTheme="minorEastAsia" w:hAnsiTheme="majorHAnsi" w:cstheme="majorHAnsi"/>
          <w:sz w:val="24"/>
          <w:szCs w:val="24"/>
          <w:lang w:val="ro-MD"/>
        </w:rPr>
        <w:t>, în sumă de 51,3 mil.lei. Astfel, soldul mijloacelor temporar intrate la situația din 31.12.2021 a constituit 1,3 mil.lei, iar soldul mijloacelor bănești la sfârșitul perioadei în conturile misiunilor diplomatice și oficiilor consulare a constituit 23,7 mil.lei.</w:t>
      </w:r>
    </w:p>
    <w:p w:rsidR="00657A2E" w:rsidRDefault="00657A2E" w:rsidP="00CA11E2">
      <w:pPr>
        <w:spacing w:after="0" w:line="276" w:lineRule="auto"/>
        <w:jc w:val="both"/>
        <w:rPr>
          <w:rFonts w:asciiTheme="majorHAnsi" w:eastAsiaTheme="minorEastAsia" w:hAnsiTheme="majorHAnsi" w:cstheme="majorHAnsi"/>
          <w:sz w:val="24"/>
          <w:szCs w:val="24"/>
          <w:lang w:val="ro-MD"/>
        </w:rPr>
      </w:pPr>
      <w:r>
        <w:rPr>
          <w:rFonts w:asciiTheme="majorHAnsi" w:eastAsiaTheme="minorEastAsia" w:hAnsiTheme="majorHAnsi" w:cstheme="majorHAnsi"/>
          <w:sz w:val="24"/>
          <w:szCs w:val="24"/>
          <w:lang w:val="ro-MD"/>
        </w:rPr>
        <w:lastRenderedPageBreak/>
        <w:t>În acest aspect, se menționează că, în temeiul Acordului nr.9-AC din 30.06</w:t>
      </w:r>
      <w:r w:rsidRPr="004E73A2">
        <w:rPr>
          <w:rFonts w:asciiTheme="majorHAnsi" w:eastAsiaTheme="minorEastAsia" w:hAnsiTheme="majorHAnsi" w:cstheme="majorHAnsi"/>
          <w:sz w:val="24"/>
          <w:szCs w:val="24"/>
          <w:lang w:val="ro-MD"/>
        </w:rPr>
        <w:t>.2021</w:t>
      </w:r>
      <w:r w:rsidRPr="004E73A2">
        <w:rPr>
          <w:rStyle w:val="FootnoteReference"/>
          <w:rFonts w:asciiTheme="majorHAnsi" w:eastAsiaTheme="minorEastAsia" w:hAnsiTheme="majorHAnsi" w:cstheme="majorHAnsi"/>
          <w:sz w:val="24"/>
          <w:szCs w:val="24"/>
          <w:lang w:val="ro-MD"/>
        </w:rPr>
        <w:footnoteReference w:id="9"/>
      </w:r>
      <w:r>
        <w:rPr>
          <w:rFonts w:asciiTheme="majorHAnsi" w:eastAsiaTheme="minorEastAsia" w:hAnsiTheme="majorHAnsi" w:cstheme="majorHAnsi"/>
          <w:sz w:val="24"/>
          <w:szCs w:val="24"/>
          <w:lang w:val="ro-MD"/>
        </w:rPr>
        <w:t xml:space="preserve"> încheiat cu </w:t>
      </w:r>
      <w:r w:rsidR="007D7C18">
        <w:rPr>
          <w:rFonts w:asciiTheme="majorHAnsi" w:eastAsiaTheme="minorEastAsia" w:hAnsiTheme="majorHAnsi" w:cstheme="majorHAnsi"/>
          <w:sz w:val="24"/>
          <w:szCs w:val="24"/>
          <w:lang w:val="ro-MD"/>
        </w:rPr>
        <w:t xml:space="preserve">IP </w:t>
      </w:r>
      <w:r w:rsidRPr="007B225F">
        <w:rPr>
          <w:rFonts w:asciiTheme="majorHAnsi" w:eastAsiaTheme="minorEastAsia" w:hAnsiTheme="majorHAnsi" w:cstheme="majorHAnsi"/>
          <w:sz w:val="24"/>
          <w:szCs w:val="24"/>
          <w:lang w:val="ro-MD"/>
        </w:rPr>
        <w:t>Agenți</w:t>
      </w:r>
      <w:r>
        <w:rPr>
          <w:rFonts w:asciiTheme="majorHAnsi" w:eastAsiaTheme="minorEastAsia" w:hAnsiTheme="majorHAnsi" w:cstheme="majorHAnsi"/>
          <w:sz w:val="24"/>
          <w:szCs w:val="24"/>
          <w:lang w:val="ro-MD"/>
        </w:rPr>
        <w:t>a</w:t>
      </w:r>
      <w:r w:rsidRPr="007B225F">
        <w:rPr>
          <w:rFonts w:asciiTheme="majorHAnsi" w:eastAsiaTheme="minorEastAsia" w:hAnsiTheme="majorHAnsi" w:cstheme="majorHAnsi"/>
          <w:sz w:val="24"/>
          <w:szCs w:val="24"/>
          <w:lang w:val="ro-MD"/>
        </w:rPr>
        <w:t xml:space="preserve"> Servicii Publice</w:t>
      </w:r>
      <w:r>
        <w:rPr>
          <w:rFonts w:asciiTheme="majorHAnsi" w:eastAsiaTheme="minorEastAsia" w:hAnsiTheme="majorHAnsi" w:cstheme="majorHAnsi"/>
          <w:sz w:val="24"/>
          <w:szCs w:val="24"/>
          <w:lang w:val="ro-MD"/>
        </w:rPr>
        <w:t>,</w:t>
      </w:r>
      <w:r w:rsidRPr="003B6AE4">
        <w:rPr>
          <w:rFonts w:asciiTheme="majorHAnsi" w:eastAsiaTheme="minorEastAsia" w:hAnsiTheme="majorHAnsi" w:cstheme="majorHAnsi"/>
          <w:sz w:val="24"/>
          <w:szCs w:val="24"/>
          <w:lang w:val="ro-MD"/>
        </w:rPr>
        <w:t xml:space="preserve"> </w:t>
      </w:r>
      <w:r w:rsidR="006C3D73">
        <w:rPr>
          <w:rFonts w:asciiTheme="majorHAnsi" w:eastAsiaTheme="minorEastAsia" w:hAnsiTheme="majorHAnsi" w:cstheme="majorHAnsi"/>
          <w:sz w:val="24"/>
          <w:szCs w:val="24"/>
          <w:lang w:val="ro-MD"/>
        </w:rPr>
        <w:t>M</w:t>
      </w:r>
      <w:r>
        <w:rPr>
          <w:rFonts w:asciiTheme="majorHAnsi" w:eastAsiaTheme="minorEastAsia" w:hAnsiTheme="majorHAnsi" w:cstheme="majorHAnsi"/>
          <w:sz w:val="24"/>
          <w:szCs w:val="24"/>
          <w:lang w:val="ro-MD"/>
        </w:rPr>
        <w:t>inisterul</w:t>
      </w:r>
      <w:r w:rsidR="006C3D73">
        <w:rPr>
          <w:rFonts w:asciiTheme="majorHAnsi" w:eastAsiaTheme="minorEastAsia" w:hAnsiTheme="majorHAnsi" w:cstheme="majorHAnsi"/>
          <w:sz w:val="24"/>
          <w:szCs w:val="24"/>
          <w:lang w:val="ro-MD"/>
        </w:rPr>
        <w:t>ui</w:t>
      </w:r>
      <w:r>
        <w:rPr>
          <w:rFonts w:asciiTheme="majorHAnsi" w:eastAsiaTheme="minorEastAsia" w:hAnsiTheme="majorHAnsi" w:cstheme="majorHAnsi"/>
          <w:sz w:val="24"/>
          <w:szCs w:val="24"/>
          <w:lang w:val="ro-MD"/>
        </w:rPr>
        <w:t>, în calitate de organ central de specialitate al administrației publice care administrează misiunile diplomatice, îi revin obligații pentru prestarea în străinătate de către</w:t>
      </w:r>
      <w:r w:rsidR="007D7C18">
        <w:rPr>
          <w:rFonts w:asciiTheme="majorHAnsi" w:eastAsiaTheme="minorEastAsia" w:hAnsiTheme="majorHAnsi" w:cstheme="majorHAnsi"/>
          <w:sz w:val="24"/>
          <w:szCs w:val="24"/>
          <w:lang w:val="ro-MD"/>
        </w:rPr>
        <w:t xml:space="preserve"> IP </w:t>
      </w:r>
      <w:r w:rsidRPr="007B225F">
        <w:rPr>
          <w:rFonts w:asciiTheme="majorHAnsi" w:eastAsiaTheme="minorEastAsia" w:hAnsiTheme="majorHAnsi" w:cstheme="majorHAnsi"/>
          <w:sz w:val="24"/>
          <w:szCs w:val="24"/>
          <w:lang w:val="ro-MD"/>
        </w:rPr>
        <w:t>Agenți</w:t>
      </w:r>
      <w:r>
        <w:rPr>
          <w:rFonts w:asciiTheme="majorHAnsi" w:eastAsiaTheme="minorEastAsia" w:hAnsiTheme="majorHAnsi" w:cstheme="majorHAnsi"/>
          <w:sz w:val="24"/>
          <w:szCs w:val="24"/>
          <w:lang w:val="ro-MD"/>
        </w:rPr>
        <w:t>a</w:t>
      </w:r>
      <w:r w:rsidRPr="007B225F">
        <w:rPr>
          <w:rFonts w:asciiTheme="majorHAnsi" w:eastAsiaTheme="minorEastAsia" w:hAnsiTheme="majorHAnsi" w:cstheme="majorHAnsi"/>
          <w:sz w:val="24"/>
          <w:szCs w:val="24"/>
          <w:lang w:val="ro-MD"/>
        </w:rPr>
        <w:t xml:space="preserve"> Servicii Publice</w:t>
      </w:r>
      <w:r>
        <w:rPr>
          <w:rFonts w:asciiTheme="majorHAnsi" w:eastAsiaTheme="minorEastAsia" w:hAnsiTheme="majorHAnsi" w:cstheme="majorHAnsi"/>
          <w:sz w:val="24"/>
          <w:szCs w:val="24"/>
          <w:lang w:val="ro-MD"/>
        </w:rPr>
        <w:t xml:space="preserve"> a serviciilor din domeniul înregistrării și evidenței populației prin intermediul misiunilor diplomatice și oficiilor consulare ale Republicii Moldova. </w:t>
      </w:r>
      <w:r w:rsidR="006C3D73">
        <w:rPr>
          <w:rFonts w:asciiTheme="majorHAnsi" w:eastAsiaTheme="minorEastAsia" w:hAnsiTheme="majorHAnsi" w:cstheme="majorHAnsi"/>
          <w:sz w:val="24"/>
          <w:szCs w:val="24"/>
          <w:lang w:val="ro-MD"/>
        </w:rPr>
        <w:t>Drept u</w:t>
      </w:r>
      <w:r>
        <w:rPr>
          <w:rFonts w:asciiTheme="majorHAnsi" w:eastAsiaTheme="minorEastAsia" w:hAnsiTheme="majorHAnsi" w:cstheme="majorHAnsi"/>
          <w:sz w:val="24"/>
          <w:szCs w:val="24"/>
          <w:lang w:val="ro-MD"/>
        </w:rPr>
        <w:t xml:space="preserve">rmare, personalul misiunilor este încadrat în executarea acestor atribuții, ulterior informațiile și documentația necesară în vederea prestării serviciilor sunt transmise </w:t>
      </w:r>
      <w:r w:rsidR="007D7C18">
        <w:rPr>
          <w:rFonts w:asciiTheme="majorHAnsi" w:eastAsiaTheme="minorEastAsia" w:hAnsiTheme="majorHAnsi" w:cstheme="majorHAnsi"/>
          <w:sz w:val="24"/>
          <w:szCs w:val="24"/>
          <w:lang w:val="ro-MD"/>
        </w:rPr>
        <w:t xml:space="preserve">IP </w:t>
      </w:r>
      <w:r>
        <w:rPr>
          <w:rFonts w:asciiTheme="majorHAnsi" w:eastAsiaTheme="minorEastAsia" w:hAnsiTheme="majorHAnsi" w:cstheme="majorHAnsi"/>
          <w:sz w:val="24"/>
          <w:szCs w:val="24"/>
          <w:lang w:val="ro-MD"/>
        </w:rPr>
        <w:t>A</w:t>
      </w:r>
      <w:r w:rsidR="007D7C18">
        <w:rPr>
          <w:rFonts w:asciiTheme="majorHAnsi" w:eastAsiaTheme="minorEastAsia" w:hAnsiTheme="majorHAnsi" w:cstheme="majorHAnsi"/>
          <w:sz w:val="24"/>
          <w:szCs w:val="24"/>
          <w:lang w:val="ro-MD"/>
        </w:rPr>
        <w:t xml:space="preserve">genția </w:t>
      </w:r>
      <w:r>
        <w:rPr>
          <w:rFonts w:asciiTheme="majorHAnsi" w:eastAsiaTheme="minorEastAsia" w:hAnsiTheme="majorHAnsi" w:cstheme="majorHAnsi"/>
          <w:sz w:val="24"/>
          <w:szCs w:val="24"/>
          <w:lang w:val="ro-MD"/>
        </w:rPr>
        <w:t>S</w:t>
      </w:r>
      <w:r w:rsidR="007D7C18">
        <w:rPr>
          <w:rFonts w:asciiTheme="majorHAnsi" w:eastAsiaTheme="minorEastAsia" w:hAnsiTheme="majorHAnsi" w:cstheme="majorHAnsi"/>
          <w:sz w:val="24"/>
          <w:szCs w:val="24"/>
          <w:lang w:val="ro-MD"/>
        </w:rPr>
        <w:t xml:space="preserve">ervicii </w:t>
      </w:r>
      <w:r>
        <w:rPr>
          <w:rFonts w:asciiTheme="majorHAnsi" w:eastAsiaTheme="minorEastAsia" w:hAnsiTheme="majorHAnsi" w:cstheme="majorHAnsi"/>
          <w:sz w:val="24"/>
          <w:szCs w:val="24"/>
          <w:lang w:val="ro-MD"/>
        </w:rPr>
        <w:t>P</w:t>
      </w:r>
      <w:r w:rsidR="007D7C18">
        <w:rPr>
          <w:rFonts w:asciiTheme="majorHAnsi" w:eastAsiaTheme="minorEastAsia" w:hAnsiTheme="majorHAnsi" w:cstheme="majorHAnsi"/>
          <w:sz w:val="24"/>
          <w:szCs w:val="24"/>
          <w:lang w:val="ro-MD"/>
        </w:rPr>
        <w:t>ublice</w:t>
      </w:r>
      <w:r>
        <w:rPr>
          <w:rFonts w:asciiTheme="majorHAnsi" w:eastAsiaTheme="minorEastAsia" w:hAnsiTheme="majorHAnsi" w:cstheme="majorHAnsi"/>
          <w:sz w:val="24"/>
          <w:szCs w:val="24"/>
          <w:lang w:val="ro-MD"/>
        </w:rPr>
        <w:t xml:space="preserve"> prin serviciul de curierat, cheltuielile fiind integral suportate de  </w:t>
      </w:r>
      <w:r w:rsidR="006C3D73">
        <w:rPr>
          <w:rFonts w:asciiTheme="majorHAnsi" w:eastAsiaTheme="minorEastAsia" w:hAnsiTheme="majorHAnsi" w:cstheme="majorHAnsi"/>
          <w:sz w:val="24"/>
          <w:szCs w:val="24"/>
          <w:lang w:val="ro-MD"/>
        </w:rPr>
        <w:t>M</w:t>
      </w:r>
      <w:r>
        <w:rPr>
          <w:rFonts w:asciiTheme="majorHAnsi" w:eastAsiaTheme="minorEastAsia" w:hAnsiTheme="majorHAnsi" w:cstheme="majorHAnsi"/>
          <w:sz w:val="24"/>
          <w:szCs w:val="24"/>
          <w:lang w:val="ro-MD"/>
        </w:rPr>
        <w:t xml:space="preserve">inister. Totodată, se relevă și faptul că pentru transferul mijloacelor financiare </w:t>
      </w:r>
      <w:r w:rsidR="00900A63">
        <w:rPr>
          <w:rFonts w:asciiTheme="majorHAnsi" w:eastAsiaTheme="minorEastAsia" w:hAnsiTheme="majorHAnsi" w:cstheme="majorHAnsi"/>
          <w:sz w:val="24"/>
          <w:szCs w:val="24"/>
          <w:lang w:val="ro-MD"/>
        </w:rPr>
        <w:t>temporar intrate</w:t>
      </w:r>
      <w:r w:rsidR="00B665C6">
        <w:rPr>
          <w:rFonts w:asciiTheme="majorHAnsi" w:eastAsiaTheme="minorEastAsia" w:hAnsiTheme="majorHAnsi" w:cstheme="majorHAnsi"/>
          <w:sz w:val="24"/>
          <w:szCs w:val="24"/>
          <w:lang w:val="ro-MD"/>
        </w:rPr>
        <w:t>/</w:t>
      </w:r>
      <w:r w:rsidR="00900A63">
        <w:rPr>
          <w:rFonts w:asciiTheme="majorHAnsi" w:eastAsiaTheme="minorEastAsia" w:hAnsiTheme="majorHAnsi" w:cstheme="majorHAnsi"/>
          <w:sz w:val="24"/>
          <w:szCs w:val="24"/>
          <w:lang w:val="ro-MD"/>
        </w:rPr>
        <w:t>acumulate în conturile bancare ale instituțiilor serviciului diplomatic din contul plăților achitate de către cetățenii – solicitanți</w:t>
      </w:r>
      <w:r w:rsidR="00D12B36">
        <w:rPr>
          <w:rFonts w:asciiTheme="majorHAnsi" w:eastAsiaTheme="minorEastAsia" w:hAnsiTheme="majorHAnsi" w:cstheme="majorHAnsi"/>
          <w:sz w:val="24"/>
          <w:szCs w:val="24"/>
          <w:lang w:val="ro-MD"/>
        </w:rPr>
        <w:t xml:space="preserve"> </w:t>
      </w:r>
      <w:r w:rsidR="007D7C18">
        <w:rPr>
          <w:rFonts w:asciiTheme="majorHAnsi" w:eastAsiaTheme="minorEastAsia" w:hAnsiTheme="majorHAnsi" w:cstheme="majorHAnsi"/>
          <w:sz w:val="24"/>
          <w:szCs w:val="24"/>
          <w:lang w:val="ro-MD"/>
        </w:rPr>
        <w:t xml:space="preserve">de </w:t>
      </w:r>
      <w:r w:rsidR="00D12B36">
        <w:rPr>
          <w:rFonts w:asciiTheme="majorHAnsi" w:eastAsiaTheme="minorEastAsia" w:hAnsiTheme="majorHAnsi" w:cstheme="majorHAnsi"/>
          <w:sz w:val="24"/>
          <w:szCs w:val="24"/>
          <w:lang w:val="ro-MD"/>
        </w:rPr>
        <w:t>peste hotarele țării</w:t>
      </w:r>
      <w:r w:rsidR="00900A63">
        <w:rPr>
          <w:rFonts w:asciiTheme="majorHAnsi" w:eastAsiaTheme="minorEastAsia" w:hAnsiTheme="majorHAnsi" w:cstheme="majorHAnsi"/>
          <w:sz w:val="24"/>
          <w:szCs w:val="24"/>
          <w:lang w:val="ro-MD"/>
        </w:rPr>
        <w:t xml:space="preserve"> a serviciilor de înregistrare și documentare, </w:t>
      </w:r>
      <w:r w:rsidR="006C3D73">
        <w:rPr>
          <w:rFonts w:asciiTheme="majorHAnsi" w:eastAsiaTheme="minorEastAsia" w:hAnsiTheme="majorHAnsi" w:cstheme="majorHAnsi"/>
          <w:sz w:val="24"/>
          <w:szCs w:val="24"/>
          <w:lang w:val="ro-MD"/>
        </w:rPr>
        <w:t>M</w:t>
      </w:r>
      <w:r w:rsidR="00900A63">
        <w:rPr>
          <w:rFonts w:asciiTheme="majorHAnsi" w:eastAsiaTheme="minorEastAsia" w:hAnsiTheme="majorHAnsi" w:cstheme="majorHAnsi"/>
          <w:sz w:val="24"/>
          <w:szCs w:val="24"/>
          <w:lang w:val="ro-MD"/>
        </w:rPr>
        <w:t>inisterul suportă cheltuieli</w:t>
      </w:r>
      <w:r w:rsidR="00B665C6">
        <w:rPr>
          <w:rFonts w:asciiTheme="majorHAnsi" w:eastAsiaTheme="minorEastAsia" w:hAnsiTheme="majorHAnsi" w:cstheme="majorHAnsi"/>
          <w:sz w:val="24"/>
          <w:szCs w:val="24"/>
          <w:lang w:val="ro-MD"/>
        </w:rPr>
        <w:t xml:space="preserve"> pentru comisioanele bancare achitate la transferarea veniturilor destinate </w:t>
      </w:r>
      <w:r w:rsidR="007D7C18">
        <w:rPr>
          <w:rFonts w:asciiTheme="majorHAnsi" w:eastAsiaTheme="minorEastAsia" w:hAnsiTheme="majorHAnsi" w:cstheme="majorHAnsi"/>
          <w:sz w:val="24"/>
          <w:szCs w:val="24"/>
          <w:lang w:val="ro-MD"/>
        </w:rPr>
        <w:t xml:space="preserve">IP </w:t>
      </w:r>
      <w:r w:rsidR="00B665C6">
        <w:rPr>
          <w:rFonts w:asciiTheme="majorHAnsi" w:eastAsiaTheme="minorEastAsia" w:hAnsiTheme="majorHAnsi" w:cstheme="majorHAnsi"/>
          <w:sz w:val="24"/>
          <w:szCs w:val="24"/>
          <w:lang w:val="ro-MD"/>
        </w:rPr>
        <w:t>A</w:t>
      </w:r>
      <w:r w:rsidR="007D7C18">
        <w:rPr>
          <w:rFonts w:asciiTheme="majorHAnsi" w:eastAsiaTheme="minorEastAsia" w:hAnsiTheme="majorHAnsi" w:cstheme="majorHAnsi"/>
          <w:sz w:val="24"/>
          <w:szCs w:val="24"/>
          <w:lang w:val="ro-MD"/>
        </w:rPr>
        <w:t xml:space="preserve">genția </w:t>
      </w:r>
      <w:r w:rsidR="00B665C6">
        <w:rPr>
          <w:rFonts w:asciiTheme="majorHAnsi" w:eastAsiaTheme="minorEastAsia" w:hAnsiTheme="majorHAnsi" w:cstheme="majorHAnsi"/>
          <w:sz w:val="24"/>
          <w:szCs w:val="24"/>
          <w:lang w:val="ro-MD"/>
        </w:rPr>
        <w:t>S</w:t>
      </w:r>
      <w:r w:rsidR="007D7C18">
        <w:rPr>
          <w:rFonts w:asciiTheme="majorHAnsi" w:eastAsiaTheme="minorEastAsia" w:hAnsiTheme="majorHAnsi" w:cstheme="majorHAnsi"/>
          <w:sz w:val="24"/>
          <w:szCs w:val="24"/>
          <w:lang w:val="ro-MD"/>
        </w:rPr>
        <w:t xml:space="preserve">ervicii </w:t>
      </w:r>
      <w:r w:rsidR="00B665C6">
        <w:rPr>
          <w:rFonts w:asciiTheme="majorHAnsi" w:eastAsiaTheme="minorEastAsia" w:hAnsiTheme="majorHAnsi" w:cstheme="majorHAnsi"/>
          <w:sz w:val="24"/>
          <w:szCs w:val="24"/>
          <w:lang w:val="ro-MD"/>
        </w:rPr>
        <w:t>P</w:t>
      </w:r>
      <w:r w:rsidR="007D7C18">
        <w:rPr>
          <w:rFonts w:asciiTheme="majorHAnsi" w:eastAsiaTheme="minorEastAsia" w:hAnsiTheme="majorHAnsi" w:cstheme="majorHAnsi"/>
          <w:sz w:val="24"/>
          <w:szCs w:val="24"/>
          <w:lang w:val="ro-MD"/>
        </w:rPr>
        <w:t>ublice</w:t>
      </w:r>
      <w:r w:rsidR="00B665C6">
        <w:rPr>
          <w:rFonts w:asciiTheme="majorHAnsi" w:eastAsiaTheme="minorEastAsia" w:hAnsiTheme="majorHAnsi" w:cstheme="majorHAnsi"/>
          <w:sz w:val="24"/>
          <w:szCs w:val="24"/>
          <w:lang w:val="ro-MD"/>
        </w:rPr>
        <w:t xml:space="preserve"> în conturile valutare ale acestei instituții.</w:t>
      </w:r>
      <w:r>
        <w:rPr>
          <w:rFonts w:asciiTheme="majorHAnsi" w:eastAsiaTheme="minorEastAsia" w:hAnsiTheme="majorHAnsi" w:cstheme="majorHAnsi"/>
          <w:sz w:val="24"/>
          <w:szCs w:val="24"/>
          <w:lang w:val="ro-MD"/>
        </w:rPr>
        <w:t xml:space="preserve"> </w:t>
      </w:r>
      <w:r w:rsidR="00B665C6">
        <w:rPr>
          <w:rFonts w:asciiTheme="majorHAnsi" w:eastAsiaTheme="minorEastAsia" w:hAnsiTheme="majorHAnsi" w:cstheme="majorHAnsi"/>
          <w:sz w:val="24"/>
          <w:szCs w:val="24"/>
          <w:lang w:val="ro-MD"/>
        </w:rPr>
        <w:t xml:space="preserve">În aceste circumstanțe, </w:t>
      </w:r>
      <w:r w:rsidR="00D12B36">
        <w:rPr>
          <w:rFonts w:asciiTheme="majorHAnsi" w:eastAsiaTheme="minorEastAsia" w:hAnsiTheme="majorHAnsi" w:cstheme="majorHAnsi"/>
          <w:sz w:val="24"/>
          <w:szCs w:val="24"/>
          <w:lang w:val="ro-MD"/>
        </w:rPr>
        <w:t xml:space="preserve">auditul </w:t>
      </w:r>
      <w:r w:rsidR="006435E2">
        <w:rPr>
          <w:rFonts w:asciiTheme="majorHAnsi" w:eastAsiaTheme="minorEastAsia" w:hAnsiTheme="majorHAnsi" w:cstheme="majorHAnsi"/>
          <w:sz w:val="24"/>
          <w:szCs w:val="24"/>
          <w:lang w:val="ro-MD"/>
        </w:rPr>
        <w:t>evidențiază</w:t>
      </w:r>
      <w:r w:rsidR="00D12B36">
        <w:rPr>
          <w:rFonts w:asciiTheme="majorHAnsi" w:eastAsiaTheme="minorEastAsia" w:hAnsiTheme="majorHAnsi" w:cstheme="majorHAnsi"/>
          <w:sz w:val="24"/>
          <w:szCs w:val="24"/>
          <w:lang w:val="ro-MD"/>
        </w:rPr>
        <w:t xml:space="preserve"> imposibilitatea delimitării și estimării costurilor aferente acestor cheltuieli suplimentare suportate de către</w:t>
      </w:r>
      <w:r w:rsidR="006435E2">
        <w:rPr>
          <w:rFonts w:asciiTheme="majorHAnsi" w:eastAsiaTheme="minorEastAsia" w:hAnsiTheme="majorHAnsi" w:cstheme="majorHAnsi"/>
          <w:sz w:val="24"/>
          <w:szCs w:val="24"/>
          <w:lang w:val="ro-MD"/>
        </w:rPr>
        <w:t xml:space="preserve"> </w:t>
      </w:r>
      <w:r w:rsidR="006C3D73">
        <w:rPr>
          <w:rFonts w:asciiTheme="majorHAnsi" w:eastAsiaTheme="minorEastAsia" w:hAnsiTheme="majorHAnsi" w:cstheme="majorHAnsi"/>
          <w:sz w:val="24"/>
          <w:szCs w:val="24"/>
          <w:lang w:val="ro-MD"/>
        </w:rPr>
        <w:t>M</w:t>
      </w:r>
      <w:r w:rsidR="006435E2">
        <w:rPr>
          <w:rFonts w:asciiTheme="majorHAnsi" w:eastAsiaTheme="minorEastAsia" w:hAnsiTheme="majorHAnsi" w:cstheme="majorHAnsi"/>
          <w:sz w:val="24"/>
          <w:szCs w:val="24"/>
          <w:lang w:val="ro-MD"/>
        </w:rPr>
        <w:t>inister</w:t>
      </w:r>
      <w:r w:rsidR="00216911">
        <w:rPr>
          <w:rFonts w:asciiTheme="majorHAnsi" w:eastAsiaTheme="minorEastAsia" w:hAnsiTheme="majorHAnsi" w:cstheme="majorHAnsi"/>
          <w:sz w:val="24"/>
          <w:szCs w:val="24"/>
          <w:lang w:val="ro-MD"/>
        </w:rPr>
        <w:t>,</w:t>
      </w:r>
      <w:r w:rsidR="00D12B36">
        <w:rPr>
          <w:rFonts w:asciiTheme="majorHAnsi" w:eastAsiaTheme="minorEastAsia" w:hAnsiTheme="majorHAnsi" w:cstheme="majorHAnsi"/>
          <w:sz w:val="24"/>
          <w:szCs w:val="24"/>
          <w:lang w:val="ro-MD"/>
        </w:rPr>
        <w:t xml:space="preserve"> </w:t>
      </w:r>
      <w:r w:rsidR="006435E2">
        <w:rPr>
          <w:rFonts w:asciiTheme="majorHAnsi" w:eastAsiaTheme="minorEastAsia" w:hAnsiTheme="majorHAnsi" w:cstheme="majorHAnsi"/>
          <w:sz w:val="24"/>
          <w:szCs w:val="24"/>
          <w:lang w:val="ro-MD"/>
        </w:rPr>
        <w:t>aceste</w:t>
      </w:r>
      <w:r w:rsidR="00216911">
        <w:rPr>
          <w:rFonts w:asciiTheme="majorHAnsi" w:eastAsiaTheme="minorEastAsia" w:hAnsiTheme="majorHAnsi" w:cstheme="majorHAnsi"/>
          <w:sz w:val="24"/>
          <w:szCs w:val="24"/>
          <w:lang w:val="ro-MD"/>
        </w:rPr>
        <w:t xml:space="preserve">a fiind acoperite </w:t>
      </w:r>
      <w:r w:rsidR="006435E2">
        <w:rPr>
          <w:rFonts w:asciiTheme="majorHAnsi" w:eastAsiaTheme="minorEastAsia" w:hAnsiTheme="majorHAnsi" w:cstheme="majorHAnsi"/>
          <w:sz w:val="24"/>
          <w:szCs w:val="24"/>
          <w:lang w:val="ro-MD"/>
        </w:rPr>
        <w:t>din contul mijloacelor financiare alocate</w:t>
      </w:r>
      <w:r w:rsidR="00216911">
        <w:rPr>
          <w:rFonts w:asciiTheme="majorHAnsi" w:eastAsiaTheme="minorEastAsia" w:hAnsiTheme="majorHAnsi" w:cstheme="majorHAnsi"/>
          <w:sz w:val="24"/>
          <w:szCs w:val="24"/>
          <w:lang w:val="ro-MD"/>
        </w:rPr>
        <w:t xml:space="preserve"> </w:t>
      </w:r>
      <w:r w:rsidR="006435E2">
        <w:rPr>
          <w:rFonts w:asciiTheme="majorHAnsi" w:eastAsiaTheme="minorEastAsia" w:hAnsiTheme="majorHAnsi" w:cstheme="majorHAnsi"/>
          <w:sz w:val="24"/>
          <w:szCs w:val="24"/>
          <w:lang w:val="ro-MD"/>
        </w:rPr>
        <w:t>de la bugetul de stat</w:t>
      </w:r>
      <w:r w:rsidR="00216911">
        <w:rPr>
          <w:rFonts w:asciiTheme="majorHAnsi" w:eastAsiaTheme="minorEastAsia" w:hAnsiTheme="majorHAnsi" w:cstheme="majorHAnsi"/>
          <w:sz w:val="24"/>
          <w:szCs w:val="24"/>
          <w:lang w:val="ro-MD"/>
        </w:rPr>
        <w:t>.</w:t>
      </w:r>
    </w:p>
    <w:p w:rsidR="003C36F1" w:rsidRPr="003C36F1" w:rsidRDefault="003C36F1" w:rsidP="007D7C18">
      <w:pPr>
        <w:pStyle w:val="ListParagraph"/>
        <w:spacing w:after="0"/>
        <w:ind w:left="0"/>
        <w:jc w:val="both"/>
        <w:rPr>
          <w:rFonts w:asciiTheme="majorHAnsi" w:hAnsiTheme="majorHAnsi" w:cstheme="majorHAnsi"/>
          <w:color w:val="000000" w:themeColor="text1"/>
          <w:sz w:val="8"/>
          <w:szCs w:val="8"/>
          <w:lang w:val="ro-MD"/>
        </w:rPr>
      </w:pPr>
    </w:p>
    <w:p w:rsidR="00563C4C" w:rsidRPr="00563C4C" w:rsidRDefault="003B1DE7" w:rsidP="007D7C18">
      <w:pPr>
        <w:tabs>
          <w:tab w:val="left" w:pos="630"/>
        </w:tabs>
        <w:spacing w:after="0" w:line="276" w:lineRule="auto"/>
        <w:jc w:val="both"/>
        <w:rPr>
          <w:rFonts w:asciiTheme="majorHAnsi" w:eastAsiaTheme="minorEastAsia" w:hAnsiTheme="majorHAnsi" w:cstheme="majorHAnsi"/>
          <w:sz w:val="24"/>
          <w:szCs w:val="24"/>
          <w:lang w:val="ro-MD" w:eastAsia="ro-RO"/>
        </w:rPr>
      </w:pPr>
      <w:r w:rsidRPr="003B1DE7">
        <w:rPr>
          <w:rFonts w:asciiTheme="majorHAnsi" w:eastAsia="Calibri" w:hAnsiTheme="majorHAnsi" w:cstheme="majorHAnsi"/>
          <w:b/>
          <w:sz w:val="24"/>
          <w:szCs w:val="24"/>
          <w:lang w:val="ro-MD"/>
        </w:rPr>
        <w:t>3.</w:t>
      </w:r>
      <w:r w:rsidR="00657A2E">
        <w:rPr>
          <w:rFonts w:asciiTheme="majorHAnsi" w:eastAsia="Calibri" w:hAnsiTheme="majorHAnsi" w:cstheme="majorHAnsi"/>
          <w:b/>
          <w:sz w:val="24"/>
          <w:szCs w:val="24"/>
          <w:lang w:val="ro-MD"/>
        </w:rPr>
        <w:t>4</w:t>
      </w:r>
      <w:r w:rsidR="003C36F1">
        <w:rPr>
          <w:rFonts w:asciiTheme="majorHAnsi" w:eastAsia="Calibri" w:hAnsiTheme="majorHAnsi" w:cstheme="majorHAnsi"/>
          <w:b/>
          <w:sz w:val="24"/>
          <w:szCs w:val="24"/>
          <w:lang w:val="ro-MD"/>
        </w:rPr>
        <w:t>.</w:t>
      </w:r>
      <w:r>
        <w:rPr>
          <w:rFonts w:asciiTheme="majorHAnsi" w:eastAsia="Calibri" w:hAnsiTheme="majorHAnsi" w:cstheme="majorHAnsi"/>
          <w:sz w:val="24"/>
          <w:szCs w:val="24"/>
          <w:lang w:val="ro-MD"/>
        </w:rPr>
        <w:t xml:space="preserve"> </w:t>
      </w:r>
      <w:r w:rsidR="00563C4C" w:rsidRPr="00563C4C">
        <w:rPr>
          <w:rFonts w:asciiTheme="majorHAnsi" w:eastAsia="Calibri" w:hAnsiTheme="majorHAnsi" w:cstheme="majorHAnsi"/>
          <w:sz w:val="24"/>
          <w:szCs w:val="24"/>
          <w:lang w:val="ro-MD"/>
        </w:rPr>
        <w:t xml:space="preserve">Deși </w:t>
      </w:r>
      <w:r w:rsidR="00563C4C" w:rsidRPr="00563C4C">
        <w:rPr>
          <w:rFonts w:asciiTheme="majorHAnsi" w:eastAsiaTheme="minorEastAsia" w:hAnsiTheme="majorHAnsi" w:cstheme="majorHAnsi"/>
          <w:sz w:val="24"/>
          <w:szCs w:val="24"/>
          <w:lang w:val="ro-MD" w:eastAsia="ro-RO"/>
        </w:rPr>
        <w:t xml:space="preserve">prevederile pct.12 din </w:t>
      </w:r>
      <w:r w:rsidR="00563C4C" w:rsidRPr="00563C4C">
        <w:rPr>
          <w:rFonts w:asciiTheme="majorHAnsi" w:eastAsia="Times New Roman" w:hAnsiTheme="majorHAnsi" w:cstheme="majorHAnsi"/>
          <w:bCs/>
          <w:color w:val="333333"/>
          <w:sz w:val="24"/>
          <w:szCs w:val="24"/>
          <w:shd w:val="clear" w:color="auto" w:fill="FFFFFF"/>
          <w:lang w:val="ro-RO" w:eastAsia="ro-RO"/>
        </w:rPr>
        <w:t>Regulamentul privind modul de încasare, utilizare și evidentă a taxelor pentru serviciile consulare prestate de către instituțiile serviciului diplomatic</w:t>
      </w:r>
      <w:r w:rsidR="00580D4F">
        <w:rPr>
          <w:rFonts w:asciiTheme="majorHAnsi" w:eastAsia="Times New Roman" w:hAnsiTheme="majorHAnsi" w:cstheme="majorHAnsi"/>
          <w:bCs/>
          <w:color w:val="333333"/>
          <w:sz w:val="24"/>
          <w:szCs w:val="24"/>
          <w:shd w:val="clear" w:color="auto" w:fill="FFFFFF"/>
          <w:lang w:val="ro-RO" w:eastAsia="ro-RO"/>
        </w:rPr>
        <w:t xml:space="preserve"> </w:t>
      </w:r>
      <w:r w:rsidR="00563C4C" w:rsidRPr="00563C4C">
        <w:rPr>
          <w:rFonts w:asciiTheme="majorHAnsi" w:eastAsia="Times New Roman" w:hAnsiTheme="majorHAnsi" w:cstheme="majorHAnsi"/>
          <w:bCs/>
          <w:color w:val="333333"/>
          <w:sz w:val="24"/>
          <w:szCs w:val="24"/>
          <w:shd w:val="clear" w:color="auto" w:fill="FFFFFF"/>
          <w:lang w:val="ro-RO" w:eastAsia="ro-RO"/>
        </w:rPr>
        <w:t>ale Republicii Moldova</w:t>
      </w:r>
      <w:r w:rsidR="00563C4C" w:rsidRPr="00563C4C">
        <w:rPr>
          <w:rFonts w:asciiTheme="majorHAnsi" w:eastAsia="Times New Roman" w:hAnsiTheme="majorHAnsi" w:cstheme="majorHAnsi"/>
          <w:bCs/>
          <w:color w:val="333333"/>
          <w:sz w:val="24"/>
          <w:szCs w:val="24"/>
          <w:shd w:val="clear" w:color="auto" w:fill="FFFFFF"/>
          <w:vertAlign w:val="superscript"/>
          <w:lang w:val="ro-RO" w:eastAsia="ro-RO"/>
        </w:rPr>
        <w:footnoteReference w:id="10"/>
      </w:r>
      <w:r w:rsidR="00563C4C" w:rsidRPr="00563C4C">
        <w:rPr>
          <w:rFonts w:asciiTheme="majorHAnsi" w:eastAsia="Times New Roman" w:hAnsiTheme="majorHAnsi" w:cstheme="majorHAnsi"/>
          <w:bCs/>
          <w:color w:val="333333"/>
          <w:sz w:val="24"/>
          <w:szCs w:val="24"/>
          <w:shd w:val="clear" w:color="auto" w:fill="FFFFFF"/>
          <w:lang w:val="ro-RO" w:eastAsia="ro-RO"/>
        </w:rPr>
        <w:t xml:space="preserve">, </w:t>
      </w:r>
      <w:r w:rsidR="00563C4C" w:rsidRPr="00563C4C">
        <w:rPr>
          <w:rFonts w:asciiTheme="majorHAnsi" w:eastAsiaTheme="minorEastAsia" w:hAnsiTheme="majorHAnsi" w:cstheme="majorHAnsi"/>
          <w:sz w:val="24"/>
          <w:szCs w:val="24"/>
          <w:lang w:val="ro-MD" w:eastAsia="ro-RO"/>
        </w:rPr>
        <w:t>precum și Politica de contabilitate</w:t>
      </w:r>
      <w:r w:rsidR="00563C4C" w:rsidRPr="00563C4C">
        <w:rPr>
          <w:rFonts w:asciiTheme="majorHAnsi" w:eastAsiaTheme="minorEastAsia" w:hAnsiTheme="majorHAnsi" w:cstheme="majorHAnsi"/>
          <w:sz w:val="24"/>
          <w:szCs w:val="24"/>
          <w:vertAlign w:val="superscript"/>
          <w:lang w:val="ro-MD" w:eastAsia="ro-RO"/>
        </w:rPr>
        <w:footnoteReference w:id="11"/>
      </w:r>
      <w:r w:rsidR="00563C4C" w:rsidRPr="00563C4C">
        <w:rPr>
          <w:rFonts w:asciiTheme="majorHAnsi" w:eastAsiaTheme="minorEastAsia" w:hAnsiTheme="majorHAnsi" w:cstheme="majorHAnsi"/>
          <w:sz w:val="24"/>
          <w:szCs w:val="24"/>
          <w:lang w:val="ro-MD" w:eastAsia="ro-RO"/>
        </w:rPr>
        <w:t xml:space="preserve"> </w:t>
      </w:r>
      <w:r w:rsidR="00563C4C" w:rsidRPr="00563C4C">
        <w:rPr>
          <w:rFonts w:asciiTheme="majorHAnsi" w:eastAsia="Times New Roman" w:hAnsiTheme="majorHAnsi" w:cstheme="majorHAnsi"/>
          <w:bCs/>
          <w:color w:val="333333"/>
          <w:sz w:val="24"/>
          <w:szCs w:val="24"/>
          <w:shd w:val="clear" w:color="auto" w:fill="FFFFFF"/>
          <w:lang w:val="ro-RO" w:eastAsia="ro-RO"/>
        </w:rPr>
        <w:t>prevăd</w:t>
      </w:r>
      <w:r w:rsidR="00C06D17">
        <w:rPr>
          <w:rFonts w:asciiTheme="majorHAnsi" w:eastAsia="Times New Roman" w:hAnsiTheme="majorHAnsi" w:cstheme="majorHAnsi"/>
          <w:bCs/>
          <w:color w:val="333333"/>
          <w:sz w:val="24"/>
          <w:szCs w:val="24"/>
          <w:shd w:val="clear" w:color="auto" w:fill="FFFFFF"/>
          <w:lang w:val="ro-RO" w:eastAsia="ro-RO"/>
        </w:rPr>
        <w:t xml:space="preserve"> prezentarea lunară </w:t>
      </w:r>
      <w:r w:rsidR="00D57652">
        <w:rPr>
          <w:rFonts w:asciiTheme="majorHAnsi" w:eastAsia="Times New Roman" w:hAnsiTheme="majorHAnsi" w:cstheme="majorHAnsi"/>
          <w:bCs/>
          <w:color w:val="333333"/>
          <w:sz w:val="24"/>
          <w:szCs w:val="24"/>
          <w:shd w:val="clear" w:color="auto" w:fill="FFFFFF"/>
          <w:lang w:val="ro-RO" w:eastAsia="ro-RO"/>
        </w:rPr>
        <w:t>M</w:t>
      </w:r>
      <w:r w:rsidR="00C06D17">
        <w:rPr>
          <w:rFonts w:asciiTheme="majorHAnsi" w:eastAsia="Times New Roman" w:hAnsiTheme="majorHAnsi" w:cstheme="majorHAnsi"/>
          <w:bCs/>
          <w:color w:val="333333"/>
          <w:sz w:val="24"/>
          <w:szCs w:val="24"/>
          <w:shd w:val="clear" w:color="auto" w:fill="FFFFFF"/>
          <w:lang w:val="ro-RO" w:eastAsia="ro-RO"/>
        </w:rPr>
        <w:t>inisterului</w:t>
      </w:r>
      <w:r w:rsidR="00563C4C" w:rsidRPr="00563C4C">
        <w:rPr>
          <w:rFonts w:asciiTheme="majorHAnsi" w:eastAsia="Times New Roman" w:hAnsiTheme="majorHAnsi" w:cstheme="majorHAnsi"/>
          <w:bCs/>
          <w:color w:val="333333"/>
          <w:sz w:val="24"/>
          <w:szCs w:val="24"/>
          <w:shd w:val="clear" w:color="auto" w:fill="FFFFFF"/>
          <w:lang w:val="ro-RO" w:eastAsia="ro-RO"/>
        </w:rPr>
        <w:t xml:space="preserve"> a </w:t>
      </w:r>
      <w:r w:rsidR="00563C4C" w:rsidRPr="00563C4C">
        <w:rPr>
          <w:rFonts w:asciiTheme="majorHAnsi" w:eastAsia="Times New Roman" w:hAnsiTheme="majorHAnsi" w:cstheme="majorHAnsi"/>
          <w:color w:val="333333"/>
          <w:sz w:val="24"/>
          <w:szCs w:val="24"/>
          <w:shd w:val="clear" w:color="auto" w:fill="FFFFFF"/>
          <w:lang w:val="ro-RO" w:eastAsia="ro-RO"/>
        </w:rPr>
        <w:t>informației despre sumele încasate în urma prestării serviciilor consulare de către misiunile diplomatice și oficiile consulare în baza Raportului privind executarea bugetului în afara sistemului bugetar (Form</w:t>
      </w:r>
      <w:r w:rsidR="00D57652">
        <w:rPr>
          <w:rFonts w:asciiTheme="majorHAnsi" w:eastAsia="Times New Roman" w:hAnsiTheme="majorHAnsi" w:cstheme="majorHAnsi"/>
          <w:color w:val="333333"/>
          <w:sz w:val="24"/>
          <w:szCs w:val="24"/>
          <w:shd w:val="clear" w:color="auto" w:fill="FFFFFF"/>
          <w:lang w:val="ro-RO" w:eastAsia="ro-RO"/>
        </w:rPr>
        <w:t>ularul</w:t>
      </w:r>
      <w:r w:rsidR="00563C4C" w:rsidRPr="00563C4C">
        <w:rPr>
          <w:rFonts w:asciiTheme="majorHAnsi" w:eastAsia="Times New Roman" w:hAnsiTheme="majorHAnsi" w:cstheme="majorHAnsi"/>
          <w:color w:val="333333"/>
          <w:sz w:val="24"/>
          <w:szCs w:val="24"/>
          <w:shd w:val="clear" w:color="auto" w:fill="FFFFFF"/>
          <w:lang w:val="ro-RO" w:eastAsia="ro-RO"/>
        </w:rPr>
        <w:t xml:space="preserve"> FD-040), auditul public extern a constatat unele lacune/carențe privind monitorizarea, evidența și raportarea veniturilor încasate de </w:t>
      </w:r>
      <w:r w:rsidR="00563C4C" w:rsidRPr="00563C4C">
        <w:rPr>
          <w:rFonts w:asciiTheme="majorHAnsi" w:eastAsia="Times New Roman" w:hAnsiTheme="majorHAnsi" w:cstheme="majorHAnsi"/>
          <w:bCs/>
          <w:color w:val="333333"/>
          <w:sz w:val="24"/>
          <w:szCs w:val="24"/>
          <w:shd w:val="clear" w:color="auto" w:fill="FFFFFF"/>
          <w:lang w:val="ro-RO" w:eastAsia="ro-RO"/>
        </w:rPr>
        <w:t xml:space="preserve">către </w:t>
      </w:r>
      <w:r w:rsidR="00563C4C" w:rsidRPr="00563C4C">
        <w:rPr>
          <w:rFonts w:asciiTheme="majorHAnsi" w:eastAsiaTheme="minorEastAsia" w:hAnsiTheme="majorHAnsi" w:cstheme="majorHAnsi"/>
          <w:sz w:val="24"/>
          <w:szCs w:val="24"/>
          <w:lang w:val="ro-MD" w:eastAsia="ro-RO"/>
        </w:rPr>
        <w:t xml:space="preserve">Direcția </w:t>
      </w:r>
      <w:r w:rsidR="00D57652">
        <w:rPr>
          <w:rFonts w:asciiTheme="majorHAnsi" w:eastAsiaTheme="minorEastAsia" w:hAnsiTheme="majorHAnsi" w:cstheme="majorHAnsi"/>
          <w:sz w:val="24"/>
          <w:szCs w:val="24"/>
          <w:lang w:val="ro-MD" w:eastAsia="ro-RO"/>
        </w:rPr>
        <w:t>a</w:t>
      </w:r>
      <w:r w:rsidR="00563C4C" w:rsidRPr="00563C4C">
        <w:rPr>
          <w:rFonts w:asciiTheme="majorHAnsi" w:eastAsiaTheme="minorEastAsia" w:hAnsiTheme="majorHAnsi" w:cstheme="majorHAnsi"/>
          <w:sz w:val="24"/>
          <w:szCs w:val="24"/>
          <w:lang w:val="ro-MD" w:eastAsia="ro-RO"/>
        </w:rPr>
        <w:t xml:space="preserve">faceri </w:t>
      </w:r>
      <w:r w:rsidR="00D57652">
        <w:rPr>
          <w:rFonts w:asciiTheme="majorHAnsi" w:eastAsiaTheme="minorEastAsia" w:hAnsiTheme="majorHAnsi" w:cstheme="majorHAnsi"/>
          <w:sz w:val="24"/>
          <w:szCs w:val="24"/>
          <w:lang w:val="ro-MD" w:eastAsia="ro-RO"/>
        </w:rPr>
        <w:t>c</w:t>
      </w:r>
      <w:r w:rsidR="00563C4C" w:rsidRPr="00563C4C">
        <w:rPr>
          <w:rFonts w:asciiTheme="majorHAnsi" w:eastAsiaTheme="minorEastAsia" w:hAnsiTheme="majorHAnsi" w:cstheme="majorHAnsi"/>
          <w:sz w:val="24"/>
          <w:szCs w:val="24"/>
          <w:lang w:val="ro-MD" w:eastAsia="ro-RO"/>
        </w:rPr>
        <w:t xml:space="preserve">onsulare din cadrul </w:t>
      </w:r>
      <w:r w:rsidR="00D57652">
        <w:rPr>
          <w:rFonts w:asciiTheme="majorHAnsi" w:eastAsia="Calibri" w:hAnsiTheme="majorHAnsi" w:cstheme="majorHAnsi"/>
          <w:sz w:val="24"/>
          <w:szCs w:val="24"/>
          <w:lang w:val="ro-MD"/>
        </w:rPr>
        <w:t>M</w:t>
      </w:r>
      <w:r w:rsidR="00563C4C" w:rsidRPr="00563C4C">
        <w:rPr>
          <w:rFonts w:asciiTheme="majorHAnsi" w:eastAsia="Calibri" w:hAnsiTheme="majorHAnsi" w:cstheme="majorHAnsi"/>
          <w:sz w:val="24"/>
          <w:szCs w:val="24"/>
          <w:lang w:val="ro-MD"/>
        </w:rPr>
        <w:t>inisterului</w:t>
      </w:r>
      <w:r w:rsidR="00563C4C" w:rsidRPr="00563C4C">
        <w:rPr>
          <w:rFonts w:asciiTheme="majorHAnsi" w:eastAsiaTheme="minorEastAsia" w:hAnsiTheme="majorHAnsi" w:cstheme="majorHAnsi"/>
          <w:sz w:val="24"/>
          <w:szCs w:val="24"/>
          <w:lang w:val="ro-MD" w:eastAsia="ro-RO"/>
        </w:rPr>
        <w:t xml:space="preserve">, care prestează servicii </w:t>
      </w:r>
      <w:r w:rsidR="00B829A8">
        <w:rPr>
          <w:rFonts w:asciiTheme="majorHAnsi" w:eastAsiaTheme="minorEastAsia" w:hAnsiTheme="majorHAnsi" w:cstheme="majorHAnsi"/>
          <w:sz w:val="24"/>
          <w:szCs w:val="24"/>
          <w:lang w:val="ro-MD" w:eastAsia="ro-RO"/>
        </w:rPr>
        <w:t>analogice</w:t>
      </w:r>
      <w:r w:rsidR="00563C4C" w:rsidRPr="00563C4C">
        <w:rPr>
          <w:rFonts w:asciiTheme="majorHAnsi" w:eastAsiaTheme="minorEastAsia" w:hAnsiTheme="majorHAnsi" w:cstheme="majorHAnsi"/>
          <w:sz w:val="24"/>
          <w:szCs w:val="24"/>
          <w:lang w:val="ro-MD" w:eastAsia="ro-RO"/>
        </w:rPr>
        <w:t xml:space="preserve"> pe teritoriul Republicii Moldova.</w:t>
      </w:r>
    </w:p>
    <w:p w:rsidR="00AB5546" w:rsidRPr="00AB5546" w:rsidRDefault="00563C4C" w:rsidP="0047344A">
      <w:pPr>
        <w:tabs>
          <w:tab w:val="left" w:pos="630"/>
        </w:tabs>
        <w:spacing w:line="276" w:lineRule="auto"/>
        <w:jc w:val="both"/>
        <w:rPr>
          <w:rFonts w:asciiTheme="majorHAnsi" w:eastAsiaTheme="minorEastAsia" w:hAnsiTheme="majorHAnsi" w:cstheme="majorHAnsi"/>
          <w:sz w:val="24"/>
          <w:szCs w:val="24"/>
          <w:lang w:val="ro-MD"/>
        </w:rPr>
      </w:pPr>
      <w:r w:rsidRPr="00563C4C">
        <w:rPr>
          <w:rFonts w:asciiTheme="majorHAnsi" w:eastAsiaTheme="minorEastAsia" w:hAnsiTheme="majorHAnsi" w:cstheme="majorHAnsi"/>
          <w:sz w:val="24"/>
          <w:szCs w:val="24"/>
          <w:lang w:val="ro-MD" w:eastAsia="ro-RO"/>
        </w:rPr>
        <w:t xml:space="preserve">Astfel, auditul a constatat că </w:t>
      </w:r>
      <w:r w:rsidR="00D57652">
        <w:rPr>
          <w:rFonts w:asciiTheme="majorHAnsi" w:eastAsiaTheme="minorEastAsia" w:hAnsiTheme="majorHAnsi" w:cstheme="majorHAnsi"/>
          <w:sz w:val="24"/>
          <w:szCs w:val="24"/>
          <w:lang w:val="ro-MD" w:eastAsia="ro-RO"/>
        </w:rPr>
        <w:t>M</w:t>
      </w:r>
      <w:r w:rsidRPr="00563C4C">
        <w:rPr>
          <w:rFonts w:asciiTheme="majorHAnsi" w:eastAsiaTheme="minorEastAsia" w:hAnsiTheme="majorHAnsi" w:cstheme="majorHAnsi"/>
          <w:sz w:val="24"/>
          <w:szCs w:val="24"/>
          <w:lang w:val="ro-MD" w:eastAsia="ro-RO"/>
        </w:rPr>
        <w:t>inisterul d</w:t>
      </w:r>
      <w:r w:rsidR="007B1430">
        <w:rPr>
          <w:rFonts w:asciiTheme="majorHAnsi" w:eastAsiaTheme="minorEastAsia" w:hAnsiTheme="majorHAnsi" w:cstheme="majorHAnsi"/>
          <w:sz w:val="24"/>
          <w:szCs w:val="24"/>
          <w:lang w:val="ro-MD" w:eastAsia="ro-RO"/>
        </w:rPr>
        <w:t>eține doar informația statistică</w:t>
      </w:r>
      <w:r w:rsidRPr="00563C4C">
        <w:rPr>
          <w:rFonts w:asciiTheme="majorHAnsi" w:eastAsiaTheme="minorEastAsia" w:hAnsiTheme="majorHAnsi" w:cstheme="majorHAnsi"/>
          <w:sz w:val="24"/>
          <w:szCs w:val="24"/>
          <w:lang w:val="ro-MD" w:eastAsia="ro-RO"/>
        </w:rPr>
        <w:t xml:space="preserve"> privind numărul și tipologia serviciilor consulare prestate pe parcursul anului prezentată de Direcția </w:t>
      </w:r>
      <w:r w:rsidR="00D57652">
        <w:rPr>
          <w:rFonts w:asciiTheme="majorHAnsi" w:eastAsiaTheme="minorEastAsia" w:hAnsiTheme="majorHAnsi" w:cstheme="majorHAnsi"/>
          <w:sz w:val="24"/>
          <w:szCs w:val="24"/>
          <w:lang w:val="ro-MD" w:eastAsia="ro-RO"/>
        </w:rPr>
        <w:t>a</w:t>
      </w:r>
      <w:r w:rsidRPr="00563C4C">
        <w:rPr>
          <w:rFonts w:asciiTheme="majorHAnsi" w:eastAsiaTheme="minorEastAsia" w:hAnsiTheme="majorHAnsi" w:cstheme="majorHAnsi"/>
          <w:sz w:val="24"/>
          <w:szCs w:val="24"/>
          <w:lang w:val="ro-MD" w:eastAsia="ro-RO"/>
        </w:rPr>
        <w:t xml:space="preserve">faceri </w:t>
      </w:r>
      <w:r w:rsidR="00D57652">
        <w:rPr>
          <w:rFonts w:asciiTheme="majorHAnsi" w:eastAsiaTheme="minorEastAsia" w:hAnsiTheme="majorHAnsi" w:cstheme="majorHAnsi"/>
          <w:sz w:val="24"/>
          <w:szCs w:val="24"/>
          <w:lang w:val="ro-MD" w:eastAsia="ro-RO"/>
        </w:rPr>
        <w:t>c</w:t>
      </w:r>
      <w:r w:rsidRPr="00563C4C">
        <w:rPr>
          <w:rFonts w:asciiTheme="majorHAnsi" w:eastAsiaTheme="minorEastAsia" w:hAnsiTheme="majorHAnsi" w:cstheme="majorHAnsi"/>
          <w:sz w:val="24"/>
          <w:szCs w:val="24"/>
          <w:lang w:val="ro-MD" w:eastAsia="ro-RO"/>
        </w:rPr>
        <w:t>onsular</w:t>
      </w:r>
      <w:r w:rsidR="007B1430">
        <w:rPr>
          <w:rFonts w:asciiTheme="majorHAnsi" w:eastAsiaTheme="minorEastAsia" w:hAnsiTheme="majorHAnsi" w:cstheme="majorHAnsi"/>
          <w:sz w:val="24"/>
          <w:szCs w:val="24"/>
          <w:lang w:val="ro-MD" w:eastAsia="ro-RO"/>
        </w:rPr>
        <w:t>e din subordine, dar nu dispune de date reale</w:t>
      </w:r>
      <w:r w:rsidRPr="00563C4C">
        <w:rPr>
          <w:rFonts w:asciiTheme="majorHAnsi" w:eastAsiaTheme="minorEastAsia" w:hAnsiTheme="majorHAnsi" w:cstheme="majorHAnsi"/>
          <w:sz w:val="24"/>
          <w:szCs w:val="24"/>
          <w:lang w:val="ro-MD" w:eastAsia="ro-RO"/>
        </w:rPr>
        <w:t xml:space="preserve"> privind</w:t>
      </w:r>
      <w:r w:rsidRPr="00563C4C">
        <w:rPr>
          <w:rFonts w:asciiTheme="majorHAnsi" w:hAnsiTheme="majorHAnsi" w:cstheme="majorHAnsi"/>
          <w:color w:val="333333"/>
          <w:sz w:val="24"/>
          <w:szCs w:val="24"/>
          <w:shd w:val="clear" w:color="auto" w:fill="FFFFFF"/>
          <w:lang w:val="ro-MD"/>
        </w:rPr>
        <w:t xml:space="preserve"> încasările acestui tip de venituri în Contul Unic Trezorerial al Ministerului Finanțelor</w:t>
      </w:r>
      <w:r w:rsidRPr="00563C4C">
        <w:rPr>
          <w:rFonts w:asciiTheme="majorHAnsi" w:eastAsiaTheme="minorEastAsia" w:hAnsiTheme="majorHAnsi" w:cstheme="majorHAnsi"/>
          <w:sz w:val="24"/>
          <w:szCs w:val="24"/>
          <w:lang w:val="ro-MD" w:eastAsia="ro-RO"/>
        </w:rPr>
        <w:t>.</w:t>
      </w:r>
      <w:r w:rsidRPr="00563C4C">
        <w:rPr>
          <w:rFonts w:asciiTheme="majorHAnsi" w:hAnsiTheme="majorHAnsi" w:cstheme="majorHAnsi"/>
          <w:sz w:val="24"/>
          <w:szCs w:val="24"/>
        </w:rPr>
        <w:t xml:space="preserve"> </w:t>
      </w:r>
      <w:r w:rsidRPr="00563C4C">
        <w:rPr>
          <w:rFonts w:asciiTheme="majorHAnsi" w:hAnsiTheme="majorHAnsi" w:cstheme="majorHAnsi"/>
          <w:sz w:val="24"/>
          <w:szCs w:val="24"/>
          <w:lang w:val="ro-MD"/>
        </w:rPr>
        <w:t>În baza probelor de audit acumulate,</w:t>
      </w:r>
      <w:r w:rsidRPr="00563C4C">
        <w:rPr>
          <w:rFonts w:asciiTheme="majorHAnsi" w:eastAsiaTheme="minorEastAsia" w:hAnsiTheme="majorHAnsi" w:cstheme="majorHAnsi"/>
          <w:sz w:val="24"/>
          <w:szCs w:val="24"/>
          <w:lang w:val="ro-MD" w:eastAsia="ro-RO"/>
        </w:rPr>
        <w:t xml:space="preserve"> auditul a identificat</w:t>
      </w:r>
      <w:r w:rsidRPr="00563C4C">
        <w:rPr>
          <w:rFonts w:asciiTheme="majorHAnsi" w:eastAsia="Times New Roman" w:hAnsiTheme="majorHAnsi" w:cstheme="majorHAnsi"/>
          <w:iCs/>
          <w:sz w:val="24"/>
          <w:szCs w:val="24"/>
          <w:lang w:val="ro-MD"/>
        </w:rPr>
        <w:t xml:space="preserve"> divergențe între datele înregistrate în registrele </w:t>
      </w:r>
      <w:r w:rsidRPr="00563C4C">
        <w:rPr>
          <w:rFonts w:asciiTheme="majorHAnsi" w:hAnsiTheme="majorHAnsi" w:cstheme="majorHAnsi"/>
          <w:color w:val="333333"/>
          <w:sz w:val="24"/>
          <w:szCs w:val="24"/>
          <w:shd w:val="clear" w:color="auto" w:fill="FFFFFF"/>
          <w:lang w:val="ro-MD"/>
        </w:rPr>
        <w:t xml:space="preserve">de evidență a serviciilor consulare prestate </w:t>
      </w:r>
      <w:r w:rsidRPr="00F25EC2">
        <w:rPr>
          <w:rFonts w:asciiTheme="majorHAnsi" w:hAnsiTheme="majorHAnsi" w:cstheme="majorHAnsi"/>
          <w:color w:val="333333"/>
          <w:sz w:val="24"/>
          <w:szCs w:val="24"/>
          <w:shd w:val="clear" w:color="auto" w:fill="FFFFFF"/>
          <w:lang w:val="ro-MD"/>
        </w:rPr>
        <w:t>de</w:t>
      </w:r>
      <w:r w:rsidR="007B1430" w:rsidRPr="00F25EC2">
        <w:rPr>
          <w:rFonts w:asciiTheme="majorHAnsi" w:hAnsiTheme="majorHAnsi" w:cstheme="majorHAnsi"/>
          <w:color w:val="333333"/>
          <w:sz w:val="24"/>
          <w:szCs w:val="24"/>
          <w:shd w:val="clear" w:color="auto" w:fill="FFFFFF"/>
          <w:lang w:val="ro-MD"/>
        </w:rPr>
        <w:t xml:space="preserve"> către</w:t>
      </w:r>
      <w:r w:rsidRPr="00F25EC2">
        <w:rPr>
          <w:rFonts w:asciiTheme="majorHAnsi" w:hAnsiTheme="majorHAnsi" w:cstheme="majorHAnsi"/>
          <w:color w:val="333333"/>
          <w:sz w:val="24"/>
          <w:szCs w:val="24"/>
          <w:shd w:val="clear" w:color="auto" w:fill="FFFFFF"/>
          <w:lang w:val="ro-MD"/>
        </w:rPr>
        <w:t xml:space="preserve"> Direcția</w:t>
      </w:r>
      <w:r w:rsidRPr="00563C4C">
        <w:rPr>
          <w:rFonts w:asciiTheme="majorHAnsi" w:hAnsiTheme="majorHAnsi" w:cstheme="majorHAnsi"/>
          <w:color w:val="333333"/>
          <w:sz w:val="24"/>
          <w:szCs w:val="24"/>
          <w:shd w:val="clear" w:color="auto" w:fill="FFFFFF"/>
          <w:lang w:val="ro-MD"/>
        </w:rPr>
        <w:t xml:space="preserve"> </w:t>
      </w:r>
      <w:r w:rsidR="00D57652">
        <w:rPr>
          <w:rFonts w:asciiTheme="majorHAnsi" w:hAnsiTheme="majorHAnsi" w:cstheme="majorHAnsi"/>
          <w:color w:val="333333"/>
          <w:sz w:val="24"/>
          <w:szCs w:val="24"/>
          <w:shd w:val="clear" w:color="auto" w:fill="FFFFFF"/>
          <w:lang w:val="ro-MD"/>
        </w:rPr>
        <w:t>a</w:t>
      </w:r>
      <w:r w:rsidRPr="00563C4C">
        <w:rPr>
          <w:rFonts w:asciiTheme="majorHAnsi" w:hAnsiTheme="majorHAnsi" w:cstheme="majorHAnsi"/>
          <w:color w:val="333333"/>
          <w:sz w:val="24"/>
          <w:szCs w:val="24"/>
          <w:shd w:val="clear" w:color="auto" w:fill="FFFFFF"/>
          <w:lang w:val="ro-MD"/>
        </w:rPr>
        <w:t xml:space="preserve">faceri </w:t>
      </w:r>
      <w:r w:rsidR="00D57652">
        <w:rPr>
          <w:rFonts w:asciiTheme="majorHAnsi" w:hAnsiTheme="majorHAnsi" w:cstheme="majorHAnsi"/>
          <w:color w:val="333333"/>
          <w:sz w:val="24"/>
          <w:szCs w:val="24"/>
          <w:shd w:val="clear" w:color="auto" w:fill="FFFFFF"/>
          <w:lang w:val="ro-MD"/>
        </w:rPr>
        <w:t>c</w:t>
      </w:r>
      <w:r w:rsidRPr="007B1430">
        <w:rPr>
          <w:rFonts w:asciiTheme="majorHAnsi" w:hAnsiTheme="majorHAnsi" w:cstheme="majorHAnsi"/>
          <w:color w:val="333333"/>
          <w:sz w:val="24"/>
          <w:szCs w:val="24"/>
          <w:shd w:val="clear" w:color="auto" w:fill="FFFFFF"/>
          <w:lang w:val="ro-MD"/>
        </w:rPr>
        <w:t>onsulare (</w:t>
      </w:r>
      <w:r w:rsidR="00C16FD4" w:rsidRPr="007B1430">
        <w:rPr>
          <w:rFonts w:asciiTheme="majorHAnsi" w:hAnsiTheme="majorHAnsi" w:cstheme="majorHAnsi"/>
          <w:color w:val="333333"/>
          <w:sz w:val="24"/>
          <w:szCs w:val="24"/>
          <w:shd w:val="clear" w:color="auto" w:fill="FFFFFF"/>
          <w:lang w:val="ro-MD"/>
        </w:rPr>
        <w:t>cca 1 360,0</w:t>
      </w:r>
      <w:r w:rsidRPr="007B1430">
        <w:rPr>
          <w:rFonts w:asciiTheme="majorHAnsi" w:hAnsiTheme="majorHAnsi" w:cstheme="majorHAnsi"/>
          <w:color w:val="333333"/>
          <w:sz w:val="24"/>
          <w:szCs w:val="24"/>
          <w:shd w:val="clear" w:color="auto" w:fill="FFFFFF"/>
          <w:lang w:val="ro-MD"/>
        </w:rPr>
        <w:t xml:space="preserve"> mii lei),</w:t>
      </w:r>
      <w:r w:rsidR="007B1430">
        <w:rPr>
          <w:rFonts w:asciiTheme="majorHAnsi" w:hAnsiTheme="majorHAnsi" w:cstheme="majorHAnsi"/>
          <w:color w:val="333333"/>
          <w:sz w:val="24"/>
          <w:szCs w:val="24"/>
          <w:shd w:val="clear" w:color="auto" w:fill="FFFFFF"/>
          <w:lang w:val="ro-MD"/>
        </w:rPr>
        <w:t xml:space="preserve"> datele raportului generate</w:t>
      </w:r>
      <w:r w:rsidRPr="00563C4C">
        <w:rPr>
          <w:rFonts w:asciiTheme="majorHAnsi" w:hAnsiTheme="majorHAnsi" w:cstheme="majorHAnsi"/>
          <w:color w:val="333333"/>
          <w:sz w:val="24"/>
          <w:szCs w:val="24"/>
          <w:shd w:val="clear" w:color="auto" w:fill="FFFFFF"/>
          <w:lang w:val="ro-MD"/>
        </w:rPr>
        <w:t xml:space="preserve"> din sistemul </w:t>
      </w:r>
      <w:r w:rsidRPr="00563C4C">
        <w:rPr>
          <w:rFonts w:asciiTheme="majorHAnsi" w:hAnsiTheme="majorHAnsi" w:cstheme="majorHAnsi"/>
          <w:sz w:val="24"/>
          <w:szCs w:val="24"/>
          <w:lang w:val="ro-MD"/>
        </w:rPr>
        <w:t>Serviciului Guvernamental de</w:t>
      </w:r>
      <w:r w:rsidR="00C16FD4">
        <w:rPr>
          <w:rFonts w:asciiTheme="majorHAnsi" w:hAnsiTheme="majorHAnsi" w:cstheme="majorHAnsi"/>
          <w:sz w:val="24"/>
          <w:szCs w:val="24"/>
          <w:lang w:val="ro-MD"/>
        </w:rPr>
        <w:t xml:space="preserve"> Plăți Electronice (MPay) </w:t>
      </w:r>
      <w:r w:rsidR="00C16FD4" w:rsidRPr="007B1430">
        <w:rPr>
          <w:rFonts w:asciiTheme="majorHAnsi" w:hAnsiTheme="majorHAnsi" w:cstheme="majorHAnsi"/>
          <w:sz w:val="24"/>
          <w:szCs w:val="24"/>
          <w:lang w:val="ro-MD"/>
        </w:rPr>
        <w:t>(1 840,3</w:t>
      </w:r>
      <w:r w:rsidRPr="007B1430">
        <w:rPr>
          <w:rFonts w:asciiTheme="majorHAnsi" w:hAnsiTheme="majorHAnsi" w:cstheme="majorHAnsi"/>
          <w:sz w:val="24"/>
          <w:szCs w:val="24"/>
          <w:lang w:val="ro-MD"/>
        </w:rPr>
        <w:t xml:space="preserve"> mii lei)</w:t>
      </w:r>
      <w:r w:rsidRPr="00563C4C">
        <w:rPr>
          <w:rFonts w:asciiTheme="majorHAnsi" w:hAnsiTheme="majorHAnsi" w:cstheme="majorHAnsi"/>
          <w:color w:val="333333"/>
          <w:sz w:val="24"/>
          <w:szCs w:val="24"/>
          <w:shd w:val="clear" w:color="auto" w:fill="FFFFFF"/>
          <w:lang w:val="ro-MD"/>
        </w:rPr>
        <w:t xml:space="preserve"> și </w:t>
      </w:r>
      <w:r w:rsidR="007B1430">
        <w:rPr>
          <w:rFonts w:asciiTheme="majorHAnsi" w:hAnsiTheme="majorHAnsi" w:cstheme="majorHAnsi"/>
          <w:color w:val="333333"/>
          <w:sz w:val="24"/>
          <w:szCs w:val="24"/>
          <w:shd w:val="clear" w:color="auto" w:fill="FFFFFF"/>
          <w:lang w:val="ro-MD"/>
        </w:rPr>
        <w:t xml:space="preserve">datele </w:t>
      </w:r>
      <w:r w:rsidRPr="00563C4C">
        <w:rPr>
          <w:rFonts w:asciiTheme="majorHAnsi" w:hAnsiTheme="majorHAnsi" w:cstheme="majorHAnsi"/>
          <w:color w:val="333333"/>
          <w:sz w:val="24"/>
          <w:szCs w:val="24"/>
          <w:shd w:val="clear" w:color="auto" w:fill="FFFFFF"/>
          <w:lang w:val="ro-MD"/>
        </w:rPr>
        <w:t>Raportului privind executarea bugetului conform clasificației economice la situația din 31.12.2021 (Form</w:t>
      </w:r>
      <w:r w:rsidR="00D57652">
        <w:rPr>
          <w:rFonts w:asciiTheme="majorHAnsi" w:hAnsiTheme="majorHAnsi" w:cstheme="majorHAnsi"/>
          <w:color w:val="333333"/>
          <w:sz w:val="24"/>
          <w:szCs w:val="24"/>
          <w:shd w:val="clear" w:color="auto" w:fill="FFFFFF"/>
          <w:lang w:val="ro-MD"/>
        </w:rPr>
        <w:t>ularul</w:t>
      </w:r>
      <w:r w:rsidRPr="00563C4C">
        <w:rPr>
          <w:rFonts w:asciiTheme="majorHAnsi" w:hAnsiTheme="majorHAnsi" w:cstheme="majorHAnsi"/>
          <w:color w:val="333333"/>
          <w:sz w:val="24"/>
          <w:szCs w:val="24"/>
          <w:shd w:val="clear" w:color="auto" w:fill="FFFFFF"/>
          <w:lang w:val="ro-MD"/>
        </w:rPr>
        <w:t xml:space="preserve"> FE-009) al Ministerului Finanțelor (</w:t>
      </w:r>
      <w:r w:rsidRPr="00563C4C">
        <w:rPr>
          <w:rFonts w:asciiTheme="majorHAnsi" w:eastAsiaTheme="minorEastAsia" w:hAnsiTheme="majorHAnsi" w:cstheme="majorHAnsi"/>
          <w:sz w:val="24"/>
          <w:szCs w:val="24"/>
          <w:lang w:val="ro-MD" w:eastAsia="ro-RO"/>
        </w:rPr>
        <w:t>1 790,6 mii lei)</w:t>
      </w:r>
      <w:r w:rsidR="007B1430">
        <w:rPr>
          <w:rFonts w:asciiTheme="majorHAnsi" w:hAnsiTheme="majorHAnsi" w:cstheme="majorHAnsi"/>
          <w:color w:val="333333"/>
          <w:sz w:val="24"/>
          <w:szCs w:val="24"/>
          <w:shd w:val="clear" w:color="auto" w:fill="FFFFFF"/>
          <w:lang w:val="ro-MD"/>
        </w:rPr>
        <w:t>. Aceste devieri/</w:t>
      </w:r>
      <w:r w:rsidR="006F52EC" w:rsidRPr="007B1430">
        <w:rPr>
          <w:rFonts w:asciiTheme="majorHAnsi" w:hAnsiTheme="majorHAnsi" w:cstheme="majorHAnsi"/>
          <w:color w:val="333333"/>
          <w:sz w:val="24"/>
          <w:szCs w:val="24"/>
          <w:shd w:val="clear" w:color="auto" w:fill="FFFFFF"/>
          <w:lang w:val="ro-MD"/>
        </w:rPr>
        <w:t>neconcordanțe</w:t>
      </w:r>
      <w:r w:rsidR="007B1430" w:rsidRPr="007B1430">
        <w:rPr>
          <w:rFonts w:asciiTheme="majorHAnsi" w:hAnsiTheme="majorHAnsi" w:cstheme="majorHAnsi"/>
          <w:color w:val="333333"/>
          <w:sz w:val="24"/>
          <w:szCs w:val="24"/>
          <w:shd w:val="clear" w:color="auto" w:fill="FFFFFF"/>
          <w:lang w:val="ro-MD"/>
        </w:rPr>
        <w:t xml:space="preserve"> sunt </w:t>
      </w:r>
      <w:r w:rsidRPr="007B1430">
        <w:rPr>
          <w:rFonts w:asciiTheme="majorHAnsi" w:hAnsiTheme="majorHAnsi" w:cstheme="majorHAnsi"/>
          <w:color w:val="333333"/>
          <w:sz w:val="24"/>
          <w:szCs w:val="24"/>
          <w:shd w:val="clear" w:color="auto" w:fill="FFFFFF"/>
          <w:lang w:val="ro-MD"/>
        </w:rPr>
        <w:t>condiționat</w:t>
      </w:r>
      <w:r w:rsidR="007B1430" w:rsidRPr="007B1430">
        <w:rPr>
          <w:rFonts w:asciiTheme="majorHAnsi" w:hAnsiTheme="majorHAnsi" w:cstheme="majorHAnsi"/>
          <w:color w:val="333333"/>
          <w:sz w:val="24"/>
          <w:szCs w:val="24"/>
          <w:shd w:val="clear" w:color="auto" w:fill="FFFFFF"/>
          <w:lang w:val="ro-MD"/>
        </w:rPr>
        <w:t>e</w:t>
      </w:r>
      <w:r w:rsidRPr="007B1430">
        <w:rPr>
          <w:rFonts w:asciiTheme="majorHAnsi" w:hAnsiTheme="majorHAnsi" w:cstheme="majorHAnsi"/>
          <w:color w:val="333333"/>
          <w:sz w:val="24"/>
          <w:szCs w:val="24"/>
          <w:shd w:val="clear" w:color="auto" w:fill="FFFFFF"/>
          <w:lang w:val="ro-MD"/>
        </w:rPr>
        <w:t xml:space="preserve"> de lipsa conlucrării instituții</w:t>
      </w:r>
      <w:r w:rsidR="003E4F2F">
        <w:rPr>
          <w:rFonts w:asciiTheme="majorHAnsi" w:hAnsiTheme="majorHAnsi" w:cstheme="majorHAnsi"/>
          <w:color w:val="333333"/>
          <w:sz w:val="24"/>
          <w:szCs w:val="24"/>
          <w:shd w:val="clear" w:color="auto" w:fill="FFFFFF"/>
          <w:lang w:val="ro-MD"/>
        </w:rPr>
        <w:t>lor vizate</w:t>
      </w:r>
      <w:r w:rsidRPr="007B1430">
        <w:rPr>
          <w:rFonts w:asciiTheme="majorHAnsi" w:hAnsiTheme="majorHAnsi" w:cstheme="majorHAnsi"/>
          <w:color w:val="333333"/>
          <w:sz w:val="24"/>
          <w:szCs w:val="24"/>
          <w:shd w:val="clear" w:color="auto" w:fill="FFFFFF"/>
          <w:lang w:val="ro-MD"/>
        </w:rPr>
        <w:t xml:space="preserve"> în scopul monitorizării, evid</w:t>
      </w:r>
      <w:r w:rsidR="00C16FD4" w:rsidRPr="007B1430">
        <w:rPr>
          <w:rFonts w:asciiTheme="majorHAnsi" w:hAnsiTheme="majorHAnsi" w:cstheme="majorHAnsi"/>
          <w:color w:val="333333"/>
          <w:sz w:val="24"/>
          <w:szCs w:val="24"/>
          <w:shd w:val="clear" w:color="auto" w:fill="FFFFFF"/>
          <w:lang w:val="ro-MD"/>
        </w:rPr>
        <w:t>enței și raportării veniturilor bugetului de stat</w:t>
      </w:r>
      <w:r w:rsidRPr="007B1430">
        <w:rPr>
          <w:rFonts w:asciiTheme="majorHAnsi" w:hAnsiTheme="majorHAnsi" w:cstheme="majorHAnsi"/>
          <w:color w:val="333333"/>
          <w:sz w:val="24"/>
          <w:szCs w:val="24"/>
          <w:shd w:val="clear" w:color="auto" w:fill="FFFFFF"/>
          <w:lang w:val="ro-MD"/>
        </w:rPr>
        <w:t>.</w:t>
      </w:r>
      <w:r w:rsidRPr="00563C4C">
        <w:rPr>
          <w:rFonts w:asciiTheme="majorHAnsi" w:hAnsiTheme="majorHAnsi" w:cstheme="majorHAnsi"/>
          <w:color w:val="333333"/>
          <w:sz w:val="24"/>
          <w:szCs w:val="24"/>
          <w:shd w:val="clear" w:color="auto" w:fill="FFFFFF"/>
          <w:lang w:val="ro-MD"/>
        </w:rPr>
        <w:t xml:space="preserve"> </w:t>
      </w:r>
      <w:r w:rsidR="007B1430" w:rsidRPr="006F52EC">
        <w:rPr>
          <w:rFonts w:asciiTheme="majorHAnsi" w:eastAsia="Calibri" w:hAnsiTheme="majorHAnsi" w:cstheme="majorHAnsi"/>
          <w:sz w:val="24"/>
          <w:szCs w:val="24"/>
          <w:lang w:val="ro-MD"/>
        </w:rPr>
        <w:t>De asemenea</w:t>
      </w:r>
      <w:r w:rsidR="003E4F2F">
        <w:rPr>
          <w:rFonts w:asciiTheme="majorHAnsi" w:eastAsia="Calibri" w:hAnsiTheme="majorHAnsi" w:cstheme="majorHAnsi"/>
          <w:sz w:val="24"/>
          <w:szCs w:val="24"/>
          <w:lang w:val="ro-MD"/>
        </w:rPr>
        <w:t>,</w:t>
      </w:r>
      <w:r w:rsidR="007B1430" w:rsidRPr="006F52EC">
        <w:rPr>
          <w:rFonts w:asciiTheme="majorHAnsi" w:eastAsia="Calibri" w:hAnsiTheme="majorHAnsi" w:cstheme="majorHAnsi"/>
          <w:sz w:val="24"/>
          <w:szCs w:val="24"/>
          <w:lang w:val="ro-MD"/>
        </w:rPr>
        <w:t xml:space="preserve"> auditul a </w:t>
      </w:r>
      <w:r w:rsidR="006F52EC" w:rsidRPr="006F52EC">
        <w:rPr>
          <w:rFonts w:asciiTheme="majorHAnsi" w:eastAsia="Calibri" w:hAnsiTheme="majorHAnsi" w:cstheme="majorHAnsi"/>
          <w:sz w:val="24"/>
          <w:szCs w:val="24"/>
          <w:lang w:val="ro-MD"/>
        </w:rPr>
        <w:t>identificat</w:t>
      </w:r>
      <w:r w:rsidR="007B1430" w:rsidRPr="006F52EC">
        <w:rPr>
          <w:rFonts w:asciiTheme="majorHAnsi" w:eastAsia="Calibri" w:hAnsiTheme="majorHAnsi" w:cstheme="majorHAnsi"/>
          <w:sz w:val="24"/>
          <w:szCs w:val="24"/>
          <w:lang w:val="ro-MD"/>
        </w:rPr>
        <w:t xml:space="preserve"> o problematică în partea ce ține de efectuarea restituirilor de taxe consulare achitate</w:t>
      </w:r>
      <w:r w:rsidR="007D7C18">
        <w:rPr>
          <w:rFonts w:asciiTheme="majorHAnsi" w:eastAsia="Calibri" w:hAnsiTheme="majorHAnsi" w:cstheme="majorHAnsi"/>
          <w:sz w:val="24"/>
          <w:szCs w:val="24"/>
          <w:lang w:val="ro-MD"/>
        </w:rPr>
        <w:t xml:space="preserve"> sau </w:t>
      </w:r>
      <w:r w:rsidR="007B1430" w:rsidRPr="006F52EC">
        <w:rPr>
          <w:rFonts w:asciiTheme="majorHAnsi" w:eastAsia="Calibri" w:hAnsiTheme="majorHAnsi" w:cstheme="majorHAnsi"/>
          <w:sz w:val="24"/>
          <w:szCs w:val="24"/>
          <w:lang w:val="ro-MD"/>
        </w:rPr>
        <w:t>transferate eronat în bugetul de stat</w:t>
      </w:r>
      <w:r w:rsidR="00D57652">
        <w:rPr>
          <w:rFonts w:asciiTheme="majorHAnsi" w:eastAsia="Calibri" w:hAnsiTheme="majorHAnsi" w:cstheme="majorHAnsi"/>
          <w:sz w:val="24"/>
          <w:szCs w:val="24"/>
          <w:lang w:val="ro-MD"/>
        </w:rPr>
        <w:t>,</w:t>
      </w:r>
      <w:r w:rsidR="007B1430" w:rsidRPr="006F52EC">
        <w:rPr>
          <w:rFonts w:asciiTheme="majorHAnsi" w:eastAsia="Calibri" w:hAnsiTheme="majorHAnsi" w:cstheme="majorHAnsi"/>
          <w:sz w:val="24"/>
          <w:szCs w:val="24"/>
          <w:lang w:val="ro-MD"/>
        </w:rPr>
        <w:t xml:space="preserve"> din considerentele că cadrul normativ și </w:t>
      </w:r>
      <w:r w:rsidR="00DC54EC">
        <w:rPr>
          <w:rFonts w:asciiTheme="majorHAnsi" w:eastAsia="Calibri" w:hAnsiTheme="majorHAnsi" w:cstheme="majorHAnsi"/>
          <w:sz w:val="24"/>
          <w:szCs w:val="24"/>
          <w:lang w:val="ro-MD"/>
        </w:rPr>
        <w:t xml:space="preserve">cel </w:t>
      </w:r>
      <w:r w:rsidR="007B1430" w:rsidRPr="006F52EC">
        <w:rPr>
          <w:rFonts w:asciiTheme="majorHAnsi" w:eastAsia="Calibri" w:hAnsiTheme="majorHAnsi" w:cstheme="majorHAnsi"/>
          <w:sz w:val="24"/>
          <w:szCs w:val="24"/>
          <w:lang w:val="ro-MD"/>
        </w:rPr>
        <w:t xml:space="preserve">legal nu reglementează exhaustiv responsabilitățile </w:t>
      </w:r>
      <w:r w:rsidR="00DC54EC">
        <w:rPr>
          <w:rFonts w:asciiTheme="majorHAnsi" w:eastAsia="Calibri" w:hAnsiTheme="majorHAnsi" w:cstheme="majorHAnsi"/>
          <w:sz w:val="24"/>
          <w:szCs w:val="24"/>
          <w:lang w:val="ro-MD"/>
        </w:rPr>
        <w:t>și nici</w:t>
      </w:r>
      <w:r w:rsidR="007B1430" w:rsidRPr="006F52EC">
        <w:rPr>
          <w:rFonts w:asciiTheme="majorHAnsi" w:eastAsia="Calibri" w:hAnsiTheme="majorHAnsi" w:cstheme="majorHAnsi"/>
          <w:sz w:val="24"/>
          <w:szCs w:val="24"/>
          <w:lang w:val="ro-MD"/>
        </w:rPr>
        <w:t xml:space="preserve"> autorit</w:t>
      </w:r>
      <w:r w:rsidR="00DC54EC">
        <w:rPr>
          <w:rFonts w:asciiTheme="majorHAnsi" w:eastAsia="Calibri" w:hAnsiTheme="majorHAnsi" w:cstheme="majorHAnsi"/>
          <w:sz w:val="24"/>
          <w:szCs w:val="24"/>
          <w:lang w:val="ro-MD"/>
        </w:rPr>
        <w:t>atea căreia</w:t>
      </w:r>
      <w:r w:rsidR="006F52EC" w:rsidRPr="006F52EC">
        <w:rPr>
          <w:rFonts w:asciiTheme="majorHAnsi" w:eastAsia="Calibri" w:hAnsiTheme="majorHAnsi" w:cstheme="majorHAnsi"/>
          <w:sz w:val="24"/>
          <w:szCs w:val="24"/>
          <w:lang w:val="ro-MD"/>
        </w:rPr>
        <w:t xml:space="preserve"> îi</w:t>
      </w:r>
      <w:r w:rsidR="007B1430" w:rsidRPr="006F52EC">
        <w:rPr>
          <w:rFonts w:asciiTheme="majorHAnsi" w:eastAsia="Calibri" w:hAnsiTheme="majorHAnsi" w:cstheme="majorHAnsi"/>
          <w:sz w:val="24"/>
          <w:szCs w:val="24"/>
          <w:lang w:val="ro-MD"/>
        </w:rPr>
        <w:t xml:space="preserve"> revin aceste </w:t>
      </w:r>
      <w:r w:rsidR="006F52EC" w:rsidRPr="006F52EC">
        <w:rPr>
          <w:rFonts w:asciiTheme="majorHAnsi" w:eastAsia="Calibri" w:hAnsiTheme="majorHAnsi" w:cstheme="majorHAnsi"/>
          <w:sz w:val="24"/>
          <w:szCs w:val="24"/>
          <w:lang w:val="ro-MD"/>
        </w:rPr>
        <w:t>atribuții (</w:t>
      </w:r>
      <w:r w:rsidR="007B1430" w:rsidRPr="006F52EC">
        <w:rPr>
          <w:rFonts w:asciiTheme="majorHAnsi" w:eastAsia="Calibri" w:hAnsiTheme="majorHAnsi" w:cstheme="majorHAnsi"/>
          <w:sz w:val="24"/>
          <w:szCs w:val="24"/>
          <w:lang w:val="ro-MD"/>
        </w:rPr>
        <w:t>SFS</w:t>
      </w:r>
      <w:r w:rsidR="006F52EC" w:rsidRPr="006F52EC">
        <w:rPr>
          <w:rFonts w:asciiTheme="majorHAnsi" w:eastAsia="Calibri" w:hAnsiTheme="majorHAnsi" w:cstheme="majorHAnsi"/>
          <w:sz w:val="24"/>
          <w:szCs w:val="24"/>
          <w:lang w:val="ro-MD"/>
        </w:rPr>
        <w:t>,</w:t>
      </w:r>
      <w:r w:rsidR="007B1430" w:rsidRPr="006F52EC">
        <w:rPr>
          <w:rFonts w:asciiTheme="majorHAnsi" w:eastAsia="Calibri" w:hAnsiTheme="majorHAnsi" w:cstheme="majorHAnsi"/>
          <w:sz w:val="24"/>
          <w:szCs w:val="24"/>
          <w:lang w:val="ro-MD"/>
        </w:rPr>
        <w:t xml:space="preserve"> </w:t>
      </w:r>
      <w:r w:rsidR="007B1430" w:rsidRPr="006F52EC">
        <w:rPr>
          <w:rFonts w:asciiTheme="majorHAnsi" w:eastAsia="Calibri" w:hAnsiTheme="majorHAnsi" w:cstheme="majorHAnsi"/>
          <w:sz w:val="24"/>
          <w:szCs w:val="24"/>
          <w:lang w:val="ro-MD"/>
        </w:rPr>
        <w:lastRenderedPageBreak/>
        <w:t>MF</w:t>
      </w:r>
      <w:r w:rsidR="00DC54EC">
        <w:rPr>
          <w:rFonts w:asciiTheme="majorHAnsi" w:eastAsia="Calibri" w:hAnsiTheme="majorHAnsi" w:cstheme="majorHAnsi"/>
          <w:sz w:val="24"/>
          <w:szCs w:val="24"/>
          <w:lang w:val="ro-MD"/>
        </w:rPr>
        <w:t xml:space="preserve"> sau</w:t>
      </w:r>
      <w:r w:rsidR="007B1430" w:rsidRPr="006F52EC">
        <w:rPr>
          <w:rFonts w:asciiTheme="majorHAnsi" w:eastAsia="Calibri" w:hAnsiTheme="majorHAnsi" w:cstheme="majorHAnsi"/>
          <w:sz w:val="24"/>
          <w:szCs w:val="24"/>
          <w:lang w:val="ro-MD"/>
        </w:rPr>
        <w:t xml:space="preserve"> MAEIE). </w:t>
      </w:r>
      <w:r w:rsidR="007B1430" w:rsidRPr="006F52EC">
        <w:rPr>
          <w:rFonts w:asciiTheme="majorHAnsi" w:hAnsiTheme="majorHAnsi" w:cstheme="majorHAnsi"/>
          <w:color w:val="333333"/>
          <w:sz w:val="24"/>
          <w:szCs w:val="24"/>
          <w:shd w:val="clear" w:color="auto" w:fill="FFFFFF"/>
          <w:lang w:val="ro-MD"/>
        </w:rPr>
        <w:t>Astfel</w:t>
      </w:r>
      <w:r w:rsidR="00DC54EC">
        <w:rPr>
          <w:rFonts w:asciiTheme="majorHAnsi" w:hAnsiTheme="majorHAnsi" w:cstheme="majorHAnsi"/>
          <w:color w:val="333333"/>
          <w:sz w:val="24"/>
          <w:szCs w:val="24"/>
          <w:shd w:val="clear" w:color="auto" w:fill="FFFFFF"/>
          <w:lang w:val="ro-MD"/>
        </w:rPr>
        <w:t>,</w:t>
      </w:r>
      <w:r w:rsidR="006F52EC" w:rsidRPr="006F52EC">
        <w:rPr>
          <w:rFonts w:asciiTheme="majorHAnsi" w:hAnsiTheme="majorHAnsi" w:cstheme="majorHAnsi"/>
          <w:color w:val="333333"/>
          <w:sz w:val="24"/>
          <w:szCs w:val="24"/>
          <w:shd w:val="clear" w:color="auto" w:fill="FFFFFF"/>
          <w:lang w:val="ro-MD"/>
        </w:rPr>
        <w:t xml:space="preserve"> se atestă că </w:t>
      </w:r>
      <w:r w:rsidR="007C1813">
        <w:rPr>
          <w:rFonts w:asciiTheme="majorHAnsi" w:hAnsiTheme="majorHAnsi" w:cstheme="majorHAnsi"/>
          <w:color w:val="333333"/>
          <w:sz w:val="24"/>
          <w:szCs w:val="24"/>
          <w:shd w:val="clear" w:color="auto" w:fill="FFFFFF"/>
          <w:lang w:val="ro-MD"/>
        </w:rPr>
        <w:t>M</w:t>
      </w:r>
      <w:r w:rsidR="006F52EC" w:rsidRPr="006F52EC">
        <w:rPr>
          <w:rFonts w:asciiTheme="majorHAnsi" w:hAnsiTheme="majorHAnsi" w:cstheme="majorHAnsi"/>
          <w:color w:val="333333"/>
          <w:sz w:val="24"/>
          <w:szCs w:val="24"/>
          <w:shd w:val="clear" w:color="auto" w:fill="FFFFFF"/>
          <w:lang w:val="ro-MD"/>
        </w:rPr>
        <w:t>inisterul</w:t>
      </w:r>
      <w:r w:rsidR="00DC54EC">
        <w:rPr>
          <w:rFonts w:asciiTheme="majorHAnsi" w:hAnsiTheme="majorHAnsi" w:cstheme="majorHAnsi"/>
          <w:color w:val="333333"/>
          <w:sz w:val="24"/>
          <w:szCs w:val="24"/>
          <w:shd w:val="clear" w:color="auto" w:fill="FFFFFF"/>
          <w:lang w:val="ro-MD"/>
        </w:rPr>
        <w:t>,</w:t>
      </w:r>
      <w:r w:rsidR="007B1430" w:rsidRPr="006F52EC">
        <w:rPr>
          <w:rFonts w:asciiTheme="majorHAnsi" w:hAnsiTheme="majorHAnsi" w:cstheme="majorHAnsi"/>
          <w:color w:val="333333"/>
          <w:sz w:val="24"/>
          <w:szCs w:val="24"/>
          <w:shd w:val="clear" w:color="auto" w:fill="FFFFFF"/>
          <w:lang w:val="ro-MD"/>
        </w:rPr>
        <w:t xml:space="preserve"> </w:t>
      </w:r>
      <w:r w:rsidRPr="006F52EC">
        <w:rPr>
          <w:rFonts w:asciiTheme="majorHAnsi" w:hAnsiTheme="majorHAnsi" w:cstheme="majorHAnsi"/>
          <w:color w:val="333333"/>
          <w:sz w:val="24"/>
          <w:szCs w:val="24"/>
          <w:shd w:val="clear" w:color="auto" w:fill="FFFFFF"/>
          <w:lang w:val="ro-MD"/>
        </w:rPr>
        <w:t>pe parcursul anului 2021</w:t>
      </w:r>
      <w:r w:rsidR="00DC54EC">
        <w:rPr>
          <w:rFonts w:asciiTheme="majorHAnsi" w:hAnsiTheme="majorHAnsi" w:cstheme="majorHAnsi"/>
          <w:color w:val="333333"/>
          <w:sz w:val="24"/>
          <w:szCs w:val="24"/>
          <w:shd w:val="clear" w:color="auto" w:fill="FFFFFF"/>
          <w:lang w:val="ro-MD"/>
        </w:rPr>
        <w:t>,</w:t>
      </w:r>
      <w:r w:rsidRPr="006F52EC">
        <w:rPr>
          <w:rFonts w:asciiTheme="majorHAnsi" w:hAnsiTheme="majorHAnsi" w:cstheme="majorHAnsi"/>
          <w:color w:val="333333"/>
          <w:sz w:val="24"/>
          <w:szCs w:val="24"/>
          <w:shd w:val="clear" w:color="auto" w:fill="FFFFFF"/>
          <w:lang w:val="ro-MD"/>
        </w:rPr>
        <w:t xml:space="preserve"> a</w:t>
      </w:r>
      <w:r w:rsidRPr="006F52EC">
        <w:rPr>
          <w:rFonts w:asciiTheme="majorHAnsi" w:eastAsiaTheme="minorEastAsia" w:hAnsiTheme="majorHAnsi" w:cstheme="majorHAnsi"/>
          <w:sz w:val="24"/>
          <w:szCs w:val="24"/>
          <w:lang w:val="ro-MD"/>
        </w:rPr>
        <w:t xml:space="preserve"> </w:t>
      </w:r>
      <w:r w:rsidR="000B22F8" w:rsidRPr="006F52EC">
        <w:rPr>
          <w:rFonts w:asciiTheme="majorHAnsi" w:eastAsiaTheme="minorEastAsia" w:hAnsiTheme="majorHAnsi" w:cstheme="majorHAnsi"/>
          <w:sz w:val="24"/>
          <w:szCs w:val="24"/>
          <w:lang w:val="ro-MD"/>
        </w:rPr>
        <w:t>inițiat /</w:t>
      </w:r>
      <w:r w:rsidRPr="006F52EC">
        <w:rPr>
          <w:rFonts w:asciiTheme="majorHAnsi" w:eastAsiaTheme="minorEastAsia" w:hAnsiTheme="majorHAnsi" w:cstheme="majorHAnsi"/>
          <w:sz w:val="24"/>
          <w:szCs w:val="24"/>
          <w:lang w:val="ro-MD"/>
        </w:rPr>
        <w:t>efectuat o singură restituire a taxei consulare în sumă de 600,0 lei, achitată p</w:t>
      </w:r>
      <w:r w:rsidR="007B1430" w:rsidRPr="006F52EC">
        <w:rPr>
          <w:rFonts w:asciiTheme="majorHAnsi" w:eastAsiaTheme="minorEastAsia" w:hAnsiTheme="majorHAnsi" w:cstheme="majorHAnsi"/>
          <w:sz w:val="24"/>
          <w:szCs w:val="24"/>
          <w:lang w:val="ro-MD"/>
        </w:rPr>
        <w:t>e teritoriul Republicii Moldova, dar referitor la fina</w:t>
      </w:r>
      <w:r w:rsidR="006F52EC" w:rsidRPr="006F52EC">
        <w:rPr>
          <w:rFonts w:asciiTheme="majorHAnsi" w:eastAsiaTheme="minorEastAsia" w:hAnsiTheme="majorHAnsi" w:cstheme="majorHAnsi"/>
          <w:sz w:val="24"/>
          <w:szCs w:val="24"/>
          <w:lang w:val="ro-MD"/>
        </w:rPr>
        <w:t xml:space="preserve">litatea acestei tranzacții </w:t>
      </w:r>
      <w:r w:rsidR="007C1813">
        <w:rPr>
          <w:rFonts w:asciiTheme="majorHAnsi" w:eastAsiaTheme="minorEastAsia" w:hAnsiTheme="majorHAnsi" w:cstheme="majorHAnsi"/>
          <w:sz w:val="24"/>
          <w:szCs w:val="24"/>
          <w:lang w:val="ro-MD"/>
        </w:rPr>
        <w:t>M</w:t>
      </w:r>
      <w:r w:rsidR="006F52EC" w:rsidRPr="006F52EC">
        <w:rPr>
          <w:rFonts w:asciiTheme="majorHAnsi" w:eastAsiaTheme="minorEastAsia" w:hAnsiTheme="majorHAnsi" w:cstheme="majorHAnsi"/>
          <w:sz w:val="24"/>
          <w:szCs w:val="24"/>
          <w:lang w:val="ro-MD"/>
        </w:rPr>
        <w:t>inisterul</w:t>
      </w:r>
      <w:r w:rsidR="007B1430" w:rsidRPr="006F52EC">
        <w:rPr>
          <w:rFonts w:asciiTheme="majorHAnsi" w:eastAsiaTheme="minorEastAsia" w:hAnsiTheme="majorHAnsi" w:cstheme="majorHAnsi"/>
          <w:sz w:val="24"/>
          <w:szCs w:val="24"/>
          <w:lang w:val="ro-MD"/>
        </w:rPr>
        <w:t xml:space="preserve"> nu dispune de informaț</w:t>
      </w:r>
      <w:r w:rsidR="00AB5546" w:rsidRPr="006F52EC">
        <w:rPr>
          <w:rFonts w:asciiTheme="majorHAnsi" w:eastAsiaTheme="minorEastAsia" w:hAnsiTheme="majorHAnsi" w:cstheme="majorHAnsi"/>
          <w:sz w:val="24"/>
          <w:szCs w:val="24"/>
          <w:lang w:val="ro-MD"/>
        </w:rPr>
        <w:t xml:space="preserve">ii. Aceste incertitudini </w:t>
      </w:r>
      <w:r w:rsidR="00DC54EC">
        <w:rPr>
          <w:rFonts w:asciiTheme="majorHAnsi" w:eastAsiaTheme="minorEastAsia" w:hAnsiTheme="majorHAnsi" w:cstheme="majorHAnsi"/>
          <w:sz w:val="24"/>
          <w:szCs w:val="24"/>
          <w:lang w:val="ro-MD"/>
        </w:rPr>
        <w:t>sunt</w:t>
      </w:r>
      <w:r w:rsidR="00AB5546" w:rsidRPr="006F52EC">
        <w:rPr>
          <w:rFonts w:asciiTheme="majorHAnsi" w:eastAsiaTheme="minorEastAsia" w:hAnsiTheme="majorHAnsi" w:cstheme="majorHAnsi"/>
          <w:sz w:val="24"/>
          <w:szCs w:val="24"/>
          <w:lang w:val="ro-MD"/>
        </w:rPr>
        <w:t xml:space="preserve"> cauzate de lipsa definirii autorității care are responsabilități de administrator a</w:t>
      </w:r>
      <w:r w:rsidR="00DC54EC">
        <w:rPr>
          <w:rFonts w:asciiTheme="majorHAnsi" w:eastAsiaTheme="minorEastAsia" w:hAnsiTheme="majorHAnsi" w:cstheme="majorHAnsi"/>
          <w:sz w:val="24"/>
          <w:szCs w:val="24"/>
          <w:lang w:val="ro-MD"/>
        </w:rPr>
        <w:t>l</w:t>
      </w:r>
      <w:r w:rsidR="00AB5546" w:rsidRPr="006F52EC">
        <w:rPr>
          <w:rFonts w:asciiTheme="majorHAnsi" w:eastAsiaTheme="minorEastAsia" w:hAnsiTheme="majorHAnsi" w:cstheme="majorHAnsi"/>
          <w:sz w:val="24"/>
          <w:szCs w:val="24"/>
          <w:lang w:val="ro-MD"/>
        </w:rPr>
        <w:t xml:space="preserve"> acestor tipuri de venituri. </w:t>
      </w:r>
    </w:p>
    <w:p w:rsidR="00563C4C" w:rsidRPr="00563C4C" w:rsidRDefault="00563C4C" w:rsidP="0047344A">
      <w:pPr>
        <w:tabs>
          <w:tab w:val="left" w:pos="630"/>
        </w:tabs>
        <w:spacing w:line="276" w:lineRule="auto"/>
        <w:jc w:val="both"/>
        <w:rPr>
          <w:rFonts w:asciiTheme="majorHAnsi" w:eastAsia="Calibri" w:hAnsiTheme="majorHAnsi" w:cstheme="majorHAnsi"/>
          <w:sz w:val="24"/>
          <w:szCs w:val="24"/>
          <w:lang w:val="ro-MD"/>
        </w:rPr>
      </w:pPr>
      <w:r w:rsidRPr="00563C4C">
        <w:rPr>
          <w:rFonts w:asciiTheme="majorHAnsi" w:eastAsia="Calibri" w:hAnsiTheme="majorHAnsi" w:cstheme="majorHAnsi"/>
          <w:sz w:val="24"/>
          <w:szCs w:val="24"/>
          <w:lang w:val="ro-MD"/>
        </w:rPr>
        <w:t xml:space="preserve">Așadar, lipsa activităților de control intern și </w:t>
      </w:r>
      <w:r w:rsidR="00DC54EC">
        <w:rPr>
          <w:rFonts w:asciiTheme="majorHAnsi" w:eastAsia="Calibri" w:hAnsiTheme="majorHAnsi" w:cstheme="majorHAnsi"/>
          <w:sz w:val="24"/>
          <w:szCs w:val="24"/>
          <w:lang w:val="ro-MD"/>
        </w:rPr>
        <w:t xml:space="preserve">a </w:t>
      </w:r>
      <w:r w:rsidRPr="00563C4C">
        <w:rPr>
          <w:rFonts w:asciiTheme="majorHAnsi" w:eastAsia="Calibri" w:hAnsiTheme="majorHAnsi" w:cstheme="majorHAnsi"/>
          <w:sz w:val="24"/>
          <w:szCs w:val="24"/>
          <w:lang w:val="ro-MD"/>
        </w:rPr>
        <w:t>reglementărilor privind modalitatea de încasare, ținer</w:t>
      </w:r>
      <w:r w:rsidR="00DC54EC">
        <w:rPr>
          <w:rFonts w:asciiTheme="majorHAnsi" w:eastAsia="Calibri" w:hAnsiTheme="majorHAnsi" w:cstheme="majorHAnsi"/>
          <w:sz w:val="24"/>
          <w:szCs w:val="24"/>
          <w:lang w:val="ro-MD"/>
        </w:rPr>
        <w:t>e a</w:t>
      </w:r>
      <w:r w:rsidRPr="00563C4C">
        <w:rPr>
          <w:rFonts w:asciiTheme="majorHAnsi" w:eastAsia="Calibri" w:hAnsiTheme="majorHAnsi" w:cstheme="majorHAnsi"/>
          <w:sz w:val="24"/>
          <w:szCs w:val="24"/>
          <w:lang w:val="ro-MD"/>
        </w:rPr>
        <w:t xml:space="preserve"> evidenței contabile, raportare, dar și de </w:t>
      </w:r>
      <w:r w:rsidRPr="00563C4C">
        <w:rPr>
          <w:rFonts w:asciiTheme="majorHAnsi" w:hAnsiTheme="majorHAnsi" w:cstheme="majorHAnsi"/>
          <w:color w:val="333333"/>
          <w:sz w:val="24"/>
          <w:szCs w:val="24"/>
          <w:shd w:val="clear" w:color="auto" w:fill="FFFFFF"/>
          <w:lang w:val="ro-MD"/>
        </w:rPr>
        <w:t>restituire/trecere în contul altor plăți a sumelor achitate în plus sau incorect de către contribuabili la bugetul de stat</w:t>
      </w:r>
      <w:r w:rsidR="00DC54EC">
        <w:rPr>
          <w:rFonts w:asciiTheme="majorHAnsi" w:hAnsiTheme="majorHAnsi" w:cstheme="majorHAnsi"/>
          <w:color w:val="333333"/>
          <w:sz w:val="24"/>
          <w:szCs w:val="24"/>
          <w:shd w:val="clear" w:color="auto" w:fill="FFFFFF"/>
          <w:lang w:val="ro-MD"/>
        </w:rPr>
        <w:t>,</w:t>
      </w:r>
      <w:r w:rsidRPr="00563C4C">
        <w:rPr>
          <w:rFonts w:asciiTheme="majorHAnsi" w:eastAsia="Calibri" w:hAnsiTheme="majorHAnsi" w:cstheme="majorHAnsi"/>
          <w:sz w:val="24"/>
          <w:szCs w:val="24"/>
          <w:lang w:val="ro-MD"/>
        </w:rPr>
        <w:t xml:space="preserve"> (după caz)</w:t>
      </w:r>
      <w:r w:rsidRPr="00563C4C">
        <w:rPr>
          <w:rFonts w:asciiTheme="majorHAnsi" w:hAnsiTheme="majorHAnsi" w:cstheme="majorHAnsi"/>
          <w:sz w:val="24"/>
          <w:szCs w:val="24"/>
          <w:lang w:val="ro-MD"/>
        </w:rPr>
        <w:t xml:space="preserve"> </w:t>
      </w:r>
      <w:r w:rsidRPr="00563C4C">
        <w:rPr>
          <w:rFonts w:asciiTheme="majorHAnsi" w:eastAsia="Calibri" w:hAnsiTheme="majorHAnsi" w:cstheme="majorHAnsi"/>
          <w:sz w:val="24"/>
          <w:szCs w:val="24"/>
          <w:lang w:val="ro-MD"/>
        </w:rPr>
        <w:t xml:space="preserve">a veniturilor obținute din prestarea serviciilor consulare (taxa consulară) de către Direcția </w:t>
      </w:r>
      <w:r w:rsidR="007C1813">
        <w:rPr>
          <w:rFonts w:asciiTheme="majorHAnsi" w:eastAsia="Calibri" w:hAnsiTheme="majorHAnsi" w:cstheme="majorHAnsi"/>
          <w:sz w:val="24"/>
          <w:szCs w:val="24"/>
          <w:lang w:val="ro-MD"/>
        </w:rPr>
        <w:t>a</w:t>
      </w:r>
      <w:r w:rsidRPr="00563C4C">
        <w:rPr>
          <w:rFonts w:asciiTheme="majorHAnsi" w:eastAsia="Calibri" w:hAnsiTheme="majorHAnsi" w:cstheme="majorHAnsi"/>
          <w:sz w:val="24"/>
          <w:szCs w:val="24"/>
          <w:lang w:val="ro-MD"/>
        </w:rPr>
        <w:t xml:space="preserve">faceri </w:t>
      </w:r>
      <w:r w:rsidR="007C1813">
        <w:rPr>
          <w:rFonts w:asciiTheme="majorHAnsi" w:eastAsia="Calibri" w:hAnsiTheme="majorHAnsi" w:cstheme="majorHAnsi"/>
          <w:sz w:val="24"/>
          <w:szCs w:val="24"/>
          <w:lang w:val="ro-MD"/>
        </w:rPr>
        <w:t>c</w:t>
      </w:r>
      <w:r w:rsidRPr="00563C4C">
        <w:rPr>
          <w:rFonts w:asciiTheme="majorHAnsi" w:eastAsia="Calibri" w:hAnsiTheme="majorHAnsi" w:cstheme="majorHAnsi"/>
          <w:sz w:val="24"/>
          <w:szCs w:val="24"/>
          <w:lang w:val="ro-MD"/>
        </w:rPr>
        <w:t xml:space="preserve">onsulare din cadrul </w:t>
      </w:r>
      <w:r w:rsidR="007C1813">
        <w:rPr>
          <w:rFonts w:asciiTheme="majorHAnsi" w:eastAsia="Calibri" w:hAnsiTheme="majorHAnsi" w:cstheme="majorHAnsi"/>
          <w:sz w:val="24"/>
          <w:szCs w:val="24"/>
          <w:lang w:val="ro-MD"/>
        </w:rPr>
        <w:t>M</w:t>
      </w:r>
      <w:r w:rsidRPr="00563C4C">
        <w:rPr>
          <w:rFonts w:asciiTheme="majorHAnsi" w:eastAsia="Calibri" w:hAnsiTheme="majorHAnsi" w:cstheme="majorHAnsi"/>
          <w:sz w:val="24"/>
          <w:szCs w:val="24"/>
          <w:lang w:val="ro-MD"/>
        </w:rPr>
        <w:t xml:space="preserve">inisterului a cauzat subevaluarea subcontului „Taxe consulare” cu </w:t>
      </w:r>
      <w:r w:rsidRPr="00563C4C">
        <w:rPr>
          <w:rFonts w:asciiTheme="majorHAnsi" w:eastAsiaTheme="minorEastAsia" w:hAnsiTheme="majorHAnsi" w:cstheme="majorHAnsi"/>
          <w:sz w:val="24"/>
          <w:szCs w:val="24"/>
          <w:lang w:val="ro-MD" w:eastAsia="ro-RO"/>
        </w:rPr>
        <w:t xml:space="preserve">1 790,6 mii lei </w:t>
      </w:r>
      <w:r w:rsidRPr="00563C4C">
        <w:rPr>
          <w:rFonts w:asciiTheme="majorHAnsi" w:eastAsia="Calibri" w:hAnsiTheme="majorHAnsi" w:cstheme="majorHAnsi"/>
          <w:sz w:val="24"/>
          <w:szCs w:val="24"/>
          <w:lang w:val="ro-MD"/>
        </w:rPr>
        <w:t>în exercițiul bugetar 2021</w:t>
      </w:r>
      <w:r w:rsidRPr="00563C4C">
        <w:rPr>
          <w:rFonts w:asciiTheme="majorHAnsi" w:eastAsiaTheme="minorEastAsia" w:hAnsiTheme="majorHAnsi" w:cstheme="majorHAnsi"/>
          <w:sz w:val="24"/>
          <w:szCs w:val="24"/>
          <w:lang w:val="ro-MD" w:eastAsia="ro-RO"/>
        </w:rPr>
        <w:t>.</w:t>
      </w:r>
      <w:r w:rsidRPr="00563C4C">
        <w:rPr>
          <w:rFonts w:asciiTheme="majorHAnsi" w:eastAsia="Calibri" w:hAnsiTheme="majorHAnsi" w:cstheme="majorHAnsi"/>
          <w:sz w:val="24"/>
          <w:szCs w:val="24"/>
          <w:lang w:val="ro-MD"/>
        </w:rPr>
        <w:t xml:space="preserve"> </w:t>
      </w:r>
    </w:p>
    <w:p w:rsidR="00C16FD4" w:rsidRDefault="00563C4C" w:rsidP="0047344A">
      <w:pPr>
        <w:tabs>
          <w:tab w:val="left" w:pos="630"/>
        </w:tabs>
        <w:spacing w:line="276" w:lineRule="auto"/>
        <w:jc w:val="both"/>
        <w:rPr>
          <w:rFonts w:asciiTheme="majorHAnsi" w:hAnsiTheme="majorHAnsi" w:cstheme="majorHAnsi"/>
          <w:sz w:val="24"/>
          <w:szCs w:val="24"/>
          <w:lang w:val="ro-MD"/>
        </w:rPr>
      </w:pPr>
      <w:r w:rsidRPr="00563C4C">
        <w:rPr>
          <w:rFonts w:asciiTheme="majorHAnsi" w:eastAsiaTheme="minorEastAsia" w:hAnsiTheme="majorHAnsi" w:cstheme="majorHAnsi"/>
          <w:sz w:val="24"/>
          <w:szCs w:val="24"/>
          <w:lang w:val="ro-MD"/>
        </w:rPr>
        <w:t>De menționat că,</w:t>
      </w:r>
      <w:r w:rsidR="00AB5546">
        <w:rPr>
          <w:rFonts w:asciiTheme="majorHAnsi" w:eastAsiaTheme="minorEastAsia" w:hAnsiTheme="majorHAnsi" w:cstheme="majorHAnsi"/>
          <w:sz w:val="24"/>
          <w:szCs w:val="24"/>
          <w:lang w:val="ro-MD"/>
        </w:rPr>
        <w:t xml:space="preserve"> deși conform</w:t>
      </w:r>
      <w:r w:rsidR="00AB5546" w:rsidRPr="00AB5546">
        <w:rPr>
          <w:rFonts w:asciiTheme="majorHAnsi" w:eastAsiaTheme="minorEastAsia" w:hAnsiTheme="majorHAnsi" w:cstheme="majorHAnsi"/>
          <w:sz w:val="24"/>
          <w:szCs w:val="24"/>
          <w:lang w:val="ro-MD"/>
        </w:rPr>
        <w:t xml:space="preserve"> </w:t>
      </w:r>
      <w:r w:rsidR="00AB5546" w:rsidRPr="00563C4C">
        <w:rPr>
          <w:rFonts w:asciiTheme="majorHAnsi" w:eastAsiaTheme="minorEastAsia" w:hAnsiTheme="majorHAnsi" w:cstheme="majorHAnsi"/>
          <w:sz w:val="24"/>
          <w:szCs w:val="24"/>
          <w:lang w:val="ro-MD"/>
        </w:rPr>
        <w:t xml:space="preserve">normelor </w:t>
      </w:r>
      <w:r w:rsidR="00AB5546" w:rsidRPr="00563C4C">
        <w:rPr>
          <w:rFonts w:asciiTheme="majorHAnsi" w:hAnsiTheme="majorHAnsi" w:cstheme="majorHAnsi"/>
          <w:sz w:val="24"/>
          <w:szCs w:val="24"/>
          <w:lang w:val="ro-MD"/>
        </w:rPr>
        <w:t>aprobate</w:t>
      </w:r>
      <w:r w:rsidR="00AB5546" w:rsidRPr="00563C4C">
        <w:rPr>
          <w:rFonts w:asciiTheme="majorHAnsi" w:hAnsiTheme="majorHAnsi" w:cstheme="majorHAnsi"/>
          <w:sz w:val="24"/>
          <w:szCs w:val="24"/>
          <w:vertAlign w:val="superscript"/>
          <w:lang w:val="ro-MD"/>
        </w:rPr>
        <w:footnoteReference w:id="12"/>
      </w:r>
      <w:r w:rsidR="002C338E">
        <w:rPr>
          <w:rFonts w:asciiTheme="majorHAnsi" w:hAnsiTheme="majorHAnsi" w:cstheme="majorHAnsi"/>
          <w:sz w:val="24"/>
          <w:szCs w:val="24"/>
          <w:lang w:val="ro-MD"/>
        </w:rPr>
        <w:t>,</w:t>
      </w:r>
      <w:r w:rsidR="00E12967">
        <w:rPr>
          <w:rFonts w:asciiTheme="majorHAnsi" w:eastAsiaTheme="minorEastAsia" w:hAnsiTheme="majorHAnsi" w:cstheme="majorHAnsi"/>
          <w:sz w:val="24"/>
          <w:szCs w:val="24"/>
          <w:lang w:val="ro-MD"/>
        </w:rPr>
        <w:t xml:space="preserve"> </w:t>
      </w:r>
      <w:r w:rsidRPr="00563C4C">
        <w:rPr>
          <w:rFonts w:asciiTheme="majorHAnsi" w:eastAsiaTheme="minorEastAsia" w:hAnsiTheme="majorHAnsi" w:cstheme="majorHAnsi"/>
          <w:sz w:val="24"/>
          <w:szCs w:val="24"/>
          <w:lang w:val="ro-MD"/>
        </w:rPr>
        <w:t xml:space="preserve">Ministerul Finanțelor </w:t>
      </w:r>
      <w:r w:rsidR="00AB5546">
        <w:rPr>
          <w:rFonts w:asciiTheme="majorHAnsi" w:eastAsiaTheme="minorEastAsia" w:hAnsiTheme="majorHAnsi" w:cstheme="majorHAnsi"/>
          <w:sz w:val="24"/>
          <w:szCs w:val="24"/>
          <w:lang w:val="ro-MD"/>
        </w:rPr>
        <w:t>și-a asumat calitatea de administrator</w:t>
      </w:r>
      <w:r w:rsidR="00F44AB5">
        <w:rPr>
          <w:rFonts w:asciiTheme="majorHAnsi" w:eastAsiaTheme="minorEastAsia" w:hAnsiTheme="majorHAnsi" w:cstheme="majorHAnsi"/>
          <w:sz w:val="24"/>
          <w:szCs w:val="24"/>
          <w:lang w:val="ro-MD"/>
        </w:rPr>
        <w:t xml:space="preserve"> de venit</w:t>
      </w:r>
      <w:r w:rsidR="002C338E">
        <w:rPr>
          <w:rFonts w:asciiTheme="majorHAnsi" w:eastAsiaTheme="minorEastAsia" w:hAnsiTheme="majorHAnsi" w:cstheme="majorHAnsi"/>
          <w:sz w:val="24"/>
          <w:szCs w:val="24"/>
          <w:lang w:val="ro-MD"/>
        </w:rPr>
        <w:t>u</w:t>
      </w:r>
      <w:r w:rsidR="00F44AB5">
        <w:rPr>
          <w:rFonts w:asciiTheme="majorHAnsi" w:eastAsiaTheme="minorEastAsia" w:hAnsiTheme="majorHAnsi" w:cstheme="majorHAnsi"/>
          <w:sz w:val="24"/>
          <w:szCs w:val="24"/>
          <w:lang w:val="ro-MD"/>
        </w:rPr>
        <w:t>r</w:t>
      </w:r>
      <w:r w:rsidR="002C338E">
        <w:rPr>
          <w:rFonts w:asciiTheme="majorHAnsi" w:eastAsiaTheme="minorEastAsia" w:hAnsiTheme="majorHAnsi" w:cstheme="majorHAnsi"/>
          <w:sz w:val="24"/>
          <w:szCs w:val="24"/>
          <w:lang w:val="ro-MD"/>
        </w:rPr>
        <w:t>i provenite din</w:t>
      </w:r>
      <w:r w:rsidR="00F44AB5">
        <w:rPr>
          <w:rFonts w:asciiTheme="majorHAnsi" w:eastAsiaTheme="minorEastAsia" w:hAnsiTheme="majorHAnsi" w:cstheme="majorHAnsi"/>
          <w:sz w:val="24"/>
          <w:szCs w:val="24"/>
          <w:lang w:val="ro-MD"/>
        </w:rPr>
        <w:t xml:space="preserve"> taxel</w:t>
      </w:r>
      <w:r w:rsidR="002C338E">
        <w:rPr>
          <w:rFonts w:asciiTheme="majorHAnsi" w:eastAsiaTheme="minorEastAsia" w:hAnsiTheme="majorHAnsi" w:cstheme="majorHAnsi"/>
          <w:sz w:val="24"/>
          <w:szCs w:val="24"/>
          <w:lang w:val="ro-MD"/>
        </w:rPr>
        <w:t>e</w:t>
      </w:r>
      <w:r w:rsidR="00F44AB5">
        <w:rPr>
          <w:rFonts w:asciiTheme="majorHAnsi" w:eastAsiaTheme="minorEastAsia" w:hAnsiTheme="majorHAnsi" w:cstheme="majorHAnsi"/>
          <w:sz w:val="24"/>
          <w:szCs w:val="24"/>
          <w:lang w:val="ro-MD"/>
        </w:rPr>
        <w:t xml:space="preserve"> consulare, </w:t>
      </w:r>
      <w:r w:rsidR="002C338E">
        <w:rPr>
          <w:rFonts w:asciiTheme="majorHAnsi" w:eastAsiaTheme="minorEastAsia" w:hAnsiTheme="majorHAnsi" w:cstheme="majorHAnsi"/>
          <w:sz w:val="24"/>
          <w:szCs w:val="24"/>
          <w:lang w:val="ro-MD"/>
        </w:rPr>
        <w:t xml:space="preserve">acesta </w:t>
      </w:r>
      <w:r w:rsidR="00AB5546">
        <w:rPr>
          <w:rFonts w:asciiTheme="majorHAnsi" w:eastAsiaTheme="minorEastAsia" w:hAnsiTheme="majorHAnsi" w:cstheme="majorHAnsi"/>
          <w:sz w:val="24"/>
          <w:szCs w:val="24"/>
          <w:lang w:val="ro-MD"/>
        </w:rPr>
        <w:t xml:space="preserve">urma </w:t>
      </w:r>
      <w:r w:rsidR="00AB5546" w:rsidRPr="00563C4C">
        <w:rPr>
          <w:rFonts w:asciiTheme="majorHAnsi" w:hAnsiTheme="majorHAnsi" w:cstheme="majorHAnsi"/>
          <w:sz w:val="24"/>
          <w:szCs w:val="24"/>
          <w:lang w:val="ro-MD"/>
        </w:rPr>
        <w:t xml:space="preserve">să </w:t>
      </w:r>
      <w:r w:rsidR="002C338E">
        <w:rPr>
          <w:rFonts w:asciiTheme="majorHAnsi" w:hAnsiTheme="majorHAnsi" w:cstheme="majorHAnsi"/>
          <w:sz w:val="24"/>
          <w:szCs w:val="24"/>
          <w:lang w:val="ro-MD"/>
        </w:rPr>
        <w:t>înregistreze în</w:t>
      </w:r>
      <w:r w:rsidR="002C338E" w:rsidRPr="00563C4C">
        <w:rPr>
          <w:rFonts w:asciiTheme="majorHAnsi" w:hAnsiTheme="majorHAnsi" w:cstheme="majorHAnsi"/>
          <w:sz w:val="24"/>
          <w:szCs w:val="24"/>
          <w:lang w:val="ro-MD"/>
        </w:rPr>
        <w:t xml:space="preserve"> </w:t>
      </w:r>
      <w:r w:rsidR="00AB5546" w:rsidRPr="00563C4C">
        <w:rPr>
          <w:rFonts w:asciiTheme="majorHAnsi" w:hAnsiTheme="majorHAnsi" w:cstheme="majorHAnsi"/>
          <w:sz w:val="24"/>
          <w:szCs w:val="24"/>
          <w:lang w:val="ro-MD"/>
        </w:rPr>
        <w:t xml:space="preserve">și să semneze lunar Registrul veniturilor Bugetului de Stat </w:t>
      </w:r>
      <w:r w:rsidR="00AB5546" w:rsidRPr="00563C4C">
        <w:rPr>
          <w:rFonts w:asciiTheme="majorHAnsi" w:eastAsia="Times New Roman" w:hAnsiTheme="majorHAnsi" w:cstheme="majorHAnsi"/>
          <w:sz w:val="24"/>
          <w:szCs w:val="24"/>
          <w:lang w:val="ro-MD"/>
        </w:rPr>
        <w:t>(Formularul FI-006)</w:t>
      </w:r>
      <w:r w:rsidR="00F44AB5">
        <w:rPr>
          <w:rFonts w:asciiTheme="majorHAnsi" w:hAnsiTheme="majorHAnsi" w:cstheme="majorHAnsi"/>
          <w:sz w:val="24"/>
          <w:szCs w:val="24"/>
          <w:lang w:val="ro-MD"/>
        </w:rPr>
        <w:t xml:space="preserve">, care </w:t>
      </w:r>
      <w:r w:rsidR="00F44AB5" w:rsidRPr="00563C4C">
        <w:rPr>
          <w:rFonts w:asciiTheme="majorHAnsi" w:hAnsiTheme="majorHAnsi" w:cstheme="majorHAnsi"/>
          <w:sz w:val="24"/>
          <w:szCs w:val="24"/>
          <w:lang w:val="ro-MD"/>
        </w:rPr>
        <w:t>reprezintă actul de verificare</w:t>
      </w:r>
      <w:r w:rsidR="00E12967">
        <w:rPr>
          <w:rFonts w:asciiTheme="majorHAnsi" w:hAnsiTheme="majorHAnsi" w:cstheme="majorHAnsi"/>
          <w:sz w:val="24"/>
          <w:szCs w:val="24"/>
          <w:lang w:val="ro-MD"/>
        </w:rPr>
        <w:t xml:space="preserve"> cu </w:t>
      </w:r>
      <w:r w:rsidR="007C1813">
        <w:rPr>
          <w:rFonts w:asciiTheme="majorHAnsi" w:hAnsiTheme="majorHAnsi" w:cstheme="majorHAnsi"/>
          <w:sz w:val="24"/>
          <w:szCs w:val="24"/>
          <w:lang w:val="ro-MD"/>
        </w:rPr>
        <w:t>M</w:t>
      </w:r>
      <w:r w:rsidR="00E12967">
        <w:rPr>
          <w:rFonts w:asciiTheme="majorHAnsi" w:hAnsiTheme="majorHAnsi" w:cstheme="majorHAnsi"/>
          <w:sz w:val="24"/>
          <w:szCs w:val="24"/>
          <w:lang w:val="ro-MD"/>
        </w:rPr>
        <w:t>inisterul</w:t>
      </w:r>
      <w:r w:rsidR="00F44AB5">
        <w:rPr>
          <w:rFonts w:asciiTheme="majorHAnsi" w:hAnsiTheme="majorHAnsi" w:cstheme="majorHAnsi"/>
          <w:sz w:val="24"/>
          <w:szCs w:val="24"/>
          <w:lang w:val="ro-MD"/>
        </w:rPr>
        <w:t xml:space="preserve"> a veniturilor calculate și </w:t>
      </w:r>
      <w:r w:rsidR="00F44AB5" w:rsidRPr="00563C4C">
        <w:rPr>
          <w:rFonts w:asciiTheme="majorHAnsi" w:hAnsiTheme="majorHAnsi" w:cstheme="majorHAnsi"/>
          <w:sz w:val="24"/>
          <w:szCs w:val="24"/>
          <w:lang w:val="ro-MD"/>
        </w:rPr>
        <w:t>încasate la bugetul de stat</w:t>
      </w:r>
      <w:r w:rsidR="007C1813">
        <w:rPr>
          <w:rFonts w:asciiTheme="majorHAnsi" w:hAnsiTheme="majorHAnsi" w:cstheme="majorHAnsi"/>
          <w:sz w:val="24"/>
          <w:szCs w:val="24"/>
          <w:lang w:val="ro-MD"/>
        </w:rPr>
        <w:t>,</w:t>
      </w:r>
      <w:r w:rsidR="00F44AB5" w:rsidRPr="00563C4C">
        <w:rPr>
          <w:rFonts w:asciiTheme="majorHAnsi" w:hAnsiTheme="majorHAnsi" w:cstheme="majorHAnsi"/>
          <w:sz w:val="24"/>
          <w:szCs w:val="24"/>
          <w:lang w:val="ro-MD"/>
        </w:rPr>
        <w:t xml:space="preserve"> cumulativ pe tipuri de taxe</w:t>
      </w:r>
      <w:r w:rsidR="00F44AB5">
        <w:rPr>
          <w:rFonts w:asciiTheme="majorHAnsi" w:hAnsiTheme="majorHAnsi" w:cstheme="majorHAnsi"/>
          <w:sz w:val="24"/>
          <w:szCs w:val="24"/>
          <w:lang w:val="ro-MD"/>
        </w:rPr>
        <w:t>, în corespundere cu reglementările aprobate</w:t>
      </w:r>
      <w:r w:rsidR="00F44AB5">
        <w:rPr>
          <w:rStyle w:val="FootnoteReference"/>
          <w:rFonts w:asciiTheme="majorHAnsi" w:hAnsiTheme="majorHAnsi" w:cstheme="majorHAnsi"/>
          <w:sz w:val="24"/>
          <w:szCs w:val="24"/>
          <w:lang w:val="ro-MD"/>
        </w:rPr>
        <w:footnoteReference w:id="13"/>
      </w:r>
      <w:r w:rsidR="00F44AB5">
        <w:rPr>
          <w:rFonts w:asciiTheme="majorHAnsi" w:hAnsiTheme="majorHAnsi" w:cstheme="majorHAnsi"/>
          <w:sz w:val="24"/>
          <w:szCs w:val="24"/>
          <w:lang w:val="ro-MD"/>
        </w:rPr>
        <w:t>.</w:t>
      </w:r>
    </w:p>
    <w:p w:rsidR="00933A1A" w:rsidRDefault="003E63B0" w:rsidP="001A41ED">
      <w:pPr>
        <w:numPr>
          <w:ilvl w:val="0"/>
          <w:numId w:val="1"/>
        </w:numPr>
        <w:spacing w:after="0" w:line="240" w:lineRule="auto"/>
        <w:ind w:left="567"/>
        <w:contextualSpacing/>
        <w:jc w:val="center"/>
        <w:rPr>
          <w:rFonts w:asciiTheme="majorHAnsi" w:hAnsiTheme="majorHAnsi" w:cstheme="majorHAnsi"/>
          <w:b/>
          <w:sz w:val="24"/>
          <w:szCs w:val="24"/>
        </w:rPr>
      </w:pPr>
      <w:r>
        <w:rPr>
          <w:rFonts w:asciiTheme="majorHAnsi" w:hAnsiTheme="majorHAnsi" w:cstheme="majorHAnsi"/>
          <w:b/>
          <w:sz w:val="24"/>
          <w:szCs w:val="24"/>
        </w:rPr>
        <w:t>ASPECTE-CHEIE DE AUDIT</w:t>
      </w:r>
    </w:p>
    <w:p w:rsidR="00CA11E2" w:rsidRPr="00CA11E2" w:rsidRDefault="00CA11E2" w:rsidP="00CA11E2">
      <w:pPr>
        <w:spacing w:after="0" w:line="240" w:lineRule="auto"/>
        <w:ind w:left="567"/>
        <w:contextualSpacing/>
        <w:rPr>
          <w:rFonts w:asciiTheme="majorHAnsi" w:hAnsiTheme="majorHAnsi" w:cstheme="majorHAnsi"/>
          <w:b/>
          <w:sz w:val="8"/>
          <w:szCs w:val="8"/>
        </w:rPr>
      </w:pPr>
    </w:p>
    <w:p w:rsidR="003E63B0" w:rsidRPr="001A41ED" w:rsidRDefault="003E63B0" w:rsidP="001A41ED">
      <w:pPr>
        <w:pStyle w:val="ListParagraph"/>
        <w:tabs>
          <w:tab w:val="left" w:pos="426"/>
        </w:tabs>
        <w:spacing w:line="276" w:lineRule="auto"/>
        <w:ind w:left="0"/>
        <w:jc w:val="both"/>
        <w:rPr>
          <w:rFonts w:ascii="Calibri Light" w:eastAsia="Calibri" w:hAnsi="Calibri Light" w:cs="Calibri Light"/>
          <w:sz w:val="24"/>
          <w:szCs w:val="24"/>
          <w:lang w:val="ro-MD"/>
        </w:rPr>
      </w:pPr>
      <w:r w:rsidRPr="003E63B0">
        <w:rPr>
          <w:rFonts w:ascii="Calibri Light" w:eastAsia="Calibri" w:hAnsi="Calibri Light" w:cs="Calibri Light"/>
          <w:sz w:val="24"/>
          <w:szCs w:val="24"/>
          <w:lang w:val="ro-MD"/>
        </w:rPr>
        <w:t>Aspectele-cheie de audit sunt acele aspecte care, în baza raționamentului nostru profesional, au avut cea mai mare importanță pentru auditul rapoartelor financiare ale Ministerului Afacerilor Externe și Integrării Europene. Aceste aspecte au fost abordate în contextul auditului rapoartelor financiare în ansamblu și al formării opiniei noastre asupra lor, și nu oferim o opinie separată cu privire la ele. Cu excepția aspectelor descrise în secțiunea Baza pentru opinia cu rezerve, am determinat că nu mai există alte aspecte-cheie de audit care trebuie expuse în Raportul de audit</w:t>
      </w:r>
      <w:r w:rsidRPr="001A41ED">
        <w:rPr>
          <w:rFonts w:ascii="Calibri Light" w:eastAsia="Calibri" w:hAnsi="Calibri Light" w:cs="Calibri Light"/>
          <w:sz w:val="24"/>
          <w:szCs w:val="24"/>
          <w:lang w:val="ro-MD"/>
        </w:rPr>
        <w:t>.</w:t>
      </w:r>
    </w:p>
    <w:p w:rsidR="003E63B0" w:rsidRPr="00014507" w:rsidRDefault="003E63B0" w:rsidP="003E63B0">
      <w:pPr>
        <w:spacing w:after="0" w:line="240" w:lineRule="auto"/>
        <w:ind w:left="567"/>
        <w:contextualSpacing/>
        <w:jc w:val="both"/>
        <w:rPr>
          <w:rFonts w:asciiTheme="majorHAnsi" w:hAnsiTheme="majorHAnsi" w:cstheme="majorHAnsi"/>
          <w:b/>
          <w:sz w:val="4"/>
          <w:szCs w:val="4"/>
        </w:rPr>
      </w:pPr>
    </w:p>
    <w:p w:rsidR="00462EE3" w:rsidRDefault="003E63B0" w:rsidP="001A41ED">
      <w:pPr>
        <w:numPr>
          <w:ilvl w:val="0"/>
          <w:numId w:val="1"/>
        </w:numPr>
        <w:spacing w:after="0" w:line="240" w:lineRule="auto"/>
        <w:ind w:left="567"/>
        <w:contextualSpacing/>
        <w:jc w:val="center"/>
        <w:rPr>
          <w:rFonts w:asciiTheme="majorHAnsi" w:hAnsiTheme="majorHAnsi" w:cstheme="majorHAnsi"/>
          <w:b/>
          <w:sz w:val="24"/>
          <w:szCs w:val="24"/>
        </w:rPr>
      </w:pPr>
      <w:r>
        <w:rPr>
          <w:rFonts w:asciiTheme="majorHAnsi" w:hAnsiTheme="majorHAnsi" w:cstheme="majorHAnsi"/>
          <w:b/>
          <w:sz w:val="24"/>
          <w:szCs w:val="24"/>
        </w:rPr>
        <w:t>ALTE INFORM</w:t>
      </w:r>
      <w:r w:rsidR="001A41ED">
        <w:rPr>
          <w:rFonts w:asciiTheme="majorHAnsi" w:hAnsiTheme="majorHAnsi" w:cstheme="majorHAnsi"/>
          <w:b/>
          <w:sz w:val="24"/>
          <w:szCs w:val="24"/>
        </w:rPr>
        <w:t>A</w:t>
      </w:r>
      <w:r>
        <w:rPr>
          <w:rFonts w:asciiTheme="majorHAnsi" w:hAnsiTheme="majorHAnsi" w:cstheme="majorHAnsi"/>
          <w:b/>
          <w:sz w:val="24"/>
          <w:szCs w:val="24"/>
        </w:rPr>
        <w:t>ȚII</w:t>
      </w:r>
    </w:p>
    <w:p w:rsidR="00462EE3" w:rsidRPr="00CA11E2" w:rsidRDefault="00462EE3" w:rsidP="00462EE3">
      <w:pPr>
        <w:spacing w:after="0" w:line="240" w:lineRule="auto"/>
        <w:ind w:left="567"/>
        <w:contextualSpacing/>
        <w:jc w:val="both"/>
        <w:rPr>
          <w:rFonts w:asciiTheme="majorHAnsi" w:hAnsiTheme="majorHAnsi" w:cstheme="majorHAnsi"/>
          <w:b/>
          <w:sz w:val="8"/>
          <w:szCs w:val="8"/>
        </w:rPr>
      </w:pPr>
    </w:p>
    <w:p w:rsidR="00462EE3" w:rsidRDefault="00462EE3" w:rsidP="00462EE3">
      <w:pPr>
        <w:pStyle w:val="ListParagraph"/>
        <w:numPr>
          <w:ilvl w:val="1"/>
          <w:numId w:val="2"/>
        </w:numPr>
        <w:tabs>
          <w:tab w:val="left" w:pos="426"/>
        </w:tabs>
        <w:spacing w:line="276" w:lineRule="auto"/>
        <w:ind w:left="0" w:firstLine="0"/>
        <w:jc w:val="both"/>
        <w:rPr>
          <w:rFonts w:ascii="Calibri Light" w:eastAsia="Calibri" w:hAnsi="Calibri Light" w:cs="Calibri Light"/>
          <w:sz w:val="24"/>
          <w:szCs w:val="24"/>
          <w:lang w:val="ro-MD"/>
        </w:rPr>
      </w:pPr>
      <w:r w:rsidRPr="003E63B0">
        <w:rPr>
          <w:rFonts w:ascii="Calibri Light" w:eastAsia="Calibri" w:hAnsi="Calibri Light" w:cs="Calibri Light"/>
          <w:sz w:val="24"/>
          <w:szCs w:val="24"/>
          <w:lang w:val="ro-MD"/>
        </w:rPr>
        <w:t>Neaplicarea regulilor generale de recunoaștere, clasificare și înregistrare</w:t>
      </w:r>
      <w:r w:rsidRPr="00DE3C21">
        <w:rPr>
          <w:rFonts w:ascii="Calibri Light" w:eastAsia="Calibri" w:hAnsi="Calibri Light" w:cs="Calibri Light"/>
          <w:sz w:val="24"/>
          <w:szCs w:val="24"/>
          <w:vertAlign w:val="superscript"/>
          <w:lang w:val="ro-MD"/>
        </w:rPr>
        <w:footnoteReference w:id="14"/>
      </w:r>
      <w:r w:rsidRPr="003E63B0">
        <w:rPr>
          <w:rFonts w:ascii="Calibri Light" w:eastAsia="Calibri" w:hAnsi="Calibri Light" w:cs="Calibri Light"/>
          <w:sz w:val="24"/>
          <w:szCs w:val="24"/>
          <w:lang w:val="ro-MD"/>
        </w:rPr>
        <w:t xml:space="preserve"> a activelor nefinanciare și a stocurilor de materiale circulante de către </w:t>
      </w:r>
      <w:r w:rsidR="007C1813">
        <w:rPr>
          <w:rFonts w:ascii="Calibri Light" w:eastAsia="Calibri" w:hAnsi="Calibri Light" w:cs="Calibri Light"/>
          <w:sz w:val="24"/>
          <w:szCs w:val="24"/>
          <w:lang w:val="ro-MD"/>
        </w:rPr>
        <w:t>M</w:t>
      </w:r>
      <w:r w:rsidRPr="003E63B0">
        <w:rPr>
          <w:rFonts w:ascii="Calibri Light" w:eastAsia="Calibri" w:hAnsi="Calibri Light" w:cs="Calibri Light"/>
          <w:sz w:val="24"/>
          <w:szCs w:val="24"/>
          <w:lang w:val="ro-MD"/>
        </w:rPr>
        <w:t>inister și unele instituții din subordine a determinat denaturarea rapoartelor financiare consolidate, în aspectul unor grupuri de conturi</w:t>
      </w:r>
      <w:r w:rsidRPr="00DE3C21">
        <w:rPr>
          <w:rFonts w:ascii="Calibri Light" w:eastAsia="Calibri" w:hAnsi="Calibri Light" w:cs="Calibri Light"/>
          <w:sz w:val="24"/>
          <w:szCs w:val="24"/>
          <w:vertAlign w:val="superscript"/>
          <w:lang w:val="ro-MD"/>
        </w:rPr>
        <w:footnoteReference w:id="15"/>
      </w:r>
      <w:r w:rsidRPr="003E63B0">
        <w:rPr>
          <w:rFonts w:ascii="Calibri Light" w:eastAsia="Calibri" w:hAnsi="Calibri Light" w:cs="Calibri Light"/>
          <w:sz w:val="24"/>
          <w:szCs w:val="24"/>
          <w:lang w:val="ro-MD"/>
        </w:rPr>
        <w:t>, cu suma totală de 1 704,1 mii lei. Totodată, se denotă lipsa evidenței analitice în grupa de conturi 333 „Procurarea produselor alimentare”, admisă de către 16 misiuni diplomatice și oficii consulare</w:t>
      </w:r>
      <w:r w:rsidRPr="00DE3C21">
        <w:rPr>
          <w:rFonts w:ascii="Calibri Light" w:eastAsia="Calibri" w:hAnsi="Calibri Light" w:cs="Calibri Light"/>
          <w:sz w:val="24"/>
          <w:szCs w:val="24"/>
          <w:vertAlign w:val="superscript"/>
          <w:lang w:val="ro-MD"/>
        </w:rPr>
        <w:footnoteReference w:id="16"/>
      </w:r>
      <w:r w:rsidR="007C1813">
        <w:rPr>
          <w:rFonts w:ascii="Calibri Light" w:eastAsia="Calibri" w:hAnsi="Calibri Light" w:cs="Calibri Light"/>
          <w:sz w:val="24"/>
          <w:szCs w:val="24"/>
          <w:lang w:val="ro-MD"/>
        </w:rPr>
        <w:t>,</w:t>
      </w:r>
      <w:r w:rsidRPr="00DE3C21">
        <w:rPr>
          <w:rFonts w:ascii="Calibri Light" w:eastAsia="Calibri" w:hAnsi="Calibri Light" w:cs="Calibri Light"/>
          <w:sz w:val="24"/>
          <w:szCs w:val="24"/>
          <w:vertAlign w:val="superscript"/>
          <w:lang w:val="ro-MD"/>
        </w:rPr>
        <w:t xml:space="preserve"> </w:t>
      </w:r>
      <w:r w:rsidRPr="003E63B0">
        <w:rPr>
          <w:rFonts w:ascii="Calibri Light" w:eastAsia="Calibri" w:hAnsi="Calibri Light" w:cs="Calibri Light"/>
          <w:sz w:val="24"/>
          <w:szCs w:val="24"/>
          <w:lang w:val="ro-MD"/>
        </w:rPr>
        <w:t xml:space="preserve">privind înregistrarea „produselor alimentare” în sumă de 246,2 </w:t>
      </w:r>
      <w:r w:rsidRPr="003E63B0">
        <w:rPr>
          <w:rFonts w:ascii="Calibri Light" w:eastAsia="Calibri" w:hAnsi="Calibri Light" w:cs="Calibri Light"/>
          <w:sz w:val="24"/>
          <w:szCs w:val="24"/>
          <w:lang w:val="ro-MD"/>
        </w:rPr>
        <w:lastRenderedPageBreak/>
        <w:t>mii lei procurate și utilizate în perioada electorală, fapt ce condiționează afectarea principiului bugetar privind transparența utilizării resurselor bugetare. În același context, a fost constatat</w:t>
      </w:r>
      <w:r w:rsidR="007C1813">
        <w:rPr>
          <w:rFonts w:ascii="Calibri Light" w:eastAsia="Calibri" w:hAnsi="Calibri Light" w:cs="Calibri Light"/>
          <w:sz w:val="24"/>
          <w:szCs w:val="24"/>
          <w:lang w:val="ro-MD"/>
        </w:rPr>
        <w:t>ă</w:t>
      </w:r>
      <w:r w:rsidRPr="003E63B0">
        <w:rPr>
          <w:rFonts w:ascii="Calibri Light" w:eastAsia="Calibri" w:hAnsi="Calibri Light" w:cs="Calibri Light"/>
          <w:sz w:val="24"/>
          <w:szCs w:val="24"/>
          <w:lang w:val="ro-MD"/>
        </w:rPr>
        <w:t xml:space="preserve"> și prezența unor solduri , intrări și ieșiri la unele surse de venituri</w:t>
      </w:r>
      <w:r w:rsidRPr="00DE3C21">
        <w:rPr>
          <w:rFonts w:ascii="Calibri Light" w:eastAsia="Calibri" w:hAnsi="Calibri Light" w:cs="Calibri Light"/>
          <w:sz w:val="24"/>
          <w:szCs w:val="24"/>
          <w:vertAlign w:val="superscript"/>
          <w:lang w:val="ro-MD"/>
        </w:rPr>
        <w:footnoteReference w:id="17"/>
      </w:r>
      <w:r w:rsidRPr="003E63B0">
        <w:rPr>
          <w:rFonts w:ascii="Calibri Light" w:eastAsia="Calibri" w:hAnsi="Calibri Light" w:cs="Calibri Light"/>
          <w:sz w:val="24"/>
          <w:szCs w:val="24"/>
          <w:lang w:val="ro-MD"/>
        </w:rPr>
        <w:t xml:space="preserve"> în baza de date a sistemului informațional</w:t>
      </w:r>
      <w:r w:rsidRPr="00DE3C21">
        <w:rPr>
          <w:rFonts w:ascii="Calibri Light" w:eastAsia="Calibri" w:hAnsi="Calibri Light" w:cs="Calibri Light"/>
          <w:sz w:val="24"/>
          <w:szCs w:val="24"/>
          <w:vertAlign w:val="superscript"/>
          <w:lang w:val="ro-MD"/>
        </w:rPr>
        <w:footnoteReference w:id="18"/>
      </w:r>
      <w:r w:rsidRPr="003E63B0">
        <w:rPr>
          <w:rFonts w:ascii="Calibri Light" w:eastAsia="Calibri" w:hAnsi="Calibri Light" w:cs="Calibri Light"/>
          <w:sz w:val="24"/>
          <w:szCs w:val="24"/>
          <w:lang w:val="ro-MD"/>
        </w:rPr>
        <w:t xml:space="preserve"> al </w:t>
      </w:r>
      <w:r w:rsidR="007C1813">
        <w:rPr>
          <w:rFonts w:ascii="Calibri Light" w:eastAsia="Calibri" w:hAnsi="Calibri Light" w:cs="Calibri Light"/>
          <w:sz w:val="24"/>
          <w:szCs w:val="24"/>
          <w:lang w:val="ro-MD"/>
        </w:rPr>
        <w:t>Mi</w:t>
      </w:r>
      <w:r w:rsidRPr="003E63B0">
        <w:rPr>
          <w:rFonts w:ascii="Calibri Light" w:eastAsia="Calibri" w:hAnsi="Calibri Light" w:cs="Calibri Light"/>
          <w:sz w:val="24"/>
          <w:szCs w:val="24"/>
          <w:lang w:val="ro-MD"/>
        </w:rPr>
        <w:t>nisterului. Conform cadrului normativ</w:t>
      </w:r>
      <w:r w:rsidR="007C1813">
        <w:rPr>
          <w:rFonts w:ascii="Calibri Light" w:eastAsia="Calibri" w:hAnsi="Calibri Light" w:cs="Calibri Light"/>
          <w:sz w:val="24"/>
          <w:szCs w:val="24"/>
          <w:lang w:val="ro-MD"/>
        </w:rPr>
        <w:t>,</w:t>
      </w:r>
      <w:r w:rsidRPr="003E63B0">
        <w:rPr>
          <w:rFonts w:ascii="Calibri Light" w:eastAsia="Calibri" w:hAnsi="Calibri Light" w:cs="Calibri Light"/>
          <w:sz w:val="24"/>
          <w:szCs w:val="24"/>
          <w:lang w:val="ro-MD"/>
        </w:rPr>
        <w:t xml:space="preserve"> aceste surse de venit nu generează solduri, rulaje de intrări și ieșiri, fapt ce a condiționat denaturarea nesemnificativă a rapoartelor financiare consolidate, în aspectul unor grupuri de conturi</w:t>
      </w:r>
      <w:r w:rsidRPr="00DE3C21">
        <w:rPr>
          <w:rFonts w:ascii="Calibri Light" w:eastAsia="Calibri" w:hAnsi="Calibri Light" w:cs="Calibri Light"/>
          <w:sz w:val="24"/>
          <w:szCs w:val="24"/>
          <w:vertAlign w:val="superscript"/>
          <w:lang w:val="ro-MD"/>
        </w:rPr>
        <w:footnoteReference w:id="19"/>
      </w:r>
      <w:r w:rsidRPr="003E63B0">
        <w:rPr>
          <w:rFonts w:ascii="Calibri Light" w:eastAsia="Calibri" w:hAnsi="Calibri Light" w:cs="Calibri Light"/>
          <w:sz w:val="24"/>
          <w:szCs w:val="24"/>
          <w:lang w:val="ro-MD"/>
        </w:rPr>
        <w:t>.</w:t>
      </w:r>
    </w:p>
    <w:p w:rsidR="00CA11E2" w:rsidRPr="00CA11E2" w:rsidRDefault="00CA11E2" w:rsidP="00CA11E2">
      <w:pPr>
        <w:pStyle w:val="ListParagraph"/>
        <w:tabs>
          <w:tab w:val="left" w:pos="426"/>
        </w:tabs>
        <w:spacing w:line="276" w:lineRule="auto"/>
        <w:ind w:left="0"/>
        <w:jc w:val="both"/>
        <w:rPr>
          <w:rFonts w:ascii="Calibri Light" w:eastAsia="Calibri" w:hAnsi="Calibri Light" w:cs="Calibri Light"/>
          <w:sz w:val="8"/>
          <w:szCs w:val="8"/>
          <w:lang w:val="ro-MD"/>
        </w:rPr>
      </w:pPr>
    </w:p>
    <w:p w:rsidR="00462EE3" w:rsidRDefault="00462EE3" w:rsidP="00462EE3">
      <w:pPr>
        <w:pStyle w:val="ListParagraph"/>
        <w:numPr>
          <w:ilvl w:val="1"/>
          <w:numId w:val="2"/>
        </w:numPr>
        <w:tabs>
          <w:tab w:val="left" w:pos="426"/>
        </w:tabs>
        <w:spacing w:line="276" w:lineRule="auto"/>
        <w:ind w:left="0" w:firstLine="0"/>
        <w:jc w:val="both"/>
        <w:rPr>
          <w:rFonts w:ascii="Calibri Light" w:eastAsia="Calibri" w:hAnsi="Calibri Light" w:cs="Calibri Light"/>
          <w:sz w:val="24"/>
          <w:szCs w:val="24"/>
          <w:lang w:val="ro-MD"/>
        </w:rPr>
      </w:pPr>
      <w:r w:rsidRPr="005E0427">
        <w:rPr>
          <w:rFonts w:ascii="Calibri Light" w:eastAsia="Calibri" w:hAnsi="Calibri Light" w:cs="Calibri Light"/>
          <w:sz w:val="24"/>
          <w:szCs w:val="24"/>
          <w:lang w:val="ro-MD"/>
        </w:rPr>
        <w:t xml:space="preserve">În anul 2021, în cadrul </w:t>
      </w:r>
      <w:r w:rsidR="007C1813">
        <w:rPr>
          <w:rFonts w:ascii="Calibri Light" w:eastAsia="Calibri" w:hAnsi="Calibri Light" w:cs="Calibri Light"/>
          <w:sz w:val="24"/>
          <w:szCs w:val="24"/>
          <w:lang w:val="ro-MD"/>
        </w:rPr>
        <w:t>M</w:t>
      </w:r>
      <w:r w:rsidRPr="005E0427">
        <w:rPr>
          <w:rFonts w:ascii="Calibri Light" w:eastAsia="Calibri" w:hAnsi="Calibri Light" w:cs="Calibri Light"/>
          <w:sz w:val="24"/>
          <w:szCs w:val="24"/>
          <w:lang w:val="ro-MD"/>
        </w:rPr>
        <w:t>inisterului s-a atestat un nivel redus de executare a investițiilor capitale – de 62,4%, sau în sumă de 2 496,4 mii lei față de alocațiile precizate și, respectiv, de 21,7% față de cele aprobate inițial conform legii bugetare anuale</w:t>
      </w:r>
      <w:r w:rsidRPr="00DE3C21">
        <w:rPr>
          <w:rFonts w:ascii="Calibri Light" w:eastAsia="Calibri" w:hAnsi="Calibri Light" w:cs="Calibri Light"/>
          <w:sz w:val="24"/>
          <w:szCs w:val="24"/>
          <w:vertAlign w:val="superscript"/>
          <w:lang w:val="ro-MD"/>
        </w:rPr>
        <w:footnoteReference w:id="20"/>
      </w:r>
      <w:r w:rsidRPr="005E0427">
        <w:rPr>
          <w:rFonts w:ascii="Calibri Light" w:eastAsia="Calibri" w:hAnsi="Calibri Light" w:cs="Calibri Light"/>
          <w:sz w:val="24"/>
          <w:szCs w:val="24"/>
          <w:lang w:val="ro-MD"/>
        </w:rPr>
        <w:t xml:space="preserve">. Astfel, pentru definitivarea documentației de proiect pentru reproiectarea construcției sediului Ambasadei Republicii Moldova în Republica Belarus pentru care a fost elaborată anterior documentația de proiect în valoare de 781,3 mii lei, dar care conform explicației </w:t>
      </w:r>
      <w:r w:rsidR="007C1813">
        <w:rPr>
          <w:rFonts w:ascii="Calibri Light" w:eastAsia="Calibri" w:hAnsi="Calibri Light" w:cs="Calibri Light"/>
          <w:sz w:val="24"/>
          <w:szCs w:val="24"/>
          <w:lang w:val="ro-MD"/>
        </w:rPr>
        <w:t>M</w:t>
      </w:r>
      <w:r w:rsidRPr="005E0427">
        <w:rPr>
          <w:rFonts w:ascii="Calibri Light" w:eastAsia="Calibri" w:hAnsi="Calibri Light" w:cs="Calibri Light"/>
          <w:sz w:val="24"/>
          <w:szCs w:val="24"/>
          <w:lang w:val="ro-MD"/>
        </w:rPr>
        <w:t>inisterului „sunt învechite și nu corespund rigorilor”, au fost executate suplimentar alocații în sumă de 496,4 mii lei. Situația constatată generează un impact financiar negativ, implicând costuri suplimentare din bugetul de stat, cauzate de tergiversările în realizarea construcției și reconstrucției obiectelor investiționale. Totodată, în cadrul Consulatului Republicii Moldova la Odessa (Ucraina), în limita alocațiilor aprobate, au fost efectuate reparații capitale ale unor clădiri și construcții speciale</w:t>
      </w:r>
      <w:r w:rsidR="007C1813">
        <w:rPr>
          <w:rFonts w:ascii="Calibri Light" w:eastAsia="Calibri" w:hAnsi="Calibri Light" w:cs="Calibri Light"/>
          <w:sz w:val="24"/>
          <w:szCs w:val="24"/>
          <w:lang w:val="ro-MD"/>
        </w:rPr>
        <w:t>,</w:t>
      </w:r>
      <w:r w:rsidRPr="005E0427">
        <w:rPr>
          <w:rFonts w:ascii="Calibri Light" w:eastAsia="Calibri" w:hAnsi="Calibri Light" w:cs="Calibri Light"/>
          <w:sz w:val="24"/>
          <w:szCs w:val="24"/>
          <w:lang w:val="ro-MD"/>
        </w:rPr>
        <w:t xml:space="preserve"> în valoare de 2 000,0 mii lei, care sunt încă în proces de reconstrucție. </w:t>
      </w:r>
    </w:p>
    <w:p w:rsidR="00CA11E2" w:rsidRPr="00CA11E2" w:rsidRDefault="00CA11E2" w:rsidP="00CA11E2">
      <w:pPr>
        <w:pStyle w:val="ListParagraph"/>
        <w:tabs>
          <w:tab w:val="left" w:pos="426"/>
        </w:tabs>
        <w:spacing w:line="276" w:lineRule="auto"/>
        <w:ind w:left="0"/>
        <w:jc w:val="both"/>
        <w:rPr>
          <w:rFonts w:ascii="Calibri Light" w:eastAsia="Calibri" w:hAnsi="Calibri Light" w:cs="Calibri Light"/>
          <w:sz w:val="8"/>
          <w:szCs w:val="8"/>
          <w:lang w:val="ro-MD"/>
        </w:rPr>
      </w:pPr>
    </w:p>
    <w:p w:rsidR="00462EE3" w:rsidRPr="001E4563" w:rsidRDefault="00462EE3" w:rsidP="00462EE3">
      <w:pPr>
        <w:pStyle w:val="ListParagraph"/>
        <w:numPr>
          <w:ilvl w:val="1"/>
          <w:numId w:val="2"/>
        </w:numPr>
        <w:tabs>
          <w:tab w:val="left" w:pos="180"/>
          <w:tab w:val="left" w:pos="284"/>
          <w:tab w:val="left" w:pos="426"/>
        </w:tabs>
        <w:spacing w:after="120" w:line="276" w:lineRule="auto"/>
        <w:ind w:left="0" w:right="-2" w:firstLine="0"/>
        <w:jc w:val="both"/>
        <w:rPr>
          <w:rFonts w:asciiTheme="majorHAnsi" w:eastAsiaTheme="minorEastAsia" w:hAnsiTheme="majorHAnsi" w:cstheme="majorHAnsi"/>
          <w:sz w:val="24"/>
          <w:szCs w:val="24"/>
          <w:lang w:val="ro-MD"/>
        </w:rPr>
      </w:pPr>
      <w:r w:rsidRPr="001E4563">
        <w:rPr>
          <w:rFonts w:asciiTheme="majorHAnsi" w:eastAsia="Times New Roman" w:hAnsiTheme="majorHAnsi" w:cstheme="majorHAnsi"/>
          <w:sz w:val="24"/>
          <w:szCs w:val="24"/>
          <w:lang w:val="ro-MD"/>
        </w:rPr>
        <w:t xml:space="preserve">Auditul relevă și subevaluarea </w:t>
      </w:r>
      <w:r w:rsidRPr="001E4563">
        <w:rPr>
          <w:rFonts w:asciiTheme="majorHAnsi" w:hAnsiTheme="majorHAnsi" w:cs="Times New Roman"/>
          <w:sz w:val="24"/>
          <w:szCs w:val="24"/>
          <w:lang w:val="ro-MD"/>
        </w:rPr>
        <w:t>soldului subclasei 391 „Uzura mijloacelor fixe și amortizarea activelor nemateriale” din rapoartele financiare consolidate în</w:t>
      </w:r>
      <w:r w:rsidRPr="001E4563">
        <w:rPr>
          <w:rFonts w:asciiTheme="majorHAnsi" w:eastAsia="Times New Roman" w:hAnsiTheme="majorHAnsi" w:cstheme="majorHAnsi"/>
          <w:sz w:val="24"/>
          <w:szCs w:val="24"/>
          <w:lang w:val="ro-MD"/>
        </w:rPr>
        <w:t xml:space="preserve"> sumă de 52,6</w:t>
      </w:r>
      <w:r w:rsidRPr="001E4563">
        <w:rPr>
          <w:rFonts w:asciiTheme="majorHAnsi" w:hAnsiTheme="majorHAnsi" w:cstheme="majorHAnsi"/>
          <w:sz w:val="24"/>
          <w:szCs w:val="24"/>
          <w:lang w:val="ro-MD"/>
        </w:rPr>
        <w:t xml:space="preserve"> mii lei, cauzată de nerespectarea reglementărilor</w:t>
      </w:r>
      <w:r w:rsidRPr="00563C4C">
        <w:rPr>
          <w:vertAlign w:val="superscript"/>
          <w:lang w:val="ro-MD"/>
        </w:rPr>
        <w:footnoteReference w:id="21"/>
      </w:r>
      <w:r w:rsidRPr="001E4563">
        <w:rPr>
          <w:rFonts w:asciiTheme="majorHAnsi" w:hAnsiTheme="majorHAnsi" w:cstheme="majorHAnsi"/>
          <w:sz w:val="24"/>
          <w:szCs w:val="24"/>
          <w:lang w:val="ro-MD"/>
        </w:rPr>
        <w:t xml:space="preserve"> privind calcularea uzurii mijloacelor fixe </w:t>
      </w:r>
      <w:r w:rsidRPr="001E4563">
        <w:rPr>
          <w:rFonts w:asciiTheme="majorHAnsi" w:eastAsia="Times New Roman" w:hAnsiTheme="majorHAnsi" w:cstheme="majorHAnsi"/>
          <w:sz w:val="24"/>
          <w:szCs w:val="24"/>
          <w:lang w:val="ro-MD"/>
        </w:rPr>
        <w:t xml:space="preserve">de către o instituție din subordinea </w:t>
      </w:r>
      <w:r w:rsidR="007C1813">
        <w:rPr>
          <w:rFonts w:asciiTheme="majorHAnsi" w:eastAsia="Times New Roman" w:hAnsiTheme="majorHAnsi" w:cstheme="majorHAnsi"/>
          <w:sz w:val="24"/>
          <w:szCs w:val="24"/>
          <w:lang w:val="ro-MD"/>
        </w:rPr>
        <w:t>M</w:t>
      </w:r>
      <w:r w:rsidRPr="001E4563">
        <w:rPr>
          <w:rFonts w:asciiTheme="majorHAnsi" w:eastAsia="Times New Roman" w:hAnsiTheme="majorHAnsi" w:cstheme="majorHAnsi"/>
          <w:sz w:val="24"/>
          <w:szCs w:val="24"/>
          <w:lang w:val="ro-MD"/>
        </w:rPr>
        <w:t>inisterului</w:t>
      </w:r>
      <w:r>
        <w:rPr>
          <w:rStyle w:val="FootnoteReference"/>
          <w:rFonts w:asciiTheme="majorHAnsi" w:eastAsia="Times New Roman" w:hAnsiTheme="majorHAnsi" w:cstheme="majorHAnsi"/>
          <w:sz w:val="24"/>
          <w:szCs w:val="24"/>
          <w:lang w:val="ro-MD"/>
        </w:rPr>
        <w:footnoteReference w:id="22"/>
      </w:r>
      <w:r w:rsidRPr="001E4563">
        <w:rPr>
          <w:rFonts w:asciiTheme="majorHAnsi" w:eastAsia="Times New Roman" w:hAnsiTheme="majorHAnsi" w:cstheme="majorHAnsi"/>
          <w:sz w:val="24"/>
          <w:szCs w:val="24"/>
          <w:lang w:val="ro-MD"/>
        </w:rPr>
        <w:t xml:space="preserve">. </w:t>
      </w:r>
    </w:p>
    <w:p w:rsidR="00462EE3" w:rsidRPr="001E4563" w:rsidRDefault="00462EE3" w:rsidP="00462EE3">
      <w:pPr>
        <w:numPr>
          <w:ilvl w:val="1"/>
          <w:numId w:val="2"/>
        </w:numPr>
        <w:tabs>
          <w:tab w:val="left" w:pos="142"/>
          <w:tab w:val="left" w:pos="426"/>
        </w:tabs>
        <w:spacing w:after="0" w:line="276" w:lineRule="auto"/>
        <w:ind w:left="0" w:right="-2" w:firstLine="0"/>
        <w:contextualSpacing/>
        <w:jc w:val="both"/>
        <w:rPr>
          <w:rFonts w:asciiTheme="majorHAnsi" w:eastAsiaTheme="minorEastAsia" w:hAnsiTheme="majorHAnsi" w:cstheme="majorHAnsi"/>
          <w:sz w:val="24"/>
          <w:szCs w:val="24"/>
          <w:lang w:val="ro-MD"/>
        </w:rPr>
      </w:pPr>
      <w:r w:rsidRPr="001E4563">
        <w:rPr>
          <w:rFonts w:asciiTheme="majorHAnsi" w:eastAsiaTheme="minorEastAsia" w:hAnsiTheme="majorHAnsi" w:cstheme="majorHAnsi"/>
          <w:sz w:val="24"/>
          <w:szCs w:val="24"/>
          <w:lang w:val="ro-MD"/>
        </w:rPr>
        <w:t xml:space="preserve">La 01.01.2021, </w:t>
      </w:r>
      <w:r w:rsidR="00E35817">
        <w:rPr>
          <w:rFonts w:asciiTheme="majorHAnsi" w:eastAsiaTheme="minorEastAsia" w:hAnsiTheme="majorHAnsi" w:cstheme="majorHAnsi"/>
          <w:sz w:val="24"/>
          <w:szCs w:val="24"/>
          <w:lang w:val="ro-MD"/>
        </w:rPr>
        <w:t>M</w:t>
      </w:r>
      <w:r w:rsidRPr="001E4563">
        <w:rPr>
          <w:rFonts w:asciiTheme="majorHAnsi" w:eastAsiaTheme="minorEastAsia" w:hAnsiTheme="majorHAnsi" w:cstheme="majorHAnsi"/>
          <w:sz w:val="24"/>
          <w:szCs w:val="24"/>
          <w:lang w:val="ro-MD"/>
        </w:rPr>
        <w:t>inisterul înregistra în evidența contabilă creanțe formate din anul 2020 în sumă totală de 5,1 mil. lei, dintre care 2,2 mil. lei generate ca urmare a achitării în avans</w:t>
      </w:r>
      <w:r>
        <w:rPr>
          <w:rFonts w:asciiTheme="majorHAnsi" w:eastAsiaTheme="minorEastAsia" w:hAnsiTheme="majorHAnsi" w:cstheme="majorHAnsi"/>
          <w:sz w:val="24"/>
          <w:szCs w:val="24"/>
          <w:lang w:val="ro-MD"/>
        </w:rPr>
        <w:t xml:space="preserve"> pentru procurarea</w:t>
      </w:r>
      <w:r w:rsidRPr="001E4563">
        <w:rPr>
          <w:rFonts w:asciiTheme="majorHAnsi" w:eastAsiaTheme="minorEastAsia" w:hAnsiTheme="majorHAnsi" w:cstheme="majorHAnsi"/>
          <w:sz w:val="24"/>
          <w:szCs w:val="24"/>
          <w:lang w:val="ro-MD"/>
        </w:rPr>
        <w:t xml:space="preserve"> a 3 mijloace de transport de către 2 misiuni diplomatice </w:t>
      </w:r>
      <w:r w:rsidRPr="001E4563">
        <w:rPr>
          <w:rFonts w:asciiTheme="majorHAnsi" w:eastAsiaTheme="minorEastAsia" w:hAnsiTheme="majorHAnsi" w:cstheme="majorHAnsi"/>
          <w:i/>
          <w:sz w:val="24"/>
          <w:szCs w:val="24"/>
          <w:lang w:val="ro-MD"/>
        </w:rPr>
        <w:t>(situație constatată de auditul precedent).</w:t>
      </w:r>
      <w:r w:rsidRPr="001E4563">
        <w:rPr>
          <w:rFonts w:asciiTheme="majorHAnsi" w:eastAsiaTheme="minorEastAsia" w:hAnsiTheme="majorHAnsi" w:cstheme="majorHAnsi"/>
          <w:sz w:val="24"/>
          <w:szCs w:val="24"/>
          <w:lang w:val="ro-MD"/>
        </w:rPr>
        <w:t xml:space="preserve"> Verificările prezentului audit referitor la situația creanțelor au constatat că mijloacele de transport au fost recepționate pe parcursul anului 2021 și înregistrate în evidența contabilă potrivit documentelor primare</w:t>
      </w:r>
      <w:r>
        <w:rPr>
          <w:rStyle w:val="FootnoteReference"/>
          <w:rFonts w:asciiTheme="majorHAnsi" w:eastAsiaTheme="minorEastAsia" w:hAnsiTheme="majorHAnsi" w:cstheme="majorHAnsi"/>
          <w:sz w:val="24"/>
          <w:szCs w:val="24"/>
          <w:lang w:val="ro-MD"/>
        </w:rPr>
        <w:footnoteReference w:id="23"/>
      </w:r>
      <w:r w:rsidRPr="001E4563">
        <w:rPr>
          <w:rFonts w:asciiTheme="majorHAnsi" w:eastAsiaTheme="minorEastAsia" w:hAnsiTheme="majorHAnsi" w:cstheme="majorHAnsi"/>
          <w:sz w:val="24"/>
          <w:szCs w:val="24"/>
          <w:lang w:val="ro-MD"/>
        </w:rPr>
        <w:t xml:space="preserve">, respectiv, 2 mijloace de transport – de către Ambasada Republicii Moldova în Republica Franceză, la 26.04.2021 și la 19.10.2021, și 1 unitate – de către Ambasada Republicii Moldova în Regatul Spaniei, la 07.04.2021. Acest fapt confirmă prezența riscului identificat, fiind condiționat de dezafectarea/imobilizarea resurselor financiare publice pe un </w:t>
      </w:r>
      <w:r>
        <w:rPr>
          <w:rFonts w:asciiTheme="majorHAnsi" w:eastAsiaTheme="minorEastAsia" w:hAnsiTheme="majorHAnsi" w:cstheme="majorHAnsi"/>
          <w:sz w:val="24"/>
          <w:szCs w:val="24"/>
          <w:lang w:val="ro-MD"/>
        </w:rPr>
        <w:t>termen de la 4 până la 10 luni</w:t>
      </w:r>
      <w:r w:rsidR="00126E99">
        <w:rPr>
          <w:rFonts w:asciiTheme="majorHAnsi" w:eastAsiaTheme="minorEastAsia" w:hAnsiTheme="majorHAnsi" w:cstheme="majorHAnsi"/>
          <w:sz w:val="24"/>
          <w:szCs w:val="24"/>
          <w:lang w:val="ro-MD"/>
        </w:rPr>
        <w:t>.</w:t>
      </w:r>
    </w:p>
    <w:p w:rsidR="00462EE3" w:rsidRPr="00103C37" w:rsidRDefault="00462EE3" w:rsidP="00462EE3">
      <w:pPr>
        <w:spacing w:after="0" w:line="276" w:lineRule="auto"/>
        <w:jc w:val="both"/>
        <w:rPr>
          <w:rFonts w:asciiTheme="majorHAnsi" w:eastAsiaTheme="minorEastAsia" w:hAnsiTheme="majorHAnsi" w:cstheme="majorHAnsi"/>
          <w:sz w:val="8"/>
          <w:szCs w:val="8"/>
          <w:lang w:val="ro-MD"/>
        </w:rPr>
      </w:pPr>
    </w:p>
    <w:p w:rsidR="00462EE3" w:rsidRPr="007B225F" w:rsidRDefault="00462EE3" w:rsidP="00462EE3">
      <w:pPr>
        <w:spacing w:after="0" w:line="276" w:lineRule="auto"/>
        <w:jc w:val="both"/>
        <w:rPr>
          <w:rFonts w:asciiTheme="majorHAnsi" w:eastAsiaTheme="minorEastAsia" w:hAnsiTheme="majorHAnsi" w:cstheme="majorHAnsi"/>
          <w:sz w:val="24"/>
          <w:szCs w:val="24"/>
          <w:lang w:val="ro-MD"/>
        </w:rPr>
      </w:pPr>
      <w:r w:rsidRPr="007B225F">
        <w:rPr>
          <w:rFonts w:asciiTheme="majorHAnsi" w:eastAsiaTheme="minorEastAsia" w:hAnsiTheme="majorHAnsi" w:cstheme="majorHAnsi"/>
          <w:sz w:val="24"/>
          <w:szCs w:val="24"/>
          <w:lang w:val="ro-MD"/>
        </w:rPr>
        <w:lastRenderedPageBreak/>
        <w:t>La situația din 31.12.2021</w:t>
      </w:r>
      <w:r w:rsidR="007E4248">
        <w:rPr>
          <w:rFonts w:asciiTheme="majorHAnsi" w:eastAsiaTheme="minorEastAsia" w:hAnsiTheme="majorHAnsi" w:cstheme="majorHAnsi"/>
          <w:sz w:val="24"/>
          <w:szCs w:val="24"/>
          <w:lang w:val="ro-MD"/>
        </w:rPr>
        <w:t>,</w:t>
      </w:r>
      <w:r w:rsidRPr="007B225F">
        <w:rPr>
          <w:rFonts w:asciiTheme="majorHAnsi" w:eastAsiaTheme="minorEastAsia" w:hAnsiTheme="majorHAnsi" w:cstheme="majorHAnsi"/>
          <w:sz w:val="24"/>
          <w:szCs w:val="24"/>
          <w:lang w:val="ro-MD"/>
        </w:rPr>
        <w:t xml:space="preserve"> au fost înregistrate creanțe în sumă totală de 2,9 mil.lei</w:t>
      </w:r>
      <w:r w:rsidRPr="00711712">
        <w:rPr>
          <w:rStyle w:val="FootnoteReference"/>
          <w:rFonts w:asciiTheme="majorHAnsi" w:eastAsiaTheme="minorEastAsia" w:hAnsiTheme="majorHAnsi" w:cstheme="majorHAnsi"/>
          <w:sz w:val="24"/>
          <w:szCs w:val="24"/>
          <w:lang w:val="ro-MD"/>
        </w:rPr>
        <w:footnoteReference w:id="24"/>
      </w:r>
      <w:r w:rsidRPr="007B225F">
        <w:rPr>
          <w:rFonts w:asciiTheme="majorHAnsi" w:eastAsiaTheme="minorEastAsia" w:hAnsiTheme="majorHAnsi" w:cstheme="majorHAnsi"/>
          <w:sz w:val="24"/>
          <w:szCs w:val="24"/>
          <w:lang w:val="ro-MD"/>
        </w:rPr>
        <w:t xml:space="preserve">. Creanțele raportate constituie decontările cu autoritățile fiscale din statele de acreditare pentru taxele ce urmează a fi restituite. </w:t>
      </w:r>
    </w:p>
    <w:p w:rsidR="00462EE3" w:rsidRDefault="00462EE3" w:rsidP="00462EE3">
      <w:pPr>
        <w:spacing w:line="276" w:lineRule="auto"/>
        <w:jc w:val="both"/>
        <w:rPr>
          <w:rFonts w:asciiTheme="majorHAnsi" w:eastAsiaTheme="minorEastAsia" w:hAnsiTheme="majorHAnsi" w:cstheme="majorHAnsi"/>
          <w:sz w:val="24"/>
          <w:szCs w:val="24"/>
          <w:lang w:val="ro-MD"/>
        </w:rPr>
      </w:pPr>
      <w:r w:rsidRPr="007B225F">
        <w:rPr>
          <w:rFonts w:asciiTheme="majorHAnsi" w:eastAsiaTheme="minorEastAsia" w:hAnsiTheme="majorHAnsi" w:cstheme="majorHAnsi"/>
          <w:sz w:val="24"/>
          <w:szCs w:val="24"/>
          <w:lang w:val="ro-MD"/>
        </w:rPr>
        <w:t>Datoriile înregistrate de 5,9 mil.lei la finele anului 2021 constituie restanțele la plata salariului pentru luna decembrie 2020 în sumă de 4,3 mil.lei, indemnizațiilor pentru incapacitate temporară de muncă, în sumă de 13,7 mii lei, bunurilor și serviciilor</w:t>
      </w:r>
      <w:r w:rsidR="007E4248">
        <w:rPr>
          <w:rFonts w:asciiTheme="majorHAnsi" w:eastAsiaTheme="minorEastAsia" w:hAnsiTheme="majorHAnsi" w:cstheme="majorHAnsi"/>
          <w:sz w:val="24"/>
          <w:szCs w:val="24"/>
          <w:lang w:val="ro-MD"/>
        </w:rPr>
        <w:t>,</w:t>
      </w:r>
      <w:r w:rsidRPr="007B225F">
        <w:rPr>
          <w:rFonts w:asciiTheme="majorHAnsi" w:eastAsiaTheme="minorEastAsia" w:hAnsiTheme="majorHAnsi" w:cstheme="majorHAnsi"/>
          <w:sz w:val="24"/>
          <w:szCs w:val="24"/>
          <w:lang w:val="ro-MD"/>
        </w:rPr>
        <w:t xml:space="preserve"> în sumă de 194,4 mii lei, activelor nefinanciare, de 76,2 mii lei. </w:t>
      </w:r>
    </w:p>
    <w:p w:rsidR="00462EE3" w:rsidRPr="007B225F" w:rsidRDefault="00462EE3" w:rsidP="00462EE3">
      <w:pPr>
        <w:pStyle w:val="ListParagraph"/>
        <w:numPr>
          <w:ilvl w:val="1"/>
          <w:numId w:val="2"/>
        </w:numPr>
        <w:tabs>
          <w:tab w:val="left" w:pos="426"/>
        </w:tabs>
        <w:spacing w:line="276" w:lineRule="auto"/>
        <w:ind w:left="0" w:firstLine="0"/>
        <w:jc w:val="both"/>
        <w:rPr>
          <w:rFonts w:ascii="Calibri Light" w:eastAsia="Calibri" w:hAnsi="Calibri Light" w:cs="Calibri Light"/>
          <w:sz w:val="24"/>
          <w:szCs w:val="24"/>
          <w:lang w:val="ro-MD"/>
        </w:rPr>
      </w:pPr>
      <w:r w:rsidRPr="007B225F">
        <w:rPr>
          <w:rFonts w:ascii="Calibri Light" w:eastAsia="Calibri" w:hAnsi="Calibri Light" w:cs="Calibri Light"/>
          <w:sz w:val="24"/>
          <w:szCs w:val="24"/>
          <w:lang w:val="ro-MD"/>
        </w:rPr>
        <w:t>Ministerul, conform prevederilor cadrului legal</w:t>
      </w:r>
      <w:r>
        <w:rPr>
          <w:rStyle w:val="FootnoteReference"/>
          <w:rFonts w:ascii="Calibri Light" w:eastAsia="Calibri" w:hAnsi="Calibri Light" w:cs="Calibri Light"/>
          <w:sz w:val="24"/>
          <w:szCs w:val="24"/>
          <w:lang w:val="ro-MD"/>
        </w:rPr>
        <w:footnoteReference w:id="25"/>
      </w:r>
      <w:r>
        <w:rPr>
          <w:rFonts w:ascii="Calibri Light" w:eastAsia="Calibri" w:hAnsi="Calibri Light" w:cs="Calibri Light"/>
          <w:sz w:val="24"/>
          <w:szCs w:val="24"/>
          <w:lang w:val="ro-MD"/>
        </w:rPr>
        <w:t xml:space="preserve">, </w:t>
      </w:r>
      <w:r w:rsidRPr="007B225F">
        <w:rPr>
          <w:rFonts w:ascii="Calibri Light" w:eastAsia="Calibri" w:hAnsi="Calibri Light" w:cs="Calibri Light"/>
          <w:sz w:val="24"/>
          <w:szCs w:val="24"/>
          <w:lang w:val="ro-MD"/>
        </w:rPr>
        <w:t>este încadrat și îi revin responsabilități în perioada electorală de organizare și desfășurare a alegerilor în afara țării. Auditul a constatat că</w:t>
      </w:r>
      <w:r w:rsidR="007E4248">
        <w:rPr>
          <w:rFonts w:ascii="Calibri Light" w:eastAsia="Calibri" w:hAnsi="Calibri Light" w:cs="Calibri Light"/>
          <w:sz w:val="24"/>
          <w:szCs w:val="24"/>
          <w:lang w:val="ro-MD"/>
        </w:rPr>
        <w:t>,</w:t>
      </w:r>
      <w:r w:rsidRPr="007B225F">
        <w:rPr>
          <w:rFonts w:ascii="Calibri Light" w:eastAsia="Calibri" w:hAnsi="Calibri Light" w:cs="Calibri Light"/>
          <w:sz w:val="24"/>
          <w:szCs w:val="24"/>
          <w:lang w:val="ro-MD"/>
        </w:rPr>
        <w:t xml:space="preserve"> pentru executarea acestor activități</w:t>
      </w:r>
      <w:r w:rsidR="007E4248">
        <w:rPr>
          <w:rFonts w:ascii="Calibri Light" w:eastAsia="Calibri" w:hAnsi="Calibri Light" w:cs="Calibri Light"/>
          <w:sz w:val="24"/>
          <w:szCs w:val="24"/>
          <w:lang w:val="ro-MD"/>
        </w:rPr>
        <w:t>,</w:t>
      </w:r>
      <w:r w:rsidRPr="007B225F">
        <w:rPr>
          <w:rFonts w:ascii="Calibri Light" w:eastAsia="Calibri" w:hAnsi="Calibri Light" w:cs="Calibri Light"/>
          <w:sz w:val="24"/>
          <w:szCs w:val="24"/>
          <w:lang w:val="ro-MD"/>
        </w:rPr>
        <w:t xml:space="preserve"> la 15 angajați</w:t>
      </w:r>
      <w:r>
        <w:rPr>
          <w:rStyle w:val="FootnoteReference"/>
          <w:rFonts w:ascii="Calibri Light" w:eastAsia="Calibri" w:hAnsi="Calibri Light" w:cs="Calibri Light"/>
          <w:sz w:val="24"/>
          <w:szCs w:val="24"/>
          <w:lang w:val="ro-MD"/>
        </w:rPr>
        <w:footnoteReference w:id="26"/>
      </w:r>
      <w:r w:rsidRPr="007B225F">
        <w:rPr>
          <w:rFonts w:ascii="Calibri Light" w:eastAsia="Calibri" w:hAnsi="Calibri Light" w:cs="Calibri Light"/>
          <w:sz w:val="24"/>
          <w:szCs w:val="24"/>
          <w:lang w:val="ro-MD"/>
        </w:rPr>
        <w:t xml:space="preserve"> din cadrul aparatului </w:t>
      </w:r>
      <w:r w:rsidR="007E4248">
        <w:rPr>
          <w:rFonts w:ascii="Calibri Light" w:eastAsia="Calibri" w:hAnsi="Calibri Light" w:cs="Calibri Light"/>
          <w:sz w:val="24"/>
          <w:szCs w:val="24"/>
          <w:lang w:val="ro-MD"/>
        </w:rPr>
        <w:t>M</w:t>
      </w:r>
      <w:r w:rsidRPr="007B225F">
        <w:rPr>
          <w:rFonts w:ascii="Calibri Light" w:eastAsia="Calibri" w:hAnsi="Calibri Light" w:cs="Calibri Light"/>
          <w:sz w:val="24"/>
          <w:szCs w:val="24"/>
          <w:lang w:val="ro-MD"/>
        </w:rPr>
        <w:t>inisterului le-au fost achitate sporuri la salariu în sumă totală de 149,2 mii lei (inclusiv contribuții), acordarea cărora este în discordanță cu temeiul normelor legale</w:t>
      </w:r>
      <w:r w:rsidRPr="00101647">
        <w:rPr>
          <w:rStyle w:val="FootnoteReference"/>
          <w:rFonts w:ascii="Calibri Light" w:eastAsia="Calibri" w:hAnsi="Calibri Light" w:cs="Calibri Light"/>
          <w:sz w:val="24"/>
          <w:szCs w:val="24"/>
          <w:lang w:val="ro-MD"/>
        </w:rPr>
        <w:footnoteReference w:id="27"/>
      </w:r>
      <w:r w:rsidRPr="007B225F">
        <w:rPr>
          <w:rFonts w:ascii="Calibri Light" w:eastAsia="Calibri" w:hAnsi="Calibri Light" w:cs="Calibri Light"/>
          <w:sz w:val="24"/>
          <w:szCs w:val="24"/>
          <w:lang w:val="ro-MD"/>
        </w:rPr>
        <w:t xml:space="preserve">. În acest context, auditul menționează că pentru asemenea situații, </w:t>
      </w:r>
      <w:r w:rsidR="007E4248">
        <w:rPr>
          <w:rFonts w:ascii="Calibri Light" w:eastAsia="Calibri" w:hAnsi="Calibri Light" w:cs="Calibri Light"/>
          <w:sz w:val="24"/>
          <w:szCs w:val="24"/>
          <w:lang w:val="ro-MD"/>
        </w:rPr>
        <w:t>M</w:t>
      </w:r>
      <w:r w:rsidRPr="007B225F">
        <w:rPr>
          <w:rFonts w:ascii="Calibri Light" w:eastAsia="Calibri" w:hAnsi="Calibri Light" w:cs="Calibri Light"/>
          <w:sz w:val="24"/>
          <w:szCs w:val="24"/>
          <w:lang w:val="ro-MD"/>
        </w:rPr>
        <w:t xml:space="preserve">inisterul urma să dispună de reglementări interne exhaustive privind remunerarea muncii în vederea executării activităților suplimentare celor de bază în perioada electorală. </w:t>
      </w:r>
    </w:p>
    <w:p w:rsidR="00CA11E2" w:rsidRPr="00CA11E2" w:rsidRDefault="00462EE3" w:rsidP="00462EE3">
      <w:pPr>
        <w:numPr>
          <w:ilvl w:val="1"/>
          <w:numId w:val="2"/>
        </w:numPr>
        <w:tabs>
          <w:tab w:val="left" w:pos="142"/>
          <w:tab w:val="left" w:pos="284"/>
          <w:tab w:val="left" w:pos="426"/>
        </w:tabs>
        <w:spacing w:after="0" w:line="276" w:lineRule="auto"/>
        <w:ind w:left="0" w:firstLine="0"/>
        <w:contextualSpacing/>
        <w:jc w:val="both"/>
        <w:rPr>
          <w:rFonts w:ascii="Calibri Light" w:eastAsia="Calibri" w:hAnsi="Calibri Light" w:cs="Calibri Light"/>
          <w:sz w:val="24"/>
          <w:szCs w:val="24"/>
          <w:lang w:val="ro-MD"/>
        </w:rPr>
      </w:pPr>
      <w:r w:rsidRPr="00C95353">
        <w:rPr>
          <w:rFonts w:asciiTheme="majorHAnsi" w:hAnsiTheme="majorHAnsi" w:cstheme="majorHAnsi"/>
          <w:sz w:val="24"/>
          <w:szCs w:val="24"/>
          <w:lang w:val="ro-MD"/>
        </w:rPr>
        <w:t xml:space="preserve">Conform datelor din sistemul informațional al </w:t>
      </w:r>
      <w:r w:rsidR="007E4248">
        <w:rPr>
          <w:rFonts w:asciiTheme="majorHAnsi" w:hAnsiTheme="majorHAnsi" w:cstheme="majorHAnsi"/>
          <w:sz w:val="24"/>
          <w:szCs w:val="24"/>
          <w:lang w:val="ro-MD"/>
        </w:rPr>
        <w:t>M</w:t>
      </w:r>
      <w:r w:rsidRPr="00C95353">
        <w:rPr>
          <w:rFonts w:asciiTheme="majorHAnsi" w:hAnsiTheme="majorHAnsi" w:cstheme="majorHAnsi"/>
          <w:sz w:val="24"/>
          <w:szCs w:val="24"/>
          <w:lang w:val="ro-MD"/>
        </w:rPr>
        <w:t>inisterului</w:t>
      </w:r>
      <w:r>
        <w:rPr>
          <w:rFonts w:asciiTheme="majorHAnsi" w:hAnsiTheme="majorHAnsi" w:cstheme="majorHAnsi"/>
          <w:sz w:val="24"/>
          <w:szCs w:val="24"/>
          <w:lang w:val="ro-MD"/>
        </w:rPr>
        <w:t>,</w:t>
      </w:r>
      <w:r w:rsidRPr="00C95353">
        <w:rPr>
          <w:rFonts w:asciiTheme="majorHAnsi" w:hAnsiTheme="majorHAnsi" w:cstheme="majorHAnsi"/>
          <w:sz w:val="24"/>
          <w:szCs w:val="24"/>
          <w:lang w:val="ro-MD"/>
        </w:rPr>
        <w:t xml:space="preserve"> la situația din 31.12.2021 au fost identificați 293 de angajați </w:t>
      </w:r>
      <w:r>
        <w:rPr>
          <w:rFonts w:asciiTheme="majorHAnsi" w:hAnsiTheme="majorHAnsi" w:cstheme="majorHAnsi"/>
          <w:sz w:val="24"/>
          <w:szCs w:val="24"/>
          <w:lang w:val="ro-MD"/>
        </w:rPr>
        <w:t>care înregistrează restanțe de circa 5</w:t>
      </w:r>
      <w:r w:rsidR="007E4248">
        <w:rPr>
          <w:rFonts w:asciiTheme="majorHAnsi" w:hAnsiTheme="majorHAnsi" w:cstheme="majorHAnsi"/>
          <w:sz w:val="24"/>
          <w:szCs w:val="24"/>
          <w:lang w:val="ro-MD"/>
        </w:rPr>
        <w:t xml:space="preserve"> </w:t>
      </w:r>
      <w:r>
        <w:rPr>
          <w:rFonts w:asciiTheme="majorHAnsi" w:hAnsiTheme="majorHAnsi" w:cstheme="majorHAnsi"/>
          <w:sz w:val="24"/>
          <w:szCs w:val="24"/>
          <w:lang w:val="ro-MD"/>
        </w:rPr>
        <w:t>000</w:t>
      </w:r>
      <w:r w:rsidRPr="00C95353">
        <w:rPr>
          <w:rFonts w:asciiTheme="majorHAnsi" w:hAnsiTheme="majorHAnsi" w:cstheme="majorHAnsi"/>
          <w:sz w:val="24"/>
          <w:szCs w:val="24"/>
          <w:lang w:val="ro-MD"/>
        </w:rPr>
        <w:t xml:space="preserve"> zile de concediu nefolosit, ceea ce impune obligații </w:t>
      </w:r>
      <w:r w:rsidRPr="00C95353">
        <w:rPr>
          <w:rFonts w:asciiTheme="majorHAnsi" w:eastAsia="Times New Roman" w:hAnsiTheme="majorHAnsi" w:cstheme="majorHAnsi"/>
          <w:sz w:val="24"/>
          <w:szCs w:val="24"/>
          <w:bdr w:val="none" w:sz="0" w:space="0" w:color="auto" w:frame="1"/>
          <w:lang w:val="ro-MD"/>
        </w:rPr>
        <w:t>legale față de personalul încadrat în sumă de</w:t>
      </w:r>
      <w:r>
        <w:rPr>
          <w:rFonts w:asciiTheme="majorHAnsi" w:eastAsia="Times New Roman" w:hAnsiTheme="majorHAnsi" w:cstheme="majorHAnsi"/>
          <w:sz w:val="24"/>
          <w:szCs w:val="24"/>
          <w:bdr w:val="none" w:sz="0" w:space="0" w:color="auto" w:frame="1"/>
          <w:lang w:val="ro-MD"/>
        </w:rPr>
        <w:t xml:space="preserve"> circa</w:t>
      </w:r>
      <w:r w:rsidRPr="00C95353">
        <w:rPr>
          <w:rFonts w:asciiTheme="majorHAnsi" w:eastAsia="Times New Roman" w:hAnsiTheme="majorHAnsi" w:cstheme="majorHAnsi"/>
          <w:sz w:val="24"/>
          <w:szCs w:val="24"/>
          <w:bdr w:val="none" w:sz="0" w:space="0" w:color="auto" w:frame="1"/>
          <w:lang w:val="ro-MD"/>
        </w:rPr>
        <w:t xml:space="preserve"> 2 577,5 mii lei și ar putea prezenta cheltuieli bugetare suplimentare viitoare, </w:t>
      </w:r>
      <w:r w:rsidRPr="00C95353">
        <w:rPr>
          <w:rFonts w:asciiTheme="majorHAnsi" w:hAnsiTheme="majorHAnsi" w:cstheme="majorHAnsi"/>
          <w:sz w:val="24"/>
          <w:szCs w:val="24"/>
          <w:lang w:val="ro-MD"/>
        </w:rPr>
        <w:t>care urmează a fi planificate/calculate/achitate în conformitate cu prevederile cadrului normativ</w:t>
      </w:r>
      <w:r w:rsidRPr="00563C4C">
        <w:rPr>
          <w:rFonts w:asciiTheme="majorHAnsi" w:hAnsiTheme="majorHAnsi" w:cstheme="majorHAnsi"/>
          <w:sz w:val="24"/>
          <w:szCs w:val="24"/>
          <w:vertAlign w:val="superscript"/>
          <w:lang w:val="ro-MD"/>
        </w:rPr>
        <w:footnoteReference w:id="28"/>
      </w:r>
      <w:r w:rsidRPr="00C95353">
        <w:rPr>
          <w:rFonts w:asciiTheme="majorHAnsi" w:hAnsiTheme="majorHAnsi" w:cstheme="majorHAnsi"/>
          <w:sz w:val="24"/>
          <w:szCs w:val="24"/>
          <w:lang w:val="ro-MD"/>
        </w:rPr>
        <w:t xml:space="preserve">, în favoarea angajaților </w:t>
      </w:r>
      <w:r w:rsidR="007E4248">
        <w:rPr>
          <w:rFonts w:asciiTheme="majorHAnsi" w:hAnsiTheme="majorHAnsi" w:cstheme="majorHAnsi"/>
          <w:sz w:val="24"/>
          <w:szCs w:val="24"/>
          <w:lang w:val="ro-MD"/>
        </w:rPr>
        <w:t>M</w:t>
      </w:r>
      <w:r w:rsidRPr="00C95353">
        <w:rPr>
          <w:rFonts w:asciiTheme="majorHAnsi" w:hAnsiTheme="majorHAnsi" w:cstheme="majorHAnsi"/>
          <w:sz w:val="24"/>
          <w:szCs w:val="24"/>
          <w:lang w:val="ro-MD"/>
        </w:rPr>
        <w:t>inisterului, reieșind din salariul mediu</w:t>
      </w:r>
      <w:r>
        <w:rPr>
          <w:rFonts w:asciiTheme="majorHAnsi" w:hAnsiTheme="majorHAnsi" w:cstheme="majorHAnsi"/>
          <w:sz w:val="24"/>
          <w:szCs w:val="24"/>
          <w:lang w:val="ro-MD"/>
        </w:rPr>
        <w:t xml:space="preserve"> pe ultimele 3 luni</w:t>
      </w:r>
      <w:r w:rsidRPr="00C95353">
        <w:rPr>
          <w:rFonts w:asciiTheme="majorHAnsi" w:hAnsiTheme="majorHAnsi" w:cstheme="majorHAnsi"/>
          <w:sz w:val="24"/>
          <w:szCs w:val="24"/>
          <w:lang w:val="ro-MD"/>
        </w:rPr>
        <w:t xml:space="preserve">. </w:t>
      </w:r>
      <w:r w:rsidRPr="00C95353">
        <w:rPr>
          <w:rFonts w:asciiTheme="majorHAnsi" w:eastAsia="Times New Roman" w:hAnsiTheme="majorHAnsi" w:cstheme="majorHAnsi"/>
          <w:sz w:val="24"/>
          <w:szCs w:val="24"/>
          <w:bdr w:val="none" w:sz="0" w:space="0" w:color="auto" w:frame="1"/>
          <w:lang w:val="ro-MD"/>
        </w:rPr>
        <w:t xml:space="preserve">Obligațiile în cauză urmează a fi realizate în exercițiile financiare viitoare, ceea ce poate condiționa perturbarea echilibrului bugetar al </w:t>
      </w:r>
      <w:r w:rsidR="007E4248">
        <w:rPr>
          <w:rFonts w:asciiTheme="majorHAnsi" w:eastAsia="Times New Roman" w:hAnsiTheme="majorHAnsi" w:cstheme="majorHAnsi"/>
          <w:sz w:val="24"/>
          <w:szCs w:val="24"/>
          <w:bdr w:val="none" w:sz="0" w:space="0" w:color="auto" w:frame="1"/>
          <w:lang w:val="ro-MD"/>
        </w:rPr>
        <w:t>M</w:t>
      </w:r>
      <w:r w:rsidRPr="00C95353">
        <w:rPr>
          <w:rFonts w:asciiTheme="majorHAnsi" w:eastAsia="Times New Roman" w:hAnsiTheme="majorHAnsi" w:cstheme="majorHAnsi"/>
          <w:sz w:val="24"/>
          <w:szCs w:val="24"/>
          <w:bdr w:val="none" w:sz="0" w:space="0" w:color="auto" w:frame="1"/>
          <w:lang w:val="ro-MD"/>
        </w:rPr>
        <w:t>inisterului. Se remarcă că</w:t>
      </w:r>
      <w:r w:rsidR="00FD132D">
        <w:rPr>
          <w:rFonts w:asciiTheme="majorHAnsi" w:eastAsia="Times New Roman" w:hAnsiTheme="majorHAnsi" w:cstheme="majorHAnsi"/>
          <w:sz w:val="24"/>
          <w:szCs w:val="24"/>
          <w:bdr w:val="none" w:sz="0" w:space="0" w:color="auto" w:frame="1"/>
          <w:lang w:val="ro-MD"/>
        </w:rPr>
        <w:t>,</w:t>
      </w:r>
      <w:r w:rsidRPr="00C95353">
        <w:rPr>
          <w:rFonts w:asciiTheme="majorHAnsi" w:eastAsia="Times New Roman" w:hAnsiTheme="majorHAnsi" w:cstheme="majorHAnsi"/>
          <w:sz w:val="24"/>
          <w:szCs w:val="24"/>
          <w:bdr w:val="none" w:sz="0" w:space="0" w:color="auto" w:frame="1"/>
          <w:lang w:val="ro-MD"/>
        </w:rPr>
        <w:t xml:space="preserve"> la 34 de angajați</w:t>
      </w:r>
      <w:r>
        <w:rPr>
          <w:rFonts w:asciiTheme="majorHAnsi" w:eastAsia="Times New Roman" w:hAnsiTheme="majorHAnsi" w:cstheme="majorHAnsi"/>
          <w:sz w:val="24"/>
          <w:szCs w:val="24"/>
          <w:bdr w:val="none" w:sz="0" w:space="0" w:color="auto" w:frame="1"/>
          <w:lang w:val="ro-MD"/>
        </w:rPr>
        <w:t>,</w:t>
      </w:r>
      <w:r w:rsidRPr="00C95353">
        <w:rPr>
          <w:rFonts w:asciiTheme="majorHAnsi" w:eastAsia="Times New Roman" w:hAnsiTheme="majorHAnsi" w:cstheme="majorHAnsi"/>
          <w:sz w:val="24"/>
          <w:szCs w:val="24"/>
          <w:bdr w:val="none" w:sz="0" w:space="0" w:color="auto" w:frame="1"/>
          <w:lang w:val="ro-MD"/>
        </w:rPr>
        <w:t xml:space="preserve"> din total</w:t>
      </w:r>
      <w:r>
        <w:rPr>
          <w:rFonts w:asciiTheme="majorHAnsi" w:eastAsia="Times New Roman" w:hAnsiTheme="majorHAnsi" w:cstheme="majorHAnsi"/>
          <w:sz w:val="24"/>
          <w:szCs w:val="24"/>
          <w:bdr w:val="none" w:sz="0" w:space="0" w:color="auto" w:frame="1"/>
          <w:lang w:val="ro-MD"/>
        </w:rPr>
        <w:t>ul de</w:t>
      </w:r>
      <w:r w:rsidRPr="00C95353">
        <w:rPr>
          <w:rFonts w:asciiTheme="majorHAnsi" w:eastAsia="Times New Roman" w:hAnsiTheme="majorHAnsi" w:cstheme="majorHAnsi"/>
          <w:sz w:val="24"/>
          <w:szCs w:val="24"/>
          <w:bdr w:val="none" w:sz="0" w:space="0" w:color="auto" w:frame="1"/>
          <w:lang w:val="ro-MD"/>
        </w:rPr>
        <w:t xml:space="preserve"> 338</w:t>
      </w:r>
      <w:r>
        <w:rPr>
          <w:rFonts w:asciiTheme="majorHAnsi" w:eastAsia="Times New Roman" w:hAnsiTheme="majorHAnsi" w:cstheme="majorHAnsi"/>
          <w:sz w:val="24"/>
          <w:szCs w:val="24"/>
          <w:bdr w:val="none" w:sz="0" w:space="0" w:color="auto" w:frame="1"/>
          <w:lang w:val="ro-MD"/>
        </w:rPr>
        <w:t>,</w:t>
      </w:r>
      <w:r w:rsidRPr="00C95353">
        <w:rPr>
          <w:rFonts w:asciiTheme="majorHAnsi" w:eastAsia="Times New Roman" w:hAnsiTheme="majorHAnsi" w:cstheme="majorHAnsi"/>
          <w:sz w:val="24"/>
          <w:szCs w:val="24"/>
          <w:bdr w:val="none" w:sz="0" w:space="0" w:color="auto" w:frame="1"/>
          <w:lang w:val="ro-MD"/>
        </w:rPr>
        <w:t xml:space="preserve"> le-au fost calculate și achitate plăți în avans pentru 291 de zile</w:t>
      </w:r>
      <w:r>
        <w:rPr>
          <w:rFonts w:asciiTheme="majorHAnsi" w:eastAsia="Times New Roman" w:hAnsiTheme="majorHAnsi" w:cstheme="majorHAnsi"/>
          <w:sz w:val="24"/>
          <w:szCs w:val="24"/>
          <w:bdr w:val="none" w:sz="0" w:space="0" w:color="auto" w:frame="1"/>
          <w:lang w:val="ro-MD"/>
        </w:rPr>
        <w:t xml:space="preserve"> de concediu</w:t>
      </w:r>
      <w:r w:rsidRPr="00C95353">
        <w:rPr>
          <w:rFonts w:asciiTheme="majorHAnsi" w:eastAsia="Times New Roman" w:hAnsiTheme="majorHAnsi" w:cstheme="majorHAnsi"/>
          <w:sz w:val="24"/>
          <w:szCs w:val="24"/>
          <w:bdr w:val="none" w:sz="0" w:space="0" w:color="auto" w:frame="1"/>
          <w:lang w:val="ro-MD"/>
        </w:rPr>
        <w:t xml:space="preserve"> în sumă de 129,9 mii lei și numai 11 angajați ai </w:t>
      </w:r>
      <w:r w:rsidR="00FD132D">
        <w:rPr>
          <w:rFonts w:asciiTheme="majorHAnsi" w:eastAsia="Times New Roman" w:hAnsiTheme="majorHAnsi" w:cstheme="majorHAnsi"/>
          <w:sz w:val="24"/>
          <w:szCs w:val="24"/>
          <w:bdr w:val="none" w:sz="0" w:space="0" w:color="auto" w:frame="1"/>
          <w:lang w:val="ro-MD"/>
        </w:rPr>
        <w:t>M</w:t>
      </w:r>
      <w:r w:rsidRPr="00C95353">
        <w:rPr>
          <w:rFonts w:asciiTheme="majorHAnsi" w:eastAsia="Times New Roman" w:hAnsiTheme="majorHAnsi" w:cstheme="majorHAnsi"/>
          <w:sz w:val="24"/>
          <w:szCs w:val="24"/>
          <w:bdr w:val="none" w:sz="0" w:space="0" w:color="auto" w:frame="1"/>
          <w:lang w:val="ro-MD"/>
        </w:rPr>
        <w:t>inisterului au utilizat</w:t>
      </w:r>
      <w:r>
        <w:rPr>
          <w:rFonts w:asciiTheme="majorHAnsi" w:eastAsia="Times New Roman" w:hAnsiTheme="majorHAnsi" w:cstheme="majorHAnsi"/>
          <w:sz w:val="24"/>
          <w:szCs w:val="24"/>
          <w:bdr w:val="none" w:sz="0" w:space="0" w:color="auto" w:frame="1"/>
          <w:lang w:val="ro-MD"/>
        </w:rPr>
        <w:t xml:space="preserve"> totalmente</w:t>
      </w:r>
      <w:r w:rsidRPr="00C95353">
        <w:rPr>
          <w:rFonts w:asciiTheme="majorHAnsi" w:eastAsia="Times New Roman" w:hAnsiTheme="majorHAnsi" w:cstheme="majorHAnsi"/>
          <w:sz w:val="24"/>
          <w:szCs w:val="24"/>
          <w:bdr w:val="none" w:sz="0" w:space="0" w:color="auto" w:frame="1"/>
          <w:lang w:val="ro-MD"/>
        </w:rPr>
        <w:t xml:space="preserve"> zilele preconizate pentru concediu</w:t>
      </w:r>
      <w:r>
        <w:rPr>
          <w:rFonts w:asciiTheme="majorHAnsi" w:eastAsia="Times New Roman" w:hAnsiTheme="majorHAnsi" w:cstheme="majorHAnsi"/>
          <w:sz w:val="24"/>
          <w:szCs w:val="24"/>
          <w:bdr w:val="none" w:sz="0" w:space="0" w:color="auto" w:frame="1"/>
          <w:lang w:val="ro-MD"/>
        </w:rPr>
        <w:t>l anual</w:t>
      </w:r>
      <w:r w:rsidRPr="00C95353">
        <w:rPr>
          <w:rFonts w:asciiTheme="majorHAnsi" w:eastAsia="Times New Roman" w:hAnsiTheme="majorHAnsi" w:cstheme="majorHAnsi"/>
          <w:sz w:val="24"/>
          <w:szCs w:val="24"/>
          <w:bdr w:val="none" w:sz="0" w:space="0" w:color="auto" w:frame="1"/>
          <w:lang w:val="ro-MD"/>
        </w:rPr>
        <w:t>.</w:t>
      </w:r>
    </w:p>
    <w:p w:rsidR="00462EE3" w:rsidRPr="00CA11E2" w:rsidRDefault="00462EE3" w:rsidP="00CA11E2">
      <w:pPr>
        <w:tabs>
          <w:tab w:val="left" w:pos="142"/>
          <w:tab w:val="left" w:pos="284"/>
          <w:tab w:val="left" w:pos="426"/>
        </w:tabs>
        <w:spacing w:after="0" w:line="240" w:lineRule="auto"/>
        <w:contextualSpacing/>
        <w:jc w:val="both"/>
        <w:rPr>
          <w:rFonts w:ascii="Calibri Light" w:eastAsia="Calibri" w:hAnsi="Calibri Light" w:cs="Calibri Light"/>
          <w:sz w:val="8"/>
          <w:szCs w:val="8"/>
          <w:lang w:val="ro-MD"/>
        </w:rPr>
      </w:pPr>
      <w:r w:rsidRPr="00C95353">
        <w:rPr>
          <w:rFonts w:asciiTheme="majorHAnsi" w:eastAsia="Times New Roman" w:hAnsiTheme="majorHAnsi" w:cstheme="majorHAnsi"/>
          <w:sz w:val="24"/>
          <w:szCs w:val="24"/>
          <w:bdr w:val="none" w:sz="0" w:space="0" w:color="auto" w:frame="1"/>
          <w:lang w:val="ro-MD"/>
        </w:rPr>
        <w:t xml:space="preserve"> </w:t>
      </w:r>
    </w:p>
    <w:p w:rsidR="00462EE3" w:rsidRPr="0022370C" w:rsidRDefault="00462EE3" w:rsidP="00462EE3">
      <w:pPr>
        <w:pStyle w:val="ListParagraph"/>
        <w:numPr>
          <w:ilvl w:val="1"/>
          <w:numId w:val="2"/>
        </w:numPr>
        <w:tabs>
          <w:tab w:val="left" w:pos="426"/>
        </w:tabs>
        <w:spacing w:line="276" w:lineRule="auto"/>
        <w:ind w:left="0" w:firstLine="0"/>
        <w:jc w:val="both"/>
        <w:rPr>
          <w:rFonts w:asciiTheme="majorHAnsi" w:hAnsiTheme="majorHAnsi" w:cstheme="majorHAnsi"/>
          <w:sz w:val="24"/>
          <w:szCs w:val="24"/>
          <w:lang w:val="ro-MD"/>
        </w:rPr>
      </w:pPr>
      <w:r w:rsidRPr="0022370C">
        <w:rPr>
          <w:rFonts w:asciiTheme="majorHAnsi" w:hAnsiTheme="majorHAnsi" w:cstheme="majorHAnsi"/>
          <w:sz w:val="24"/>
          <w:szCs w:val="24"/>
          <w:lang w:val="ro-MD"/>
        </w:rPr>
        <w:t xml:space="preserve">În urma verificării informațiilor prezentate de către 21 </w:t>
      </w:r>
      <w:r>
        <w:rPr>
          <w:rFonts w:asciiTheme="majorHAnsi" w:hAnsiTheme="majorHAnsi" w:cstheme="majorHAnsi"/>
          <w:sz w:val="24"/>
          <w:szCs w:val="24"/>
          <w:lang w:val="ro-MD"/>
        </w:rPr>
        <w:t>de misiuni diplomatice și oficii consulare</w:t>
      </w:r>
      <w:r>
        <w:rPr>
          <w:rStyle w:val="FootnoteReference"/>
          <w:rFonts w:asciiTheme="majorHAnsi" w:hAnsiTheme="majorHAnsi" w:cstheme="majorHAnsi"/>
          <w:sz w:val="24"/>
          <w:szCs w:val="24"/>
          <w:lang w:val="ro-MD"/>
        </w:rPr>
        <w:footnoteReference w:id="29"/>
      </w:r>
      <w:r w:rsidRPr="0022370C">
        <w:rPr>
          <w:rFonts w:asciiTheme="majorHAnsi" w:hAnsiTheme="majorHAnsi" w:cstheme="majorHAnsi"/>
          <w:sz w:val="24"/>
          <w:szCs w:val="24"/>
          <w:lang w:val="ro-MD"/>
        </w:rPr>
        <w:t xml:space="preserve"> privind delegările angajaților la misiunile diplomatice și oficiile consulare, auditul </w:t>
      </w:r>
      <w:r>
        <w:rPr>
          <w:rFonts w:asciiTheme="majorHAnsi" w:hAnsiTheme="majorHAnsi" w:cstheme="majorHAnsi"/>
          <w:sz w:val="24"/>
          <w:szCs w:val="24"/>
          <w:lang w:val="ro-MD"/>
        </w:rPr>
        <w:t xml:space="preserve">a </w:t>
      </w:r>
      <w:r w:rsidRPr="0022370C">
        <w:rPr>
          <w:rFonts w:asciiTheme="majorHAnsi" w:hAnsiTheme="majorHAnsi" w:cstheme="majorHAnsi"/>
          <w:sz w:val="24"/>
          <w:szCs w:val="24"/>
          <w:lang w:val="ro-MD"/>
        </w:rPr>
        <w:t>constat</w:t>
      </w:r>
      <w:r>
        <w:rPr>
          <w:rFonts w:asciiTheme="majorHAnsi" w:hAnsiTheme="majorHAnsi" w:cstheme="majorHAnsi"/>
          <w:sz w:val="24"/>
          <w:szCs w:val="24"/>
          <w:lang w:val="ro-MD"/>
        </w:rPr>
        <w:t>at</w:t>
      </w:r>
      <w:r w:rsidRPr="0022370C">
        <w:rPr>
          <w:rFonts w:asciiTheme="majorHAnsi" w:hAnsiTheme="majorHAnsi" w:cstheme="majorHAnsi"/>
          <w:sz w:val="24"/>
          <w:szCs w:val="24"/>
          <w:lang w:val="ro-MD"/>
        </w:rPr>
        <w:t xml:space="preserve"> că</w:t>
      </w:r>
      <w:r>
        <w:rPr>
          <w:rFonts w:asciiTheme="majorHAnsi" w:hAnsiTheme="majorHAnsi" w:cstheme="majorHAnsi"/>
          <w:sz w:val="24"/>
          <w:szCs w:val="24"/>
          <w:lang w:val="ro-MD"/>
        </w:rPr>
        <w:t>,</w:t>
      </w:r>
      <w:r w:rsidRPr="0022370C">
        <w:rPr>
          <w:rFonts w:asciiTheme="majorHAnsi" w:hAnsiTheme="majorHAnsi" w:cstheme="majorHAnsi"/>
          <w:sz w:val="24"/>
          <w:szCs w:val="24"/>
          <w:lang w:val="ro-MD"/>
        </w:rPr>
        <w:t xml:space="preserve"> la data </w:t>
      </w:r>
      <w:r>
        <w:rPr>
          <w:rFonts w:asciiTheme="majorHAnsi" w:hAnsiTheme="majorHAnsi" w:cstheme="majorHAnsi"/>
          <w:sz w:val="24"/>
          <w:szCs w:val="24"/>
          <w:lang w:val="ro-MD"/>
        </w:rPr>
        <w:t>de</w:t>
      </w:r>
      <w:r w:rsidRPr="0022370C">
        <w:rPr>
          <w:rFonts w:asciiTheme="majorHAnsi" w:hAnsiTheme="majorHAnsi" w:cstheme="majorHAnsi"/>
          <w:sz w:val="24"/>
          <w:szCs w:val="24"/>
          <w:lang w:val="ro-MD"/>
        </w:rPr>
        <w:t xml:space="preserve"> 31</w:t>
      </w:r>
      <w:r>
        <w:rPr>
          <w:rFonts w:asciiTheme="majorHAnsi" w:hAnsiTheme="majorHAnsi" w:cstheme="majorHAnsi"/>
          <w:sz w:val="24"/>
          <w:szCs w:val="24"/>
          <w:lang w:val="ro-MD"/>
        </w:rPr>
        <w:t>.12.</w:t>
      </w:r>
      <w:r w:rsidRPr="0022370C">
        <w:rPr>
          <w:rFonts w:asciiTheme="majorHAnsi" w:hAnsiTheme="majorHAnsi" w:cstheme="majorHAnsi"/>
          <w:sz w:val="24"/>
          <w:szCs w:val="24"/>
          <w:lang w:val="ro-MD"/>
        </w:rPr>
        <w:t>2021</w:t>
      </w:r>
      <w:r>
        <w:rPr>
          <w:rFonts w:asciiTheme="majorHAnsi" w:hAnsiTheme="majorHAnsi" w:cstheme="majorHAnsi"/>
          <w:sz w:val="24"/>
          <w:szCs w:val="24"/>
          <w:lang w:val="ro-MD"/>
        </w:rPr>
        <w:t>,</w:t>
      </w:r>
      <w:r w:rsidRPr="0022370C">
        <w:rPr>
          <w:rFonts w:asciiTheme="majorHAnsi" w:hAnsiTheme="majorHAnsi" w:cstheme="majorHAnsi"/>
          <w:sz w:val="24"/>
          <w:szCs w:val="24"/>
          <w:lang w:val="ro-MD"/>
        </w:rPr>
        <w:t xml:space="preserve"> circa </w:t>
      </w:r>
      <w:r>
        <w:rPr>
          <w:rFonts w:asciiTheme="majorHAnsi" w:hAnsiTheme="majorHAnsi" w:cstheme="majorHAnsi"/>
          <w:sz w:val="24"/>
          <w:szCs w:val="24"/>
          <w:lang w:val="ro-MD"/>
        </w:rPr>
        <w:t>700</w:t>
      </w:r>
      <w:r w:rsidRPr="0022370C">
        <w:rPr>
          <w:rFonts w:asciiTheme="majorHAnsi" w:hAnsiTheme="majorHAnsi" w:cstheme="majorHAnsi"/>
          <w:sz w:val="24"/>
          <w:szCs w:val="24"/>
          <w:lang w:val="ro-MD"/>
        </w:rPr>
        <w:t xml:space="preserve"> zile de concediu anual nu au fost utilizate de către angajații acestor instituții diplomatice. Astfel</w:t>
      </w:r>
      <w:r>
        <w:rPr>
          <w:rFonts w:asciiTheme="majorHAnsi" w:hAnsiTheme="majorHAnsi" w:cstheme="majorHAnsi"/>
          <w:sz w:val="24"/>
          <w:szCs w:val="24"/>
          <w:lang w:val="ro-MD"/>
        </w:rPr>
        <w:t>,</w:t>
      </w:r>
      <w:r w:rsidRPr="0022370C">
        <w:rPr>
          <w:rFonts w:asciiTheme="majorHAnsi" w:hAnsiTheme="majorHAnsi" w:cstheme="majorHAnsi"/>
          <w:sz w:val="24"/>
          <w:szCs w:val="24"/>
          <w:lang w:val="ro-MD"/>
        </w:rPr>
        <w:t xml:space="preserve"> </w:t>
      </w:r>
      <w:r w:rsidR="00FD132D">
        <w:rPr>
          <w:rFonts w:asciiTheme="majorHAnsi" w:hAnsiTheme="majorHAnsi" w:cstheme="majorHAnsi"/>
          <w:sz w:val="24"/>
          <w:szCs w:val="24"/>
          <w:lang w:val="ro-MD"/>
        </w:rPr>
        <w:t>M</w:t>
      </w:r>
      <w:r w:rsidRPr="0022370C">
        <w:rPr>
          <w:rFonts w:asciiTheme="majorHAnsi" w:hAnsiTheme="majorHAnsi" w:cstheme="majorHAnsi"/>
          <w:sz w:val="24"/>
          <w:szCs w:val="24"/>
          <w:lang w:val="ro-MD"/>
        </w:rPr>
        <w:t xml:space="preserve">inisterul </w:t>
      </w:r>
      <w:r>
        <w:rPr>
          <w:rFonts w:asciiTheme="majorHAnsi" w:hAnsiTheme="majorHAnsi" w:cstheme="majorHAnsi"/>
          <w:sz w:val="24"/>
          <w:szCs w:val="24"/>
          <w:lang w:val="ro-MD"/>
        </w:rPr>
        <w:t xml:space="preserve">a </w:t>
      </w:r>
      <w:r w:rsidRPr="0022370C">
        <w:rPr>
          <w:rFonts w:asciiTheme="majorHAnsi" w:hAnsiTheme="majorHAnsi" w:cstheme="majorHAnsi"/>
          <w:sz w:val="24"/>
          <w:szCs w:val="24"/>
          <w:lang w:val="ro-MD"/>
        </w:rPr>
        <w:t>suport</w:t>
      </w:r>
      <w:r>
        <w:rPr>
          <w:rFonts w:asciiTheme="majorHAnsi" w:hAnsiTheme="majorHAnsi" w:cstheme="majorHAnsi"/>
          <w:sz w:val="24"/>
          <w:szCs w:val="24"/>
          <w:lang w:val="ro-MD"/>
        </w:rPr>
        <w:t>at</w:t>
      </w:r>
      <w:r w:rsidRPr="0022370C">
        <w:rPr>
          <w:rFonts w:asciiTheme="majorHAnsi" w:hAnsiTheme="majorHAnsi" w:cstheme="majorHAnsi"/>
          <w:sz w:val="24"/>
          <w:szCs w:val="24"/>
          <w:lang w:val="ro-MD"/>
        </w:rPr>
        <w:t xml:space="preserve"> cheltuieli</w:t>
      </w:r>
      <w:r>
        <w:rPr>
          <w:rFonts w:asciiTheme="majorHAnsi" w:hAnsiTheme="majorHAnsi" w:cstheme="majorHAnsi"/>
          <w:sz w:val="24"/>
          <w:szCs w:val="24"/>
          <w:lang w:val="ro-MD"/>
        </w:rPr>
        <w:t xml:space="preserve"> suplimentare în sumă de circa 1</w:t>
      </w:r>
      <w:r w:rsidRPr="0022370C">
        <w:rPr>
          <w:rFonts w:asciiTheme="majorHAnsi" w:hAnsiTheme="majorHAnsi" w:cstheme="majorHAnsi"/>
          <w:sz w:val="24"/>
          <w:szCs w:val="24"/>
          <w:lang w:val="ro-MD"/>
        </w:rPr>
        <w:t xml:space="preserve">,2 mil. lei pentru achitarea indemnizațiilor </w:t>
      </w:r>
      <w:r>
        <w:rPr>
          <w:rFonts w:asciiTheme="majorHAnsi" w:hAnsiTheme="majorHAnsi" w:cstheme="majorHAnsi"/>
          <w:sz w:val="24"/>
          <w:szCs w:val="24"/>
          <w:lang w:val="ro-MD"/>
        </w:rPr>
        <w:t xml:space="preserve">de concediu </w:t>
      </w:r>
      <w:r w:rsidRPr="0022370C">
        <w:rPr>
          <w:rFonts w:asciiTheme="majorHAnsi" w:hAnsiTheme="majorHAnsi" w:cstheme="majorHAnsi"/>
          <w:sz w:val="24"/>
          <w:szCs w:val="24"/>
          <w:lang w:val="ro-MD"/>
        </w:rPr>
        <w:t xml:space="preserve">membrilor titulari. </w:t>
      </w:r>
    </w:p>
    <w:p w:rsidR="00462EE3" w:rsidRPr="00CA11E2" w:rsidRDefault="00462EE3" w:rsidP="00462EE3">
      <w:pPr>
        <w:numPr>
          <w:ilvl w:val="1"/>
          <w:numId w:val="2"/>
        </w:numPr>
        <w:tabs>
          <w:tab w:val="left" w:pos="142"/>
          <w:tab w:val="left" w:pos="284"/>
          <w:tab w:val="left" w:pos="567"/>
        </w:tabs>
        <w:spacing w:after="0" w:line="276" w:lineRule="auto"/>
        <w:ind w:left="0" w:firstLine="0"/>
        <w:contextualSpacing/>
        <w:jc w:val="both"/>
        <w:rPr>
          <w:rFonts w:ascii="Calibri Light" w:eastAsia="Calibri" w:hAnsi="Calibri Light" w:cs="Calibri Light"/>
          <w:sz w:val="24"/>
          <w:szCs w:val="24"/>
          <w:lang w:val="ro-MD"/>
        </w:rPr>
      </w:pPr>
      <w:r>
        <w:rPr>
          <w:rFonts w:asciiTheme="majorHAnsi" w:eastAsia="Times New Roman" w:hAnsiTheme="majorHAnsi" w:cstheme="majorHAnsi"/>
          <w:sz w:val="24"/>
          <w:szCs w:val="24"/>
          <w:bdr w:val="none" w:sz="0" w:space="0" w:color="auto" w:frame="1"/>
          <w:lang w:val="ro-MD"/>
        </w:rPr>
        <w:lastRenderedPageBreak/>
        <w:t>De menționat</w:t>
      </w:r>
      <w:r w:rsidRPr="00563C4C">
        <w:rPr>
          <w:rFonts w:asciiTheme="majorHAnsi" w:eastAsia="Times New Roman" w:hAnsiTheme="majorHAnsi" w:cstheme="majorHAnsi"/>
          <w:sz w:val="24"/>
          <w:szCs w:val="24"/>
          <w:bdr w:val="none" w:sz="0" w:space="0" w:color="auto" w:frame="1"/>
          <w:lang w:val="ro-MD"/>
        </w:rPr>
        <w:t xml:space="preserve"> că</w:t>
      </w:r>
      <w:r>
        <w:rPr>
          <w:rFonts w:asciiTheme="majorHAnsi" w:eastAsia="Times New Roman" w:hAnsiTheme="majorHAnsi" w:cstheme="majorHAnsi"/>
          <w:sz w:val="24"/>
          <w:szCs w:val="24"/>
          <w:bdr w:val="none" w:sz="0" w:space="0" w:color="auto" w:frame="1"/>
          <w:lang w:val="ro-MD"/>
        </w:rPr>
        <w:t>,</w:t>
      </w:r>
      <w:r w:rsidRPr="00563C4C">
        <w:rPr>
          <w:rFonts w:asciiTheme="majorHAnsi" w:eastAsia="Times New Roman" w:hAnsiTheme="majorHAnsi" w:cstheme="majorHAnsi"/>
          <w:sz w:val="24"/>
          <w:szCs w:val="24"/>
          <w:bdr w:val="none" w:sz="0" w:space="0" w:color="auto" w:frame="1"/>
          <w:lang w:val="ro-MD"/>
        </w:rPr>
        <w:t xml:space="preserve"> pe parcursul anului 2021, au fost achitate plăți aferente compensației pentru concediul nefolosit în anii precedenți în sumă de 789,3 mii lei</w:t>
      </w:r>
      <w:r>
        <w:rPr>
          <w:rFonts w:asciiTheme="majorHAnsi" w:eastAsia="Times New Roman" w:hAnsiTheme="majorHAnsi" w:cstheme="majorHAnsi"/>
          <w:sz w:val="24"/>
          <w:szCs w:val="24"/>
          <w:bdr w:val="none" w:sz="0" w:space="0" w:color="auto" w:frame="1"/>
          <w:lang w:val="ro-MD"/>
        </w:rPr>
        <w:t>, acest fapt având un impact semnificativ la utilizarea resurselor bugetare alocate pentru anul 2021. O atare situație nu corespunde principiilor anualității și balansării prevăzute de cadrul normativ</w:t>
      </w:r>
      <w:r>
        <w:rPr>
          <w:rStyle w:val="FootnoteReference"/>
          <w:rFonts w:asciiTheme="majorHAnsi" w:eastAsia="Times New Roman" w:hAnsiTheme="majorHAnsi" w:cstheme="majorHAnsi"/>
          <w:sz w:val="24"/>
          <w:szCs w:val="24"/>
          <w:bdr w:val="none" w:sz="0" w:space="0" w:color="auto" w:frame="1"/>
          <w:lang w:val="ro-MD"/>
        </w:rPr>
        <w:footnoteReference w:id="30"/>
      </w:r>
      <w:r>
        <w:rPr>
          <w:rFonts w:asciiTheme="majorHAnsi" w:eastAsia="Times New Roman" w:hAnsiTheme="majorHAnsi" w:cstheme="majorHAnsi"/>
          <w:sz w:val="24"/>
          <w:szCs w:val="24"/>
          <w:bdr w:val="none" w:sz="0" w:space="0" w:color="auto" w:frame="1"/>
          <w:lang w:val="ro-MD"/>
        </w:rPr>
        <w:t>.</w:t>
      </w:r>
    </w:p>
    <w:p w:rsidR="00CA11E2" w:rsidRPr="00CA11E2" w:rsidRDefault="00CA11E2" w:rsidP="00CA11E2">
      <w:pPr>
        <w:tabs>
          <w:tab w:val="left" w:pos="142"/>
          <w:tab w:val="left" w:pos="284"/>
          <w:tab w:val="left" w:pos="567"/>
        </w:tabs>
        <w:spacing w:after="0" w:line="276" w:lineRule="auto"/>
        <w:contextualSpacing/>
        <w:jc w:val="both"/>
        <w:rPr>
          <w:rFonts w:ascii="Calibri Light" w:eastAsia="Calibri" w:hAnsi="Calibri Light" w:cs="Calibri Light"/>
          <w:sz w:val="8"/>
          <w:szCs w:val="8"/>
          <w:lang w:val="ro-MD"/>
        </w:rPr>
      </w:pPr>
    </w:p>
    <w:p w:rsidR="00462EE3" w:rsidRDefault="00462EE3" w:rsidP="00462EE3">
      <w:pPr>
        <w:pStyle w:val="ListParagraph"/>
        <w:numPr>
          <w:ilvl w:val="1"/>
          <w:numId w:val="2"/>
        </w:numPr>
        <w:tabs>
          <w:tab w:val="left" w:pos="567"/>
        </w:tabs>
        <w:spacing w:after="120" w:line="276" w:lineRule="auto"/>
        <w:ind w:left="0" w:firstLine="0"/>
        <w:jc w:val="both"/>
        <w:rPr>
          <w:rFonts w:asciiTheme="majorHAnsi" w:eastAsiaTheme="minorEastAsia" w:hAnsiTheme="majorHAnsi" w:cstheme="majorHAnsi"/>
          <w:sz w:val="24"/>
          <w:szCs w:val="24"/>
          <w:lang w:val="ro-MD"/>
        </w:rPr>
      </w:pPr>
      <w:r>
        <w:rPr>
          <w:rFonts w:asciiTheme="majorHAnsi" w:eastAsiaTheme="minorEastAsia" w:hAnsiTheme="majorHAnsi" w:cstheme="majorHAnsi"/>
          <w:sz w:val="24"/>
          <w:szCs w:val="24"/>
          <w:lang w:val="ro-MD"/>
        </w:rPr>
        <w:t>Procesul de î</w:t>
      </w:r>
      <w:r w:rsidRPr="009D501C">
        <w:rPr>
          <w:rFonts w:asciiTheme="majorHAnsi" w:eastAsiaTheme="minorEastAsia" w:hAnsiTheme="majorHAnsi" w:cstheme="majorHAnsi"/>
          <w:sz w:val="24"/>
          <w:szCs w:val="24"/>
          <w:lang w:val="ro-MD"/>
        </w:rPr>
        <w:t>ntocmire de către persoanele responsabile a foilor de parcurs și a registrelor</w:t>
      </w:r>
      <w:r>
        <w:rPr>
          <w:rFonts w:asciiTheme="majorHAnsi" w:eastAsiaTheme="minorEastAsia" w:hAnsiTheme="majorHAnsi" w:cstheme="majorHAnsi"/>
          <w:sz w:val="24"/>
          <w:szCs w:val="24"/>
          <w:lang w:val="ro-MD"/>
        </w:rPr>
        <w:t xml:space="preserve"> </w:t>
      </w:r>
      <w:r w:rsidRPr="009D501C">
        <w:rPr>
          <w:rFonts w:asciiTheme="majorHAnsi" w:eastAsiaTheme="minorEastAsia" w:hAnsiTheme="majorHAnsi" w:cstheme="majorHAnsi"/>
          <w:sz w:val="24"/>
          <w:szCs w:val="24"/>
          <w:lang w:val="ro-MD"/>
        </w:rPr>
        <w:t>contabile de evidență și casare a combustibilului nu a asigurat în deplină măsură conformitatea cu reglementările aferente. Astfel, contrar prevederilor cadrului normativ de evidență contabilă și raportare financiară</w:t>
      </w:r>
      <w:r w:rsidRPr="00563C4C">
        <w:rPr>
          <w:vertAlign w:val="superscript"/>
          <w:lang w:val="ro-MD"/>
        </w:rPr>
        <w:footnoteReference w:id="31"/>
      </w:r>
      <w:r w:rsidRPr="009D501C">
        <w:rPr>
          <w:rFonts w:asciiTheme="majorHAnsi" w:eastAsiaTheme="minorEastAsia" w:hAnsiTheme="majorHAnsi" w:cstheme="majorHAnsi"/>
          <w:sz w:val="24"/>
          <w:szCs w:val="24"/>
          <w:lang w:val="ro-MD"/>
        </w:rPr>
        <w:t>, la 4 misiuni diplomatice și oficii consulare</w:t>
      </w:r>
      <w:r w:rsidRPr="00563C4C">
        <w:rPr>
          <w:vertAlign w:val="superscript"/>
          <w:lang w:val="ro-MD"/>
        </w:rPr>
        <w:footnoteReference w:id="32"/>
      </w:r>
      <w:r w:rsidRPr="009D501C">
        <w:rPr>
          <w:rFonts w:asciiTheme="majorHAnsi" w:eastAsiaTheme="minorEastAsia" w:hAnsiTheme="majorHAnsi" w:cstheme="majorHAnsi"/>
          <w:sz w:val="24"/>
          <w:szCs w:val="24"/>
          <w:lang w:val="ro-MD"/>
        </w:rPr>
        <w:t xml:space="preserve"> din 13 verificate, foile de parcurs nu </w:t>
      </w:r>
      <w:r>
        <w:rPr>
          <w:rFonts w:asciiTheme="majorHAnsi" w:eastAsiaTheme="minorEastAsia" w:hAnsiTheme="majorHAnsi" w:cstheme="majorHAnsi"/>
          <w:sz w:val="24"/>
          <w:szCs w:val="24"/>
          <w:lang w:val="ro-MD"/>
        </w:rPr>
        <w:t>erau</w:t>
      </w:r>
      <w:r w:rsidRPr="009D501C">
        <w:rPr>
          <w:rFonts w:asciiTheme="majorHAnsi" w:eastAsiaTheme="minorEastAsia" w:hAnsiTheme="majorHAnsi" w:cstheme="majorHAnsi"/>
          <w:sz w:val="24"/>
          <w:szCs w:val="24"/>
          <w:lang w:val="ro-MD"/>
        </w:rPr>
        <w:t xml:space="preserve"> completate conform la unele compartimente, cum ar fi: punctul de plecare/punctul de destinație, timp</w:t>
      </w:r>
      <w:r>
        <w:rPr>
          <w:rFonts w:asciiTheme="majorHAnsi" w:eastAsiaTheme="minorEastAsia" w:hAnsiTheme="majorHAnsi" w:cstheme="majorHAnsi"/>
          <w:sz w:val="24"/>
          <w:szCs w:val="24"/>
          <w:lang w:val="ro-MD"/>
        </w:rPr>
        <w:t>ul de</w:t>
      </w:r>
      <w:r w:rsidRPr="009D501C">
        <w:rPr>
          <w:rFonts w:asciiTheme="majorHAnsi" w:eastAsiaTheme="minorEastAsia" w:hAnsiTheme="majorHAnsi" w:cstheme="majorHAnsi"/>
          <w:sz w:val="24"/>
          <w:szCs w:val="24"/>
          <w:lang w:val="ro-MD"/>
        </w:rPr>
        <w:t xml:space="preserve"> plecare/sosire, parcursul autoturismului și sarcina șoferului. Totodată, se indică parcursul total pe zi sau lună, fără a fi detailat raportat</w:t>
      </w:r>
      <w:r>
        <w:rPr>
          <w:rFonts w:asciiTheme="majorHAnsi" w:eastAsiaTheme="minorEastAsia" w:hAnsiTheme="majorHAnsi" w:cstheme="majorHAnsi"/>
          <w:sz w:val="24"/>
          <w:szCs w:val="24"/>
          <w:lang w:val="ro-MD"/>
        </w:rPr>
        <w:t>e</w:t>
      </w:r>
      <w:r w:rsidRPr="009D501C">
        <w:rPr>
          <w:rFonts w:asciiTheme="majorHAnsi" w:eastAsiaTheme="minorEastAsia" w:hAnsiTheme="majorHAnsi" w:cstheme="majorHAnsi"/>
          <w:sz w:val="24"/>
          <w:szCs w:val="24"/>
          <w:lang w:val="ro-MD"/>
        </w:rPr>
        <w:t xml:space="preserve"> distanța și parcursul pentru fiecare zi.</w:t>
      </w:r>
    </w:p>
    <w:p w:rsidR="00CA11E2" w:rsidRPr="00CA11E2" w:rsidRDefault="00CA11E2" w:rsidP="00CA11E2">
      <w:pPr>
        <w:pStyle w:val="ListParagraph"/>
        <w:tabs>
          <w:tab w:val="left" w:pos="567"/>
        </w:tabs>
        <w:spacing w:after="120" w:line="276" w:lineRule="auto"/>
        <w:ind w:left="0"/>
        <w:jc w:val="both"/>
        <w:rPr>
          <w:rFonts w:asciiTheme="majorHAnsi" w:eastAsiaTheme="minorEastAsia" w:hAnsiTheme="majorHAnsi" w:cstheme="majorHAnsi"/>
          <w:sz w:val="8"/>
          <w:szCs w:val="8"/>
          <w:lang w:val="ro-MD"/>
        </w:rPr>
      </w:pPr>
    </w:p>
    <w:p w:rsidR="00462EE3" w:rsidRPr="00CA11E2" w:rsidRDefault="00462EE3" w:rsidP="00462EE3">
      <w:pPr>
        <w:pStyle w:val="ListParagraph"/>
        <w:numPr>
          <w:ilvl w:val="1"/>
          <w:numId w:val="2"/>
        </w:numPr>
        <w:tabs>
          <w:tab w:val="left" w:pos="567"/>
        </w:tabs>
        <w:spacing w:after="120" w:line="276" w:lineRule="auto"/>
        <w:ind w:left="0" w:firstLine="0"/>
        <w:jc w:val="both"/>
        <w:rPr>
          <w:rFonts w:asciiTheme="majorHAnsi" w:eastAsiaTheme="minorEastAsia" w:hAnsiTheme="majorHAnsi" w:cstheme="majorHAnsi"/>
          <w:sz w:val="24"/>
          <w:szCs w:val="24"/>
          <w:lang w:val="ro-MD"/>
        </w:rPr>
      </w:pPr>
      <w:r w:rsidRPr="009D501C">
        <w:rPr>
          <w:rFonts w:asciiTheme="majorHAnsi" w:hAnsiTheme="majorHAnsi" w:cstheme="majorHAnsi"/>
          <w:sz w:val="24"/>
          <w:szCs w:val="24"/>
          <w:lang w:val="ro-MD"/>
        </w:rPr>
        <w:t>În anul 2021, misiunile diplomatice și oficiile consulare au încheiat cu persoane fizice 131 de contracte de prestări servicii, dintre care: 54 – cu asistenți consulari</w:t>
      </w:r>
      <w:r>
        <w:rPr>
          <w:rFonts w:asciiTheme="majorHAnsi" w:hAnsiTheme="majorHAnsi" w:cstheme="majorHAnsi"/>
          <w:sz w:val="24"/>
          <w:szCs w:val="24"/>
          <w:lang w:val="ro-MD"/>
        </w:rPr>
        <w:t xml:space="preserve"> (</w:t>
      </w:r>
      <w:r w:rsidRPr="009D501C">
        <w:rPr>
          <w:rFonts w:asciiTheme="majorHAnsi" w:hAnsiTheme="majorHAnsi" w:cstheme="majorHAnsi"/>
          <w:sz w:val="24"/>
          <w:szCs w:val="24"/>
          <w:lang w:val="ro-MD"/>
        </w:rPr>
        <w:t>traduceri și secretariat</w:t>
      </w:r>
      <w:r>
        <w:rPr>
          <w:rFonts w:asciiTheme="majorHAnsi" w:hAnsiTheme="majorHAnsi" w:cstheme="majorHAnsi"/>
          <w:sz w:val="24"/>
          <w:szCs w:val="24"/>
          <w:lang w:val="ro-MD"/>
        </w:rPr>
        <w:t>)</w:t>
      </w:r>
      <w:r w:rsidRPr="009D501C">
        <w:rPr>
          <w:rFonts w:asciiTheme="majorHAnsi" w:hAnsiTheme="majorHAnsi" w:cstheme="majorHAnsi"/>
          <w:sz w:val="24"/>
          <w:szCs w:val="24"/>
          <w:lang w:val="ro-MD"/>
        </w:rPr>
        <w:t>, 62 – cu personal tehnic și servicii de menaj, și 9 contracte/contracte adiționale cu șoferi. Ca rezultat, la subcontul „Alte cheltuieli în bază de contracte cu persoane fizice” au fost înregistrate ch</w:t>
      </w:r>
      <w:r>
        <w:rPr>
          <w:rFonts w:asciiTheme="majorHAnsi" w:hAnsiTheme="majorHAnsi" w:cstheme="majorHAnsi"/>
          <w:sz w:val="24"/>
          <w:szCs w:val="24"/>
          <w:lang w:val="ro-MD"/>
        </w:rPr>
        <w:t>eltuieli efective în sumă de 19,</w:t>
      </w:r>
      <w:r w:rsidRPr="009D501C">
        <w:rPr>
          <w:rFonts w:asciiTheme="majorHAnsi" w:hAnsiTheme="majorHAnsi" w:cstheme="majorHAnsi"/>
          <w:sz w:val="24"/>
          <w:szCs w:val="24"/>
          <w:lang w:val="ro-MD"/>
        </w:rPr>
        <w:t xml:space="preserve">2 mil.lei. </w:t>
      </w:r>
      <w:r>
        <w:rPr>
          <w:rFonts w:asciiTheme="majorHAnsi" w:hAnsiTheme="majorHAnsi" w:cstheme="majorHAnsi"/>
          <w:sz w:val="24"/>
          <w:szCs w:val="24"/>
          <w:lang w:val="ro-MD"/>
        </w:rPr>
        <w:t>Totodată, 2</w:t>
      </w:r>
      <w:r w:rsidRPr="009D501C">
        <w:rPr>
          <w:rFonts w:asciiTheme="majorHAnsi" w:hAnsiTheme="majorHAnsi" w:cstheme="majorHAnsi"/>
          <w:sz w:val="24"/>
          <w:szCs w:val="24"/>
          <w:lang w:val="ro-MD"/>
        </w:rPr>
        <w:t xml:space="preserve"> </w:t>
      </w:r>
      <w:r>
        <w:rPr>
          <w:rFonts w:asciiTheme="majorHAnsi" w:hAnsiTheme="majorHAnsi" w:cstheme="majorHAnsi"/>
          <w:sz w:val="24"/>
          <w:szCs w:val="24"/>
          <w:lang w:val="ro-MD"/>
        </w:rPr>
        <w:t>misiuni diplomatice și oficii consulare</w:t>
      </w:r>
      <w:r w:rsidRPr="005E011C">
        <w:rPr>
          <w:rStyle w:val="FootnoteReference"/>
          <w:rFonts w:asciiTheme="majorHAnsi" w:hAnsiTheme="majorHAnsi" w:cstheme="majorHAnsi"/>
          <w:sz w:val="24"/>
          <w:szCs w:val="24"/>
          <w:lang w:val="ro-MD"/>
        </w:rPr>
        <w:footnoteReference w:id="33"/>
      </w:r>
      <w:r w:rsidRPr="009D501C">
        <w:rPr>
          <w:rFonts w:asciiTheme="majorHAnsi" w:hAnsiTheme="majorHAnsi" w:cstheme="majorHAnsi"/>
          <w:sz w:val="24"/>
          <w:szCs w:val="24"/>
          <w:lang w:val="ro-MD"/>
        </w:rPr>
        <w:t xml:space="preserve"> au încheiat contracte cu persoane fizice privind </w:t>
      </w:r>
      <w:r>
        <w:rPr>
          <w:rFonts w:asciiTheme="majorHAnsi" w:hAnsiTheme="majorHAnsi" w:cstheme="majorHAnsi"/>
          <w:sz w:val="24"/>
          <w:szCs w:val="24"/>
          <w:lang w:val="ro-MD"/>
        </w:rPr>
        <w:t xml:space="preserve">prestarea </w:t>
      </w:r>
      <w:r w:rsidRPr="009D501C">
        <w:rPr>
          <w:rFonts w:asciiTheme="majorHAnsi" w:hAnsiTheme="majorHAnsi" w:cstheme="majorHAnsi"/>
          <w:sz w:val="24"/>
          <w:szCs w:val="24"/>
          <w:lang w:val="ro-MD"/>
        </w:rPr>
        <w:t>servicii</w:t>
      </w:r>
      <w:r>
        <w:rPr>
          <w:rFonts w:asciiTheme="majorHAnsi" w:hAnsiTheme="majorHAnsi" w:cstheme="majorHAnsi"/>
          <w:sz w:val="24"/>
          <w:szCs w:val="24"/>
          <w:lang w:val="ro-MD"/>
        </w:rPr>
        <w:t>lor</w:t>
      </w:r>
      <w:r w:rsidRPr="009D501C">
        <w:rPr>
          <w:rFonts w:asciiTheme="majorHAnsi" w:hAnsiTheme="majorHAnsi" w:cstheme="majorHAnsi"/>
          <w:sz w:val="24"/>
          <w:szCs w:val="24"/>
          <w:lang w:val="ro-MD"/>
        </w:rPr>
        <w:t xml:space="preserve"> de administrator șofer/șofer, </w:t>
      </w:r>
      <w:r>
        <w:rPr>
          <w:rFonts w:asciiTheme="majorHAnsi" w:hAnsiTheme="majorHAnsi" w:cstheme="majorHAnsi"/>
          <w:sz w:val="24"/>
          <w:szCs w:val="24"/>
          <w:lang w:val="ro-MD"/>
        </w:rPr>
        <w:t>deținând</w:t>
      </w:r>
      <w:r w:rsidRPr="009D501C">
        <w:rPr>
          <w:rFonts w:asciiTheme="majorHAnsi" w:hAnsiTheme="majorHAnsi" w:cstheme="majorHAnsi"/>
          <w:sz w:val="24"/>
          <w:szCs w:val="24"/>
          <w:lang w:val="ro-MD"/>
        </w:rPr>
        <w:t xml:space="preserve"> funcții vacante de administrator șofer</w:t>
      </w:r>
      <w:r>
        <w:rPr>
          <w:rFonts w:asciiTheme="majorHAnsi" w:hAnsiTheme="majorHAnsi" w:cstheme="majorHAnsi"/>
          <w:sz w:val="24"/>
          <w:szCs w:val="24"/>
          <w:lang w:val="ro-MD"/>
        </w:rPr>
        <w:t xml:space="preserve"> pentru care au fost achitate plăți salariale în sumă totală de 678,2 mii</w:t>
      </w:r>
      <w:r w:rsidR="00CA11E2">
        <w:rPr>
          <w:rFonts w:asciiTheme="majorHAnsi" w:hAnsiTheme="majorHAnsi" w:cstheme="majorHAnsi"/>
          <w:sz w:val="24"/>
          <w:szCs w:val="24"/>
          <w:lang w:val="ro-MD"/>
        </w:rPr>
        <w:t xml:space="preserve"> lei.</w:t>
      </w:r>
    </w:p>
    <w:p w:rsidR="00CA11E2" w:rsidRPr="00B27DB4" w:rsidRDefault="00CA11E2" w:rsidP="00B27DB4">
      <w:pPr>
        <w:pStyle w:val="ListParagraph"/>
        <w:tabs>
          <w:tab w:val="left" w:pos="567"/>
        </w:tabs>
        <w:spacing w:after="120" w:line="276" w:lineRule="auto"/>
        <w:ind w:left="0"/>
        <w:jc w:val="both"/>
        <w:rPr>
          <w:rFonts w:asciiTheme="majorHAnsi" w:eastAsiaTheme="minorEastAsia" w:hAnsiTheme="majorHAnsi" w:cstheme="majorHAnsi"/>
          <w:sz w:val="8"/>
          <w:szCs w:val="8"/>
          <w:lang w:val="ro-MD"/>
        </w:rPr>
      </w:pPr>
    </w:p>
    <w:p w:rsidR="00462EE3" w:rsidRPr="00462EE3" w:rsidRDefault="00462EE3" w:rsidP="00462EE3">
      <w:pPr>
        <w:pStyle w:val="ListParagraph"/>
        <w:numPr>
          <w:ilvl w:val="1"/>
          <w:numId w:val="2"/>
        </w:numPr>
        <w:tabs>
          <w:tab w:val="left" w:pos="567"/>
        </w:tabs>
        <w:spacing w:after="120" w:line="276" w:lineRule="auto"/>
        <w:ind w:left="0" w:firstLine="0"/>
        <w:jc w:val="both"/>
        <w:rPr>
          <w:rFonts w:asciiTheme="majorHAnsi" w:eastAsiaTheme="minorEastAsia" w:hAnsiTheme="majorHAnsi" w:cstheme="majorHAnsi"/>
          <w:sz w:val="24"/>
          <w:szCs w:val="24"/>
          <w:lang w:val="ro-MD"/>
        </w:rPr>
      </w:pPr>
      <w:r w:rsidRPr="002F07DE">
        <w:rPr>
          <w:rFonts w:asciiTheme="majorHAnsi" w:hAnsiTheme="majorHAnsi" w:cstheme="majorHAnsi"/>
          <w:sz w:val="24"/>
          <w:szCs w:val="24"/>
          <w:lang w:val="ro-MD"/>
        </w:rPr>
        <w:t xml:space="preserve">Auditul </w:t>
      </w:r>
      <w:r w:rsidRPr="002F07DE">
        <w:rPr>
          <w:rStyle w:val="Emphasis"/>
          <w:rFonts w:asciiTheme="majorHAnsi" w:hAnsiTheme="majorHAnsi" w:cstheme="majorHAnsi"/>
          <w:i w:val="0"/>
          <w:sz w:val="24"/>
          <w:szCs w:val="24"/>
          <w:lang w:val="ro-MD"/>
        </w:rPr>
        <w:t>a</w:t>
      </w:r>
      <w:r w:rsidRPr="002F07DE">
        <w:rPr>
          <w:rFonts w:asciiTheme="majorHAnsi" w:hAnsiTheme="majorHAnsi" w:cstheme="majorHAnsi"/>
          <w:sz w:val="24"/>
          <w:szCs w:val="24"/>
          <w:lang w:val="ro-MD"/>
        </w:rPr>
        <w:t xml:space="preserve"> constatat</w:t>
      </w:r>
      <w:r>
        <w:rPr>
          <w:rFonts w:asciiTheme="majorHAnsi" w:hAnsiTheme="majorHAnsi" w:cstheme="majorHAnsi"/>
          <w:sz w:val="24"/>
          <w:szCs w:val="24"/>
          <w:lang w:val="ro-MD"/>
        </w:rPr>
        <w:t xml:space="preserve"> că 2</w:t>
      </w:r>
      <w:r w:rsidRPr="009D501C">
        <w:rPr>
          <w:rFonts w:asciiTheme="majorHAnsi" w:hAnsiTheme="majorHAnsi" w:cstheme="majorHAnsi"/>
          <w:sz w:val="24"/>
          <w:szCs w:val="24"/>
          <w:lang w:val="ro-MD"/>
        </w:rPr>
        <w:t xml:space="preserve"> misiuni diplomatice și oficii consulare</w:t>
      </w:r>
      <w:r w:rsidRPr="005E011C">
        <w:rPr>
          <w:vertAlign w:val="superscript"/>
          <w:lang w:val="ro-MD"/>
        </w:rPr>
        <w:footnoteReference w:id="34"/>
      </w:r>
      <w:r w:rsidRPr="009D501C">
        <w:rPr>
          <w:rFonts w:asciiTheme="majorHAnsi" w:hAnsiTheme="majorHAnsi" w:cstheme="majorHAnsi"/>
          <w:sz w:val="24"/>
          <w:szCs w:val="24"/>
          <w:lang w:val="ro-MD"/>
        </w:rPr>
        <w:t xml:space="preserve"> au întocmit neregulamentar contractele de închiriere a reședințelor, nefiind indicat</w:t>
      </w:r>
      <w:r>
        <w:rPr>
          <w:rFonts w:asciiTheme="majorHAnsi" w:hAnsiTheme="majorHAnsi" w:cstheme="majorHAnsi"/>
          <w:sz w:val="24"/>
          <w:szCs w:val="24"/>
          <w:lang w:val="ro-MD"/>
        </w:rPr>
        <w:t>ă</w:t>
      </w:r>
      <w:r w:rsidRPr="009D501C">
        <w:rPr>
          <w:rFonts w:asciiTheme="majorHAnsi" w:hAnsiTheme="majorHAnsi" w:cstheme="majorHAnsi"/>
          <w:sz w:val="24"/>
          <w:szCs w:val="24"/>
          <w:lang w:val="ro-MD"/>
        </w:rPr>
        <w:t xml:space="preserve"> în contract suprafața închiriată, situație în care auditul este în imposibilitate de a estima cheltuielile suportate de </w:t>
      </w:r>
      <w:r>
        <w:rPr>
          <w:rFonts w:asciiTheme="majorHAnsi" w:hAnsiTheme="majorHAnsi" w:cstheme="majorHAnsi"/>
          <w:sz w:val="24"/>
          <w:szCs w:val="24"/>
          <w:lang w:val="ro-MD"/>
        </w:rPr>
        <w:t>misiunile diplomatice și oficiile consulare,</w:t>
      </w:r>
      <w:r w:rsidRPr="009D501C">
        <w:rPr>
          <w:rFonts w:asciiTheme="majorHAnsi" w:hAnsiTheme="majorHAnsi" w:cstheme="majorHAnsi"/>
          <w:sz w:val="24"/>
          <w:szCs w:val="24"/>
          <w:lang w:val="ro-MD"/>
        </w:rPr>
        <w:t xml:space="preserve"> analizate prin prisma </w:t>
      </w:r>
      <w:r>
        <w:rPr>
          <w:rFonts w:asciiTheme="majorHAnsi" w:hAnsiTheme="majorHAnsi" w:cstheme="majorHAnsi"/>
          <w:sz w:val="24"/>
          <w:szCs w:val="24"/>
          <w:lang w:val="ro-MD"/>
        </w:rPr>
        <w:t>suprafeței contractate.</w:t>
      </w:r>
    </w:p>
    <w:p w:rsidR="00462EE3" w:rsidRPr="00014507" w:rsidRDefault="00462EE3" w:rsidP="00462EE3">
      <w:pPr>
        <w:spacing w:after="0" w:line="240" w:lineRule="auto"/>
        <w:contextualSpacing/>
        <w:jc w:val="both"/>
        <w:rPr>
          <w:rFonts w:asciiTheme="majorHAnsi" w:hAnsiTheme="majorHAnsi" w:cstheme="majorHAnsi"/>
          <w:b/>
          <w:sz w:val="4"/>
          <w:szCs w:val="4"/>
        </w:rPr>
      </w:pPr>
    </w:p>
    <w:p w:rsidR="001A41ED" w:rsidRDefault="00462EE3" w:rsidP="001A41ED">
      <w:pPr>
        <w:numPr>
          <w:ilvl w:val="0"/>
          <w:numId w:val="1"/>
        </w:numPr>
        <w:spacing w:after="0" w:line="240" w:lineRule="auto"/>
        <w:ind w:left="567"/>
        <w:contextualSpacing/>
        <w:jc w:val="center"/>
        <w:rPr>
          <w:rFonts w:asciiTheme="majorHAnsi" w:hAnsiTheme="majorHAnsi" w:cstheme="majorHAnsi"/>
          <w:b/>
          <w:sz w:val="24"/>
          <w:szCs w:val="24"/>
        </w:rPr>
      </w:pPr>
      <w:r w:rsidRPr="00563C4C">
        <w:rPr>
          <w:rFonts w:asciiTheme="majorHAnsi" w:hAnsiTheme="majorHAnsi" w:cstheme="majorHAnsi"/>
          <w:b/>
          <w:bCs/>
          <w:sz w:val="24"/>
          <w:szCs w:val="24"/>
          <w:lang w:val="ro-RO"/>
        </w:rPr>
        <w:t>BUNA GUVERNANȚĂ</w:t>
      </w:r>
    </w:p>
    <w:p w:rsidR="00014507" w:rsidRDefault="001A41ED" w:rsidP="00014507">
      <w:pPr>
        <w:pStyle w:val="ListParagraph"/>
        <w:numPr>
          <w:ilvl w:val="1"/>
          <w:numId w:val="10"/>
        </w:numPr>
        <w:tabs>
          <w:tab w:val="left" w:pos="142"/>
          <w:tab w:val="left" w:pos="426"/>
        </w:tabs>
        <w:spacing w:after="120" w:line="276" w:lineRule="auto"/>
        <w:ind w:left="0" w:firstLine="0"/>
        <w:jc w:val="both"/>
        <w:rPr>
          <w:rFonts w:asciiTheme="majorHAnsi" w:hAnsiTheme="majorHAnsi" w:cstheme="majorHAnsi"/>
          <w:sz w:val="24"/>
          <w:szCs w:val="24"/>
          <w:lang w:val="ro-MD"/>
        </w:rPr>
      </w:pPr>
      <w:r w:rsidRPr="00462EE3">
        <w:rPr>
          <w:rFonts w:asciiTheme="majorHAnsi" w:hAnsiTheme="majorHAnsi" w:cstheme="majorHAnsi"/>
          <w:sz w:val="24"/>
          <w:szCs w:val="24"/>
          <w:lang w:val="ro-MD"/>
        </w:rPr>
        <w:t xml:space="preserve">Sistemul de control intern managerial existent în cadrul </w:t>
      </w:r>
      <w:r w:rsidR="00FD132D">
        <w:rPr>
          <w:rFonts w:asciiTheme="majorHAnsi" w:hAnsiTheme="majorHAnsi" w:cstheme="majorHAnsi"/>
          <w:sz w:val="24"/>
          <w:szCs w:val="24"/>
          <w:lang w:val="ro-MD"/>
        </w:rPr>
        <w:t>M</w:t>
      </w:r>
      <w:r w:rsidRPr="00462EE3">
        <w:rPr>
          <w:rFonts w:asciiTheme="majorHAnsi" w:hAnsiTheme="majorHAnsi" w:cstheme="majorHAnsi"/>
          <w:sz w:val="24"/>
          <w:szCs w:val="24"/>
          <w:lang w:val="ro-MD"/>
        </w:rPr>
        <w:t xml:space="preserve">inisterului nu a asigurat în măsură deplină gestionarea riscurilor financiar-contabile aferente întocmirii și consolidării reale și fidele a rapoartelor financiare la nivel de sistem. De asemenea, în cadrul </w:t>
      </w:r>
      <w:r w:rsidR="00FD132D">
        <w:rPr>
          <w:rFonts w:asciiTheme="majorHAnsi" w:hAnsiTheme="majorHAnsi" w:cstheme="majorHAnsi"/>
          <w:sz w:val="24"/>
          <w:szCs w:val="24"/>
          <w:lang w:val="ro-MD"/>
        </w:rPr>
        <w:t>M</w:t>
      </w:r>
      <w:r w:rsidRPr="00462EE3">
        <w:rPr>
          <w:rFonts w:asciiTheme="majorHAnsi" w:hAnsiTheme="majorHAnsi" w:cstheme="majorHAnsi"/>
          <w:sz w:val="24"/>
          <w:szCs w:val="24"/>
          <w:lang w:val="ro-MD"/>
        </w:rPr>
        <w:t>inisterului și la unele instituții din subordine au fost identificate deficiențe legate de organizarea și implementarea sistemului de control intern managerial conform prevederilor Legii privind controlul financiar public intern</w:t>
      </w:r>
      <w:r w:rsidRPr="00DE3C21">
        <w:rPr>
          <w:rFonts w:asciiTheme="majorHAnsi" w:hAnsiTheme="majorHAnsi" w:cstheme="majorHAnsi"/>
          <w:sz w:val="24"/>
          <w:szCs w:val="24"/>
          <w:vertAlign w:val="superscript"/>
          <w:lang w:val="ro-MD"/>
        </w:rPr>
        <w:footnoteReference w:id="35"/>
      </w:r>
      <w:r w:rsidRPr="00462EE3">
        <w:rPr>
          <w:rFonts w:asciiTheme="majorHAnsi" w:hAnsiTheme="majorHAnsi" w:cstheme="majorHAnsi"/>
          <w:sz w:val="24"/>
          <w:szCs w:val="24"/>
          <w:lang w:val="ro-MD"/>
        </w:rPr>
        <w:t xml:space="preserve">, și anume: (i) nu a fost desemnat un coordonator al controlului intern managerial responsabil de organizarea, coordonarea, suportul, supravegherea și raportarea activităților inițiale de implementarea/dezvoltarea controlului intern managerial; (ii) nu a fost elaborat și aprobat Planul de acțiuni privind implementarea/dezvoltarea controlului intern managerial în cadrul entității; (iii) nu au fost descrise narativ sau schematic procesele aferente aspectelor </w:t>
      </w:r>
      <w:r w:rsidRPr="00462EE3">
        <w:rPr>
          <w:rFonts w:asciiTheme="majorHAnsi" w:hAnsiTheme="majorHAnsi" w:cstheme="majorHAnsi"/>
          <w:sz w:val="24"/>
          <w:szCs w:val="24"/>
          <w:lang w:val="ro-MD"/>
        </w:rPr>
        <w:lastRenderedPageBreak/>
        <w:t xml:space="preserve">financiar-contabile, în vederea întocmirii rapoartelor financiare; (iv) nu este implementat suficient managementul riscurilor financiar-contabile și nu sunt instituite activități de control eficiente (de prevenire, de detectare, de corectare), pentru a minimiza riscurile; (v) activitatea </w:t>
      </w:r>
      <w:r w:rsidR="000F1282">
        <w:rPr>
          <w:rFonts w:asciiTheme="majorHAnsi" w:hAnsiTheme="majorHAnsi" w:cstheme="majorHAnsi"/>
          <w:sz w:val="24"/>
          <w:szCs w:val="24"/>
          <w:lang w:val="ro-MD"/>
        </w:rPr>
        <w:t>S</w:t>
      </w:r>
      <w:r w:rsidRPr="00462EE3">
        <w:rPr>
          <w:rFonts w:asciiTheme="majorHAnsi" w:hAnsiTheme="majorHAnsi" w:cstheme="majorHAnsi"/>
          <w:sz w:val="24"/>
          <w:szCs w:val="24"/>
          <w:lang w:val="ro-MD"/>
        </w:rPr>
        <w:t xml:space="preserve">erviciului audit intern din cadrul aparatului </w:t>
      </w:r>
      <w:r w:rsidR="000F1282">
        <w:rPr>
          <w:rFonts w:asciiTheme="majorHAnsi" w:hAnsiTheme="majorHAnsi" w:cstheme="majorHAnsi"/>
          <w:sz w:val="24"/>
          <w:szCs w:val="24"/>
          <w:lang w:val="ro-MD"/>
        </w:rPr>
        <w:t>M</w:t>
      </w:r>
      <w:r w:rsidRPr="00462EE3">
        <w:rPr>
          <w:rFonts w:asciiTheme="majorHAnsi" w:hAnsiTheme="majorHAnsi" w:cstheme="majorHAnsi"/>
          <w:sz w:val="24"/>
          <w:szCs w:val="24"/>
          <w:lang w:val="ro-MD"/>
        </w:rPr>
        <w:t>inisterului este axată pe desfășurarea misiunilor de audit intern, preponderent, la nivel de misiuni diplomatice și oficii consulare, ceea ce nu contribuie la oferirea unei asigurări privind veridicitatea datelor din rapoartele financiare consolidate.</w:t>
      </w:r>
    </w:p>
    <w:p w:rsidR="001A41ED" w:rsidRPr="00014507" w:rsidRDefault="001A41ED" w:rsidP="00014507">
      <w:pPr>
        <w:pStyle w:val="ListParagraph"/>
        <w:tabs>
          <w:tab w:val="left" w:pos="142"/>
          <w:tab w:val="left" w:pos="426"/>
        </w:tabs>
        <w:spacing w:after="120" w:line="276" w:lineRule="auto"/>
        <w:ind w:left="0"/>
        <w:jc w:val="both"/>
        <w:rPr>
          <w:rFonts w:asciiTheme="majorHAnsi" w:hAnsiTheme="majorHAnsi" w:cstheme="majorHAnsi"/>
          <w:sz w:val="8"/>
          <w:szCs w:val="8"/>
          <w:lang w:val="ro-MD"/>
        </w:rPr>
      </w:pPr>
      <w:r w:rsidRPr="00462EE3">
        <w:rPr>
          <w:rFonts w:asciiTheme="majorHAnsi" w:hAnsiTheme="majorHAnsi" w:cstheme="majorHAnsi"/>
          <w:sz w:val="24"/>
          <w:szCs w:val="24"/>
          <w:lang w:val="ro-MD"/>
        </w:rPr>
        <w:t xml:space="preserve"> </w:t>
      </w:r>
    </w:p>
    <w:p w:rsidR="001A41ED" w:rsidRPr="00014507" w:rsidRDefault="001A41ED" w:rsidP="00014507">
      <w:pPr>
        <w:pStyle w:val="ListParagraph"/>
        <w:numPr>
          <w:ilvl w:val="1"/>
          <w:numId w:val="10"/>
        </w:numPr>
        <w:tabs>
          <w:tab w:val="left" w:pos="426"/>
        </w:tabs>
        <w:spacing w:after="120" w:line="276" w:lineRule="auto"/>
        <w:ind w:left="0" w:firstLine="0"/>
        <w:jc w:val="both"/>
        <w:rPr>
          <w:rFonts w:asciiTheme="majorHAnsi" w:hAnsiTheme="majorHAnsi" w:cstheme="majorHAnsi"/>
          <w:sz w:val="24"/>
          <w:szCs w:val="24"/>
          <w:lang w:val="ro-MD"/>
        </w:rPr>
      </w:pPr>
      <w:r w:rsidRPr="001A41ED">
        <w:rPr>
          <w:rFonts w:ascii="Calibri Light" w:eastAsia="Calibri" w:hAnsi="Calibri Light" w:cs="Calibri Light"/>
          <w:sz w:val="24"/>
          <w:szCs w:val="24"/>
          <w:lang w:val="ro-MD"/>
        </w:rPr>
        <w:t xml:space="preserve">În structura organizațională a Ministerului Afacerilor Externe și Integrării Europene s-a instituit, conform cerințelor Legii nr.229 din 23.09.2010, subdiviziunea de audit intern, care a activat doar 6 luni în anul 2021, din cauza fluctuației permanente a cadrelor. Serviciul </w:t>
      </w:r>
      <w:r w:rsidR="000F1282">
        <w:rPr>
          <w:rFonts w:ascii="Calibri Light" w:eastAsia="Calibri" w:hAnsi="Calibri Light" w:cs="Calibri Light"/>
          <w:sz w:val="24"/>
          <w:szCs w:val="24"/>
          <w:lang w:val="ro-MD"/>
        </w:rPr>
        <w:t>a</w:t>
      </w:r>
      <w:r w:rsidRPr="001A41ED">
        <w:rPr>
          <w:rFonts w:ascii="Calibri Light" w:eastAsia="Calibri" w:hAnsi="Calibri Light" w:cs="Calibri Light"/>
          <w:sz w:val="24"/>
          <w:szCs w:val="24"/>
          <w:lang w:val="ro-MD"/>
        </w:rPr>
        <w:t xml:space="preserve">udit </w:t>
      </w:r>
      <w:r w:rsidR="000F1282">
        <w:rPr>
          <w:rFonts w:ascii="Calibri Light" w:eastAsia="Calibri" w:hAnsi="Calibri Light" w:cs="Calibri Light"/>
          <w:sz w:val="24"/>
          <w:szCs w:val="24"/>
          <w:lang w:val="ro-MD"/>
        </w:rPr>
        <w:t>i</w:t>
      </w:r>
      <w:r w:rsidRPr="001A41ED">
        <w:rPr>
          <w:rFonts w:ascii="Calibri Light" w:eastAsia="Calibri" w:hAnsi="Calibri Light" w:cs="Calibri Light"/>
          <w:sz w:val="24"/>
          <w:szCs w:val="24"/>
          <w:lang w:val="ro-MD"/>
        </w:rPr>
        <w:t>ntern a fost suplinit cu personal în luna ianuarie 2022. Se denotă că, pe parcursul anului 2021, au fost realizate 2 misiuni de asigurare și de consiliere</w:t>
      </w:r>
      <w:r w:rsidRPr="00DE3C21">
        <w:rPr>
          <w:rFonts w:ascii="Calibri Light" w:eastAsia="Calibri" w:hAnsi="Calibri Light" w:cs="Calibri Light"/>
          <w:vertAlign w:val="superscript"/>
        </w:rPr>
        <w:footnoteReference w:id="36"/>
      </w:r>
      <w:r w:rsidRPr="001A41ED">
        <w:rPr>
          <w:rFonts w:ascii="Calibri Light" w:eastAsia="Calibri" w:hAnsi="Calibri Light" w:cs="Calibri Light"/>
          <w:sz w:val="24"/>
          <w:szCs w:val="24"/>
          <w:lang w:val="ro-MD"/>
        </w:rPr>
        <w:t xml:space="preserve">, dar nu au fost evaluate procesele cu risc sporit în domeniul financiar-contabil, deși potrivit Cartei de audit intern, Serviciul </w:t>
      </w:r>
      <w:r w:rsidR="000F1282">
        <w:rPr>
          <w:rFonts w:ascii="Calibri Light" w:eastAsia="Calibri" w:hAnsi="Calibri Light" w:cs="Calibri Light"/>
          <w:sz w:val="24"/>
          <w:szCs w:val="24"/>
          <w:lang w:val="ro-MD"/>
        </w:rPr>
        <w:t>a</w:t>
      </w:r>
      <w:r w:rsidRPr="001A41ED">
        <w:rPr>
          <w:rFonts w:ascii="Calibri Light" w:eastAsia="Calibri" w:hAnsi="Calibri Light" w:cs="Calibri Light"/>
          <w:sz w:val="24"/>
          <w:szCs w:val="24"/>
          <w:lang w:val="ro-MD"/>
        </w:rPr>
        <w:t xml:space="preserve">udit </w:t>
      </w:r>
      <w:r w:rsidR="000F1282">
        <w:rPr>
          <w:rFonts w:ascii="Calibri Light" w:eastAsia="Calibri" w:hAnsi="Calibri Light" w:cs="Calibri Light"/>
          <w:sz w:val="24"/>
          <w:szCs w:val="24"/>
          <w:lang w:val="ro-MD"/>
        </w:rPr>
        <w:t>i</w:t>
      </w:r>
      <w:r w:rsidRPr="001A41ED">
        <w:rPr>
          <w:rFonts w:ascii="Calibri Light" w:eastAsia="Calibri" w:hAnsi="Calibri Light" w:cs="Calibri Light"/>
          <w:sz w:val="24"/>
          <w:szCs w:val="24"/>
          <w:lang w:val="ro-MD"/>
        </w:rPr>
        <w:t xml:space="preserve">ntern dispune de toate instrumentele necesare pentru evaluarea acestor procese. Ca rezultat, din lipsa consultanței/furnizării unei asigurări obiective privind eficacitatea sistemului de control intern managerial, menite să adauge valoare și să îmbunătățească activitatea </w:t>
      </w:r>
      <w:r w:rsidR="000F1282">
        <w:rPr>
          <w:rFonts w:ascii="Calibri Light" w:eastAsia="Calibri" w:hAnsi="Calibri Light" w:cs="Calibri Light"/>
          <w:sz w:val="24"/>
          <w:szCs w:val="24"/>
          <w:lang w:val="ro-MD"/>
        </w:rPr>
        <w:t>M</w:t>
      </w:r>
      <w:r w:rsidRPr="001A41ED">
        <w:rPr>
          <w:rFonts w:ascii="Calibri Light" w:eastAsia="Calibri" w:hAnsi="Calibri Light" w:cs="Calibri Light"/>
          <w:sz w:val="24"/>
          <w:szCs w:val="24"/>
          <w:lang w:val="ro-MD"/>
        </w:rPr>
        <w:t>inisterului, nu a fost asigurată gestionarea riscurilor aferente proceselor financiar-contabile la întocmirea și consolidarea situațiilor financiare.</w:t>
      </w:r>
    </w:p>
    <w:p w:rsidR="00014507" w:rsidRPr="00014507" w:rsidRDefault="00014507" w:rsidP="00014507">
      <w:pPr>
        <w:pStyle w:val="ListParagraph"/>
        <w:tabs>
          <w:tab w:val="left" w:pos="426"/>
        </w:tabs>
        <w:spacing w:after="120" w:line="276" w:lineRule="auto"/>
        <w:ind w:left="0"/>
        <w:jc w:val="both"/>
        <w:rPr>
          <w:rFonts w:asciiTheme="majorHAnsi" w:hAnsiTheme="majorHAnsi" w:cstheme="majorHAnsi"/>
          <w:sz w:val="8"/>
          <w:szCs w:val="8"/>
          <w:lang w:val="ro-MD"/>
        </w:rPr>
      </w:pPr>
    </w:p>
    <w:p w:rsidR="001A41ED" w:rsidRPr="00014507" w:rsidRDefault="001A41ED" w:rsidP="00014507">
      <w:pPr>
        <w:pStyle w:val="ListParagraph"/>
        <w:numPr>
          <w:ilvl w:val="1"/>
          <w:numId w:val="10"/>
        </w:numPr>
        <w:tabs>
          <w:tab w:val="left" w:pos="426"/>
        </w:tabs>
        <w:spacing w:after="0" w:line="276" w:lineRule="auto"/>
        <w:ind w:left="0" w:firstLine="0"/>
        <w:jc w:val="both"/>
        <w:rPr>
          <w:rFonts w:asciiTheme="majorHAnsi" w:hAnsiTheme="majorHAnsi" w:cstheme="majorHAnsi"/>
          <w:sz w:val="24"/>
          <w:szCs w:val="24"/>
          <w:lang w:val="ro-MD"/>
        </w:rPr>
      </w:pPr>
      <w:r w:rsidRPr="001A41ED">
        <w:rPr>
          <w:rFonts w:asciiTheme="majorHAnsi" w:hAnsiTheme="majorHAnsi" w:cs="Times New Roman"/>
          <w:sz w:val="24"/>
          <w:szCs w:val="24"/>
          <w:lang w:val="ro-MD"/>
        </w:rPr>
        <w:t xml:space="preserve">Prin </w:t>
      </w:r>
      <w:r w:rsidRPr="001A41ED">
        <w:rPr>
          <w:rFonts w:asciiTheme="majorHAnsi" w:hAnsiTheme="majorHAnsi" w:cstheme="majorHAnsi"/>
          <w:sz w:val="24"/>
          <w:szCs w:val="24"/>
          <w:shd w:val="clear" w:color="auto" w:fill="FFFFFF"/>
          <w:lang w:val="ro-MD"/>
        </w:rPr>
        <w:t>Hotărârea Curții de Conturi nr.21 din 03 iunie 2021</w:t>
      </w:r>
      <w:r w:rsidRPr="009E69FA">
        <w:rPr>
          <w:rFonts w:asciiTheme="majorHAnsi" w:hAnsiTheme="majorHAnsi"/>
          <w:sz w:val="24"/>
          <w:szCs w:val="24"/>
          <w:shd w:val="clear" w:color="auto" w:fill="FFFFFF"/>
          <w:vertAlign w:val="superscript"/>
          <w:lang w:val="ro-MD"/>
        </w:rPr>
        <w:footnoteReference w:id="37"/>
      </w:r>
      <w:r w:rsidRPr="000F1282">
        <w:rPr>
          <w:rFonts w:asciiTheme="majorHAnsi" w:hAnsiTheme="majorHAnsi" w:cstheme="majorHAnsi"/>
          <w:sz w:val="24"/>
          <w:szCs w:val="24"/>
          <w:shd w:val="clear" w:color="auto" w:fill="FFFFFF"/>
          <w:lang w:val="ro-MD"/>
        </w:rPr>
        <w:t xml:space="preserve">, </w:t>
      </w:r>
      <w:r w:rsidRPr="001A41ED">
        <w:rPr>
          <w:rFonts w:asciiTheme="majorHAnsi" w:hAnsiTheme="majorHAnsi" w:cstheme="majorHAnsi"/>
          <w:sz w:val="24"/>
          <w:szCs w:val="24"/>
          <w:shd w:val="clear" w:color="auto" w:fill="FFFFFF"/>
          <w:lang w:val="ro-MD"/>
        </w:rPr>
        <w:t>Ministerului</w:t>
      </w:r>
      <w:r w:rsidRPr="001A41ED">
        <w:rPr>
          <w:rFonts w:asciiTheme="majorHAnsi" w:hAnsiTheme="majorHAnsi" w:cstheme="majorHAnsi"/>
          <w:bCs/>
          <w:sz w:val="24"/>
          <w:szCs w:val="24"/>
          <w:lang w:val="ro-MD"/>
        </w:rPr>
        <w:t xml:space="preserve"> </w:t>
      </w:r>
      <w:r w:rsidRPr="001A41ED">
        <w:rPr>
          <w:rFonts w:asciiTheme="majorHAnsi" w:hAnsiTheme="majorHAnsi" w:cs="Times New Roman"/>
          <w:sz w:val="24"/>
          <w:szCs w:val="24"/>
          <w:lang w:val="ro-MD"/>
        </w:rPr>
        <w:t>Afacerilor Externe și Integrării Europene</w:t>
      </w:r>
      <w:r w:rsidRPr="001A41ED">
        <w:rPr>
          <w:rFonts w:asciiTheme="majorHAnsi" w:hAnsiTheme="majorHAnsi" w:cstheme="majorHAnsi"/>
          <w:sz w:val="24"/>
          <w:szCs w:val="24"/>
          <w:shd w:val="clear" w:color="auto" w:fill="FFFFFF"/>
          <w:lang w:val="ro-MD"/>
        </w:rPr>
        <w:t xml:space="preserve"> și instituțiilor din subordine auditate le-au fost înaintate 2 recomandări, dintre care 1 recomandare a fost implementată. </w:t>
      </w:r>
      <w:r w:rsidRPr="001A41ED">
        <w:rPr>
          <w:rFonts w:asciiTheme="majorHAnsi" w:hAnsiTheme="majorHAnsi" w:cstheme="majorHAnsi"/>
          <w:sz w:val="24"/>
          <w:szCs w:val="24"/>
          <w:lang w:val="ro-RO"/>
        </w:rPr>
        <w:t>Unele recomandări neimplementate</w:t>
      </w:r>
      <w:r w:rsidR="000F1282">
        <w:rPr>
          <w:rFonts w:asciiTheme="majorHAnsi" w:hAnsiTheme="majorHAnsi" w:cstheme="majorHAnsi"/>
          <w:sz w:val="24"/>
          <w:szCs w:val="24"/>
          <w:lang w:val="ro-RO"/>
        </w:rPr>
        <w:t>,</w:t>
      </w:r>
      <w:r w:rsidRPr="001A41ED">
        <w:rPr>
          <w:rFonts w:asciiTheme="majorHAnsi" w:hAnsiTheme="majorHAnsi" w:cstheme="majorHAnsi"/>
          <w:sz w:val="24"/>
          <w:szCs w:val="24"/>
          <w:lang w:val="ro-RO"/>
        </w:rPr>
        <w:t xml:space="preserve"> înaintate în baza Scrisorii către conducere</w:t>
      </w:r>
      <w:r w:rsidR="000F1282">
        <w:rPr>
          <w:rFonts w:asciiTheme="majorHAnsi" w:hAnsiTheme="majorHAnsi" w:cstheme="majorHAnsi"/>
          <w:sz w:val="24"/>
          <w:szCs w:val="24"/>
          <w:lang w:val="ro-RO"/>
        </w:rPr>
        <w:t>,</w:t>
      </w:r>
      <w:r w:rsidRPr="001A41ED">
        <w:rPr>
          <w:rFonts w:asciiTheme="majorHAnsi" w:hAnsiTheme="majorHAnsi" w:cstheme="majorHAnsi"/>
          <w:sz w:val="24"/>
          <w:szCs w:val="24"/>
          <w:lang w:val="ro-RO"/>
        </w:rPr>
        <w:t xml:space="preserve"> sunt reiterate în cadrul prezentei misiuni de audit. Pentru a exclude suprapunerea recomandărilor, se propune scoaterea din regim de monitorizare a recomandărilor înaintate în Raportul de audit aprobat prin Hotărârea Curții de Conturi nr.21 din 03.06.2021.</w:t>
      </w:r>
    </w:p>
    <w:p w:rsidR="00014507" w:rsidRPr="00014507" w:rsidRDefault="00014507" w:rsidP="00014507">
      <w:pPr>
        <w:tabs>
          <w:tab w:val="left" w:pos="426"/>
        </w:tabs>
        <w:spacing w:after="0" w:line="276" w:lineRule="auto"/>
        <w:jc w:val="both"/>
        <w:rPr>
          <w:rFonts w:asciiTheme="majorHAnsi" w:hAnsiTheme="majorHAnsi" w:cstheme="majorHAnsi"/>
          <w:sz w:val="8"/>
          <w:szCs w:val="8"/>
          <w:lang w:val="ro-MD"/>
        </w:rPr>
      </w:pPr>
    </w:p>
    <w:p w:rsidR="001A41ED" w:rsidRPr="000F1282" w:rsidRDefault="000F1282" w:rsidP="00014507">
      <w:pPr>
        <w:pStyle w:val="ListParagraph"/>
        <w:numPr>
          <w:ilvl w:val="1"/>
          <w:numId w:val="10"/>
        </w:numPr>
        <w:tabs>
          <w:tab w:val="left" w:pos="426"/>
        </w:tabs>
        <w:spacing w:after="0" w:line="276" w:lineRule="auto"/>
        <w:ind w:left="0" w:firstLine="0"/>
        <w:jc w:val="both"/>
        <w:rPr>
          <w:rFonts w:asciiTheme="majorHAnsi" w:hAnsiTheme="majorHAnsi" w:cstheme="majorHAnsi"/>
          <w:sz w:val="24"/>
          <w:szCs w:val="24"/>
          <w:lang w:val="ro-MD"/>
        </w:rPr>
      </w:pPr>
      <w:r>
        <w:rPr>
          <w:rFonts w:asciiTheme="majorHAnsi" w:hAnsiTheme="majorHAnsi" w:cstheme="majorHAnsi"/>
          <w:sz w:val="24"/>
          <w:szCs w:val="24"/>
          <w:lang w:val="ro-RO"/>
        </w:rPr>
        <w:t>A</w:t>
      </w:r>
      <w:r w:rsidR="001A41ED" w:rsidRPr="001A41ED">
        <w:rPr>
          <w:rFonts w:asciiTheme="majorHAnsi" w:hAnsiTheme="majorHAnsi" w:cstheme="majorHAnsi"/>
          <w:sz w:val="24"/>
          <w:szCs w:val="24"/>
          <w:lang w:val="ro-MD"/>
        </w:rPr>
        <w:t>uditul reiterează recomandarea privind operarea modificărilor și actualizarea reglementărilor privind activitatea administrativ-financiară a instituțiilor serviciului diplomatic al Republicii Moldova peste hotare</w:t>
      </w:r>
      <w:r w:rsidR="001A41ED" w:rsidRPr="009E69FA">
        <w:rPr>
          <w:rFonts w:asciiTheme="majorHAnsi" w:hAnsiTheme="majorHAnsi"/>
          <w:sz w:val="24"/>
          <w:szCs w:val="24"/>
          <w:vertAlign w:val="superscript"/>
          <w:lang w:val="ro-MD"/>
        </w:rPr>
        <w:footnoteReference w:id="38"/>
      </w:r>
      <w:r w:rsidR="001A41ED" w:rsidRPr="000F1282">
        <w:rPr>
          <w:rFonts w:asciiTheme="majorHAnsi" w:hAnsiTheme="majorHAnsi" w:cstheme="majorHAnsi"/>
          <w:sz w:val="24"/>
          <w:szCs w:val="24"/>
          <w:lang w:val="ro-MD"/>
        </w:rPr>
        <w:t>,</w:t>
      </w:r>
      <w:r w:rsidR="001A41ED" w:rsidRPr="001A41ED">
        <w:rPr>
          <w:rFonts w:asciiTheme="majorHAnsi" w:hAnsiTheme="majorHAnsi" w:cstheme="majorHAnsi"/>
          <w:sz w:val="24"/>
          <w:szCs w:val="24"/>
          <w:lang w:val="ro-MD"/>
        </w:rPr>
        <w:t xml:space="preserve"> privind modul de încasare, utilizare și evidență a taxelor consulare și a mijloacelor speciale provenite de la serviciile contra plată</w:t>
      </w:r>
      <w:r w:rsidR="001A41ED" w:rsidRPr="00563C4C">
        <w:rPr>
          <w:vertAlign w:val="superscript"/>
          <w:lang w:val="ro-MD"/>
        </w:rPr>
        <w:footnoteReference w:id="39"/>
      </w:r>
      <w:r w:rsidR="001A41ED" w:rsidRPr="001A41ED">
        <w:rPr>
          <w:rFonts w:asciiTheme="majorHAnsi" w:hAnsiTheme="majorHAnsi" w:cstheme="majorHAnsi"/>
          <w:sz w:val="24"/>
          <w:szCs w:val="24"/>
          <w:lang w:val="ro-MD"/>
        </w:rPr>
        <w:t xml:space="preserve"> care nu sunt completate și ajustate la cerințele/prevederile cadrul</w:t>
      </w:r>
      <w:r>
        <w:rPr>
          <w:rFonts w:asciiTheme="majorHAnsi" w:hAnsiTheme="majorHAnsi" w:cstheme="majorHAnsi"/>
          <w:sz w:val="24"/>
          <w:szCs w:val="24"/>
          <w:lang w:val="ro-MD"/>
        </w:rPr>
        <w:t>ui</w:t>
      </w:r>
      <w:r w:rsidR="001A41ED" w:rsidRPr="001A41ED">
        <w:rPr>
          <w:rFonts w:asciiTheme="majorHAnsi" w:hAnsiTheme="majorHAnsi" w:cstheme="majorHAnsi"/>
          <w:sz w:val="24"/>
          <w:szCs w:val="24"/>
          <w:lang w:val="ro-MD"/>
        </w:rPr>
        <w:t xml:space="preserve"> normativ, </w:t>
      </w:r>
      <w:r>
        <w:rPr>
          <w:rFonts w:asciiTheme="majorHAnsi" w:hAnsiTheme="majorHAnsi" w:cstheme="majorHAnsi"/>
          <w:sz w:val="24"/>
          <w:szCs w:val="24"/>
          <w:lang w:val="ro-MD"/>
        </w:rPr>
        <w:t xml:space="preserve">ca </w:t>
      </w:r>
      <w:r w:rsidR="001A41ED" w:rsidRPr="001A41ED">
        <w:rPr>
          <w:rFonts w:asciiTheme="majorHAnsi" w:hAnsiTheme="majorHAnsi" w:cstheme="majorHAnsi"/>
          <w:sz w:val="24"/>
          <w:szCs w:val="24"/>
          <w:lang w:val="ro-MD"/>
        </w:rPr>
        <w:t>urmare a implementării Legii nr. 270 din 23.11.</w:t>
      </w:r>
      <w:r w:rsidR="001A41ED" w:rsidRPr="000F1282">
        <w:rPr>
          <w:rFonts w:asciiTheme="majorHAnsi" w:hAnsiTheme="majorHAnsi" w:cstheme="majorHAnsi"/>
          <w:sz w:val="24"/>
          <w:szCs w:val="24"/>
          <w:lang w:val="ro-MD"/>
        </w:rPr>
        <w:t>2018</w:t>
      </w:r>
      <w:r w:rsidR="001A41ED" w:rsidRPr="009E69FA">
        <w:rPr>
          <w:rFonts w:asciiTheme="majorHAnsi" w:hAnsiTheme="majorHAnsi"/>
          <w:sz w:val="24"/>
          <w:szCs w:val="24"/>
          <w:vertAlign w:val="superscript"/>
          <w:lang w:val="ro-MD"/>
        </w:rPr>
        <w:footnoteReference w:id="40"/>
      </w:r>
      <w:r w:rsidR="001A41ED" w:rsidRPr="000F1282">
        <w:rPr>
          <w:rFonts w:asciiTheme="majorHAnsi" w:hAnsiTheme="majorHAnsi" w:cstheme="majorHAnsi"/>
          <w:sz w:val="24"/>
          <w:szCs w:val="24"/>
          <w:lang w:val="ro-MD"/>
        </w:rPr>
        <w:t>, Legii nr. 181 din 25.07.2014</w:t>
      </w:r>
      <w:r w:rsidR="001A41ED" w:rsidRPr="009E69FA">
        <w:rPr>
          <w:rFonts w:asciiTheme="majorHAnsi" w:hAnsiTheme="majorHAnsi"/>
          <w:sz w:val="24"/>
          <w:szCs w:val="24"/>
          <w:vertAlign w:val="superscript"/>
          <w:lang w:val="ro-MD"/>
        </w:rPr>
        <w:footnoteReference w:id="41"/>
      </w:r>
      <w:r w:rsidR="001A41ED" w:rsidRPr="000F1282">
        <w:rPr>
          <w:rFonts w:asciiTheme="majorHAnsi" w:hAnsiTheme="majorHAnsi" w:cstheme="majorHAnsi"/>
          <w:sz w:val="24"/>
          <w:szCs w:val="24"/>
          <w:lang w:val="ro-MD"/>
        </w:rPr>
        <w:t>, Ordinului ministrului Finanțelor nr.216 din 28.12.2015</w:t>
      </w:r>
      <w:r w:rsidR="001A41ED" w:rsidRPr="009E69FA">
        <w:rPr>
          <w:rFonts w:asciiTheme="majorHAnsi" w:hAnsiTheme="majorHAnsi"/>
          <w:sz w:val="24"/>
          <w:szCs w:val="24"/>
          <w:vertAlign w:val="superscript"/>
          <w:lang w:val="ro-MD"/>
        </w:rPr>
        <w:footnoteReference w:id="42"/>
      </w:r>
      <w:r>
        <w:rPr>
          <w:rFonts w:asciiTheme="majorHAnsi" w:hAnsiTheme="majorHAnsi" w:cstheme="majorHAnsi"/>
          <w:sz w:val="24"/>
          <w:szCs w:val="24"/>
          <w:lang w:val="ro-MD"/>
        </w:rPr>
        <w:t>.</w:t>
      </w:r>
      <w:r w:rsidR="001A41ED" w:rsidRPr="000F1282">
        <w:rPr>
          <w:rFonts w:asciiTheme="majorHAnsi" w:hAnsiTheme="majorHAnsi" w:cstheme="majorHAnsi"/>
          <w:sz w:val="24"/>
          <w:szCs w:val="24"/>
          <w:lang w:val="ro-MD"/>
        </w:rPr>
        <w:t xml:space="preserve"> </w:t>
      </w:r>
    </w:p>
    <w:p w:rsidR="001A41ED" w:rsidRDefault="001A41ED" w:rsidP="001A41ED">
      <w:pPr>
        <w:pStyle w:val="ListParagraph"/>
        <w:tabs>
          <w:tab w:val="left" w:pos="426"/>
        </w:tabs>
        <w:spacing w:after="120" w:line="276" w:lineRule="auto"/>
        <w:ind w:left="0"/>
        <w:jc w:val="both"/>
        <w:rPr>
          <w:rFonts w:asciiTheme="majorHAnsi" w:hAnsiTheme="majorHAnsi" w:cstheme="majorHAnsi"/>
          <w:sz w:val="8"/>
          <w:szCs w:val="8"/>
          <w:lang w:val="ro-MD"/>
        </w:rPr>
      </w:pPr>
    </w:p>
    <w:p w:rsidR="00014507" w:rsidRPr="00014507" w:rsidRDefault="00014507" w:rsidP="001A41ED">
      <w:pPr>
        <w:pStyle w:val="ListParagraph"/>
        <w:tabs>
          <w:tab w:val="left" w:pos="426"/>
        </w:tabs>
        <w:spacing w:after="120" w:line="276" w:lineRule="auto"/>
        <w:ind w:left="0"/>
        <w:jc w:val="both"/>
        <w:rPr>
          <w:rFonts w:asciiTheme="majorHAnsi" w:hAnsiTheme="majorHAnsi" w:cstheme="majorHAnsi"/>
          <w:sz w:val="8"/>
          <w:szCs w:val="8"/>
          <w:lang w:val="ro-MD"/>
        </w:rPr>
      </w:pPr>
    </w:p>
    <w:p w:rsidR="001A41ED" w:rsidRPr="001A41ED" w:rsidRDefault="001A41ED" w:rsidP="00014507">
      <w:pPr>
        <w:numPr>
          <w:ilvl w:val="0"/>
          <w:numId w:val="1"/>
        </w:numPr>
        <w:spacing w:after="0" w:line="276" w:lineRule="auto"/>
        <w:ind w:left="567" w:hanging="283"/>
        <w:contextualSpacing/>
        <w:jc w:val="center"/>
        <w:rPr>
          <w:rFonts w:asciiTheme="majorHAnsi" w:hAnsiTheme="majorHAnsi" w:cstheme="majorHAnsi"/>
          <w:b/>
          <w:sz w:val="24"/>
          <w:szCs w:val="24"/>
        </w:rPr>
      </w:pPr>
      <w:r w:rsidRPr="00563C4C">
        <w:rPr>
          <w:rFonts w:asciiTheme="majorHAnsi" w:hAnsiTheme="majorHAnsi" w:cstheme="majorHAnsi"/>
          <w:b/>
          <w:sz w:val="24"/>
          <w:szCs w:val="24"/>
          <w:lang w:val="ro-RO"/>
        </w:rPr>
        <w:t>RESPONSABILITĂȚILE CONDUCERII PENTRU RAPOARTELE FINANCIARE</w:t>
      </w:r>
    </w:p>
    <w:p w:rsidR="001A41ED" w:rsidRDefault="001A41ED" w:rsidP="00014507">
      <w:pPr>
        <w:spacing w:after="0" w:line="276" w:lineRule="auto"/>
        <w:contextualSpacing/>
        <w:jc w:val="both"/>
        <w:rPr>
          <w:rFonts w:asciiTheme="majorHAnsi" w:hAnsiTheme="majorHAnsi" w:cstheme="majorHAnsi"/>
          <w:sz w:val="24"/>
          <w:szCs w:val="24"/>
          <w:lang w:val="ro-MD"/>
        </w:rPr>
      </w:pPr>
      <w:r w:rsidRPr="00563C4C">
        <w:rPr>
          <w:rFonts w:asciiTheme="majorHAnsi" w:hAnsiTheme="majorHAnsi" w:cstheme="majorHAnsi"/>
          <w:sz w:val="24"/>
          <w:szCs w:val="24"/>
          <w:lang w:val="ro-MD"/>
        </w:rPr>
        <w:lastRenderedPageBreak/>
        <w:t xml:space="preserve">Ministrul Afacerilor Externe și Integrării Europene, </w:t>
      </w:r>
      <w:r w:rsidRPr="00563C4C">
        <w:rPr>
          <w:rFonts w:asciiTheme="majorHAnsi" w:hAnsiTheme="majorHAnsi" w:cs="Times New Roman"/>
          <w:sz w:val="24"/>
          <w:szCs w:val="24"/>
          <w:lang w:val="ro-MD"/>
        </w:rPr>
        <w:t>în calitate de conducător al organului central de specialitate al administrației publice, este responsabil de întocmirea, semnarea și prezentarea corectă și fidelă a rapoartelor financiare consolidate</w:t>
      </w:r>
      <w:r w:rsidRPr="00563C4C">
        <w:rPr>
          <w:rFonts w:asciiTheme="majorHAnsi" w:hAnsiTheme="majorHAnsi" w:cs="Times New Roman"/>
          <w:sz w:val="24"/>
          <w:szCs w:val="24"/>
          <w:vertAlign w:val="superscript"/>
          <w:lang w:val="ro-MD"/>
        </w:rPr>
        <w:footnoteReference w:id="43"/>
      </w:r>
      <w:r w:rsidRPr="00563C4C">
        <w:rPr>
          <w:rFonts w:asciiTheme="majorHAnsi" w:hAnsiTheme="majorHAnsi" w:cs="Times New Roman"/>
          <w:sz w:val="24"/>
          <w:szCs w:val="24"/>
          <w:lang w:val="ro-MD"/>
        </w:rPr>
        <w:t xml:space="preserve"> în conformitate cu cadrul de raportare financiară aplicabil</w:t>
      </w:r>
      <w:r w:rsidRPr="00563C4C">
        <w:rPr>
          <w:rFonts w:asciiTheme="majorHAnsi" w:hAnsiTheme="majorHAnsi" w:cs="Times New Roman"/>
          <w:sz w:val="24"/>
          <w:szCs w:val="24"/>
          <w:vertAlign w:val="superscript"/>
          <w:lang w:val="ro-MD"/>
        </w:rPr>
        <w:footnoteReference w:id="44"/>
      </w:r>
      <w:r w:rsidRPr="00563C4C">
        <w:rPr>
          <w:rFonts w:asciiTheme="majorHAnsi" w:hAnsiTheme="majorHAnsi" w:cs="Times New Roman"/>
          <w:sz w:val="24"/>
          <w:szCs w:val="24"/>
          <w:lang w:val="ro-MD"/>
        </w:rPr>
        <w:t>, precum și de organizarea controlului intern managerial</w:t>
      </w:r>
      <w:r w:rsidRPr="00563C4C">
        <w:rPr>
          <w:rFonts w:asciiTheme="majorHAnsi" w:hAnsiTheme="majorHAnsi" w:cstheme="majorHAnsi"/>
          <w:sz w:val="24"/>
          <w:szCs w:val="24"/>
          <w:lang w:val="ro-MD"/>
        </w:rPr>
        <w:t>, pentru a asigura desfășurarea organizată și eficientă a activității, inclusiv respectarea strictă a integrității activelor, prevenirea și descoperirea cauzelor de fraudă și/sau eroare, exactitatea și plenitudinea înregistrărilor contabile, precum și pregătirea oportună a unor informații financiare credibile.</w:t>
      </w:r>
    </w:p>
    <w:p w:rsidR="001A41ED" w:rsidRPr="00014507" w:rsidRDefault="001A41ED" w:rsidP="00014507">
      <w:pPr>
        <w:spacing w:after="0" w:line="276" w:lineRule="auto"/>
        <w:contextualSpacing/>
        <w:jc w:val="both"/>
        <w:rPr>
          <w:rFonts w:asciiTheme="majorHAnsi" w:hAnsiTheme="majorHAnsi" w:cstheme="majorHAnsi"/>
          <w:b/>
          <w:sz w:val="8"/>
          <w:szCs w:val="8"/>
        </w:rPr>
      </w:pPr>
    </w:p>
    <w:p w:rsidR="001A41ED" w:rsidRPr="00F30195" w:rsidRDefault="001A41ED" w:rsidP="00014507">
      <w:pPr>
        <w:numPr>
          <w:ilvl w:val="0"/>
          <w:numId w:val="1"/>
        </w:numPr>
        <w:spacing w:after="0" w:line="276" w:lineRule="auto"/>
        <w:ind w:left="567" w:hanging="283"/>
        <w:contextualSpacing/>
        <w:jc w:val="center"/>
        <w:rPr>
          <w:rFonts w:asciiTheme="majorHAnsi" w:hAnsiTheme="majorHAnsi" w:cstheme="majorHAnsi"/>
          <w:b/>
          <w:sz w:val="24"/>
          <w:szCs w:val="24"/>
        </w:rPr>
      </w:pPr>
      <w:r w:rsidRPr="00563C4C">
        <w:rPr>
          <w:rFonts w:asciiTheme="majorHAnsi" w:hAnsiTheme="majorHAnsi" w:cstheme="majorHAnsi"/>
          <w:b/>
          <w:color w:val="000000" w:themeColor="text1"/>
          <w:sz w:val="24"/>
          <w:szCs w:val="24"/>
          <w:lang w:val="ro-RO"/>
        </w:rPr>
        <w:t>RESPONSABILITĂȚILE AUDITORULUI</w:t>
      </w:r>
      <w:r w:rsidRPr="00563C4C">
        <w:rPr>
          <w:rFonts w:asciiTheme="majorHAnsi" w:hAnsiTheme="majorHAnsi" w:cstheme="majorHAnsi"/>
          <w:color w:val="000000" w:themeColor="text1"/>
          <w:sz w:val="24"/>
          <w:szCs w:val="24"/>
          <w:lang w:val="ro-RO"/>
        </w:rPr>
        <w:t xml:space="preserve"> </w:t>
      </w:r>
      <w:r w:rsidRPr="00563C4C">
        <w:rPr>
          <w:rFonts w:asciiTheme="majorHAnsi" w:hAnsiTheme="majorHAnsi" w:cstheme="majorHAnsi"/>
          <w:b/>
          <w:color w:val="000000" w:themeColor="text1"/>
          <w:sz w:val="24"/>
          <w:szCs w:val="24"/>
          <w:lang w:val="ro-RO"/>
        </w:rPr>
        <w:t xml:space="preserve">ÎNTR-UN AUDIT AL </w:t>
      </w:r>
      <w:r w:rsidRPr="00563C4C">
        <w:rPr>
          <w:rFonts w:asciiTheme="majorHAnsi" w:hAnsiTheme="majorHAnsi" w:cstheme="majorHAnsi"/>
          <w:b/>
          <w:color w:val="000000"/>
          <w:sz w:val="24"/>
          <w:szCs w:val="24"/>
          <w:lang w:val="ro-RO"/>
        </w:rPr>
        <w:t>RAPOARTELOR</w:t>
      </w:r>
      <w:r w:rsidRPr="00563C4C">
        <w:rPr>
          <w:rFonts w:asciiTheme="majorHAnsi" w:hAnsiTheme="majorHAnsi" w:cstheme="majorHAnsi"/>
          <w:b/>
          <w:color w:val="000000" w:themeColor="text1"/>
          <w:sz w:val="24"/>
          <w:szCs w:val="24"/>
          <w:lang w:val="ro-RO"/>
        </w:rPr>
        <w:t xml:space="preserve"> FINANCIARE</w:t>
      </w:r>
    </w:p>
    <w:p w:rsidR="00563C4C" w:rsidRPr="00563C4C" w:rsidRDefault="00563C4C" w:rsidP="00FF18FB">
      <w:pPr>
        <w:autoSpaceDE w:val="0"/>
        <w:autoSpaceDN w:val="0"/>
        <w:adjustRightInd w:val="0"/>
        <w:spacing w:after="0" w:line="276" w:lineRule="auto"/>
        <w:ind w:right="-24"/>
        <w:jc w:val="both"/>
        <w:rPr>
          <w:rFonts w:asciiTheme="majorHAnsi" w:hAnsiTheme="majorHAnsi" w:cstheme="majorHAnsi"/>
          <w:sz w:val="24"/>
          <w:szCs w:val="24"/>
          <w:lang w:val="ro-RO"/>
        </w:rPr>
      </w:pPr>
      <w:r w:rsidRPr="00563C4C">
        <w:rPr>
          <w:rFonts w:asciiTheme="majorHAnsi" w:hAnsiTheme="majorHAnsi" w:cstheme="majorHAnsi"/>
          <w:sz w:val="24"/>
          <w:szCs w:val="24"/>
          <w:lang w:val="ro-RO"/>
        </w:rPr>
        <w:t>Responsabilitatea noastră este de a planifica și a realiza misiunea de audit, cu obținerea probelor suficiente și adecvate în vederea susținerii bazei pentru opinia de audit. Obiectivele noastre sunt: obținerea unei asigurări rezonabile că rapoartele financiare consolidate nu sunt afectate de denaturări semnificative, cauzate de fraude sau erori, precum și emiterea unei opinii.</w:t>
      </w:r>
    </w:p>
    <w:p w:rsidR="00563C4C" w:rsidRPr="00563C4C" w:rsidRDefault="00563C4C" w:rsidP="00FF18FB">
      <w:pPr>
        <w:autoSpaceDE w:val="0"/>
        <w:autoSpaceDN w:val="0"/>
        <w:adjustRightInd w:val="0"/>
        <w:spacing w:before="240" w:after="0" w:line="276" w:lineRule="auto"/>
        <w:ind w:right="-24"/>
        <w:jc w:val="both"/>
        <w:rPr>
          <w:rFonts w:asciiTheme="majorHAnsi" w:hAnsiTheme="majorHAnsi" w:cstheme="majorHAnsi"/>
          <w:sz w:val="24"/>
          <w:szCs w:val="24"/>
          <w:lang w:val="ro-RO"/>
        </w:rPr>
      </w:pPr>
      <w:r w:rsidRPr="00563C4C">
        <w:rPr>
          <w:rFonts w:asciiTheme="majorHAnsi" w:hAnsiTheme="majorHAnsi" w:cstheme="majorHAnsi"/>
          <w:sz w:val="24"/>
          <w:szCs w:val="24"/>
          <w:lang w:val="ro-RO"/>
        </w:rPr>
        <w:t xml:space="preserve">Asigurarea rezonabilă este un nivel ridicat de asigurare, dar nu este o garanție că un audit efectuat în conformitate cu Standardele Internaționale va detecta întotdeauna o denaturare semnificativă atunci când ea există. Denaturările pot fi urmare a fraudelor sau erorilor. Totodată, denaturările pot fi considerate semnificative dacă, în mod individual sau în ansamblu, pot influența deciziile economice ale utilizatorilor acestor situații financiare. </w:t>
      </w:r>
    </w:p>
    <w:p w:rsidR="00563C4C" w:rsidRDefault="00563C4C" w:rsidP="00FF18FB">
      <w:pPr>
        <w:autoSpaceDE w:val="0"/>
        <w:autoSpaceDN w:val="0"/>
        <w:adjustRightInd w:val="0"/>
        <w:spacing w:before="240" w:after="0" w:line="276" w:lineRule="auto"/>
        <w:ind w:right="-24"/>
        <w:jc w:val="both"/>
        <w:rPr>
          <w:rFonts w:asciiTheme="majorHAnsi" w:hAnsiTheme="majorHAnsi" w:cstheme="majorHAnsi"/>
          <w:sz w:val="24"/>
          <w:szCs w:val="24"/>
          <w:lang w:val="ro-RO"/>
        </w:rPr>
      </w:pPr>
      <w:r w:rsidRPr="00563C4C">
        <w:rPr>
          <w:rFonts w:asciiTheme="majorHAnsi" w:hAnsiTheme="majorHAnsi" w:cstheme="majorHAnsi"/>
          <w:sz w:val="24"/>
          <w:szCs w:val="24"/>
          <w:lang w:val="ro-RO"/>
        </w:rPr>
        <w:t>O descriere suplimentară a responsabilităților auditorului într-un audit al rapoartelor financiare este plasată pe site-ul Curții de Conturi, la adresa</w:t>
      </w:r>
      <w:r w:rsidRPr="00563C4C">
        <w:rPr>
          <w:rFonts w:asciiTheme="majorHAnsi" w:hAnsiTheme="majorHAnsi" w:cstheme="majorHAnsi"/>
          <w:i/>
          <w:sz w:val="24"/>
          <w:szCs w:val="24"/>
          <w:lang w:val="ro-RO"/>
        </w:rPr>
        <w:t xml:space="preserve">: </w:t>
      </w:r>
      <w:hyperlink r:id="rId11" w:history="1">
        <w:r w:rsidRPr="00563C4C">
          <w:rPr>
            <w:rFonts w:asciiTheme="majorHAnsi" w:hAnsiTheme="majorHAnsi" w:cstheme="majorHAnsi"/>
            <w:i/>
            <w:color w:val="0563C1" w:themeColor="hyperlink"/>
            <w:sz w:val="24"/>
            <w:szCs w:val="24"/>
            <w:u w:val="single"/>
            <w:lang w:val="ro-RO"/>
          </w:rPr>
          <w:t>http://www.ccrm.md/activitatea-curtii-de-conturi-1-25</w:t>
        </w:r>
      </w:hyperlink>
      <w:r w:rsidRPr="00563C4C">
        <w:rPr>
          <w:rFonts w:asciiTheme="majorHAnsi" w:hAnsiTheme="majorHAnsi" w:cstheme="majorHAnsi"/>
          <w:i/>
          <w:sz w:val="24"/>
          <w:szCs w:val="24"/>
          <w:lang w:val="ro-RO"/>
        </w:rPr>
        <w:t>.</w:t>
      </w:r>
      <w:r w:rsidRPr="00563C4C">
        <w:rPr>
          <w:rFonts w:asciiTheme="majorHAnsi" w:hAnsiTheme="majorHAnsi" w:cstheme="majorHAnsi"/>
          <w:sz w:val="24"/>
          <w:szCs w:val="24"/>
          <w:lang w:val="ro-RO"/>
        </w:rPr>
        <w:t xml:space="preserve"> Această descriere face parte din Raportul nos</w:t>
      </w:r>
      <w:r w:rsidR="00014507">
        <w:rPr>
          <w:rFonts w:asciiTheme="majorHAnsi" w:hAnsiTheme="majorHAnsi" w:cstheme="majorHAnsi"/>
          <w:sz w:val="24"/>
          <w:szCs w:val="24"/>
          <w:lang w:val="ro-RO"/>
        </w:rPr>
        <w:t>tru de audit</w:t>
      </w:r>
    </w:p>
    <w:p w:rsidR="00014507" w:rsidRPr="00563C4C" w:rsidRDefault="00014507" w:rsidP="00FF18FB">
      <w:pPr>
        <w:autoSpaceDE w:val="0"/>
        <w:autoSpaceDN w:val="0"/>
        <w:adjustRightInd w:val="0"/>
        <w:spacing w:before="240" w:after="0" w:line="276" w:lineRule="auto"/>
        <w:ind w:right="-24"/>
        <w:jc w:val="both"/>
        <w:rPr>
          <w:rFonts w:asciiTheme="majorHAnsi" w:hAnsiTheme="majorHAnsi" w:cstheme="majorHAnsi"/>
          <w:sz w:val="24"/>
          <w:szCs w:val="24"/>
          <w:lang w:val="ro-RO"/>
        </w:rPr>
      </w:pPr>
    </w:p>
    <w:tbl>
      <w:tblPr>
        <w:tblStyle w:val="TableGrid"/>
        <w:tblW w:w="9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2670"/>
      </w:tblGrid>
      <w:tr w:rsidR="00563C4C" w:rsidRPr="00563C4C" w:rsidTr="0087559B">
        <w:trPr>
          <w:trHeight w:val="878"/>
        </w:trPr>
        <w:tc>
          <w:tcPr>
            <w:tcW w:w="6948" w:type="dxa"/>
          </w:tcPr>
          <w:p w:rsidR="00563C4C" w:rsidRPr="00563C4C" w:rsidRDefault="00563C4C" w:rsidP="00563C4C">
            <w:pPr>
              <w:spacing w:line="276" w:lineRule="auto"/>
              <w:jc w:val="both"/>
              <w:rPr>
                <w:rFonts w:asciiTheme="majorHAnsi" w:eastAsia="Times New Roman" w:hAnsiTheme="majorHAnsi" w:cstheme="majorHAnsi"/>
                <w:b/>
                <w:i/>
                <w:sz w:val="24"/>
                <w:szCs w:val="24"/>
                <w:lang w:val="ro-RO"/>
              </w:rPr>
            </w:pPr>
            <w:r w:rsidRPr="00563C4C">
              <w:rPr>
                <w:rFonts w:asciiTheme="majorHAnsi" w:eastAsia="Times New Roman" w:hAnsiTheme="majorHAnsi" w:cstheme="majorHAnsi"/>
                <w:b/>
                <w:i/>
                <w:sz w:val="24"/>
                <w:szCs w:val="24"/>
                <w:lang w:val="ro-RO"/>
              </w:rPr>
              <w:t>Responsabili de întocmirea Raportului de audit:</w:t>
            </w:r>
          </w:p>
          <w:p w:rsidR="00563C4C" w:rsidRPr="00563C4C" w:rsidRDefault="00563C4C" w:rsidP="0064036A">
            <w:pPr>
              <w:spacing w:line="276" w:lineRule="auto"/>
              <w:rPr>
                <w:rFonts w:asciiTheme="majorHAnsi" w:hAnsiTheme="majorHAnsi" w:cstheme="majorHAnsi"/>
                <w:lang w:val="ro-RO"/>
              </w:rPr>
            </w:pPr>
            <w:r w:rsidRPr="00563C4C">
              <w:rPr>
                <w:rFonts w:asciiTheme="majorHAnsi" w:eastAsia="Times New Roman" w:hAnsiTheme="majorHAnsi" w:cstheme="majorHAnsi"/>
                <w:sz w:val="24"/>
                <w:szCs w:val="24"/>
                <w:lang w:val="ro-RO"/>
              </w:rPr>
              <w:t>șef</w:t>
            </w:r>
            <w:r w:rsidR="0064036A">
              <w:rPr>
                <w:rFonts w:asciiTheme="majorHAnsi" w:eastAsia="Times New Roman" w:hAnsiTheme="majorHAnsi" w:cstheme="majorHAnsi"/>
                <w:sz w:val="24"/>
                <w:szCs w:val="24"/>
                <w:lang w:val="ro-RO"/>
              </w:rPr>
              <w:t>a</w:t>
            </w:r>
            <w:r w:rsidRPr="00563C4C">
              <w:rPr>
                <w:rFonts w:asciiTheme="majorHAnsi" w:eastAsia="Times New Roman" w:hAnsiTheme="majorHAnsi" w:cstheme="majorHAnsi"/>
                <w:sz w:val="24"/>
                <w:szCs w:val="24"/>
                <w:lang w:val="ro-RO"/>
              </w:rPr>
              <w:t xml:space="preserve"> echipei de audit, audito</w:t>
            </w:r>
            <w:r w:rsidR="0064036A">
              <w:rPr>
                <w:rFonts w:asciiTheme="majorHAnsi" w:eastAsia="Times New Roman" w:hAnsiTheme="majorHAnsi" w:cstheme="majorHAnsi"/>
                <w:sz w:val="24"/>
                <w:szCs w:val="24"/>
                <w:lang w:val="ro-RO"/>
              </w:rPr>
              <w:t>a</w:t>
            </w:r>
            <w:r w:rsidRPr="00563C4C">
              <w:rPr>
                <w:rFonts w:asciiTheme="majorHAnsi" w:eastAsia="Times New Roman" w:hAnsiTheme="majorHAnsi" w:cstheme="majorHAnsi"/>
                <w:sz w:val="24"/>
                <w:szCs w:val="24"/>
                <w:lang w:val="ro-RO"/>
              </w:rPr>
              <w:t>r</w:t>
            </w:r>
            <w:r w:rsidR="0064036A">
              <w:rPr>
                <w:rFonts w:asciiTheme="majorHAnsi" w:eastAsia="Times New Roman" w:hAnsiTheme="majorHAnsi" w:cstheme="majorHAnsi"/>
                <w:sz w:val="24"/>
                <w:szCs w:val="24"/>
                <w:lang w:val="ro-RO"/>
              </w:rPr>
              <w:t>e</w:t>
            </w:r>
            <w:r w:rsidRPr="00563C4C">
              <w:rPr>
                <w:rFonts w:asciiTheme="majorHAnsi" w:eastAsia="Times New Roman" w:hAnsiTheme="majorHAnsi" w:cstheme="majorHAnsi"/>
                <w:sz w:val="24"/>
                <w:szCs w:val="24"/>
                <w:lang w:val="ro-RO"/>
              </w:rPr>
              <w:t xml:space="preserve"> public</w:t>
            </w:r>
            <w:r w:rsidR="0064036A">
              <w:rPr>
                <w:rFonts w:asciiTheme="majorHAnsi" w:eastAsia="Times New Roman" w:hAnsiTheme="majorHAnsi" w:cstheme="majorHAnsi"/>
                <w:sz w:val="24"/>
                <w:szCs w:val="24"/>
                <w:lang w:val="ro-RO"/>
              </w:rPr>
              <w:t>ă</w:t>
            </w:r>
            <w:r w:rsidRPr="00563C4C">
              <w:rPr>
                <w:rFonts w:asciiTheme="majorHAnsi" w:hAnsiTheme="majorHAnsi" w:cstheme="majorHAnsi"/>
                <w:b/>
                <w:sz w:val="24"/>
                <w:szCs w:val="24"/>
                <w:lang w:val="ro-RO"/>
              </w:rPr>
              <w:t xml:space="preserve"> </w:t>
            </w:r>
            <w:r w:rsidRPr="00563C4C">
              <w:rPr>
                <w:rFonts w:asciiTheme="majorHAnsi" w:hAnsiTheme="majorHAnsi" w:cstheme="majorHAnsi"/>
                <w:sz w:val="24"/>
                <w:szCs w:val="24"/>
                <w:lang w:val="ro-RO"/>
              </w:rPr>
              <w:t>principal</w:t>
            </w:r>
            <w:r w:rsidR="0064036A">
              <w:rPr>
                <w:rFonts w:asciiTheme="majorHAnsi" w:hAnsiTheme="majorHAnsi" w:cstheme="majorHAnsi"/>
                <w:sz w:val="24"/>
                <w:szCs w:val="24"/>
                <w:lang w:val="ro-RO"/>
              </w:rPr>
              <w:t>ă</w:t>
            </w:r>
            <w:r w:rsidRPr="00563C4C">
              <w:rPr>
                <w:rFonts w:asciiTheme="majorHAnsi" w:hAnsiTheme="majorHAnsi" w:cstheme="majorHAnsi"/>
                <w:sz w:val="24"/>
                <w:szCs w:val="24"/>
                <w:lang w:val="ro-RO"/>
              </w:rPr>
              <w:t xml:space="preserve"> </w:t>
            </w:r>
            <w:r w:rsidRPr="00563C4C">
              <w:rPr>
                <w:rFonts w:asciiTheme="majorHAnsi" w:hAnsiTheme="majorHAnsi" w:cstheme="majorHAnsi"/>
                <w:b/>
                <w:sz w:val="24"/>
                <w:szCs w:val="24"/>
                <w:lang w:val="ro-RO"/>
              </w:rPr>
              <w:t xml:space="preserve">                                                                                                    </w:t>
            </w:r>
            <w:r w:rsidRPr="00563C4C">
              <w:rPr>
                <w:rFonts w:asciiTheme="majorHAnsi" w:eastAsia="Times New Roman" w:hAnsiTheme="majorHAnsi" w:cstheme="majorHAnsi"/>
                <w:sz w:val="24"/>
                <w:szCs w:val="24"/>
                <w:lang w:val="ro-RO"/>
              </w:rPr>
              <w:t xml:space="preserve">în cadrul </w:t>
            </w:r>
            <w:r w:rsidRPr="00563C4C">
              <w:rPr>
                <w:rFonts w:asciiTheme="majorHAnsi" w:hAnsiTheme="majorHAnsi" w:cstheme="majorHAnsi"/>
                <w:sz w:val="24"/>
                <w:szCs w:val="24"/>
                <w:lang w:val="ro-RO"/>
              </w:rPr>
              <w:t>Direcției generale de audit I</w:t>
            </w:r>
            <w:r w:rsidRPr="00563C4C">
              <w:rPr>
                <w:rFonts w:asciiTheme="majorHAnsi" w:hAnsiTheme="majorHAnsi" w:cstheme="majorHAnsi"/>
                <w:lang w:val="ro-RO"/>
              </w:rPr>
              <w:t xml:space="preserve">   </w:t>
            </w:r>
            <w:r w:rsidRPr="00563C4C">
              <w:rPr>
                <w:rFonts w:asciiTheme="majorHAnsi" w:hAnsiTheme="majorHAnsi" w:cstheme="majorHAnsi"/>
                <w:b/>
                <w:sz w:val="24"/>
                <w:szCs w:val="24"/>
                <w:lang w:val="ro-RO"/>
              </w:rPr>
              <w:t xml:space="preserve">                                               </w:t>
            </w:r>
          </w:p>
        </w:tc>
        <w:tc>
          <w:tcPr>
            <w:tcW w:w="2670" w:type="dxa"/>
          </w:tcPr>
          <w:p w:rsidR="00563C4C" w:rsidRPr="00563C4C" w:rsidRDefault="00563C4C" w:rsidP="00563C4C">
            <w:pPr>
              <w:autoSpaceDE w:val="0"/>
              <w:autoSpaceDN w:val="0"/>
              <w:adjustRightInd w:val="0"/>
              <w:spacing w:line="276" w:lineRule="auto"/>
              <w:jc w:val="right"/>
              <w:rPr>
                <w:rFonts w:asciiTheme="majorHAnsi" w:hAnsiTheme="majorHAnsi" w:cstheme="majorHAnsi"/>
                <w:b/>
                <w:color w:val="000000"/>
                <w:sz w:val="24"/>
                <w:szCs w:val="24"/>
                <w:lang w:val="ro-RO"/>
              </w:rPr>
            </w:pPr>
            <w:r w:rsidRPr="00563C4C">
              <w:rPr>
                <w:rFonts w:asciiTheme="majorHAnsi" w:hAnsiTheme="majorHAnsi" w:cstheme="majorHAnsi"/>
                <w:b/>
                <w:color w:val="000000"/>
                <w:sz w:val="24"/>
                <w:szCs w:val="24"/>
                <w:lang w:val="ro-RO"/>
              </w:rPr>
              <w:t>Uliana Negru</w:t>
            </w:r>
          </w:p>
          <w:p w:rsidR="00563C4C" w:rsidRPr="00563C4C" w:rsidRDefault="00563C4C" w:rsidP="00563C4C">
            <w:pPr>
              <w:autoSpaceDE w:val="0"/>
              <w:autoSpaceDN w:val="0"/>
              <w:adjustRightInd w:val="0"/>
              <w:spacing w:line="276" w:lineRule="auto"/>
              <w:jc w:val="right"/>
              <w:rPr>
                <w:rFonts w:asciiTheme="majorHAnsi" w:hAnsiTheme="majorHAnsi" w:cstheme="majorHAnsi"/>
                <w:sz w:val="24"/>
                <w:szCs w:val="24"/>
                <w:lang w:val="ro-RO"/>
              </w:rPr>
            </w:pPr>
          </w:p>
        </w:tc>
      </w:tr>
      <w:tr w:rsidR="00563C4C" w:rsidRPr="00563C4C" w:rsidTr="0087559B">
        <w:trPr>
          <w:trHeight w:val="781"/>
        </w:trPr>
        <w:tc>
          <w:tcPr>
            <w:tcW w:w="6948" w:type="dxa"/>
          </w:tcPr>
          <w:p w:rsidR="00563C4C" w:rsidRPr="00563C4C" w:rsidRDefault="00563C4C" w:rsidP="00563C4C">
            <w:pPr>
              <w:spacing w:line="276" w:lineRule="auto"/>
              <w:jc w:val="both"/>
              <w:rPr>
                <w:rFonts w:asciiTheme="majorHAnsi" w:eastAsia="Times New Roman" w:hAnsiTheme="majorHAnsi" w:cstheme="majorHAnsi"/>
                <w:b/>
                <w:i/>
                <w:sz w:val="24"/>
                <w:szCs w:val="24"/>
                <w:lang w:val="ro-RO"/>
              </w:rPr>
            </w:pPr>
          </w:p>
          <w:p w:rsidR="00563C4C" w:rsidRPr="00563C4C" w:rsidRDefault="00563C4C" w:rsidP="00563C4C">
            <w:pPr>
              <w:spacing w:line="276" w:lineRule="auto"/>
              <w:jc w:val="both"/>
              <w:rPr>
                <w:rFonts w:asciiTheme="majorHAnsi" w:eastAsia="Times New Roman" w:hAnsiTheme="majorHAnsi" w:cstheme="majorHAnsi"/>
                <w:b/>
                <w:i/>
                <w:sz w:val="24"/>
                <w:szCs w:val="24"/>
                <w:lang w:val="ro-RO"/>
              </w:rPr>
            </w:pPr>
            <w:r w:rsidRPr="00563C4C">
              <w:rPr>
                <w:rFonts w:asciiTheme="majorHAnsi" w:eastAsia="Times New Roman" w:hAnsiTheme="majorHAnsi" w:cstheme="majorHAnsi"/>
                <w:b/>
                <w:i/>
                <w:sz w:val="24"/>
                <w:szCs w:val="24"/>
                <w:lang w:val="ro-RO"/>
              </w:rPr>
              <w:t>Membr</w:t>
            </w:r>
            <w:r w:rsidR="00E008DA">
              <w:rPr>
                <w:rFonts w:asciiTheme="majorHAnsi" w:eastAsia="Times New Roman" w:hAnsiTheme="majorHAnsi" w:cstheme="majorHAnsi"/>
                <w:b/>
                <w:i/>
                <w:sz w:val="24"/>
                <w:szCs w:val="24"/>
                <w:lang w:val="ro-RO"/>
              </w:rPr>
              <w:t>ul</w:t>
            </w:r>
            <w:r w:rsidRPr="00563C4C">
              <w:rPr>
                <w:rFonts w:asciiTheme="majorHAnsi" w:eastAsia="Times New Roman" w:hAnsiTheme="majorHAnsi" w:cstheme="majorHAnsi"/>
                <w:b/>
                <w:i/>
                <w:sz w:val="24"/>
                <w:szCs w:val="24"/>
                <w:lang w:val="ro-RO"/>
              </w:rPr>
              <w:t xml:space="preserve"> echipei de audit:</w:t>
            </w:r>
          </w:p>
          <w:p w:rsidR="00563C4C" w:rsidRPr="00563C4C" w:rsidRDefault="00563C4C" w:rsidP="00A06F4C">
            <w:pPr>
              <w:spacing w:line="276" w:lineRule="auto"/>
              <w:jc w:val="both"/>
              <w:rPr>
                <w:rFonts w:asciiTheme="majorHAnsi" w:hAnsiTheme="majorHAnsi" w:cstheme="majorHAnsi"/>
                <w:lang w:val="ro-RO"/>
              </w:rPr>
            </w:pPr>
            <w:r w:rsidRPr="00563C4C">
              <w:rPr>
                <w:rFonts w:asciiTheme="majorHAnsi" w:eastAsia="Times New Roman" w:hAnsiTheme="majorHAnsi" w:cstheme="majorHAnsi"/>
                <w:sz w:val="24"/>
                <w:szCs w:val="24"/>
                <w:lang w:val="ro-RO"/>
              </w:rPr>
              <w:t>auditor public</w:t>
            </w:r>
            <w:r w:rsidRPr="00563C4C">
              <w:rPr>
                <w:rFonts w:asciiTheme="majorHAnsi" w:hAnsiTheme="majorHAnsi" w:cstheme="majorHAnsi"/>
                <w:sz w:val="24"/>
                <w:szCs w:val="24"/>
                <w:lang w:val="ro-RO"/>
              </w:rPr>
              <w:t xml:space="preserve"> superior                                                                                                     </w:t>
            </w:r>
          </w:p>
        </w:tc>
        <w:tc>
          <w:tcPr>
            <w:tcW w:w="2670" w:type="dxa"/>
          </w:tcPr>
          <w:p w:rsidR="00563C4C" w:rsidRPr="00563C4C" w:rsidRDefault="00563C4C" w:rsidP="00563C4C">
            <w:pPr>
              <w:spacing w:line="276" w:lineRule="auto"/>
              <w:jc w:val="right"/>
              <w:rPr>
                <w:rFonts w:asciiTheme="majorHAnsi" w:hAnsiTheme="majorHAnsi" w:cstheme="majorHAnsi"/>
                <w:b/>
                <w:sz w:val="24"/>
                <w:szCs w:val="24"/>
                <w:lang w:val="ro-RO"/>
              </w:rPr>
            </w:pPr>
          </w:p>
          <w:p w:rsidR="00563C4C" w:rsidRPr="00563C4C" w:rsidRDefault="00563C4C" w:rsidP="00563C4C">
            <w:pPr>
              <w:spacing w:line="276" w:lineRule="auto"/>
              <w:ind w:right="120"/>
              <w:jc w:val="right"/>
              <w:rPr>
                <w:rFonts w:asciiTheme="majorHAnsi" w:hAnsiTheme="majorHAnsi" w:cstheme="majorHAnsi"/>
                <w:b/>
                <w:sz w:val="24"/>
                <w:szCs w:val="24"/>
                <w:lang w:val="ro-RO"/>
              </w:rPr>
            </w:pPr>
          </w:p>
          <w:p w:rsidR="00563C4C" w:rsidRPr="00563C4C" w:rsidRDefault="00563C4C" w:rsidP="00563C4C">
            <w:pPr>
              <w:spacing w:line="276" w:lineRule="auto"/>
              <w:ind w:right="120"/>
              <w:jc w:val="right"/>
              <w:rPr>
                <w:rFonts w:asciiTheme="majorHAnsi" w:hAnsiTheme="majorHAnsi" w:cstheme="majorHAnsi"/>
                <w:b/>
                <w:sz w:val="24"/>
                <w:szCs w:val="24"/>
                <w:lang w:val="ro-RO"/>
              </w:rPr>
            </w:pPr>
          </w:p>
          <w:p w:rsidR="00563C4C" w:rsidRPr="00563C4C" w:rsidRDefault="00563C4C" w:rsidP="00E008DA">
            <w:pPr>
              <w:spacing w:line="276" w:lineRule="auto"/>
              <w:ind w:right="120"/>
              <w:jc w:val="right"/>
              <w:rPr>
                <w:rFonts w:asciiTheme="majorHAnsi" w:hAnsiTheme="majorHAnsi" w:cstheme="majorHAnsi"/>
                <w:lang w:val="ro-RO"/>
              </w:rPr>
            </w:pPr>
            <w:r w:rsidRPr="00563C4C">
              <w:rPr>
                <w:rFonts w:asciiTheme="majorHAnsi" w:hAnsiTheme="majorHAnsi" w:cstheme="majorHAnsi"/>
                <w:b/>
                <w:sz w:val="24"/>
                <w:szCs w:val="24"/>
                <w:lang w:val="ro-RO"/>
              </w:rPr>
              <w:t>Andrei Berlinski</w:t>
            </w:r>
          </w:p>
        </w:tc>
      </w:tr>
      <w:tr w:rsidR="00014507" w:rsidRPr="00563C4C" w:rsidTr="0087559B">
        <w:trPr>
          <w:trHeight w:val="399"/>
        </w:trPr>
        <w:tc>
          <w:tcPr>
            <w:tcW w:w="6948" w:type="dxa"/>
          </w:tcPr>
          <w:p w:rsidR="00014507" w:rsidRPr="00563C4C" w:rsidRDefault="00014507" w:rsidP="00014507">
            <w:pPr>
              <w:spacing w:line="276" w:lineRule="auto"/>
              <w:jc w:val="both"/>
              <w:rPr>
                <w:rFonts w:asciiTheme="majorHAnsi" w:eastAsia="Times New Roman" w:hAnsiTheme="majorHAnsi" w:cstheme="majorHAnsi"/>
                <w:b/>
                <w:i/>
                <w:sz w:val="24"/>
                <w:szCs w:val="24"/>
                <w:lang w:val="ro-RO"/>
              </w:rPr>
            </w:pPr>
          </w:p>
          <w:p w:rsidR="00014507" w:rsidRPr="00563C4C" w:rsidRDefault="00014507" w:rsidP="00014507">
            <w:pPr>
              <w:spacing w:line="276" w:lineRule="auto"/>
              <w:jc w:val="both"/>
              <w:rPr>
                <w:rFonts w:asciiTheme="majorHAnsi" w:eastAsia="Times New Roman" w:hAnsiTheme="majorHAnsi" w:cstheme="majorHAnsi"/>
                <w:b/>
                <w:i/>
                <w:sz w:val="24"/>
                <w:szCs w:val="24"/>
                <w:lang w:val="ro-RO"/>
              </w:rPr>
            </w:pPr>
            <w:r w:rsidRPr="00563C4C">
              <w:rPr>
                <w:rFonts w:asciiTheme="majorHAnsi" w:eastAsia="Times New Roman" w:hAnsiTheme="majorHAnsi" w:cstheme="majorHAnsi"/>
                <w:b/>
                <w:i/>
                <w:sz w:val="24"/>
                <w:szCs w:val="24"/>
                <w:lang w:val="ro-RO"/>
              </w:rPr>
              <w:t>Responsabil de audit:</w:t>
            </w:r>
          </w:p>
          <w:p w:rsidR="00014507" w:rsidRPr="00563C4C" w:rsidRDefault="00014507" w:rsidP="0064036A">
            <w:pPr>
              <w:autoSpaceDE w:val="0"/>
              <w:autoSpaceDN w:val="0"/>
              <w:adjustRightInd w:val="0"/>
              <w:spacing w:line="276" w:lineRule="auto"/>
              <w:jc w:val="both"/>
              <w:rPr>
                <w:rFonts w:asciiTheme="majorHAnsi" w:hAnsiTheme="majorHAnsi" w:cstheme="majorHAnsi"/>
                <w:sz w:val="24"/>
                <w:szCs w:val="24"/>
                <w:lang w:val="ro-RO"/>
              </w:rPr>
            </w:pPr>
            <w:r w:rsidRPr="00563C4C">
              <w:rPr>
                <w:rFonts w:asciiTheme="majorHAnsi" w:hAnsiTheme="majorHAnsi" w:cstheme="majorHAnsi"/>
                <w:color w:val="000000"/>
                <w:sz w:val="24"/>
                <w:szCs w:val="24"/>
                <w:lang w:val="ro-RO"/>
              </w:rPr>
              <w:t>șef</w:t>
            </w:r>
            <w:r w:rsidR="0064036A">
              <w:rPr>
                <w:rFonts w:asciiTheme="majorHAnsi" w:hAnsiTheme="majorHAnsi" w:cstheme="majorHAnsi"/>
                <w:color w:val="000000"/>
                <w:sz w:val="24"/>
                <w:szCs w:val="24"/>
                <w:lang w:val="ro-RO"/>
              </w:rPr>
              <w:t>a</w:t>
            </w:r>
            <w:r w:rsidRPr="00563C4C">
              <w:rPr>
                <w:rFonts w:asciiTheme="majorHAnsi" w:hAnsiTheme="majorHAnsi" w:cstheme="majorHAnsi"/>
                <w:color w:val="000000"/>
                <w:sz w:val="24"/>
                <w:szCs w:val="24"/>
                <w:lang w:val="ro-RO"/>
              </w:rPr>
              <w:t xml:space="preserve"> Direcției generale de audit I   </w:t>
            </w:r>
          </w:p>
        </w:tc>
        <w:tc>
          <w:tcPr>
            <w:tcW w:w="2670" w:type="dxa"/>
          </w:tcPr>
          <w:p w:rsidR="00014507" w:rsidRPr="00563C4C" w:rsidRDefault="00014507" w:rsidP="00014507">
            <w:pPr>
              <w:spacing w:line="276" w:lineRule="auto"/>
              <w:jc w:val="right"/>
              <w:rPr>
                <w:rFonts w:asciiTheme="majorHAnsi" w:hAnsiTheme="majorHAnsi" w:cstheme="majorHAnsi"/>
                <w:b/>
                <w:sz w:val="24"/>
                <w:szCs w:val="24"/>
                <w:lang w:val="ro-RO"/>
              </w:rPr>
            </w:pPr>
          </w:p>
          <w:p w:rsidR="00014507" w:rsidRPr="00563C4C" w:rsidRDefault="00014507" w:rsidP="00014507">
            <w:pPr>
              <w:spacing w:line="276" w:lineRule="auto"/>
              <w:jc w:val="right"/>
              <w:rPr>
                <w:rFonts w:asciiTheme="majorHAnsi" w:hAnsiTheme="majorHAnsi" w:cstheme="majorHAnsi"/>
                <w:b/>
                <w:sz w:val="24"/>
                <w:szCs w:val="24"/>
                <w:lang w:val="ro-RO"/>
              </w:rPr>
            </w:pPr>
          </w:p>
          <w:p w:rsidR="00014507" w:rsidRPr="00563C4C" w:rsidRDefault="00014507" w:rsidP="00014507">
            <w:pPr>
              <w:spacing w:line="276" w:lineRule="auto"/>
              <w:jc w:val="right"/>
              <w:rPr>
                <w:rFonts w:asciiTheme="majorHAnsi" w:hAnsiTheme="majorHAnsi" w:cstheme="majorHAnsi"/>
                <w:b/>
                <w:sz w:val="24"/>
                <w:szCs w:val="24"/>
                <w:lang w:val="ro-RO"/>
              </w:rPr>
            </w:pPr>
          </w:p>
          <w:p w:rsidR="00014507" w:rsidRPr="00563C4C" w:rsidRDefault="00014507" w:rsidP="00014507">
            <w:pPr>
              <w:spacing w:line="276" w:lineRule="auto"/>
              <w:jc w:val="right"/>
              <w:rPr>
                <w:rFonts w:asciiTheme="majorHAnsi" w:hAnsiTheme="majorHAnsi" w:cstheme="majorHAnsi"/>
                <w:lang w:val="ro-RO"/>
              </w:rPr>
            </w:pPr>
            <w:r w:rsidRPr="00563C4C">
              <w:rPr>
                <w:rFonts w:asciiTheme="majorHAnsi" w:hAnsiTheme="majorHAnsi" w:cstheme="majorHAnsi"/>
                <w:b/>
                <w:sz w:val="24"/>
                <w:szCs w:val="24"/>
                <w:lang w:val="ro-RO"/>
              </w:rPr>
              <w:t>Natalia Trofim</w:t>
            </w:r>
          </w:p>
        </w:tc>
      </w:tr>
      <w:tr w:rsidR="00014507" w:rsidRPr="00563C4C" w:rsidTr="0087559B">
        <w:trPr>
          <w:trHeight w:val="52"/>
        </w:trPr>
        <w:tc>
          <w:tcPr>
            <w:tcW w:w="6948" w:type="dxa"/>
          </w:tcPr>
          <w:p w:rsidR="00014507" w:rsidRPr="00563C4C" w:rsidRDefault="00014507" w:rsidP="00014507">
            <w:pPr>
              <w:autoSpaceDE w:val="0"/>
              <w:autoSpaceDN w:val="0"/>
              <w:adjustRightInd w:val="0"/>
              <w:spacing w:line="276" w:lineRule="auto"/>
              <w:rPr>
                <w:rFonts w:asciiTheme="majorHAnsi" w:eastAsia="Times New Roman" w:hAnsiTheme="majorHAnsi" w:cstheme="majorHAnsi"/>
                <w:color w:val="000000"/>
                <w:sz w:val="24"/>
                <w:szCs w:val="24"/>
                <w:lang w:val="ro-RO"/>
              </w:rPr>
            </w:pPr>
          </w:p>
        </w:tc>
        <w:tc>
          <w:tcPr>
            <w:tcW w:w="2670" w:type="dxa"/>
          </w:tcPr>
          <w:p w:rsidR="00014507" w:rsidRPr="00563C4C" w:rsidRDefault="00014507" w:rsidP="00014507">
            <w:pPr>
              <w:spacing w:line="276" w:lineRule="auto"/>
              <w:jc w:val="right"/>
              <w:rPr>
                <w:rFonts w:asciiTheme="majorHAnsi" w:hAnsiTheme="majorHAnsi" w:cstheme="majorHAnsi"/>
                <w:b/>
                <w:sz w:val="24"/>
                <w:szCs w:val="24"/>
                <w:lang w:val="ro-RO"/>
              </w:rPr>
            </w:pPr>
          </w:p>
        </w:tc>
      </w:tr>
      <w:tr w:rsidR="00014507" w:rsidRPr="00563C4C" w:rsidTr="0087559B">
        <w:trPr>
          <w:trHeight w:val="727"/>
        </w:trPr>
        <w:tc>
          <w:tcPr>
            <w:tcW w:w="6948" w:type="dxa"/>
          </w:tcPr>
          <w:p w:rsidR="00014507" w:rsidRPr="00563C4C" w:rsidRDefault="00014507" w:rsidP="00014507">
            <w:pPr>
              <w:autoSpaceDE w:val="0"/>
              <w:autoSpaceDN w:val="0"/>
              <w:adjustRightInd w:val="0"/>
              <w:spacing w:line="276" w:lineRule="auto"/>
              <w:jc w:val="both"/>
              <w:rPr>
                <w:rFonts w:asciiTheme="majorHAnsi" w:hAnsiTheme="majorHAnsi" w:cstheme="majorHAnsi"/>
                <w:sz w:val="24"/>
                <w:szCs w:val="24"/>
                <w:lang w:val="ro-RO"/>
              </w:rPr>
            </w:pPr>
          </w:p>
        </w:tc>
        <w:tc>
          <w:tcPr>
            <w:tcW w:w="2670" w:type="dxa"/>
          </w:tcPr>
          <w:p w:rsidR="00014507" w:rsidRPr="00563C4C" w:rsidRDefault="00014507" w:rsidP="00014507">
            <w:pPr>
              <w:spacing w:line="276" w:lineRule="auto"/>
              <w:jc w:val="right"/>
              <w:rPr>
                <w:rFonts w:asciiTheme="majorHAnsi" w:hAnsiTheme="majorHAnsi" w:cstheme="majorHAnsi"/>
                <w:lang w:val="ro-RO"/>
              </w:rPr>
            </w:pPr>
          </w:p>
        </w:tc>
      </w:tr>
    </w:tbl>
    <w:p w:rsidR="0087559B" w:rsidRPr="00563C4C" w:rsidRDefault="0087559B" w:rsidP="00046B59">
      <w:pPr>
        <w:autoSpaceDE w:val="0"/>
        <w:autoSpaceDN w:val="0"/>
        <w:adjustRightInd w:val="0"/>
        <w:spacing w:before="240" w:after="0" w:line="276" w:lineRule="auto"/>
        <w:ind w:right="-24"/>
        <w:jc w:val="both"/>
        <w:rPr>
          <w:lang w:val="ro-RO"/>
        </w:rPr>
      </w:pPr>
    </w:p>
    <w:sectPr w:rsidR="0087559B" w:rsidRPr="00563C4C" w:rsidSect="0087559B">
      <w:footerReference w:type="default" r:id="rId12"/>
      <w:headerReference w:type="first" r:id="rId13"/>
      <w:pgSz w:w="11906" w:h="16838" w:code="9"/>
      <w:pgMar w:top="851" w:right="991"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447" w:rsidRDefault="00C73447" w:rsidP="00563C4C">
      <w:pPr>
        <w:spacing w:after="0" w:line="240" w:lineRule="auto"/>
      </w:pPr>
      <w:r>
        <w:separator/>
      </w:r>
    </w:p>
  </w:endnote>
  <w:endnote w:type="continuationSeparator" w:id="0">
    <w:p w:rsidR="00C73447" w:rsidRDefault="00C73447" w:rsidP="0056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69295"/>
      <w:docPartObj>
        <w:docPartGallery w:val="Page Numbers (Bottom of Page)"/>
        <w:docPartUnique/>
      </w:docPartObj>
    </w:sdtPr>
    <w:sdtEndPr/>
    <w:sdtContent>
      <w:p w:rsidR="0087559B" w:rsidRDefault="0087559B">
        <w:pPr>
          <w:pStyle w:val="Footer"/>
          <w:jc w:val="right"/>
        </w:pPr>
        <w:r>
          <w:fldChar w:fldCharType="begin"/>
        </w:r>
        <w:r>
          <w:instrText xml:space="preserve"> PAGE   \* MERGEFORMAT </w:instrText>
        </w:r>
        <w:r>
          <w:fldChar w:fldCharType="separate"/>
        </w:r>
        <w:r w:rsidR="001F71DC">
          <w:rPr>
            <w:noProof/>
          </w:rPr>
          <w:t>10</w:t>
        </w:r>
        <w:r>
          <w:rPr>
            <w:noProof/>
          </w:rPr>
          <w:fldChar w:fldCharType="end"/>
        </w:r>
      </w:p>
    </w:sdtContent>
  </w:sdt>
  <w:p w:rsidR="0087559B" w:rsidRDefault="0087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447" w:rsidRDefault="00C73447" w:rsidP="00563C4C">
      <w:pPr>
        <w:spacing w:after="0" w:line="240" w:lineRule="auto"/>
      </w:pPr>
      <w:r>
        <w:separator/>
      </w:r>
    </w:p>
  </w:footnote>
  <w:footnote w:type="continuationSeparator" w:id="0">
    <w:p w:rsidR="00C73447" w:rsidRDefault="00C73447" w:rsidP="00563C4C">
      <w:pPr>
        <w:spacing w:after="0" w:line="240" w:lineRule="auto"/>
      </w:pPr>
      <w:r>
        <w:continuationSeparator/>
      </w:r>
    </w:p>
  </w:footnote>
  <w:footnote w:id="1">
    <w:p w:rsidR="00055C48" w:rsidRPr="00C83B81" w:rsidRDefault="00055C48" w:rsidP="00CB7373">
      <w:pPr>
        <w:pStyle w:val="FootnoteText"/>
        <w:jc w:val="both"/>
        <w:rPr>
          <w:rFonts w:asciiTheme="majorHAnsi" w:hAnsiTheme="majorHAnsi" w:cstheme="majorHAnsi"/>
          <w:sz w:val="16"/>
          <w:szCs w:val="16"/>
          <w:lang w:val="ro-MD"/>
        </w:rPr>
      </w:pPr>
      <w:r w:rsidRPr="00C83B81">
        <w:rPr>
          <w:rFonts w:asciiTheme="majorHAnsi" w:hAnsiTheme="majorHAnsi" w:cstheme="majorHAnsi"/>
          <w:sz w:val="16"/>
          <w:szCs w:val="16"/>
          <w:vertAlign w:val="superscript"/>
          <w:lang w:val="ro"/>
        </w:rPr>
        <w:footnoteRef/>
      </w:r>
      <w:r>
        <w:rPr>
          <w:rFonts w:asciiTheme="majorHAnsi" w:hAnsiTheme="majorHAnsi" w:cstheme="majorHAnsi"/>
          <w:lang w:val="ro"/>
        </w:rPr>
        <w:t xml:space="preserve"> </w:t>
      </w:r>
      <w:r w:rsidRPr="00C83B81">
        <w:rPr>
          <w:rFonts w:asciiTheme="majorHAnsi" w:hAnsiTheme="majorHAnsi" w:cstheme="majorHAnsi"/>
          <w:sz w:val="16"/>
          <w:szCs w:val="16"/>
          <w:lang w:val="ro-MD"/>
        </w:rPr>
        <w:t>Bilanțul contabil (Form</w:t>
      </w:r>
      <w:r w:rsidR="000632CC">
        <w:rPr>
          <w:rFonts w:asciiTheme="majorHAnsi" w:hAnsiTheme="majorHAnsi" w:cstheme="majorHAnsi"/>
          <w:sz w:val="16"/>
          <w:szCs w:val="16"/>
          <w:lang w:val="ro-MD"/>
        </w:rPr>
        <w:t>ularul</w:t>
      </w:r>
      <w:r w:rsidRPr="00C83B81">
        <w:rPr>
          <w:rFonts w:asciiTheme="majorHAnsi" w:hAnsiTheme="majorHAnsi" w:cstheme="majorHAnsi"/>
          <w:sz w:val="16"/>
          <w:szCs w:val="16"/>
          <w:lang w:val="ro-MD"/>
        </w:rPr>
        <w:t xml:space="preserve"> FD-041); Raportul privind veniturile și cheltuielile (</w:t>
      </w:r>
      <w:r w:rsidR="000632CC" w:rsidRPr="00C83B81">
        <w:rPr>
          <w:rFonts w:asciiTheme="majorHAnsi" w:hAnsiTheme="majorHAnsi" w:cstheme="majorHAnsi"/>
          <w:sz w:val="16"/>
          <w:szCs w:val="16"/>
          <w:lang w:val="ro-MD"/>
        </w:rPr>
        <w:t>Form</w:t>
      </w:r>
      <w:r w:rsidR="000632CC">
        <w:rPr>
          <w:rFonts w:asciiTheme="majorHAnsi" w:hAnsiTheme="majorHAnsi" w:cstheme="majorHAnsi"/>
          <w:sz w:val="16"/>
          <w:szCs w:val="16"/>
          <w:lang w:val="ro-MD"/>
        </w:rPr>
        <w:t>ularul</w:t>
      </w:r>
      <w:r w:rsidRPr="00C83B81">
        <w:rPr>
          <w:rFonts w:asciiTheme="majorHAnsi" w:hAnsiTheme="majorHAnsi" w:cstheme="majorHAnsi"/>
          <w:sz w:val="16"/>
          <w:szCs w:val="16"/>
          <w:lang w:val="ro-MD"/>
        </w:rPr>
        <w:t xml:space="preserve"> FD-042); Raportul privind fluxul mijloacelor bănești (</w:t>
      </w:r>
      <w:r w:rsidR="000632CC" w:rsidRPr="00C83B81">
        <w:rPr>
          <w:rFonts w:asciiTheme="majorHAnsi" w:hAnsiTheme="majorHAnsi" w:cstheme="majorHAnsi"/>
          <w:sz w:val="16"/>
          <w:szCs w:val="16"/>
          <w:lang w:val="ro-MD"/>
        </w:rPr>
        <w:t>Form</w:t>
      </w:r>
      <w:r w:rsidR="000632CC">
        <w:rPr>
          <w:rFonts w:asciiTheme="majorHAnsi" w:hAnsiTheme="majorHAnsi" w:cstheme="majorHAnsi"/>
          <w:sz w:val="16"/>
          <w:szCs w:val="16"/>
          <w:lang w:val="ro-MD"/>
        </w:rPr>
        <w:t>ularul</w:t>
      </w:r>
      <w:r w:rsidRPr="00C83B81">
        <w:rPr>
          <w:rFonts w:asciiTheme="majorHAnsi" w:hAnsiTheme="majorHAnsi" w:cstheme="majorHAnsi"/>
          <w:sz w:val="16"/>
          <w:szCs w:val="16"/>
          <w:lang w:val="ro-MD"/>
        </w:rPr>
        <w:t xml:space="preserve"> FD-043); Raportul privind executarea bugetului (</w:t>
      </w:r>
      <w:r w:rsidR="000632CC" w:rsidRPr="00C83B81">
        <w:rPr>
          <w:rFonts w:asciiTheme="majorHAnsi" w:hAnsiTheme="majorHAnsi" w:cstheme="majorHAnsi"/>
          <w:sz w:val="16"/>
          <w:szCs w:val="16"/>
          <w:lang w:val="ro-MD"/>
        </w:rPr>
        <w:t>Form</w:t>
      </w:r>
      <w:r w:rsidR="000632CC">
        <w:rPr>
          <w:rFonts w:asciiTheme="majorHAnsi" w:hAnsiTheme="majorHAnsi" w:cstheme="majorHAnsi"/>
          <w:sz w:val="16"/>
          <w:szCs w:val="16"/>
          <w:lang w:val="ro-MD"/>
        </w:rPr>
        <w:t>ularul</w:t>
      </w:r>
      <w:r w:rsidRPr="00C83B81">
        <w:rPr>
          <w:rFonts w:asciiTheme="majorHAnsi" w:hAnsiTheme="majorHAnsi" w:cstheme="majorHAnsi"/>
          <w:sz w:val="16"/>
          <w:szCs w:val="16"/>
          <w:lang w:val="ro-MD"/>
        </w:rPr>
        <w:t xml:space="preserve"> FD-044); Raportul narativ privind executarea bugetului pentru anul 2019.</w:t>
      </w:r>
    </w:p>
  </w:footnote>
  <w:footnote w:id="2">
    <w:p w:rsidR="00055C48" w:rsidRPr="005D3623" w:rsidRDefault="00055C48" w:rsidP="00CB7373">
      <w:pPr>
        <w:pStyle w:val="FootnoteText"/>
        <w:jc w:val="both"/>
        <w:rPr>
          <w:rFonts w:asciiTheme="majorHAnsi" w:hAnsiTheme="majorHAnsi" w:cstheme="majorHAnsi"/>
        </w:rPr>
      </w:pPr>
      <w:r w:rsidRPr="00A06F4C">
        <w:rPr>
          <w:rFonts w:asciiTheme="majorHAnsi" w:hAnsiTheme="majorHAnsi" w:cstheme="majorHAnsi"/>
          <w:sz w:val="16"/>
          <w:szCs w:val="16"/>
          <w:vertAlign w:val="superscript"/>
          <w:lang w:val="ro-MD"/>
        </w:rPr>
        <w:footnoteRef/>
      </w:r>
      <w:r w:rsidRPr="00C83B81">
        <w:rPr>
          <w:rFonts w:asciiTheme="majorHAnsi" w:hAnsiTheme="majorHAnsi" w:cstheme="majorHAnsi"/>
          <w:sz w:val="16"/>
          <w:szCs w:val="16"/>
          <w:lang w:val="ro-MD"/>
        </w:rPr>
        <w:t xml:space="preserve"> Legea contabilității nr.113-XVI din 27.04.2007; Planul de conturi contabile în sistemul bugetar și Normele metodologice privind evidența contabilă și raportarea financiară în sistemul bugetar, aprobate prin Ordinul ministrului </w:t>
      </w:r>
      <w:r w:rsidR="00A07DD8">
        <w:rPr>
          <w:rFonts w:asciiTheme="majorHAnsi" w:hAnsiTheme="majorHAnsi" w:cstheme="majorHAnsi"/>
          <w:sz w:val="16"/>
          <w:szCs w:val="16"/>
          <w:lang w:val="ro-MD"/>
        </w:rPr>
        <w:t>F</w:t>
      </w:r>
      <w:r w:rsidRPr="00C83B81">
        <w:rPr>
          <w:rFonts w:asciiTheme="majorHAnsi" w:hAnsiTheme="majorHAnsi" w:cstheme="majorHAnsi"/>
          <w:sz w:val="16"/>
          <w:szCs w:val="16"/>
          <w:lang w:val="ro-MD"/>
        </w:rPr>
        <w:t xml:space="preserve">inanțelor nr.216 din 28.12.2015; Ordinul ministrului </w:t>
      </w:r>
      <w:r w:rsidR="00A07DD8">
        <w:rPr>
          <w:rFonts w:asciiTheme="majorHAnsi" w:hAnsiTheme="majorHAnsi" w:cstheme="majorHAnsi"/>
          <w:sz w:val="16"/>
          <w:szCs w:val="16"/>
          <w:lang w:val="ro-MD"/>
        </w:rPr>
        <w:t>F</w:t>
      </w:r>
      <w:r w:rsidRPr="00C83B81">
        <w:rPr>
          <w:rFonts w:asciiTheme="majorHAnsi" w:hAnsiTheme="majorHAnsi" w:cstheme="majorHAnsi"/>
          <w:sz w:val="16"/>
          <w:szCs w:val="16"/>
          <w:lang w:val="ro-MD"/>
        </w:rPr>
        <w:t xml:space="preserve">inanțelor nr.164 din 09.12.2019 „Cu privire la aprobarea termenelor de prezentare a rapoartelor financiare pe anul 2019”; Ordinul ministrului </w:t>
      </w:r>
      <w:r w:rsidR="00A07DD8">
        <w:rPr>
          <w:rFonts w:asciiTheme="majorHAnsi" w:hAnsiTheme="majorHAnsi" w:cstheme="majorHAnsi"/>
          <w:sz w:val="16"/>
          <w:szCs w:val="16"/>
          <w:lang w:val="ro-MD"/>
        </w:rPr>
        <w:t>F</w:t>
      </w:r>
      <w:r w:rsidRPr="00C83B81">
        <w:rPr>
          <w:rFonts w:asciiTheme="majorHAnsi" w:hAnsiTheme="majorHAnsi" w:cstheme="majorHAnsi"/>
          <w:sz w:val="16"/>
          <w:szCs w:val="16"/>
          <w:lang w:val="ro-MD"/>
        </w:rPr>
        <w:t>inanțelor nr.164 din 30.12.2016 „Cu privire la aprobarea Cerințelor la întocmirea Raportului narativ privind executarea bugetelor autorităților/instituțiilor bugetare”.</w:t>
      </w:r>
      <w:r>
        <w:rPr>
          <w:rFonts w:asciiTheme="majorHAnsi" w:hAnsiTheme="majorHAnsi" w:cstheme="majorHAnsi"/>
          <w:lang w:val="ro"/>
        </w:rPr>
        <w:t xml:space="preserve"> </w:t>
      </w:r>
    </w:p>
  </w:footnote>
  <w:footnote w:id="3">
    <w:p w:rsidR="0087559B" w:rsidRDefault="0087559B" w:rsidP="00CB7373">
      <w:pPr>
        <w:pStyle w:val="FootnoteText"/>
        <w:jc w:val="both"/>
        <w:rPr>
          <w:rFonts w:asciiTheme="majorHAnsi" w:eastAsia="Times New Roman" w:hAnsiTheme="majorHAnsi" w:cstheme="majorHAnsi"/>
          <w:sz w:val="16"/>
          <w:szCs w:val="16"/>
          <w:lang w:val="ro-MD"/>
        </w:rPr>
      </w:pPr>
      <w:r>
        <w:rPr>
          <w:rStyle w:val="FootnoteReference"/>
          <w:rFonts w:asciiTheme="majorHAnsi" w:hAnsiTheme="majorHAnsi" w:cstheme="majorHAnsi"/>
          <w:sz w:val="16"/>
          <w:szCs w:val="16"/>
          <w:lang w:val="ro-RO"/>
        </w:rPr>
        <w:footnoteRef/>
      </w:r>
      <w:r>
        <w:rPr>
          <w:rFonts w:asciiTheme="majorHAnsi" w:hAnsiTheme="majorHAnsi" w:cstheme="majorHAnsi"/>
          <w:sz w:val="16"/>
          <w:szCs w:val="16"/>
          <w:lang w:val="ro-RO"/>
        </w:rPr>
        <w:t xml:space="preserve"> </w:t>
      </w:r>
      <w:r>
        <w:rPr>
          <w:rFonts w:asciiTheme="majorHAnsi" w:eastAsia="Times New Roman" w:hAnsiTheme="majorHAnsi" w:cstheme="majorHAnsi"/>
          <w:sz w:val="16"/>
          <w:szCs w:val="16"/>
          <w:lang w:val="ro-RO"/>
        </w:rPr>
        <w:t>Hotărârea Curții de Conturi nr.2 din 24.01.2020</w:t>
      </w:r>
      <w:r w:rsidR="00A07DD8">
        <w:rPr>
          <w:rFonts w:asciiTheme="majorHAnsi" w:eastAsia="Times New Roman" w:hAnsiTheme="majorHAnsi" w:cstheme="majorHAnsi"/>
          <w:sz w:val="16"/>
          <w:szCs w:val="16"/>
          <w:lang w:val="ro-RO"/>
        </w:rPr>
        <w:t xml:space="preserve"> </w:t>
      </w:r>
      <w:r>
        <w:rPr>
          <w:rFonts w:asciiTheme="majorHAnsi" w:eastAsia="Times New Roman" w:hAnsiTheme="majorHAnsi" w:cstheme="majorHAnsi"/>
          <w:sz w:val="16"/>
          <w:szCs w:val="16"/>
          <w:lang w:val="ro-RO"/>
        </w:rPr>
        <w:t xml:space="preserve">„Cu privire la Cadrul Declarațiilor Profesionale ale INTOSAI”.  </w:t>
      </w:r>
    </w:p>
  </w:footnote>
  <w:footnote w:id="4">
    <w:p w:rsidR="005448C9" w:rsidRPr="00C83B81" w:rsidRDefault="005448C9" w:rsidP="00CB7373">
      <w:pPr>
        <w:pStyle w:val="FootnoteText"/>
        <w:jc w:val="both"/>
      </w:pPr>
      <w:r w:rsidRPr="00C83B81">
        <w:rPr>
          <w:rStyle w:val="FootnoteReference"/>
          <w:rFonts w:asciiTheme="majorHAnsi" w:hAnsiTheme="majorHAnsi" w:cstheme="majorHAnsi"/>
          <w:sz w:val="16"/>
          <w:szCs w:val="16"/>
          <w:lang w:val="ro-MD"/>
        </w:rPr>
        <w:footnoteRef/>
      </w:r>
      <w:r w:rsidRPr="00C83B81">
        <w:rPr>
          <w:rStyle w:val="FootnoteReference"/>
          <w:rFonts w:asciiTheme="majorHAnsi" w:hAnsiTheme="majorHAnsi" w:cstheme="majorHAnsi"/>
          <w:sz w:val="16"/>
          <w:szCs w:val="16"/>
          <w:lang w:val="ro-MD"/>
        </w:rPr>
        <w:t xml:space="preserve"> </w:t>
      </w:r>
      <w:r w:rsidRPr="00C83B81">
        <w:rPr>
          <w:rFonts w:asciiTheme="majorHAnsi" w:hAnsiTheme="majorHAnsi" w:cstheme="majorHAnsi"/>
          <w:sz w:val="16"/>
          <w:szCs w:val="16"/>
          <w:lang w:val="ro-MD"/>
        </w:rPr>
        <w:t xml:space="preserve">Contractul de vânzare-cumpărare a Sediului Ambasadei Republicii Moldova în </w:t>
      </w:r>
      <w:r w:rsidR="0064452D">
        <w:rPr>
          <w:rFonts w:asciiTheme="majorHAnsi" w:hAnsiTheme="majorHAnsi" w:cstheme="majorHAnsi"/>
          <w:sz w:val="16"/>
          <w:szCs w:val="16"/>
          <w:lang w:val="ro-MD"/>
        </w:rPr>
        <w:t>Regatul Belgiei din 19.12.2005</w:t>
      </w:r>
      <w:r w:rsidR="000632CC">
        <w:rPr>
          <w:rFonts w:asciiTheme="majorHAnsi" w:hAnsiTheme="majorHAnsi" w:cstheme="majorHAnsi"/>
          <w:sz w:val="16"/>
          <w:szCs w:val="16"/>
          <w:lang w:val="ro-MD"/>
        </w:rPr>
        <w:t>,</w:t>
      </w:r>
      <w:r w:rsidR="0064452D">
        <w:rPr>
          <w:rFonts w:asciiTheme="majorHAnsi" w:hAnsiTheme="majorHAnsi" w:cstheme="majorHAnsi"/>
          <w:sz w:val="16"/>
          <w:szCs w:val="16"/>
          <w:lang w:val="ro-MD"/>
        </w:rPr>
        <w:t xml:space="preserve"> în valoare totală de 52,5 mil.lei.</w:t>
      </w:r>
    </w:p>
  </w:footnote>
  <w:footnote w:id="5">
    <w:p w:rsidR="0064452D" w:rsidRPr="002E57C1" w:rsidRDefault="0064452D" w:rsidP="00CB7373">
      <w:pPr>
        <w:pStyle w:val="FootnoteText"/>
        <w:jc w:val="both"/>
        <w:rPr>
          <w:rFonts w:asciiTheme="majorHAnsi" w:hAnsiTheme="majorHAnsi" w:cstheme="majorHAnsi"/>
          <w:sz w:val="16"/>
          <w:szCs w:val="16"/>
          <w:lang w:val="ro-MD"/>
        </w:rPr>
      </w:pPr>
      <w:r w:rsidRPr="00C83B81">
        <w:rPr>
          <w:rStyle w:val="FootnoteReference"/>
          <w:rFonts w:asciiTheme="majorHAnsi" w:hAnsiTheme="majorHAnsi" w:cstheme="majorHAnsi"/>
          <w:sz w:val="16"/>
          <w:szCs w:val="16"/>
          <w:lang w:val="ro-MD"/>
        </w:rPr>
        <w:footnoteRef/>
      </w:r>
      <w:r w:rsidRPr="00C83B81">
        <w:rPr>
          <w:rFonts w:asciiTheme="majorHAnsi" w:hAnsiTheme="majorHAnsi" w:cstheme="majorHAnsi"/>
          <w:sz w:val="16"/>
          <w:szCs w:val="16"/>
          <w:lang w:val="ro-MD"/>
        </w:rPr>
        <w:t xml:space="preserve"> Contractul de arendă a terenului Ambasadei Republicii Moldova în Republica Belarus din 15.06.2015.</w:t>
      </w:r>
    </w:p>
  </w:footnote>
  <w:footnote w:id="6">
    <w:p w:rsidR="003B1DE7" w:rsidRPr="004E73A2" w:rsidRDefault="003B1DE7" w:rsidP="00CB7373">
      <w:pPr>
        <w:pStyle w:val="FootnoteText"/>
        <w:jc w:val="both"/>
        <w:rPr>
          <w:rFonts w:asciiTheme="majorHAnsi" w:hAnsiTheme="majorHAnsi" w:cstheme="majorHAnsi"/>
          <w:sz w:val="16"/>
          <w:szCs w:val="16"/>
          <w:lang w:val="ro-MD"/>
        </w:rPr>
      </w:pPr>
      <w:r w:rsidRPr="004E73A2">
        <w:rPr>
          <w:rStyle w:val="FootnoteReference"/>
          <w:rFonts w:asciiTheme="majorHAnsi" w:hAnsiTheme="majorHAnsi" w:cstheme="majorHAnsi"/>
          <w:sz w:val="16"/>
          <w:szCs w:val="16"/>
          <w:lang w:val="ro-MD"/>
        </w:rPr>
        <w:footnoteRef/>
      </w:r>
      <w:r w:rsidRPr="004E73A2">
        <w:rPr>
          <w:rFonts w:asciiTheme="majorHAnsi" w:hAnsiTheme="majorHAnsi" w:cstheme="majorHAnsi"/>
          <w:sz w:val="16"/>
          <w:szCs w:val="16"/>
          <w:lang w:val="ro-MD"/>
        </w:rPr>
        <w:t xml:space="preserve"> Actul de transmitere a terenului, mijloacelor fixe și altor active proprietate publică</w:t>
      </w:r>
      <w:r w:rsidR="006C3D73">
        <w:rPr>
          <w:rFonts w:asciiTheme="majorHAnsi" w:hAnsiTheme="majorHAnsi" w:cstheme="majorHAnsi"/>
          <w:sz w:val="16"/>
          <w:szCs w:val="16"/>
          <w:lang w:val="ro-MD"/>
        </w:rPr>
        <w:t>,</w:t>
      </w:r>
      <w:r w:rsidRPr="004E73A2">
        <w:rPr>
          <w:rFonts w:asciiTheme="majorHAnsi" w:hAnsiTheme="majorHAnsi" w:cstheme="majorHAnsi"/>
          <w:sz w:val="16"/>
          <w:szCs w:val="16"/>
          <w:lang w:val="ro-MD"/>
        </w:rPr>
        <w:t xml:space="preserve"> din 15.10.2021.</w:t>
      </w:r>
    </w:p>
  </w:footnote>
  <w:footnote w:id="7">
    <w:p w:rsidR="003B1DE7" w:rsidRPr="004E73A2" w:rsidRDefault="003B1DE7" w:rsidP="00CB7373">
      <w:pPr>
        <w:pStyle w:val="FootnoteText"/>
        <w:jc w:val="both"/>
        <w:rPr>
          <w:rFonts w:asciiTheme="majorHAnsi" w:hAnsiTheme="majorHAnsi" w:cstheme="majorHAnsi"/>
          <w:sz w:val="16"/>
          <w:szCs w:val="16"/>
          <w:lang w:val="ro-MD"/>
        </w:rPr>
      </w:pPr>
      <w:r w:rsidRPr="004E73A2">
        <w:rPr>
          <w:rStyle w:val="FootnoteReference"/>
          <w:rFonts w:asciiTheme="majorHAnsi" w:hAnsiTheme="majorHAnsi" w:cstheme="majorHAnsi"/>
          <w:sz w:val="16"/>
          <w:szCs w:val="16"/>
          <w:lang w:val="ro-MD"/>
        </w:rPr>
        <w:footnoteRef/>
      </w:r>
      <w:r w:rsidRPr="004E73A2">
        <w:rPr>
          <w:rFonts w:asciiTheme="majorHAnsi" w:hAnsiTheme="majorHAnsi" w:cstheme="majorHAnsi"/>
          <w:sz w:val="16"/>
          <w:szCs w:val="16"/>
          <w:lang w:val="ro-MD"/>
        </w:rPr>
        <w:t xml:space="preserve"> Hotărârea Guvernului nr. 161 din 07.03.2019 „Cu privire la aprobarea listei terenurilor proprietate publică a statului din administrarea Agenției Proprietății Publice”.</w:t>
      </w:r>
    </w:p>
  </w:footnote>
  <w:footnote w:id="8">
    <w:p w:rsidR="003B1DE7" w:rsidRPr="004E73A2" w:rsidRDefault="003B1DE7" w:rsidP="00CB7373">
      <w:pPr>
        <w:pStyle w:val="Heading4"/>
        <w:shd w:val="clear" w:color="auto" w:fill="FFFFFF"/>
        <w:spacing w:before="0"/>
        <w:jc w:val="both"/>
        <w:rPr>
          <w:rFonts w:cstheme="majorHAnsi"/>
          <w:sz w:val="16"/>
          <w:szCs w:val="16"/>
          <w:lang w:val="ro-MD"/>
        </w:rPr>
      </w:pPr>
      <w:r w:rsidRPr="004E73A2">
        <w:rPr>
          <w:rStyle w:val="FootnoteReference"/>
          <w:rFonts w:cstheme="majorHAnsi"/>
          <w:i w:val="0"/>
          <w:color w:val="auto"/>
          <w:sz w:val="16"/>
          <w:szCs w:val="16"/>
          <w:lang w:val="ro-MD"/>
        </w:rPr>
        <w:footnoteRef/>
      </w:r>
      <w:r w:rsidRPr="004E73A2">
        <w:rPr>
          <w:rFonts w:cstheme="majorHAnsi"/>
          <w:i w:val="0"/>
          <w:color w:val="auto"/>
          <w:sz w:val="16"/>
          <w:szCs w:val="16"/>
          <w:lang w:val="ro-MD"/>
        </w:rPr>
        <w:t xml:space="preserve"> Hotărârea Guvernului nr.91 din 11.02.2019 </w:t>
      </w:r>
      <w:r w:rsidR="003E4F2F" w:rsidRPr="004E73A2">
        <w:rPr>
          <w:rFonts w:cstheme="majorHAnsi"/>
          <w:i w:val="0"/>
          <w:color w:val="auto"/>
          <w:sz w:val="16"/>
          <w:szCs w:val="16"/>
          <w:lang w:val="ro-MD"/>
        </w:rPr>
        <w:t>„</w:t>
      </w:r>
      <w:r w:rsidR="003E4F2F" w:rsidRPr="004E73A2">
        <w:rPr>
          <w:rFonts w:eastAsia="Times New Roman" w:cstheme="majorHAnsi"/>
          <w:bCs/>
          <w:i w:val="0"/>
          <w:iCs w:val="0"/>
          <w:color w:val="auto"/>
          <w:sz w:val="16"/>
          <w:szCs w:val="16"/>
          <w:lang w:val="ro-MD" w:eastAsia="ro-RO"/>
        </w:rPr>
        <w:t>P</w:t>
      </w:r>
      <w:r w:rsidRPr="004E73A2">
        <w:rPr>
          <w:rFonts w:eastAsia="Times New Roman" w:cstheme="majorHAnsi"/>
          <w:bCs/>
          <w:i w:val="0"/>
          <w:iCs w:val="0"/>
          <w:color w:val="auto"/>
          <w:sz w:val="16"/>
          <w:szCs w:val="16"/>
          <w:lang w:val="ro-MD" w:eastAsia="ro-RO"/>
        </w:rPr>
        <w:t>entru aprobarea Regulamentului cu privire la valorificarea terenurilor proprietate  publică a statului</w:t>
      </w:r>
      <w:r w:rsidR="00DC54EC" w:rsidRPr="004E73A2">
        <w:rPr>
          <w:rFonts w:eastAsia="Times New Roman" w:cstheme="majorHAnsi"/>
          <w:bCs/>
          <w:i w:val="0"/>
          <w:iCs w:val="0"/>
          <w:color w:val="auto"/>
          <w:sz w:val="16"/>
          <w:szCs w:val="16"/>
          <w:lang w:val="ro-MD" w:eastAsia="ro-RO"/>
        </w:rPr>
        <w:t>”</w:t>
      </w:r>
      <w:r w:rsidRPr="004E73A2">
        <w:rPr>
          <w:rFonts w:eastAsia="Times New Roman" w:cstheme="majorHAnsi"/>
          <w:bCs/>
          <w:i w:val="0"/>
          <w:iCs w:val="0"/>
          <w:color w:val="auto"/>
          <w:sz w:val="16"/>
          <w:szCs w:val="16"/>
          <w:lang w:val="ro-MD" w:eastAsia="ro-RO"/>
        </w:rPr>
        <w:t>.</w:t>
      </w:r>
    </w:p>
  </w:footnote>
  <w:footnote w:id="9">
    <w:p w:rsidR="00657A2E" w:rsidRPr="00D57652" w:rsidRDefault="00657A2E" w:rsidP="00CB7373">
      <w:pPr>
        <w:pStyle w:val="FootnoteText"/>
        <w:shd w:val="clear" w:color="auto" w:fill="FFFFFF" w:themeFill="background1"/>
        <w:jc w:val="both"/>
        <w:rPr>
          <w:rFonts w:asciiTheme="majorHAnsi" w:hAnsiTheme="majorHAnsi" w:cstheme="majorHAnsi"/>
          <w:sz w:val="16"/>
          <w:szCs w:val="16"/>
          <w:lang w:val="ro-MD"/>
        </w:rPr>
      </w:pPr>
      <w:r w:rsidRPr="009E69FA">
        <w:rPr>
          <w:rStyle w:val="FootnoteReference"/>
          <w:rFonts w:asciiTheme="majorHAnsi" w:hAnsiTheme="majorHAnsi" w:cstheme="majorHAnsi"/>
          <w:sz w:val="16"/>
          <w:szCs w:val="16"/>
          <w:lang w:val="ro-MD"/>
        </w:rPr>
        <w:footnoteRef/>
      </w:r>
      <w:r w:rsidR="004E73A2" w:rsidRPr="00D57652">
        <w:rPr>
          <w:rFonts w:asciiTheme="majorHAnsi" w:hAnsiTheme="majorHAnsi" w:cstheme="majorHAnsi"/>
          <w:sz w:val="16"/>
          <w:szCs w:val="16"/>
          <w:lang w:val="ro-MD"/>
        </w:rPr>
        <w:t xml:space="preserve"> Acordul </w:t>
      </w:r>
      <w:r w:rsidR="004E73A2" w:rsidRPr="00D65FE8">
        <w:rPr>
          <w:rFonts w:asciiTheme="majorHAnsi" w:hAnsiTheme="majorHAnsi" w:cstheme="majorHAnsi"/>
          <w:sz w:val="16"/>
          <w:szCs w:val="16"/>
          <w:lang w:val="ro-MD"/>
        </w:rPr>
        <w:t>Ministerului Afacerilor Externe</w:t>
      </w:r>
      <w:r w:rsidR="004E73A2" w:rsidRPr="00D57652">
        <w:rPr>
          <w:rFonts w:asciiTheme="majorHAnsi" w:hAnsiTheme="majorHAnsi" w:cstheme="majorHAnsi"/>
          <w:sz w:val="16"/>
          <w:szCs w:val="16"/>
          <w:lang w:val="ro-MD"/>
        </w:rPr>
        <w:t xml:space="preserve"> </w:t>
      </w:r>
      <w:r w:rsidR="00D65FE8">
        <w:rPr>
          <w:rFonts w:asciiTheme="majorHAnsi" w:hAnsiTheme="majorHAnsi" w:cstheme="majorHAnsi"/>
          <w:sz w:val="16"/>
          <w:szCs w:val="16"/>
          <w:lang w:val="ro-MD"/>
        </w:rPr>
        <w:t xml:space="preserve">și Integrării Europene </w:t>
      </w:r>
      <w:r w:rsidR="004E73A2" w:rsidRPr="00D57652">
        <w:rPr>
          <w:rFonts w:asciiTheme="majorHAnsi" w:hAnsiTheme="majorHAnsi" w:cstheme="majorHAnsi"/>
          <w:sz w:val="16"/>
          <w:szCs w:val="16"/>
          <w:lang w:val="ro-MD"/>
        </w:rPr>
        <w:t xml:space="preserve">cu Instituția Publică Agenția Servicii Publice </w:t>
      </w:r>
      <w:r w:rsidR="004E73A2" w:rsidRPr="009E69FA">
        <w:rPr>
          <w:rFonts w:asciiTheme="majorHAnsi" w:hAnsiTheme="majorHAnsi" w:cstheme="majorHAnsi"/>
          <w:sz w:val="16"/>
          <w:szCs w:val="16"/>
          <w:lang w:val="ro-MD"/>
        </w:rPr>
        <w:t>nr.9 – AC privind</w:t>
      </w:r>
      <w:r w:rsidR="004E73A2" w:rsidRPr="00D57652">
        <w:rPr>
          <w:rFonts w:asciiTheme="majorHAnsi" w:hAnsiTheme="majorHAnsi" w:cstheme="majorHAnsi"/>
          <w:sz w:val="16"/>
          <w:szCs w:val="16"/>
          <w:lang w:val="ro-MD"/>
        </w:rPr>
        <w:t xml:space="preserve"> prestarea serviciilor prin intermediul misiunilor diplomatice și oficiilor consulare ale Republicii Moldova și tarifele la acestea.</w:t>
      </w:r>
    </w:p>
  </w:footnote>
  <w:footnote w:id="10">
    <w:p w:rsidR="0087559B" w:rsidRPr="00D65FE8" w:rsidRDefault="0087559B" w:rsidP="00CB7373">
      <w:pPr>
        <w:pStyle w:val="Heading4"/>
        <w:shd w:val="clear" w:color="auto" w:fill="FFFFFF"/>
        <w:spacing w:before="0"/>
        <w:jc w:val="both"/>
        <w:rPr>
          <w:rFonts w:cstheme="majorHAnsi"/>
          <w:sz w:val="16"/>
          <w:szCs w:val="16"/>
          <w:lang w:val="ro-MD"/>
        </w:rPr>
      </w:pPr>
      <w:r w:rsidRPr="00D57652">
        <w:rPr>
          <w:rStyle w:val="FootnoteReference"/>
          <w:rFonts w:cstheme="majorHAnsi"/>
          <w:i w:val="0"/>
          <w:color w:val="auto"/>
          <w:sz w:val="16"/>
          <w:szCs w:val="16"/>
          <w:lang w:val="ro-MD"/>
        </w:rPr>
        <w:footnoteRef/>
      </w:r>
      <w:r w:rsidRPr="00D57652">
        <w:rPr>
          <w:rFonts w:cstheme="majorHAnsi"/>
          <w:i w:val="0"/>
          <w:color w:val="auto"/>
          <w:sz w:val="16"/>
          <w:szCs w:val="16"/>
          <w:lang w:val="ro-MD"/>
        </w:rPr>
        <w:t xml:space="preserve"> Hotărârea Guvernului nr.</w:t>
      </w:r>
      <w:r w:rsidRPr="00D57652">
        <w:rPr>
          <w:rFonts w:eastAsia="Times New Roman" w:cstheme="majorHAnsi"/>
          <w:i w:val="0"/>
          <w:iCs w:val="0"/>
          <w:color w:val="auto"/>
          <w:sz w:val="16"/>
          <w:szCs w:val="16"/>
          <w:lang w:val="ro-MD" w:eastAsia="ro-RO"/>
        </w:rPr>
        <w:t xml:space="preserve"> 1036 din 17.09.2007 </w:t>
      </w:r>
      <w:r w:rsidR="00DC54EC" w:rsidRPr="00D57652">
        <w:rPr>
          <w:rFonts w:eastAsia="Times New Roman" w:cstheme="majorHAnsi"/>
          <w:i w:val="0"/>
          <w:iCs w:val="0"/>
          <w:color w:val="auto"/>
          <w:sz w:val="16"/>
          <w:szCs w:val="16"/>
          <w:lang w:val="ro-MD" w:eastAsia="ro-RO"/>
        </w:rPr>
        <w:t>„P</w:t>
      </w:r>
      <w:r w:rsidRPr="00D57652">
        <w:rPr>
          <w:rFonts w:eastAsia="Times New Roman" w:cstheme="majorHAnsi"/>
          <w:bCs/>
          <w:i w:val="0"/>
          <w:color w:val="auto"/>
          <w:sz w:val="16"/>
          <w:szCs w:val="16"/>
          <w:lang w:val="ro-MD" w:eastAsia="ro-RO"/>
        </w:rPr>
        <w:t>entru aprobarea unor regulamente privind modul de încasare, utilizare și evidență</w:t>
      </w:r>
      <w:r w:rsidRPr="00D57652">
        <w:rPr>
          <w:rFonts w:eastAsia="Times New Roman" w:cstheme="majorHAnsi"/>
          <w:bCs/>
          <w:i w:val="0"/>
          <w:color w:val="auto"/>
          <w:sz w:val="16"/>
          <w:szCs w:val="16"/>
          <w:lang w:val="ro-MD" w:eastAsia="ro-RO"/>
        </w:rPr>
        <w:br/>
        <w:t>a taxelor consulare și a mijloacelor special provenite de la serviciile prestate contra plată</w:t>
      </w:r>
      <w:r w:rsidR="00DC54EC" w:rsidRPr="00D65FE8">
        <w:rPr>
          <w:rFonts w:eastAsia="Times New Roman" w:cstheme="majorHAnsi"/>
          <w:bCs/>
          <w:i w:val="0"/>
          <w:color w:val="auto"/>
          <w:sz w:val="16"/>
          <w:szCs w:val="16"/>
          <w:lang w:val="ro-MD" w:eastAsia="ro-RO"/>
        </w:rPr>
        <w:t>”</w:t>
      </w:r>
      <w:r w:rsidRPr="00D65FE8">
        <w:rPr>
          <w:rFonts w:eastAsia="Times New Roman" w:cstheme="majorHAnsi"/>
          <w:bCs/>
          <w:i w:val="0"/>
          <w:color w:val="auto"/>
          <w:sz w:val="16"/>
          <w:szCs w:val="16"/>
          <w:lang w:val="ro-MD" w:eastAsia="ro-RO"/>
        </w:rPr>
        <w:t>.</w:t>
      </w:r>
    </w:p>
  </w:footnote>
  <w:footnote w:id="11">
    <w:p w:rsidR="0087559B" w:rsidRPr="00D57652" w:rsidRDefault="0087559B" w:rsidP="00CB7373">
      <w:pPr>
        <w:pStyle w:val="FootnoteText"/>
        <w:jc w:val="both"/>
        <w:rPr>
          <w:rFonts w:asciiTheme="majorHAnsi" w:hAnsiTheme="majorHAnsi" w:cstheme="majorHAnsi"/>
          <w:sz w:val="16"/>
          <w:szCs w:val="16"/>
          <w:lang w:val="ro-MD"/>
        </w:rPr>
      </w:pPr>
      <w:r w:rsidRPr="00D57652">
        <w:rPr>
          <w:rStyle w:val="FootnoteReference"/>
          <w:rFonts w:asciiTheme="majorHAnsi" w:hAnsiTheme="majorHAnsi" w:cstheme="majorHAnsi"/>
          <w:sz w:val="16"/>
          <w:szCs w:val="16"/>
          <w:lang w:val="ro-MD"/>
        </w:rPr>
        <w:footnoteRef/>
      </w:r>
      <w:r w:rsidRPr="00D57652">
        <w:rPr>
          <w:rFonts w:asciiTheme="majorHAnsi" w:hAnsiTheme="majorHAnsi" w:cstheme="majorHAnsi"/>
          <w:sz w:val="16"/>
          <w:szCs w:val="16"/>
          <w:lang w:val="ro-MD"/>
        </w:rPr>
        <w:t xml:space="preserve"> Politica de contabilitate a Ministerului Afacerilor Externe și Integrării Europene</w:t>
      </w:r>
      <w:r w:rsidR="00DC54EC" w:rsidRPr="00D57652">
        <w:rPr>
          <w:rFonts w:asciiTheme="majorHAnsi" w:hAnsiTheme="majorHAnsi" w:cstheme="majorHAnsi"/>
          <w:sz w:val="16"/>
          <w:szCs w:val="16"/>
          <w:lang w:val="ro-MD"/>
        </w:rPr>
        <w:t>,</w:t>
      </w:r>
      <w:r w:rsidRPr="00D57652">
        <w:rPr>
          <w:rFonts w:asciiTheme="majorHAnsi" w:hAnsiTheme="majorHAnsi" w:cstheme="majorHAnsi"/>
          <w:sz w:val="16"/>
          <w:szCs w:val="16"/>
          <w:lang w:val="ro-MD"/>
        </w:rPr>
        <w:t xml:space="preserve"> aprobată la 10.09.2018.</w:t>
      </w:r>
    </w:p>
  </w:footnote>
  <w:footnote w:id="12">
    <w:p w:rsidR="00AB5546" w:rsidRPr="00E35817" w:rsidRDefault="00AB5546" w:rsidP="00CB7373">
      <w:pPr>
        <w:pStyle w:val="FootnoteText"/>
        <w:jc w:val="both"/>
        <w:rPr>
          <w:rFonts w:asciiTheme="majorHAnsi" w:hAnsiTheme="majorHAnsi" w:cstheme="majorHAnsi"/>
          <w:sz w:val="16"/>
          <w:szCs w:val="16"/>
          <w:lang w:val="ro-MD"/>
        </w:rPr>
      </w:pPr>
      <w:r w:rsidRPr="00E35817">
        <w:rPr>
          <w:rStyle w:val="FootnoteReference"/>
          <w:rFonts w:asciiTheme="majorHAnsi" w:hAnsiTheme="majorHAnsi" w:cstheme="majorHAnsi"/>
          <w:sz w:val="16"/>
          <w:szCs w:val="16"/>
          <w:lang w:val="ro-MD"/>
        </w:rPr>
        <w:footnoteRef/>
      </w:r>
      <w:r w:rsidR="002C338E" w:rsidRPr="00E35817">
        <w:rPr>
          <w:rFonts w:asciiTheme="majorHAnsi" w:hAnsiTheme="majorHAnsi" w:cstheme="majorHAnsi"/>
          <w:sz w:val="16"/>
          <w:szCs w:val="16"/>
          <w:lang w:val="ro-MD"/>
        </w:rPr>
        <w:t xml:space="preserve"> </w:t>
      </w:r>
      <w:r w:rsidR="00E12967" w:rsidRPr="00E35817">
        <w:rPr>
          <w:rFonts w:asciiTheme="majorHAnsi" w:hAnsiTheme="majorHAnsi" w:cstheme="majorHAnsi"/>
          <w:sz w:val="16"/>
          <w:szCs w:val="16"/>
          <w:lang w:val="ro-MD"/>
        </w:rPr>
        <w:t>Ordinul nr.166 din 22.12.2020</w:t>
      </w:r>
      <w:r w:rsidRPr="00E35817">
        <w:rPr>
          <w:rFonts w:asciiTheme="majorHAnsi" w:hAnsiTheme="majorHAnsi" w:cstheme="majorHAnsi"/>
          <w:sz w:val="16"/>
          <w:szCs w:val="16"/>
          <w:lang w:val="ro-MD"/>
        </w:rPr>
        <w:t xml:space="preserve"> </w:t>
      </w:r>
      <w:r w:rsidR="007C1813" w:rsidRPr="00D65FE8">
        <w:rPr>
          <w:rFonts w:asciiTheme="majorHAnsi" w:hAnsiTheme="majorHAnsi" w:cstheme="majorHAnsi"/>
          <w:sz w:val="16"/>
          <w:szCs w:val="16"/>
          <w:lang w:val="ro-MD"/>
        </w:rPr>
        <w:t>„C</w:t>
      </w:r>
      <w:r w:rsidR="00E12967" w:rsidRPr="00D65FE8">
        <w:rPr>
          <w:rFonts w:asciiTheme="majorHAnsi" w:hAnsiTheme="majorHAnsi" w:cstheme="majorHAnsi"/>
          <w:sz w:val="16"/>
          <w:szCs w:val="16"/>
          <w:lang w:val="ro-MD"/>
        </w:rPr>
        <w:t xml:space="preserve">u privire la modul de achitare și evidență a plăților la bugetul public național prin sistemul trezorerial al </w:t>
      </w:r>
      <w:r w:rsidR="00E12967" w:rsidRPr="00E35817">
        <w:rPr>
          <w:rFonts w:asciiTheme="majorHAnsi" w:hAnsiTheme="majorHAnsi" w:cstheme="majorHAnsi"/>
          <w:sz w:val="16"/>
          <w:szCs w:val="16"/>
          <w:lang w:val="ro-MD"/>
        </w:rPr>
        <w:t>Ministerului Finanțelor în anul 2021</w:t>
      </w:r>
      <w:r w:rsidR="007C1813" w:rsidRPr="00E35817">
        <w:rPr>
          <w:rFonts w:asciiTheme="majorHAnsi" w:hAnsiTheme="majorHAnsi" w:cstheme="majorHAnsi"/>
          <w:sz w:val="16"/>
          <w:szCs w:val="16"/>
          <w:lang w:val="ro-MD"/>
        </w:rPr>
        <w:t>”</w:t>
      </w:r>
      <w:r w:rsidR="002F07DE" w:rsidRPr="00E35817">
        <w:rPr>
          <w:rFonts w:asciiTheme="majorHAnsi" w:hAnsiTheme="majorHAnsi" w:cstheme="majorHAnsi"/>
          <w:sz w:val="16"/>
          <w:szCs w:val="16"/>
          <w:lang w:val="ro-MD"/>
        </w:rPr>
        <w:t>.</w:t>
      </w:r>
    </w:p>
  </w:footnote>
  <w:footnote w:id="13">
    <w:p w:rsidR="00F44AB5" w:rsidRPr="009E69FA" w:rsidRDefault="00F44AB5" w:rsidP="00CB7373">
      <w:pPr>
        <w:pStyle w:val="FootnoteText"/>
        <w:jc w:val="both"/>
        <w:rPr>
          <w:lang w:val="ro-MD"/>
        </w:rPr>
      </w:pPr>
      <w:r w:rsidRPr="009E69FA">
        <w:rPr>
          <w:rStyle w:val="FootnoteReference"/>
          <w:sz w:val="16"/>
          <w:szCs w:val="16"/>
          <w:lang w:val="ro-MD"/>
        </w:rPr>
        <w:footnoteRef/>
      </w:r>
      <w:r w:rsidRPr="009E69FA">
        <w:rPr>
          <w:lang w:val="ro-MD"/>
        </w:rPr>
        <w:t xml:space="preserve"> </w:t>
      </w:r>
      <w:r w:rsidRPr="00E35817">
        <w:rPr>
          <w:rFonts w:asciiTheme="majorHAnsi" w:hAnsiTheme="majorHAnsi" w:cstheme="majorHAnsi"/>
          <w:sz w:val="16"/>
          <w:szCs w:val="16"/>
          <w:lang w:val="ro-MD"/>
        </w:rPr>
        <w:t xml:space="preserve">Pct.3.9.1 din Normele metodologice privind executarea de casă a bugetelor componente ale bugetului public național prin sistemul trezorerial al Ministerului Finanțelor, aprobate prin Ordinul ministrului </w:t>
      </w:r>
      <w:r w:rsidR="002C338E" w:rsidRPr="00E35817">
        <w:rPr>
          <w:rFonts w:asciiTheme="majorHAnsi" w:hAnsiTheme="majorHAnsi" w:cstheme="majorHAnsi"/>
          <w:sz w:val="16"/>
          <w:szCs w:val="16"/>
          <w:lang w:val="ro-MD"/>
        </w:rPr>
        <w:t>F</w:t>
      </w:r>
      <w:r w:rsidRPr="00E35817">
        <w:rPr>
          <w:rFonts w:asciiTheme="majorHAnsi" w:hAnsiTheme="majorHAnsi" w:cstheme="majorHAnsi"/>
          <w:sz w:val="16"/>
          <w:szCs w:val="16"/>
          <w:lang w:val="ro-MD"/>
        </w:rPr>
        <w:t>inanțelor nr</w:t>
      </w:r>
      <w:r w:rsidRPr="00D65FE8">
        <w:rPr>
          <w:rFonts w:asciiTheme="majorHAnsi" w:hAnsiTheme="majorHAnsi" w:cstheme="majorHAnsi"/>
          <w:sz w:val="16"/>
          <w:szCs w:val="16"/>
          <w:lang w:val="ro-MD"/>
        </w:rPr>
        <w:t>.215 din 28.12.2015: „În scopul corectitudinii întocmirii rapoartelor lunare privind executarea bugetului de stat, Direcția Trezoreria de Stat și Trezoreriile Regionale ale Ministerului Finanțelor prezintă administratorilor de venit în a zecea zi a lunii următoare perioadei de gestiune în format electronic scanat Registrul veniturilor bugetului de stat (Forma FI-006) semnat de persoanele împuternicite, cu aplicare</w:t>
      </w:r>
      <w:r w:rsidR="002C338E" w:rsidRPr="00D65FE8">
        <w:rPr>
          <w:rFonts w:asciiTheme="majorHAnsi" w:hAnsiTheme="majorHAnsi" w:cstheme="majorHAnsi"/>
          <w:sz w:val="16"/>
          <w:szCs w:val="16"/>
          <w:lang w:val="ro-MD"/>
        </w:rPr>
        <w:t>a</w:t>
      </w:r>
      <w:r w:rsidRPr="00D65FE8">
        <w:rPr>
          <w:rFonts w:asciiTheme="majorHAnsi" w:hAnsiTheme="majorHAnsi" w:cstheme="majorHAnsi"/>
          <w:sz w:val="16"/>
          <w:szCs w:val="16"/>
          <w:lang w:val="ro-MD"/>
        </w:rPr>
        <w:t xml:space="preserve"> ștampilei. Registrul menționat se perfectează cumulativ de la începutul anului.”</w:t>
      </w:r>
    </w:p>
  </w:footnote>
  <w:footnote w:id="14">
    <w:p w:rsidR="00462EE3" w:rsidRPr="009E69FA" w:rsidRDefault="00462EE3" w:rsidP="00CB7373">
      <w:pPr>
        <w:pStyle w:val="FootnoteText"/>
        <w:tabs>
          <w:tab w:val="left" w:pos="810"/>
        </w:tabs>
        <w:ind w:right="142"/>
        <w:jc w:val="both"/>
        <w:rPr>
          <w:rFonts w:asciiTheme="majorHAnsi" w:hAnsiTheme="majorHAnsi" w:cstheme="majorHAnsi"/>
          <w:sz w:val="16"/>
          <w:szCs w:val="16"/>
          <w:lang w:val="ro-MD"/>
        </w:rPr>
      </w:pPr>
      <w:r w:rsidRPr="009E69FA">
        <w:rPr>
          <w:rStyle w:val="FootnoteReference"/>
          <w:rFonts w:asciiTheme="majorHAnsi" w:hAnsiTheme="majorHAnsi" w:cstheme="majorHAnsi"/>
          <w:sz w:val="16"/>
          <w:szCs w:val="16"/>
          <w:lang w:val="ro-MD"/>
        </w:rPr>
        <w:footnoteRef/>
      </w:r>
      <w:r w:rsidRPr="009E69FA">
        <w:rPr>
          <w:rFonts w:asciiTheme="majorHAnsi" w:hAnsiTheme="majorHAnsi" w:cstheme="majorHAnsi"/>
          <w:sz w:val="16"/>
          <w:szCs w:val="16"/>
          <w:lang w:val="ro-MD"/>
        </w:rPr>
        <w:t xml:space="preserve"> </w:t>
      </w:r>
      <w:r w:rsidRPr="00E35817">
        <w:rPr>
          <w:rFonts w:asciiTheme="majorHAnsi" w:hAnsiTheme="majorHAnsi" w:cstheme="majorHAnsi"/>
          <w:sz w:val="16"/>
          <w:szCs w:val="16"/>
          <w:lang w:val="ro-MD"/>
        </w:rPr>
        <w:t>Ordinul ministrului F</w:t>
      </w:r>
      <w:r w:rsidRPr="00D65FE8">
        <w:rPr>
          <w:rFonts w:asciiTheme="majorHAnsi" w:hAnsiTheme="majorHAnsi" w:cstheme="majorHAnsi"/>
          <w:sz w:val="16"/>
          <w:szCs w:val="16"/>
          <w:lang w:val="ro-MD"/>
        </w:rPr>
        <w:t>inanțelor nr.216 din 28.12.2015.</w:t>
      </w:r>
    </w:p>
  </w:footnote>
  <w:footnote w:id="15">
    <w:p w:rsidR="00462EE3" w:rsidRPr="00E35817" w:rsidRDefault="00462EE3" w:rsidP="00CB7373">
      <w:pPr>
        <w:tabs>
          <w:tab w:val="left" w:pos="270"/>
        </w:tabs>
        <w:spacing w:after="0" w:line="240" w:lineRule="auto"/>
        <w:ind w:right="-2"/>
        <w:jc w:val="both"/>
        <w:rPr>
          <w:rFonts w:asciiTheme="majorHAnsi" w:hAnsiTheme="majorHAnsi" w:cstheme="majorHAnsi"/>
          <w:sz w:val="16"/>
          <w:szCs w:val="16"/>
          <w:lang w:val="ro-MD"/>
        </w:rPr>
      </w:pPr>
      <w:r w:rsidRPr="009E69FA">
        <w:rPr>
          <w:rStyle w:val="FootnoteReference"/>
          <w:rFonts w:asciiTheme="majorHAnsi" w:hAnsiTheme="majorHAnsi" w:cstheme="majorHAnsi"/>
          <w:sz w:val="16"/>
          <w:szCs w:val="16"/>
          <w:lang w:val="ro-MD"/>
        </w:rPr>
        <w:footnoteRef/>
      </w:r>
      <w:r w:rsidRPr="009E69FA">
        <w:rPr>
          <w:rFonts w:asciiTheme="majorHAnsi" w:hAnsiTheme="majorHAnsi" w:cstheme="majorHAnsi"/>
          <w:sz w:val="16"/>
          <w:szCs w:val="16"/>
          <w:lang w:val="ro-MD"/>
        </w:rPr>
        <w:t xml:space="preserve"> </w:t>
      </w:r>
      <w:r w:rsidRPr="00E35817">
        <w:rPr>
          <w:rFonts w:asciiTheme="majorHAnsi" w:hAnsiTheme="majorHAnsi" w:cstheme="majorHAnsi"/>
          <w:sz w:val="16"/>
          <w:szCs w:val="16"/>
          <w:lang w:val="ro-MD"/>
        </w:rPr>
        <w:t>Soldul grupei de conturi 318 „Alte mijloace fixe” a fost subevaluat cu 1</w:t>
      </w:r>
      <w:r w:rsidRPr="00D65FE8">
        <w:rPr>
          <w:rFonts w:asciiTheme="majorHAnsi" w:hAnsiTheme="majorHAnsi" w:cstheme="majorHAnsi"/>
          <w:sz w:val="16"/>
          <w:szCs w:val="16"/>
          <w:lang w:val="ro-MD"/>
        </w:rPr>
        <w:t xml:space="preserve"> 516,4 mii lei și subevaluat în aceeași mărime soldul grupei de conturi 319 </w:t>
      </w:r>
      <w:r w:rsidRPr="00E35817">
        <w:rPr>
          <w:rFonts w:asciiTheme="majorHAnsi" w:hAnsiTheme="majorHAnsi" w:cstheme="majorHAnsi"/>
          <w:sz w:val="16"/>
          <w:szCs w:val="16"/>
          <w:lang w:val="ro-MD"/>
        </w:rPr>
        <w:t xml:space="preserve">„Investiții capitale în active în curs de execuție”; Soldul grupei „Alte materiale” a fost supraevaluat cu 107,8 mii lei, fiind subevaluat cu 27,9 mii lei grupa de conturi 338 „Accesorii de pat, îmbrăcăminte, încălțăminte”; </w:t>
      </w:r>
      <w:r w:rsidR="007C1813" w:rsidRPr="00E35817">
        <w:rPr>
          <w:rFonts w:asciiTheme="majorHAnsi" w:hAnsiTheme="majorHAnsi" w:cstheme="majorHAnsi"/>
          <w:sz w:val="16"/>
          <w:szCs w:val="16"/>
          <w:lang w:val="ro-MD"/>
        </w:rPr>
        <w:t xml:space="preserve"> cu </w:t>
      </w:r>
      <w:r w:rsidRPr="00E35817">
        <w:rPr>
          <w:rFonts w:asciiTheme="majorHAnsi" w:hAnsiTheme="majorHAnsi" w:cstheme="majorHAnsi"/>
          <w:sz w:val="16"/>
          <w:szCs w:val="16"/>
          <w:lang w:val="ro-MD"/>
        </w:rPr>
        <w:t>57,1</w:t>
      </w:r>
      <w:r w:rsidR="007C1813" w:rsidRPr="00E35817">
        <w:rPr>
          <w:rFonts w:asciiTheme="majorHAnsi" w:hAnsiTheme="majorHAnsi" w:cstheme="majorHAnsi"/>
          <w:sz w:val="16"/>
          <w:szCs w:val="16"/>
          <w:lang w:val="ro-MD"/>
        </w:rPr>
        <w:t xml:space="preserve"> mii lei –</w:t>
      </w:r>
      <w:r w:rsidRPr="00E35817">
        <w:rPr>
          <w:rFonts w:asciiTheme="majorHAnsi" w:hAnsiTheme="majorHAnsi" w:cstheme="majorHAnsi"/>
          <w:sz w:val="16"/>
          <w:szCs w:val="16"/>
          <w:lang w:val="ro-MD"/>
        </w:rPr>
        <w:t xml:space="preserve"> grupa de conturi 314 „Mașini și utilaje”, </w:t>
      </w:r>
      <w:r w:rsidR="007C1813" w:rsidRPr="00E35817">
        <w:rPr>
          <w:rFonts w:asciiTheme="majorHAnsi" w:hAnsiTheme="majorHAnsi" w:cstheme="majorHAnsi"/>
          <w:sz w:val="16"/>
          <w:szCs w:val="16"/>
          <w:lang w:val="ro-MD"/>
        </w:rPr>
        <w:t xml:space="preserve">și </w:t>
      </w:r>
      <w:r w:rsidRPr="00E35817">
        <w:rPr>
          <w:rFonts w:asciiTheme="majorHAnsi" w:hAnsiTheme="majorHAnsi" w:cstheme="majorHAnsi"/>
          <w:sz w:val="16"/>
          <w:szCs w:val="16"/>
          <w:lang w:val="ro-MD"/>
        </w:rPr>
        <w:t xml:space="preserve">cu 22,8 mii lei </w:t>
      </w:r>
      <w:r w:rsidR="007C1813" w:rsidRPr="00E35817">
        <w:rPr>
          <w:rFonts w:asciiTheme="majorHAnsi" w:hAnsiTheme="majorHAnsi" w:cstheme="majorHAnsi"/>
          <w:sz w:val="16"/>
          <w:szCs w:val="16"/>
          <w:lang w:val="ro-MD"/>
        </w:rPr>
        <w:t xml:space="preserve">– </w:t>
      </w:r>
      <w:r w:rsidRPr="00E35817">
        <w:rPr>
          <w:rFonts w:asciiTheme="majorHAnsi" w:hAnsiTheme="majorHAnsi" w:cstheme="majorHAnsi"/>
          <w:sz w:val="16"/>
          <w:szCs w:val="16"/>
          <w:lang w:val="ro-MD"/>
        </w:rPr>
        <w:t>grupa de conturi 333 „Produse alimentare”.</w:t>
      </w:r>
    </w:p>
  </w:footnote>
  <w:footnote w:id="16">
    <w:p w:rsidR="00462EE3" w:rsidRPr="00D65FE8" w:rsidRDefault="00462EE3" w:rsidP="00CB7373">
      <w:pPr>
        <w:pStyle w:val="FootnoteText"/>
        <w:jc w:val="both"/>
        <w:rPr>
          <w:rFonts w:asciiTheme="majorHAnsi" w:hAnsiTheme="majorHAnsi" w:cstheme="majorHAnsi"/>
          <w:sz w:val="28"/>
          <w:szCs w:val="28"/>
          <w:lang w:val="ro-MD"/>
        </w:rPr>
      </w:pPr>
      <w:r w:rsidRPr="00E35817">
        <w:rPr>
          <w:rStyle w:val="FootnoteReference"/>
          <w:rFonts w:asciiTheme="majorHAnsi" w:hAnsiTheme="majorHAnsi" w:cstheme="majorHAnsi"/>
          <w:sz w:val="16"/>
          <w:szCs w:val="16"/>
          <w:lang w:val="ro-MD"/>
        </w:rPr>
        <w:footnoteRef/>
      </w:r>
      <w:r w:rsidRPr="00E35817">
        <w:rPr>
          <w:rFonts w:asciiTheme="majorHAnsi" w:hAnsiTheme="majorHAnsi" w:cstheme="majorHAnsi"/>
          <w:sz w:val="16"/>
          <w:szCs w:val="16"/>
          <w:lang w:val="ro-MD"/>
        </w:rPr>
        <w:t xml:space="preserve"> Ambasada Republicii Moldova în Azerbaidjan, Ambasada Republicii Moldova în Republica Belarus, Ambasada Republicii Moldova în Regatul Belgiei, Ambasada Republicii Moldova în Republica Franceză, Ambasada Republicii Moldova în Republica Federală Germania, Ambasada Republicii Moldova în Statul Israel, Ambasada Republicii Moldova în Republica Portugheză, Ambasada Republicii Moldova în România, Ambasada Republicii Moldova în Canada, Ambasada Republicii Moldova în Regatul Suediei, Ambasada Republicii Moldova </w:t>
      </w:r>
      <w:r w:rsidRPr="00D65FE8">
        <w:rPr>
          <w:rFonts w:asciiTheme="majorHAnsi" w:hAnsiTheme="majorHAnsi" w:cstheme="majorHAnsi"/>
          <w:sz w:val="16"/>
          <w:szCs w:val="16"/>
          <w:lang w:val="ro-MD"/>
        </w:rPr>
        <w:t>în Republica Elenă, Ambasada Republicii Moldova în Republica Lituania, Ambasada Republicii Moldova în Republica Polonia, Consulatul General al Republicii Moldova la Iași, Consulatul Republicii Moldova la Odessa (Ucraina), Consulatul General al Republicii Moldova la Frankfurt etc.</w:t>
      </w:r>
    </w:p>
  </w:footnote>
  <w:footnote w:id="17">
    <w:p w:rsidR="00462EE3" w:rsidRPr="009E69FA" w:rsidRDefault="00462EE3" w:rsidP="009E69FA">
      <w:pPr>
        <w:pStyle w:val="FootnoteText"/>
        <w:jc w:val="both"/>
        <w:rPr>
          <w:rFonts w:asciiTheme="majorHAnsi" w:hAnsiTheme="majorHAnsi" w:cstheme="majorHAnsi"/>
          <w:sz w:val="16"/>
          <w:szCs w:val="16"/>
          <w:lang w:val="ro-MD"/>
        </w:rPr>
      </w:pPr>
      <w:r w:rsidRPr="009E69FA">
        <w:rPr>
          <w:rStyle w:val="FootnoteReference"/>
          <w:rFonts w:asciiTheme="majorHAnsi" w:hAnsiTheme="majorHAnsi" w:cstheme="majorHAnsi"/>
          <w:sz w:val="16"/>
          <w:szCs w:val="16"/>
          <w:lang w:val="ro-MD"/>
        </w:rPr>
        <w:footnoteRef/>
      </w:r>
      <w:r w:rsidR="00CB7373" w:rsidRPr="00E35817">
        <w:rPr>
          <w:rFonts w:asciiTheme="majorHAnsi" w:eastAsiaTheme="minorEastAsia" w:hAnsiTheme="majorHAnsi" w:cstheme="majorHAnsi"/>
          <w:sz w:val="16"/>
          <w:szCs w:val="16"/>
          <w:lang w:val="ro-MD"/>
        </w:rPr>
        <w:t>„</w:t>
      </w:r>
      <w:r w:rsidRPr="00E35817">
        <w:rPr>
          <w:rFonts w:asciiTheme="majorHAnsi" w:eastAsiaTheme="minorEastAsia" w:hAnsiTheme="majorHAnsi" w:cstheme="majorHAnsi"/>
          <w:sz w:val="16"/>
          <w:szCs w:val="16"/>
          <w:lang w:val="ro-MD"/>
        </w:rPr>
        <w:t>Fondul de rezervă” și „Alegeri” din baza de date</w:t>
      </w:r>
      <w:r w:rsidRPr="00E35817">
        <w:rPr>
          <w:rFonts w:asciiTheme="majorHAnsi" w:eastAsia="Times New Roman" w:hAnsiTheme="majorHAnsi" w:cstheme="majorHAnsi"/>
          <w:sz w:val="16"/>
          <w:szCs w:val="16"/>
          <w:lang w:val="ro-MD"/>
        </w:rPr>
        <w:t xml:space="preserve"> </w:t>
      </w:r>
      <w:r w:rsidRPr="00E35817">
        <w:rPr>
          <w:rFonts w:asciiTheme="majorHAnsi" w:hAnsiTheme="majorHAnsi" w:cstheme="majorHAnsi"/>
          <w:sz w:val="16"/>
          <w:szCs w:val="16"/>
          <w:lang w:val="ro-MD"/>
        </w:rPr>
        <w:t xml:space="preserve">a sistemului informațional "UNIVERSAL ACCOUNTING_SL-versiunea Buget al </w:t>
      </w:r>
      <w:r w:rsidR="00E35817">
        <w:rPr>
          <w:rFonts w:asciiTheme="majorHAnsi" w:hAnsiTheme="majorHAnsi" w:cstheme="majorHAnsi"/>
          <w:sz w:val="16"/>
          <w:szCs w:val="16"/>
          <w:lang w:val="ro-MD"/>
        </w:rPr>
        <w:t>M</w:t>
      </w:r>
      <w:r w:rsidRPr="00E35817">
        <w:rPr>
          <w:rFonts w:asciiTheme="majorHAnsi" w:hAnsiTheme="majorHAnsi" w:cstheme="majorHAnsi"/>
          <w:sz w:val="16"/>
          <w:szCs w:val="16"/>
          <w:lang w:val="ro-MD"/>
        </w:rPr>
        <w:t>inisterului.</w:t>
      </w:r>
    </w:p>
  </w:footnote>
  <w:footnote w:id="18">
    <w:p w:rsidR="00462EE3" w:rsidRPr="009E69FA" w:rsidRDefault="00462EE3" w:rsidP="009E69FA">
      <w:pPr>
        <w:pStyle w:val="FootnoteText"/>
        <w:jc w:val="both"/>
        <w:rPr>
          <w:rFonts w:asciiTheme="majorHAnsi" w:hAnsiTheme="majorHAnsi" w:cstheme="majorHAnsi"/>
          <w:sz w:val="16"/>
          <w:szCs w:val="16"/>
          <w:lang w:val="ro-MD"/>
        </w:rPr>
      </w:pPr>
      <w:r w:rsidRPr="009E69FA">
        <w:rPr>
          <w:rStyle w:val="FootnoteReference"/>
          <w:rFonts w:asciiTheme="majorHAnsi" w:hAnsiTheme="majorHAnsi" w:cstheme="majorHAnsi"/>
          <w:sz w:val="16"/>
          <w:szCs w:val="16"/>
          <w:lang w:val="ro-MD"/>
        </w:rPr>
        <w:footnoteRef/>
      </w:r>
      <w:r w:rsidRPr="009E69FA">
        <w:rPr>
          <w:rFonts w:asciiTheme="majorHAnsi" w:hAnsiTheme="majorHAnsi" w:cstheme="majorHAnsi"/>
          <w:sz w:val="16"/>
          <w:szCs w:val="16"/>
          <w:lang w:val="ro-MD"/>
        </w:rPr>
        <w:t xml:space="preserve"> </w:t>
      </w:r>
      <w:r w:rsidRPr="00E35817">
        <w:rPr>
          <w:rFonts w:asciiTheme="majorHAnsi" w:hAnsiTheme="majorHAnsi" w:cstheme="majorHAnsi"/>
          <w:sz w:val="16"/>
          <w:szCs w:val="16"/>
          <w:lang w:val="ro-MD"/>
        </w:rPr>
        <w:t>Sistemului informațional "UNIVERSAL ACCOUNTING_SL-versiunea Buget.</w:t>
      </w:r>
    </w:p>
  </w:footnote>
  <w:footnote w:id="19">
    <w:p w:rsidR="00462EE3" w:rsidRPr="009E69FA" w:rsidRDefault="00462EE3" w:rsidP="009E69FA">
      <w:pPr>
        <w:spacing w:after="0" w:line="240" w:lineRule="auto"/>
        <w:jc w:val="both"/>
        <w:rPr>
          <w:rFonts w:asciiTheme="majorHAnsi" w:hAnsiTheme="majorHAnsi"/>
          <w:lang w:val="ro-MD"/>
        </w:rPr>
      </w:pPr>
      <w:r w:rsidRPr="009E69FA">
        <w:rPr>
          <w:rStyle w:val="FootnoteReference"/>
          <w:rFonts w:asciiTheme="majorHAnsi" w:hAnsiTheme="majorHAnsi"/>
          <w:sz w:val="16"/>
          <w:szCs w:val="16"/>
          <w:lang w:val="ro-MD"/>
        </w:rPr>
        <w:footnoteRef/>
      </w:r>
      <w:r w:rsidRPr="009E69FA">
        <w:rPr>
          <w:rFonts w:asciiTheme="majorHAnsi" w:hAnsiTheme="majorHAnsi"/>
          <w:sz w:val="16"/>
          <w:szCs w:val="16"/>
          <w:lang w:val="ro-MD"/>
        </w:rPr>
        <w:t xml:space="preserve"> </w:t>
      </w:r>
      <w:r w:rsidRPr="00E35817">
        <w:rPr>
          <w:rFonts w:asciiTheme="majorHAnsi" w:hAnsiTheme="majorHAnsi" w:cstheme="majorHAnsi"/>
          <w:sz w:val="16"/>
          <w:szCs w:val="16"/>
          <w:lang w:val="ro-MD"/>
        </w:rPr>
        <w:t>Sursa de venituri „Fondul de rezervă ”a fost constatat sold la grupa de conturi 314 „Mașini și utilaje” la situația din 01.01.2021 – 66,5 mii lei și la 31.12.2021 – 16,1 mii lei ; la sursa de venituri „Alegeri” la situația din 01.01.2021 au fost constatate solduri la grupele de conturi: 333 „Produse alimentare”</w:t>
      </w:r>
      <w:r w:rsidR="00E35817">
        <w:rPr>
          <w:rFonts w:asciiTheme="majorHAnsi" w:hAnsiTheme="majorHAnsi" w:cstheme="majorHAnsi"/>
          <w:sz w:val="16"/>
          <w:szCs w:val="16"/>
          <w:lang w:val="ro-MD"/>
        </w:rPr>
        <w:t xml:space="preserve"> </w:t>
      </w:r>
      <w:r w:rsidR="00E35817" w:rsidRPr="00E35817">
        <w:rPr>
          <w:rFonts w:asciiTheme="majorHAnsi" w:hAnsiTheme="majorHAnsi" w:cstheme="majorHAnsi"/>
          <w:sz w:val="16"/>
          <w:szCs w:val="16"/>
          <w:lang w:val="ro-MD"/>
        </w:rPr>
        <w:t>–</w:t>
      </w:r>
      <w:r w:rsidRPr="00E35817">
        <w:rPr>
          <w:rFonts w:asciiTheme="majorHAnsi" w:hAnsiTheme="majorHAnsi" w:cstheme="majorHAnsi"/>
          <w:sz w:val="16"/>
          <w:szCs w:val="16"/>
          <w:lang w:val="ro-MD"/>
        </w:rPr>
        <w:t xml:space="preserve"> 3,8 mii lei, 339 „ Alte materiale” – 12,8 mii lei, 419 „Alte creanțe ale autorităților /instituțiilor bugetare” </w:t>
      </w:r>
      <w:r w:rsidR="00E35817" w:rsidRPr="00E35817">
        <w:rPr>
          <w:rFonts w:asciiTheme="majorHAnsi" w:hAnsiTheme="majorHAnsi" w:cstheme="majorHAnsi"/>
          <w:sz w:val="16"/>
          <w:szCs w:val="16"/>
          <w:lang w:val="ro-MD"/>
        </w:rPr>
        <w:t>–</w:t>
      </w:r>
      <w:r w:rsidRPr="00E35817">
        <w:rPr>
          <w:rFonts w:asciiTheme="majorHAnsi" w:hAnsiTheme="majorHAnsi" w:cstheme="majorHAnsi"/>
          <w:sz w:val="16"/>
          <w:szCs w:val="16"/>
          <w:lang w:val="ro-MD"/>
        </w:rPr>
        <w:t xml:space="preserve"> 9,9 mii lei</w:t>
      </w:r>
      <w:r w:rsidR="00E35817">
        <w:rPr>
          <w:rFonts w:asciiTheme="majorHAnsi" w:hAnsiTheme="majorHAnsi" w:cstheme="majorHAnsi"/>
          <w:sz w:val="16"/>
          <w:szCs w:val="16"/>
          <w:lang w:val="ro-MD"/>
        </w:rPr>
        <w:t>,</w:t>
      </w:r>
      <w:r w:rsidRPr="00E35817">
        <w:rPr>
          <w:rFonts w:asciiTheme="majorHAnsi" w:hAnsiTheme="majorHAnsi" w:cstheme="majorHAnsi"/>
          <w:sz w:val="16"/>
          <w:szCs w:val="16"/>
          <w:lang w:val="ro-MD"/>
        </w:rPr>
        <w:t xml:space="preserve"> și la situația din 31.12.2021</w:t>
      </w:r>
      <w:r w:rsidR="00E35817">
        <w:rPr>
          <w:rFonts w:asciiTheme="majorHAnsi" w:hAnsiTheme="majorHAnsi" w:cstheme="majorHAnsi"/>
          <w:sz w:val="16"/>
          <w:szCs w:val="16"/>
          <w:lang w:val="ro-MD"/>
        </w:rPr>
        <w:t xml:space="preserve"> </w:t>
      </w:r>
      <w:r w:rsidR="00E35817" w:rsidRPr="00E35817">
        <w:rPr>
          <w:rFonts w:asciiTheme="majorHAnsi" w:hAnsiTheme="majorHAnsi" w:cstheme="majorHAnsi"/>
          <w:sz w:val="16"/>
          <w:szCs w:val="16"/>
          <w:lang w:val="ro-MD"/>
        </w:rPr>
        <w:t>–</w:t>
      </w:r>
      <w:r w:rsidRPr="00E35817">
        <w:rPr>
          <w:rFonts w:asciiTheme="majorHAnsi" w:hAnsiTheme="majorHAnsi" w:cstheme="majorHAnsi"/>
          <w:sz w:val="16"/>
          <w:szCs w:val="16"/>
          <w:lang w:val="ro-MD"/>
        </w:rPr>
        <w:t xml:space="preserve"> 221 „Bunuri</w:t>
      </w:r>
      <w:r w:rsidR="00E35817">
        <w:rPr>
          <w:rFonts w:asciiTheme="majorHAnsi" w:hAnsiTheme="majorHAnsi" w:cstheme="majorHAnsi"/>
          <w:sz w:val="16"/>
          <w:szCs w:val="16"/>
          <w:lang w:val="ro-MD"/>
        </w:rPr>
        <w:t>-</w:t>
      </w:r>
      <w:r w:rsidRPr="00E35817">
        <w:rPr>
          <w:rFonts w:asciiTheme="majorHAnsi" w:hAnsiTheme="majorHAnsi" w:cstheme="majorHAnsi"/>
          <w:sz w:val="16"/>
          <w:szCs w:val="16"/>
          <w:lang w:val="ro-MD"/>
        </w:rPr>
        <w:t>servicii privind utilizarea stocurilor” – 3,8 mii lei, 289 „Alte cheltuieli ale autorităților/instituțiilor bugetare” – 4,2 mii lei, 339 „Alte materiale” – 10,9 mii lei, 419 „Alte creanțe ale autorităților /instituțiilor bugetare” – 5,6 mii lei.</w:t>
      </w:r>
    </w:p>
  </w:footnote>
  <w:footnote w:id="20">
    <w:p w:rsidR="00462EE3" w:rsidRPr="00E35817" w:rsidRDefault="00462EE3" w:rsidP="00CB7373">
      <w:pPr>
        <w:pStyle w:val="FootnoteText"/>
        <w:rPr>
          <w:rFonts w:asciiTheme="majorHAnsi" w:hAnsiTheme="majorHAnsi" w:cstheme="majorHAnsi"/>
          <w:sz w:val="16"/>
          <w:szCs w:val="16"/>
          <w:lang w:val="ro-MD"/>
        </w:rPr>
      </w:pPr>
      <w:r w:rsidRPr="00E35817">
        <w:rPr>
          <w:rStyle w:val="FootnoteReference"/>
          <w:rFonts w:asciiTheme="majorHAnsi" w:hAnsiTheme="majorHAnsi" w:cstheme="majorHAnsi"/>
          <w:sz w:val="16"/>
          <w:szCs w:val="16"/>
          <w:lang w:val="ro-MD"/>
        </w:rPr>
        <w:footnoteRef/>
      </w:r>
      <w:r w:rsidRPr="00E35817">
        <w:rPr>
          <w:rFonts w:asciiTheme="majorHAnsi" w:hAnsiTheme="majorHAnsi" w:cstheme="majorHAnsi"/>
          <w:sz w:val="16"/>
          <w:szCs w:val="16"/>
          <w:lang w:val="ro-MD"/>
        </w:rPr>
        <w:t xml:space="preserve"> Legea bugetului de stat pentru anul 2021 nr.258 din 16.12.2020.</w:t>
      </w:r>
    </w:p>
  </w:footnote>
  <w:footnote w:id="21">
    <w:p w:rsidR="00462EE3" w:rsidRPr="009E69FA" w:rsidRDefault="00462EE3" w:rsidP="00CB7373">
      <w:pPr>
        <w:pStyle w:val="FootnoteText"/>
        <w:ind w:right="142"/>
        <w:rPr>
          <w:rStyle w:val="FootnoteReference"/>
          <w:rFonts w:asciiTheme="majorHAnsi" w:hAnsiTheme="majorHAnsi" w:cstheme="majorHAnsi"/>
          <w:lang w:val="ro-MD"/>
        </w:rPr>
      </w:pPr>
      <w:r w:rsidRPr="009E69FA">
        <w:rPr>
          <w:rStyle w:val="FootnoteReference"/>
          <w:rFonts w:asciiTheme="majorHAnsi" w:hAnsiTheme="majorHAnsi" w:cstheme="majorHAnsi"/>
          <w:sz w:val="16"/>
          <w:szCs w:val="16"/>
          <w:lang w:val="ro-MD"/>
        </w:rPr>
        <w:t xml:space="preserve">24 </w:t>
      </w:r>
      <w:r w:rsidRPr="00E35817">
        <w:rPr>
          <w:rFonts w:asciiTheme="majorHAnsi" w:hAnsiTheme="majorHAnsi" w:cstheme="majorHAnsi"/>
          <w:sz w:val="16"/>
          <w:szCs w:val="16"/>
          <w:lang w:val="ro-MD"/>
        </w:rPr>
        <w:t>Hotărârea Guvernului nr.338 din 21.03.2003 „Cu privire la aprobarea Catalogului mijloacelor fixe și activelor nemateriale”.</w:t>
      </w:r>
    </w:p>
  </w:footnote>
  <w:footnote w:id="22">
    <w:p w:rsidR="00462EE3" w:rsidRPr="00E35817" w:rsidRDefault="00462EE3" w:rsidP="00CB7373">
      <w:pPr>
        <w:pStyle w:val="FootnoteText"/>
        <w:rPr>
          <w:rFonts w:asciiTheme="majorHAnsi" w:hAnsiTheme="majorHAnsi" w:cstheme="majorHAnsi"/>
          <w:lang w:val="ro-MD"/>
        </w:rPr>
      </w:pPr>
      <w:r w:rsidRPr="00E35817">
        <w:rPr>
          <w:rStyle w:val="FootnoteReference"/>
          <w:rFonts w:asciiTheme="majorHAnsi" w:hAnsiTheme="majorHAnsi" w:cstheme="majorHAnsi"/>
          <w:sz w:val="16"/>
          <w:szCs w:val="16"/>
          <w:lang w:val="ro-MD"/>
        </w:rPr>
        <w:footnoteRef/>
      </w:r>
      <w:r w:rsidRPr="00E35817">
        <w:rPr>
          <w:rStyle w:val="FootnoteReference"/>
          <w:rFonts w:asciiTheme="majorHAnsi" w:hAnsiTheme="majorHAnsi" w:cstheme="majorHAnsi"/>
          <w:sz w:val="16"/>
          <w:szCs w:val="16"/>
          <w:lang w:val="ro-MD"/>
        </w:rPr>
        <w:t xml:space="preserve"> </w:t>
      </w:r>
      <w:r w:rsidRPr="00E35817">
        <w:rPr>
          <w:rFonts w:asciiTheme="majorHAnsi" w:hAnsiTheme="majorHAnsi" w:cstheme="majorHAnsi"/>
          <w:sz w:val="16"/>
          <w:szCs w:val="16"/>
          <w:lang w:val="ro-MD"/>
        </w:rPr>
        <w:t>Ambasada Republicii Moldova în Statul Israel.</w:t>
      </w:r>
      <w:r w:rsidRPr="00E35817">
        <w:rPr>
          <w:rFonts w:asciiTheme="majorHAnsi" w:hAnsiTheme="majorHAnsi" w:cstheme="majorHAnsi"/>
          <w:lang w:val="ro-MD"/>
        </w:rPr>
        <w:t xml:space="preserve"> </w:t>
      </w:r>
    </w:p>
  </w:footnote>
  <w:footnote w:id="23">
    <w:p w:rsidR="00462EE3" w:rsidRPr="00E35817" w:rsidRDefault="00462EE3" w:rsidP="009E69FA">
      <w:pPr>
        <w:pStyle w:val="FootnoteText"/>
        <w:jc w:val="both"/>
        <w:rPr>
          <w:rFonts w:asciiTheme="majorHAnsi" w:hAnsiTheme="majorHAnsi" w:cstheme="majorHAnsi"/>
          <w:sz w:val="16"/>
          <w:szCs w:val="16"/>
          <w:lang w:val="ro-MD"/>
        </w:rPr>
      </w:pPr>
      <w:r w:rsidRPr="00E35817">
        <w:rPr>
          <w:rStyle w:val="FootnoteReference"/>
          <w:rFonts w:asciiTheme="majorHAnsi" w:hAnsiTheme="majorHAnsi" w:cstheme="majorHAnsi"/>
          <w:sz w:val="16"/>
          <w:szCs w:val="16"/>
          <w:lang w:val="ro-MD"/>
        </w:rPr>
        <w:footnoteRef/>
      </w:r>
      <w:r w:rsidRPr="00E35817">
        <w:rPr>
          <w:rFonts w:asciiTheme="majorHAnsi" w:hAnsiTheme="majorHAnsi" w:cstheme="majorHAnsi"/>
          <w:sz w:val="16"/>
          <w:szCs w:val="16"/>
          <w:lang w:val="ro-MD"/>
        </w:rPr>
        <w:t xml:space="preserve"> Act de recepție din 19.10.2021 (0,8 mil lei), Factura nr.829660/0 din 26.04.2021 (0,7 mil. lei), Factura nr.VFRV-T21-0877 DIN 07.04.2021 (0,7 mil. lei)</w:t>
      </w:r>
      <w:r w:rsidR="00CB7373" w:rsidRPr="00E35817">
        <w:rPr>
          <w:rFonts w:asciiTheme="majorHAnsi" w:hAnsiTheme="majorHAnsi" w:cstheme="majorHAnsi"/>
          <w:sz w:val="16"/>
          <w:szCs w:val="16"/>
          <w:lang w:val="ro-MD"/>
        </w:rPr>
        <w:t>.</w:t>
      </w:r>
      <w:r w:rsidRPr="00E35817">
        <w:rPr>
          <w:rFonts w:asciiTheme="majorHAnsi" w:hAnsiTheme="majorHAnsi" w:cstheme="majorHAnsi"/>
          <w:sz w:val="16"/>
          <w:szCs w:val="16"/>
          <w:lang w:val="ro-MD"/>
        </w:rPr>
        <w:t xml:space="preserve"> </w:t>
      </w:r>
    </w:p>
  </w:footnote>
  <w:footnote w:id="24">
    <w:p w:rsidR="00462EE3" w:rsidRPr="007B225F" w:rsidRDefault="00462EE3" w:rsidP="00CB7373">
      <w:pPr>
        <w:pStyle w:val="FootnoteText"/>
        <w:jc w:val="both"/>
        <w:rPr>
          <w:rFonts w:asciiTheme="majorHAnsi" w:hAnsiTheme="majorHAnsi" w:cstheme="majorHAnsi"/>
          <w:sz w:val="16"/>
          <w:szCs w:val="16"/>
          <w:lang w:val="ro-MD"/>
        </w:rPr>
      </w:pPr>
      <w:r w:rsidRPr="007B225F">
        <w:rPr>
          <w:rStyle w:val="FootnoteReference"/>
          <w:rFonts w:asciiTheme="majorHAnsi" w:hAnsiTheme="majorHAnsi" w:cstheme="majorHAnsi"/>
          <w:sz w:val="16"/>
          <w:szCs w:val="16"/>
          <w:lang w:val="ro-MD"/>
        </w:rPr>
        <w:footnoteRef/>
      </w:r>
      <w:r w:rsidRPr="007B225F">
        <w:rPr>
          <w:rFonts w:asciiTheme="majorHAnsi" w:hAnsiTheme="majorHAnsi" w:cstheme="majorHAnsi"/>
          <w:sz w:val="16"/>
          <w:szCs w:val="16"/>
          <w:lang w:val="ro-MD"/>
        </w:rPr>
        <w:t xml:space="preserve"> Compensație pentru echipament</w:t>
      </w:r>
      <w:r w:rsidR="00FD132D">
        <w:rPr>
          <w:rFonts w:asciiTheme="majorHAnsi" w:hAnsiTheme="majorHAnsi" w:cstheme="majorHAnsi"/>
          <w:sz w:val="16"/>
          <w:szCs w:val="16"/>
          <w:lang w:val="ro-MD"/>
        </w:rPr>
        <w:t xml:space="preserve"> </w:t>
      </w:r>
      <w:r w:rsidR="00FD132D" w:rsidRPr="00FD132D">
        <w:rPr>
          <w:rFonts w:asciiTheme="majorHAnsi" w:hAnsiTheme="majorHAnsi" w:cstheme="majorHAnsi"/>
          <w:sz w:val="16"/>
          <w:szCs w:val="16"/>
          <w:lang w:val="ro-MD"/>
        </w:rPr>
        <w:t xml:space="preserve"> </w:t>
      </w:r>
      <w:r w:rsidR="00FD132D" w:rsidRPr="00E35817">
        <w:rPr>
          <w:rFonts w:asciiTheme="majorHAnsi" w:hAnsiTheme="majorHAnsi" w:cstheme="majorHAnsi"/>
          <w:sz w:val="16"/>
          <w:szCs w:val="16"/>
          <w:lang w:val="ro-MD"/>
        </w:rPr>
        <w:t>–</w:t>
      </w:r>
      <w:r w:rsidRPr="007B225F">
        <w:rPr>
          <w:rFonts w:asciiTheme="majorHAnsi" w:hAnsiTheme="majorHAnsi" w:cstheme="majorHAnsi"/>
          <w:sz w:val="16"/>
          <w:szCs w:val="16"/>
          <w:lang w:val="ro-MD"/>
        </w:rPr>
        <w:t xml:space="preserve"> 24,5 mii lei, servicii comunale – 201,5 mii lei, servicii informaționale – 50,5 mii lei, servicii de telefonie fixă – 83,1 mii lei, servicii de locațiune</w:t>
      </w:r>
      <w:r w:rsidR="00FD132D">
        <w:rPr>
          <w:rFonts w:asciiTheme="majorHAnsi" w:hAnsiTheme="majorHAnsi" w:cstheme="majorHAnsi"/>
          <w:sz w:val="16"/>
          <w:szCs w:val="16"/>
          <w:lang w:val="ro-MD"/>
        </w:rPr>
        <w:t xml:space="preserve"> </w:t>
      </w:r>
      <w:r w:rsidR="00FD132D" w:rsidRPr="00E35817">
        <w:rPr>
          <w:rFonts w:asciiTheme="majorHAnsi" w:hAnsiTheme="majorHAnsi" w:cstheme="majorHAnsi"/>
          <w:sz w:val="16"/>
          <w:szCs w:val="16"/>
          <w:lang w:val="ro-MD"/>
        </w:rPr>
        <w:t>–</w:t>
      </w:r>
      <w:r w:rsidRPr="007B225F">
        <w:rPr>
          <w:rFonts w:asciiTheme="majorHAnsi" w:hAnsiTheme="majorHAnsi" w:cstheme="majorHAnsi"/>
          <w:sz w:val="16"/>
          <w:szCs w:val="16"/>
          <w:lang w:val="ro-MD"/>
        </w:rPr>
        <w:t xml:space="preserve"> 1 369,8 mii lei, servicii de reparație curentă – 126 mii lei, deplasări peste hotare – 21,5 mii lei, alte servicii</w:t>
      </w:r>
      <w:r w:rsidR="00FD132D">
        <w:rPr>
          <w:rFonts w:asciiTheme="majorHAnsi" w:hAnsiTheme="majorHAnsi" w:cstheme="majorHAnsi"/>
          <w:sz w:val="16"/>
          <w:szCs w:val="16"/>
          <w:lang w:val="ro-MD"/>
        </w:rPr>
        <w:t xml:space="preserve"> </w:t>
      </w:r>
      <w:r w:rsidR="00FD132D" w:rsidRPr="00E35817">
        <w:rPr>
          <w:rFonts w:asciiTheme="majorHAnsi" w:hAnsiTheme="majorHAnsi" w:cstheme="majorHAnsi"/>
          <w:sz w:val="16"/>
          <w:szCs w:val="16"/>
          <w:lang w:val="ro-MD"/>
        </w:rPr>
        <w:t>–</w:t>
      </w:r>
      <w:r w:rsidRPr="007B225F">
        <w:rPr>
          <w:rFonts w:asciiTheme="majorHAnsi" w:hAnsiTheme="majorHAnsi" w:cstheme="majorHAnsi"/>
          <w:sz w:val="16"/>
          <w:szCs w:val="16"/>
          <w:lang w:val="ro-MD"/>
        </w:rPr>
        <w:t xml:space="preserve"> 281,1 mii lei, alte investiții capitale – 36,3 mii lei, mașini și utilaje</w:t>
      </w:r>
      <w:r w:rsidR="00FD132D">
        <w:rPr>
          <w:rFonts w:asciiTheme="majorHAnsi" w:hAnsiTheme="majorHAnsi" w:cstheme="majorHAnsi"/>
          <w:sz w:val="16"/>
          <w:szCs w:val="16"/>
          <w:lang w:val="ro-MD"/>
        </w:rPr>
        <w:t xml:space="preserve"> </w:t>
      </w:r>
      <w:r w:rsidR="00FD132D" w:rsidRPr="00E35817">
        <w:rPr>
          <w:rFonts w:asciiTheme="majorHAnsi" w:hAnsiTheme="majorHAnsi" w:cstheme="majorHAnsi"/>
          <w:sz w:val="16"/>
          <w:szCs w:val="16"/>
          <w:lang w:val="ro-MD"/>
        </w:rPr>
        <w:t>–</w:t>
      </w:r>
      <w:r w:rsidRPr="007B225F">
        <w:rPr>
          <w:rFonts w:asciiTheme="majorHAnsi" w:hAnsiTheme="majorHAnsi" w:cstheme="majorHAnsi"/>
          <w:sz w:val="16"/>
          <w:szCs w:val="16"/>
          <w:lang w:val="ro-MD"/>
        </w:rPr>
        <w:t xml:space="preserve"> 232,4 mii lei, unelte și scule</w:t>
      </w:r>
      <w:r w:rsidR="00FD132D" w:rsidRPr="00E35817">
        <w:rPr>
          <w:rFonts w:asciiTheme="majorHAnsi" w:hAnsiTheme="majorHAnsi" w:cstheme="majorHAnsi"/>
          <w:sz w:val="16"/>
          <w:szCs w:val="16"/>
          <w:lang w:val="ro-MD"/>
        </w:rPr>
        <w:t>–</w:t>
      </w:r>
      <w:r w:rsidRPr="007B225F">
        <w:rPr>
          <w:rFonts w:asciiTheme="majorHAnsi" w:hAnsiTheme="majorHAnsi" w:cstheme="majorHAnsi"/>
          <w:sz w:val="16"/>
          <w:szCs w:val="16"/>
          <w:lang w:val="ro-MD"/>
        </w:rPr>
        <w:t xml:space="preserve"> 92,0 mii lei, stocuri de materiale</w:t>
      </w:r>
      <w:r w:rsidR="00FD132D">
        <w:rPr>
          <w:rFonts w:asciiTheme="majorHAnsi" w:hAnsiTheme="majorHAnsi" w:cstheme="majorHAnsi"/>
          <w:sz w:val="16"/>
          <w:szCs w:val="16"/>
          <w:lang w:val="ro-MD"/>
        </w:rPr>
        <w:t xml:space="preserve"> </w:t>
      </w:r>
      <w:r w:rsidR="00FD132D" w:rsidRPr="00E35817">
        <w:rPr>
          <w:rFonts w:asciiTheme="majorHAnsi" w:hAnsiTheme="majorHAnsi" w:cstheme="majorHAnsi"/>
          <w:sz w:val="16"/>
          <w:szCs w:val="16"/>
          <w:lang w:val="ro-MD"/>
        </w:rPr>
        <w:t>–</w:t>
      </w:r>
      <w:r w:rsidRPr="007B225F">
        <w:rPr>
          <w:rFonts w:asciiTheme="majorHAnsi" w:hAnsiTheme="majorHAnsi" w:cstheme="majorHAnsi"/>
          <w:sz w:val="16"/>
          <w:szCs w:val="16"/>
          <w:lang w:val="ro-MD"/>
        </w:rPr>
        <w:t xml:space="preserve"> 464,3 mii lei.</w:t>
      </w:r>
    </w:p>
  </w:footnote>
  <w:footnote w:id="25">
    <w:p w:rsidR="00462EE3" w:rsidRPr="00113487" w:rsidRDefault="00462EE3" w:rsidP="00CB7373">
      <w:pPr>
        <w:pStyle w:val="FootnoteText"/>
        <w:jc w:val="both"/>
        <w:rPr>
          <w:rFonts w:asciiTheme="majorHAnsi" w:hAnsiTheme="majorHAnsi" w:cstheme="majorHAnsi"/>
          <w:sz w:val="16"/>
          <w:szCs w:val="16"/>
          <w:lang w:val="ro-MD"/>
        </w:rPr>
      </w:pPr>
      <w:r w:rsidRPr="00113487">
        <w:rPr>
          <w:rStyle w:val="FootnoteReference"/>
          <w:rFonts w:asciiTheme="majorHAnsi" w:hAnsiTheme="majorHAnsi" w:cstheme="majorHAnsi"/>
          <w:sz w:val="16"/>
          <w:szCs w:val="16"/>
          <w:lang w:val="ro-MD"/>
        </w:rPr>
        <w:footnoteRef/>
      </w:r>
      <w:r w:rsidRPr="00113487">
        <w:rPr>
          <w:rFonts w:asciiTheme="majorHAnsi" w:hAnsiTheme="majorHAnsi" w:cstheme="majorHAnsi"/>
          <w:sz w:val="16"/>
          <w:szCs w:val="16"/>
          <w:lang w:val="ro-MD"/>
        </w:rPr>
        <w:t xml:space="preserve"> Art.31 din Codul electoral al Republicii Moldova nr.1381-XII din 21.12.1997.</w:t>
      </w:r>
    </w:p>
  </w:footnote>
  <w:footnote w:id="26">
    <w:p w:rsidR="00462EE3" w:rsidRPr="00113487" w:rsidRDefault="00462EE3" w:rsidP="00CB7373">
      <w:pPr>
        <w:pStyle w:val="FootnoteText"/>
        <w:jc w:val="both"/>
        <w:rPr>
          <w:rFonts w:asciiTheme="majorHAnsi" w:hAnsiTheme="majorHAnsi" w:cstheme="majorHAnsi"/>
          <w:sz w:val="16"/>
          <w:szCs w:val="16"/>
          <w:lang w:val="ro-MD"/>
        </w:rPr>
      </w:pPr>
      <w:r w:rsidRPr="00113487">
        <w:rPr>
          <w:rStyle w:val="FootnoteReference"/>
          <w:rFonts w:asciiTheme="majorHAnsi" w:hAnsiTheme="majorHAnsi" w:cstheme="majorHAnsi"/>
          <w:sz w:val="16"/>
          <w:szCs w:val="16"/>
          <w:lang w:val="ro-MD"/>
        </w:rPr>
        <w:footnoteRef/>
      </w:r>
      <w:r w:rsidRPr="00113487">
        <w:rPr>
          <w:rFonts w:asciiTheme="majorHAnsi" w:hAnsiTheme="majorHAnsi" w:cstheme="majorHAnsi"/>
          <w:sz w:val="16"/>
          <w:szCs w:val="16"/>
          <w:lang w:val="ro-MD"/>
        </w:rPr>
        <w:t xml:space="preserve"> Ordinul nr.121-b—133 din 07.05.2021 </w:t>
      </w:r>
      <w:r w:rsidR="00FD132D">
        <w:rPr>
          <w:rFonts w:asciiTheme="majorHAnsi" w:hAnsiTheme="majorHAnsi" w:cstheme="majorHAnsi"/>
          <w:sz w:val="16"/>
          <w:szCs w:val="16"/>
          <w:lang w:val="ro-MD"/>
        </w:rPr>
        <w:t>„C</w:t>
      </w:r>
      <w:r w:rsidRPr="00113487">
        <w:rPr>
          <w:rFonts w:asciiTheme="majorHAnsi" w:hAnsiTheme="majorHAnsi" w:cstheme="majorHAnsi"/>
          <w:sz w:val="16"/>
          <w:szCs w:val="16"/>
          <w:lang w:val="ro-MD"/>
        </w:rPr>
        <w:t xml:space="preserve">u privire la constituirea </w:t>
      </w:r>
      <w:r w:rsidR="00FD132D">
        <w:rPr>
          <w:rFonts w:asciiTheme="majorHAnsi" w:hAnsiTheme="majorHAnsi" w:cstheme="majorHAnsi"/>
          <w:sz w:val="16"/>
          <w:szCs w:val="16"/>
          <w:lang w:val="ro-MD"/>
        </w:rPr>
        <w:t>G</w:t>
      </w:r>
      <w:r w:rsidRPr="00113487">
        <w:rPr>
          <w:rFonts w:asciiTheme="majorHAnsi" w:hAnsiTheme="majorHAnsi" w:cstheme="majorHAnsi"/>
          <w:sz w:val="16"/>
          <w:szCs w:val="16"/>
          <w:lang w:val="ro-MD"/>
        </w:rPr>
        <w:t>rupului de lucru în cadrul MAEIE, pentru pregătirea desfășurării alegerilor Parlamentare din 11 iulie 2021 în cadrul secțiilor de v</w:t>
      </w:r>
      <w:r w:rsidR="00CB7373">
        <w:rPr>
          <w:rFonts w:asciiTheme="majorHAnsi" w:hAnsiTheme="majorHAnsi" w:cstheme="majorHAnsi"/>
          <w:sz w:val="16"/>
          <w:szCs w:val="16"/>
          <w:lang w:val="ro-MD"/>
        </w:rPr>
        <w:t>otare organizate în afara țării</w:t>
      </w:r>
      <w:r w:rsidR="00FD132D">
        <w:rPr>
          <w:rFonts w:asciiTheme="majorHAnsi" w:hAnsiTheme="majorHAnsi" w:cstheme="majorHAnsi"/>
          <w:sz w:val="16"/>
          <w:szCs w:val="16"/>
          <w:lang w:val="ro-MD"/>
        </w:rPr>
        <w:t>”</w:t>
      </w:r>
      <w:r w:rsidR="00CB7373">
        <w:rPr>
          <w:rFonts w:asciiTheme="majorHAnsi" w:hAnsiTheme="majorHAnsi" w:cstheme="majorHAnsi"/>
          <w:sz w:val="16"/>
          <w:szCs w:val="16"/>
          <w:lang w:val="ro-MD"/>
        </w:rPr>
        <w:t>.</w:t>
      </w:r>
    </w:p>
  </w:footnote>
  <w:footnote w:id="27">
    <w:p w:rsidR="00462EE3" w:rsidRPr="00113487" w:rsidRDefault="00462EE3" w:rsidP="00CB7373">
      <w:pPr>
        <w:pStyle w:val="FootnoteText"/>
        <w:jc w:val="both"/>
        <w:rPr>
          <w:rFonts w:asciiTheme="majorHAnsi" w:hAnsiTheme="majorHAnsi" w:cstheme="majorHAnsi"/>
          <w:sz w:val="16"/>
          <w:szCs w:val="16"/>
        </w:rPr>
      </w:pPr>
      <w:r w:rsidRPr="00113487">
        <w:rPr>
          <w:rStyle w:val="FootnoteReference"/>
          <w:rFonts w:asciiTheme="majorHAnsi" w:hAnsiTheme="majorHAnsi" w:cstheme="majorHAnsi"/>
          <w:sz w:val="16"/>
          <w:szCs w:val="16"/>
        </w:rPr>
        <w:footnoteRef/>
      </w:r>
      <w:r w:rsidRPr="00113487">
        <w:rPr>
          <w:rFonts w:asciiTheme="majorHAnsi" w:hAnsiTheme="majorHAnsi" w:cstheme="majorHAnsi"/>
          <w:sz w:val="16"/>
          <w:szCs w:val="16"/>
        </w:rPr>
        <w:t xml:space="preserve"> Art.19 din </w:t>
      </w:r>
      <w:r w:rsidRPr="00113487">
        <w:rPr>
          <w:rFonts w:asciiTheme="majorHAnsi" w:hAnsiTheme="majorHAnsi" w:cstheme="majorHAnsi"/>
          <w:sz w:val="16"/>
          <w:szCs w:val="16"/>
          <w:lang w:val="ro-MD"/>
        </w:rPr>
        <w:t>Legea privind sistemul unitar de salarizare în sectorul bugetar nr. 270 din 23.11.2018</w:t>
      </w:r>
      <w:r w:rsidR="00CB7373">
        <w:rPr>
          <w:rFonts w:asciiTheme="majorHAnsi" w:hAnsiTheme="majorHAnsi" w:cstheme="majorHAnsi"/>
          <w:sz w:val="16"/>
          <w:szCs w:val="16"/>
          <w:lang w:val="ro-MD"/>
        </w:rPr>
        <w:t>.</w:t>
      </w:r>
    </w:p>
  </w:footnote>
  <w:footnote w:id="28">
    <w:p w:rsidR="00462EE3" w:rsidRPr="00A06F4C" w:rsidRDefault="00462EE3" w:rsidP="00CB7373">
      <w:pPr>
        <w:pStyle w:val="FootnoteText"/>
        <w:jc w:val="both"/>
        <w:rPr>
          <w:rFonts w:asciiTheme="majorHAnsi" w:hAnsiTheme="majorHAnsi" w:cstheme="majorHAnsi"/>
          <w:sz w:val="16"/>
          <w:szCs w:val="16"/>
          <w:lang w:val="ro-MD"/>
        </w:rPr>
      </w:pPr>
      <w:r w:rsidRPr="00A06F4C">
        <w:rPr>
          <w:rStyle w:val="FootnoteReference"/>
          <w:rFonts w:asciiTheme="majorHAnsi" w:hAnsiTheme="majorHAnsi" w:cstheme="majorHAnsi"/>
          <w:sz w:val="16"/>
          <w:szCs w:val="16"/>
        </w:rPr>
        <w:footnoteRef/>
      </w:r>
      <w:r w:rsidRPr="00A06F4C">
        <w:rPr>
          <w:rFonts w:asciiTheme="majorHAnsi" w:hAnsiTheme="majorHAnsi" w:cstheme="majorHAnsi"/>
          <w:sz w:val="16"/>
          <w:szCs w:val="16"/>
        </w:rPr>
        <w:t xml:space="preserve"> </w:t>
      </w:r>
      <w:r w:rsidRPr="00A06F4C">
        <w:rPr>
          <w:rFonts w:asciiTheme="majorHAnsi" w:hAnsiTheme="majorHAnsi" w:cstheme="majorHAnsi"/>
          <w:sz w:val="16"/>
          <w:szCs w:val="16"/>
          <w:lang w:val="ro-MD"/>
        </w:rPr>
        <w:t>Hotărârea Guvernului nr.426 din 26.04.2004</w:t>
      </w:r>
      <w:r w:rsidRPr="00A06F4C">
        <w:rPr>
          <w:rFonts w:asciiTheme="majorHAnsi" w:eastAsia="Times New Roman" w:hAnsiTheme="majorHAnsi" w:cstheme="majorHAnsi"/>
          <w:sz w:val="16"/>
          <w:szCs w:val="16"/>
          <w:lang w:val="ro-MD"/>
        </w:rPr>
        <w:t xml:space="preserve"> „Privind aprobarea Modului de calculare a salariului mediu”</w:t>
      </w:r>
      <w:r w:rsidRPr="00A06F4C">
        <w:rPr>
          <w:rFonts w:asciiTheme="majorHAnsi" w:hAnsiTheme="majorHAnsi" w:cstheme="majorHAnsi"/>
          <w:sz w:val="16"/>
          <w:szCs w:val="16"/>
          <w:lang w:val="ro-MD"/>
        </w:rPr>
        <w:t>.</w:t>
      </w:r>
    </w:p>
  </w:footnote>
  <w:footnote w:id="29">
    <w:p w:rsidR="00462EE3" w:rsidRPr="00061984" w:rsidRDefault="00462EE3" w:rsidP="00CB7373">
      <w:pPr>
        <w:pStyle w:val="FootnoteText"/>
        <w:jc w:val="both"/>
        <w:rPr>
          <w:rFonts w:asciiTheme="majorHAnsi" w:hAnsiTheme="majorHAnsi" w:cstheme="majorHAnsi"/>
          <w:sz w:val="16"/>
          <w:szCs w:val="16"/>
          <w:lang w:val="ro-MD"/>
        </w:rPr>
      </w:pPr>
      <w:r w:rsidRPr="00061984">
        <w:rPr>
          <w:rStyle w:val="FootnoteReference"/>
          <w:rFonts w:asciiTheme="majorHAnsi" w:hAnsiTheme="majorHAnsi" w:cstheme="majorHAnsi"/>
          <w:sz w:val="16"/>
          <w:szCs w:val="16"/>
          <w:lang w:val="ro-MD"/>
        </w:rPr>
        <w:footnoteRef/>
      </w:r>
      <w:r w:rsidRPr="00A06F4C">
        <w:rPr>
          <w:rStyle w:val="FootnoteReference"/>
          <w:rFonts w:asciiTheme="majorHAnsi" w:hAnsiTheme="majorHAnsi" w:cstheme="majorHAnsi"/>
          <w:sz w:val="16"/>
          <w:szCs w:val="16"/>
          <w:lang w:val="ro-MD"/>
        </w:rPr>
        <w:t xml:space="preserve"> </w:t>
      </w:r>
      <w:r w:rsidRPr="00061984">
        <w:rPr>
          <w:rFonts w:asciiTheme="majorHAnsi" w:hAnsiTheme="majorHAnsi" w:cstheme="majorHAnsi"/>
          <w:sz w:val="16"/>
          <w:szCs w:val="16"/>
          <w:lang w:val="ro-MD"/>
        </w:rPr>
        <w:t xml:space="preserve">Ambasada Republicii Moldova în Regatul Belgiei, Ambasada Republicii Moldova în Ucraina, Ambasada Republicii Moldova în Austria, Ambasada Republicii Moldova în Turcia, Ambasada Republicii Moldova în Republica </w:t>
      </w:r>
      <w:r>
        <w:rPr>
          <w:rFonts w:asciiTheme="majorHAnsi" w:hAnsiTheme="majorHAnsi" w:cstheme="majorHAnsi"/>
          <w:sz w:val="16"/>
          <w:szCs w:val="16"/>
          <w:lang w:val="ro-MD"/>
        </w:rPr>
        <w:t xml:space="preserve">Populară </w:t>
      </w:r>
      <w:r w:rsidRPr="00061984">
        <w:rPr>
          <w:rFonts w:asciiTheme="majorHAnsi" w:hAnsiTheme="majorHAnsi" w:cstheme="majorHAnsi"/>
          <w:sz w:val="16"/>
          <w:szCs w:val="16"/>
          <w:lang w:val="ro-MD"/>
        </w:rPr>
        <w:t>Chineză, Ambasada Republicii Moldova în Republica Franceză, Ambasada Republicii Moldova în Polonia, Ambasada Republicii Moldova în Statul Israel, Ambasada Republicii Moldova în Republica Federală Germană, Ambasada Republicii Moldova în Bulgaria, Ambasada Republicii Moldova în Federația Rusă, Ambasada Republicii Moldova în Statele Unite ale Americii, Ambasada Republicii Moldova în Rom</w:t>
      </w:r>
      <w:r>
        <w:rPr>
          <w:rFonts w:asciiTheme="majorHAnsi" w:hAnsiTheme="majorHAnsi" w:cstheme="majorHAnsi"/>
          <w:sz w:val="16"/>
          <w:szCs w:val="16"/>
          <w:lang w:val="ro-MD"/>
        </w:rPr>
        <w:t>â</w:t>
      </w:r>
      <w:r w:rsidRPr="00061984">
        <w:rPr>
          <w:rFonts w:asciiTheme="majorHAnsi" w:hAnsiTheme="majorHAnsi" w:cstheme="majorHAnsi"/>
          <w:sz w:val="16"/>
          <w:szCs w:val="16"/>
          <w:lang w:val="ro-MD"/>
        </w:rPr>
        <w:t>nia, Reprezentanța Permanentă a Republicii Moldova pe lângă ONU la Geneva, Reprezentanța Permanentă a Republicii Moldova pe lângă CE</w:t>
      </w:r>
      <w:r w:rsidR="00FD132D">
        <w:rPr>
          <w:rFonts w:asciiTheme="majorHAnsi" w:hAnsiTheme="majorHAnsi" w:cstheme="majorHAnsi"/>
          <w:sz w:val="16"/>
          <w:szCs w:val="16"/>
          <w:lang w:val="ro-MD"/>
        </w:rPr>
        <w:t xml:space="preserve"> la</w:t>
      </w:r>
      <w:r w:rsidRPr="00061984">
        <w:rPr>
          <w:rFonts w:asciiTheme="majorHAnsi" w:hAnsiTheme="majorHAnsi" w:cstheme="majorHAnsi"/>
          <w:sz w:val="16"/>
          <w:szCs w:val="16"/>
          <w:lang w:val="ro-MD"/>
        </w:rPr>
        <w:t xml:space="preserve"> Strasbourg, Ambasada Republicii Moldova în Regatul Unit al Mării Britanii și Irlandei de Nord, Misiunea Diplomatică a Republicii Moldova pe lângă UE, Consulatul General al Republicii Moldova la Milano, Ambasada Republicii Moldova în Canada, Ambasada Republicii Moldova în Emiratele Arabe Unite.      </w:t>
      </w:r>
    </w:p>
  </w:footnote>
  <w:footnote w:id="30">
    <w:p w:rsidR="00462EE3" w:rsidRPr="00061984" w:rsidRDefault="00462EE3" w:rsidP="000F1282">
      <w:pPr>
        <w:pStyle w:val="FootnoteText"/>
        <w:jc w:val="both"/>
        <w:rPr>
          <w:rFonts w:asciiTheme="majorHAnsi" w:hAnsiTheme="majorHAnsi" w:cstheme="majorHAnsi"/>
          <w:sz w:val="16"/>
          <w:szCs w:val="16"/>
          <w:lang w:val="ro-MD"/>
        </w:rPr>
      </w:pPr>
      <w:r w:rsidRPr="00061984">
        <w:rPr>
          <w:rStyle w:val="FootnoteReference"/>
          <w:rFonts w:asciiTheme="majorHAnsi" w:hAnsiTheme="majorHAnsi" w:cstheme="majorHAnsi"/>
          <w:sz w:val="16"/>
          <w:szCs w:val="16"/>
          <w:lang w:val="ro-MD"/>
        </w:rPr>
        <w:footnoteRef/>
      </w:r>
      <w:r w:rsidRPr="00A06F4C">
        <w:rPr>
          <w:rFonts w:asciiTheme="majorHAnsi" w:hAnsiTheme="majorHAnsi" w:cstheme="majorHAnsi"/>
          <w:sz w:val="16"/>
          <w:szCs w:val="16"/>
          <w:lang w:val="ro-MD"/>
        </w:rPr>
        <w:t xml:space="preserve"> </w:t>
      </w:r>
      <w:r w:rsidRPr="00061984">
        <w:rPr>
          <w:rFonts w:asciiTheme="majorHAnsi" w:hAnsiTheme="majorHAnsi" w:cstheme="majorHAnsi"/>
          <w:sz w:val="16"/>
          <w:szCs w:val="16"/>
          <w:lang w:val="ro-MD"/>
        </w:rPr>
        <w:t>Legea finanțelor publice și responsabilităț</w:t>
      </w:r>
      <w:r>
        <w:rPr>
          <w:rFonts w:asciiTheme="majorHAnsi" w:hAnsiTheme="majorHAnsi" w:cstheme="majorHAnsi"/>
          <w:sz w:val="16"/>
          <w:szCs w:val="16"/>
          <w:lang w:val="ro-MD"/>
        </w:rPr>
        <w:t>i</w:t>
      </w:r>
      <w:r w:rsidRPr="00061984">
        <w:rPr>
          <w:rFonts w:asciiTheme="majorHAnsi" w:hAnsiTheme="majorHAnsi" w:cstheme="majorHAnsi"/>
          <w:sz w:val="16"/>
          <w:szCs w:val="16"/>
          <w:lang w:val="ro-MD"/>
        </w:rPr>
        <w:t>i bugetar-fiscale nr.181 din 25.07.2014</w:t>
      </w:r>
      <w:r>
        <w:rPr>
          <w:rFonts w:asciiTheme="majorHAnsi" w:hAnsiTheme="majorHAnsi" w:cstheme="majorHAnsi"/>
          <w:sz w:val="16"/>
          <w:szCs w:val="16"/>
          <w:lang w:val="ro-MD"/>
        </w:rPr>
        <w:t>.</w:t>
      </w:r>
      <w:r w:rsidRPr="00061984">
        <w:rPr>
          <w:rFonts w:asciiTheme="majorHAnsi" w:hAnsiTheme="majorHAnsi" w:cstheme="majorHAnsi"/>
          <w:sz w:val="16"/>
          <w:szCs w:val="16"/>
          <w:lang w:val="ro-MD"/>
        </w:rPr>
        <w:t xml:space="preserve"> </w:t>
      </w:r>
    </w:p>
  </w:footnote>
  <w:footnote w:id="31">
    <w:p w:rsidR="00462EE3" w:rsidRPr="00061984" w:rsidRDefault="00462EE3" w:rsidP="009E69FA">
      <w:pPr>
        <w:pStyle w:val="FootnoteText"/>
        <w:jc w:val="both"/>
        <w:rPr>
          <w:rFonts w:asciiTheme="majorHAnsi" w:hAnsiTheme="majorHAnsi" w:cstheme="majorHAnsi"/>
          <w:sz w:val="16"/>
          <w:szCs w:val="16"/>
          <w:lang w:val="ro-MD"/>
        </w:rPr>
      </w:pPr>
      <w:r w:rsidRPr="00061984">
        <w:rPr>
          <w:rStyle w:val="FootnoteReference"/>
          <w:rFonts w:asciiTheme="majorHAnsi" w:hAnsiTheme="majorHAnsi" w:cstheme="majorHAnsi"/>
          <w:sz w:val="16"/>
          <w:szCs w:val="16"/>
          <w:lang w:val="ro-MD"/>
        </w:rPr>
        <w:footnoteRef/>
      </w:r>
      <w:r w:rsidRPr="00061984">
        <w:rPr>
          <w:rFonts w:asciiTheme="majorHAnsi" w:hAnsiTheme="majorHAnsi" w:cstheme="majorHAnsi"/>
          <w:sz w:val="16"/>
          <w:szCs w:val="16"/>
          <w:lang w:val="ro-MD"/>
        </w:rPr>
        <w:t xml:space="preserve"> Art.13 alin.(2) lit. d), art.18,</w:t>
      </w:r>
      <w:r>
        <w:rPr>
          <w:rFonts w:asciiTheme="majorHAnsi" w:hAnsiTheme="majorHAnsi" w:cstheme="majorHAnsi"/>
          <w:sz w:val="16"/>
          <w:szCs w:val="16"/>
          <w:lang w:val="ro-MD"/>
        </w:rPr>
        <w:t xml:space="preserve"> art.</w:t>
      </w:r>
      <w:r w:rsidRPr="00061984">
        <w:rPr>
          <w:rFonts w:asciiTheme="majorHAnsi" w:hAnsiTheme="majorHAnsi" w:cstheme="majorHAnsi"/>
          <w:sz w:val="16"/>
          <w:szCs w:val="16"/>
          <w:lang w:val="ro-MD"/>
        </w:rPr>
        <w:t xml:space="preserve">19 alin.(1), (6), (13) și (14), art.23 alin.(1) și art.42 alin.(1) din Legea contabilității nr.113 din 27.04.2007, precum și pct.1.4.1. lit. e), g) și h), pct.1.4.1.6. lit. a) și b), pct.1.4.3.6 – 1.4.3.8., 1.4.3.10. și 1.4.3.27 din </w:t>
      </w:r>
      <w:r w:rsidRPr="00061984">
        <w:rPr>
          <w:rFonts w:asciiTheme="majorHAnsi" w:eastAsia="Times New Roman" w:hAnsiTheme="majorHAnsi" w:cstheme="majorHAnsi"/>
          <w:sz w:val="16"/>
          <w:szCs w:val="16"/>
          <w:lang w:val="ro-MD"/>
        </w:rPr>
        <w:t>Planul de conturi contabile în sistemul bugetar și Normele metodologice privind evidența contabilă și raportarea financiară în sistemul bugetar, aprobate prin Ordinul ministrului Finanțelor nr.216 din 28.12.2015.</w:t>
      </w:r>
    </w:p>
  </w:footnote>
  <w:footnote w:id="32">
    <w:p w:rsidR="00462EE3" w:rsidRPr="00061984" w:rsidRDefault="00462EE3" w:rsidP="009E69FA">
      <w:pPr>
        <w:pStyle w:val="FootnoteText"/>
        <w:jc w:val="both"/>
        <w:rPr>
          <w:rFonts w:asciiTheme="majorHAnsi" w:hAnsiTheme="majorHAnsi" w:cstheme="majorHAnsi"/>
          <w:sz w:val="16"/>
          <w:szCs w:val="16"/>
        </w:rPr>
      </w:pPr>
      <w:r w:rsidRPr="00061984">
        <w:rPr>
          <w:rStyle w:val="FootnoteReference"/>
          <w:rFonts w:asciiTheme="majorHAnsi" w:hAnsiTheme="majorHAnsi" w:cstheme="majorHAnsi"/>
          <w:sz w:val="16"/>
          <w:szCs w:val="16"/>
          <w:lang w:val="ro-MD"/>
        </w:rPr>
        <w:footnoteRef/>
      </w:r>
      <w:r w:rsidRPr="00061984">
        <w:rPr>
          <w:rFonts w:asciiTheme="majorHAnsi" w:hAnsiTheme="majorHAnsi" w:cstheme="majorHAnsi"/>
          <w:sz w:val="16"/>
          <w:szCs w:val="16"/>
          <w:lang w:val="ro-MD"/>
        </w:rPr>
        <w:t xml:space="preserve"> Ambasada Republicii Moldova în Turcia, Ambasada Republicii Moldova în Republica</w:t>
      </w:r>
      <w:r>
        <w:rPr>
          <w:rFonts w:asciiTheme="majorHAnsi" w:hAnsiTheme="majorHAnsi" w:cstheme="majorHAnsi"/>
          <w:sz w:val="16"/>
          <w:szCs w:val="16"/>
          <w:lang w:val="ro-MD"/>
        </w:rPr>
        <w:t xml:space="preserve"> Populară</w:t>
      </w:r>
      <w:r w:rsidRPr="00061984">
        <w:rPr>
          <w:rFonts w:asciiTheme="majorHAnsi" w:hAnsiTheme="majorHAnsi" w:cstheme="majorHAnsi"/>
          <w:sz w:val="16"/>
          <w:szCs w:val="16"/>
          <w:lang w:val="ro-MD"/>
        </w:rPr>
        <w:t xml:space="preserve"> Chineză, Ambasada Republicii Moldova în Statele Unite ale Americii, Reprezentanța Permanentă a Republicii Moldova la New</w:t>
      </w:r>
      <w:r>
        <w:rPr>
          <w:rFonts w:asciiTheme="majorHAnsi" w:hAnsiTheme="majorHAnsi" w:cstheme="majorHAnsi"/>
          <w:sz w:val="16"/>
          <w:szCs w:val="16"/>
          <w:lang w:val="ro-MD"/>
        </w:rPr>
        <w:t xml:space="preserve"> </w:t>
      </w:r>
      <w:r w:rsidRPr="00061984">
        <w:rPr>
          <w:rFonts w:asciiTheme="majorHAnsi" w:hAnsiTheme="majorHAnsi" w:cstheme="majorHAnsi"/>
          <w:sz w:val="16"/>
          <w:szCs w:val="16"/>
          <w:lang w:val="ro-MD"/>
        </w:rPr>
        <w:t>York.</w:t>
      </w:r>
    </w:p>
  </w:footnote>
  <w:footnote w:id="33">
    <w:p w:rsidR="00462EE3" w:rsidRPr="00A52452" w:rsidRDefault="00462EE3" w:rsidP="000F1282">
      <w:pPr>
        <w:pStyle w:val="FootnoteText"/>
        <w:jc w:val="both"/>
        <w:rPr>
          <w:rFonts w:asciiTheme="majorHAnsi" w:hAnsiTheme="majorHAnsi" w:cstheme="majorHAnsi"/>
          <w:sz w:val="16"/>
          <w:szCs w:val="16"/>
          <w:lang w:val="ro-MD"/>
        </w:rPr>
      </w:pPr>
      <w:r w:rsidRPr="00A52452">
        <w:rPr>
          <w:rStyle w:val="FootnoteReference"/>
          <w:rFonts w:asciiTheme="majorHAnsi" w:hAnsiTheme="majorHAnsi" w:cstheme="majorHAnsi"/>
          <w:sz w:val="16"/>
          <w:szCs w:val="16"/>
          <w:lang w:val="ro-MD"/>
        </w:rPr>
        <w:footnoteRef/>
      </w:r>
      <w:r w:rsidRPr="00A52452">
        <w:rPr>
          <w:rFonts w:asciiTheme="majorHAnsi" w:hAnsiTheme="majorHAnsi" w:cstheme="majorHAnsi"/>
          <w:sz w:val="16"/>
          <w:szCs w:val="16"/>
          <w:lang w:val="ro-MD"/>
        </w:rPr>
        <w:t xml:space="preserve"> Ambasada Republicii Moldova în Republica </w:t>
      </w:r>
      <w:r>
        <w:rPr>
          <w:rFonts w:asciiTheme="majorHAnsi" w:hAnsiTheme="majorHAnsi" w:cstheme="majorHAnsi"/>
          <w:sz w:val="16"/>
          <w:szCs w:val="16"/>
          <w:lang w:val="ro-MD"/>
        </w:rPr>
        <w:t>Populară</w:t>
      </w:r>
      <w:r w:rsidRPr="00A52452">
        <w:rPr>
          <w:rFonts w:asciiTheme="majorHAnsi" w:hAnsiTheme="majorHAnsi" w:cstheme="majorHAnsi"/>
          <w:sz w:val="16"/>
          <w:szCs w:val="16"/>
          <w:lang w:val="ro-MD"/>
        </w:rPr>
        <w:t xml:space="preserve"> Chineză, Ambasada Republ</w:t>
      </w:r>
      <w:r>
        <w:rPr>
          <w:rFonts w:asciiTheme="majorHAnsi" w:hAnsiTheme="majorHAnsi" w:cstheme="majorHAnsi"/>
          <w:sz w:val="16"/>
          <w:szCs w:val="16"/>
          <w:lang w:val="ro-MD"/>
        </w:rPr>
        <w:t>icii Moldova în Republica Elenă</w:t>
      </w:r>
      <w:r w:rsidRPr="00A52452">
        <w:rPr>
          <w:rFonts w:asciiTheme="majorHAnsi" w:hAnsiTheme="majorHAnsi" w:cstheme="majorHAnsi"/>
          <w:sz w:val="16"/>
          <w:szCs w:val="16"/>
          <w:lang w:val="ro-MD"/>
        </w:rPr>
        <w:t xml:space="preserve">. </w:t>
      </w:r>
    </w:p>
  </w:footnote>
  <w:footnote w:id="34">
    <w:p w:rsidR="00462EE3" w:rsidRPr="00A52452" w:rsidRDefault="00462EE3" w:rsidP="009E69FA">
      <w:pPr>
        <w:pStyle w:val="FootnoteText"/>
        <w:jc w:val="both"/>
        <w:rPr>
          <w:rFonts w:asciiTheme="majorHAnsi" w:hAnsiTheme="majorHAnsi" w:cstheme="majorHAnsi"/>
          <w:sz w:val="16"/>
          <w:szCs w:val="16"/>
          <w:lang w:val="ro-MD"/>
        </w:rPr>
      </w:pPr>
      <w:r w:rsidRPr="00A52452">
        <w:rPr>
          <w:rStyle w:val="FootnoteReference"/>
          <w:rFonts w:asciiTheme="majorHAnsi" w:hAnsiTheme="majorHAnsi" w:cstheme="majorHAnsi"/>
          <w:sz w:val="16"/>
          <w:szCs w:val="16"/>
          <w:lang w:val="ro-MD"/>
        </w:rPr>
        <w:footnoteRef/>
      </w:r>
      <w:r>
        <w:rPr>
          <w:rFonts w:asciiTheme="majorHAnsi" w:hAnsiTheme="majorHAnsi" w:cstheme="majorHAnsi"/>
          <w:sz w:val="16"/>
          <w:szCs w:val="16"/>
          <w:lang w:val="ro-MD"/>
        </w:rPr>
        <w:t xml:space="preserve"> </w:t>
      </w:r>
      <w:r w:rsidRPr="00A52452">
        <w:rPr>
          <w:rFonts w:asciiTheme="majorHAnsi" w:hAnsiTheme="majorHAnsi" w:cstheme="majorHAnsi"/>
          <w:sz w:val="16"/>
          <w:szCs w:val="16"/>
          <w:lang w:val="ro-MD"/>
        </w:rPr>
        <w:t>Ambasada Republicii Moldova în Statele Unite ale Americii, Ambasada Republicii Moldova în Canada.</w:t>
      </w:r>
    </w:p>
  </w:footnote>
  <w:footnote w:id="35">
    <w:p w:rsidR="001A41ED" w:rsidRDefault="001A41ED" w:rsidP="000F1282">
      <w:pPr>
        <w:pStyle w:val="FootnoteText"/>
        <w:ind w:right="-720"/>
        <w:jc w:val="both"/>
        <w:rPr>
          <w:rFonts w:asciiTheme="majorHAnsi" w:hAnsiTheme="majorHAnsi" w:cstheme="majorHAnsi"/>
          <w:sz w:val="16"/>
          <w:szCs w:val="16"/>
        </w:rPr>
      </w:pPr>
      <w:r w:rsidRPr="002E57C1">
        <w:rPr>
          <w:rStyle w:val="FootnoteReference"/>
          <w:rFonts w:asciiTheme="majorHAnsi" w:hAnsiTheme="majorHAnsi" w:cstheme="majorHAnsi"/>
          <w:sz w:val="16"/>
          <w:szCs w:val="16"/>
          <w:lang w:val="ro-MD"/>
        </w:rPr>
        <w:footnoteRef/>
      </w:r>
      <w:r w:rsidRPr="002E57C1">
        <w:rPr>
          <w:rFonts w:asciiTheme="majorHAnsi" w:hAnsiTheme="majorHAnsi" w:cstheme="majorHAnsi"/>
          <w:sz w:val="16"/>
          <w:szCs w:val="16"/>
          <w:lang w:val="ro-MD"/>
        </w:rPr>
        <w:t xml:space="preserve"> Legea </w:t>
      </w:r>
      <w:r w:rsidRPr="002E57C1">
        <w:rPr>
          <w:rFonts w:asciiTheme="majorHAnsi" w:hAnsiTheme="majorHAnsi" w:cstheme="majorHAnsi"/>
          <w:bCs/>
          <w:sz w:val="16"/>
          <w:szCs w:val="16"/>
          <w:lang w:val="ro-MD"/>
        </w:rPr>
        <w:t>privind controlul financiar public intern nr.229 din</w:t>
      </w:r>
      <w:r>
        <w:rPr>
          <w:rFonts w:asciiTheme="majorHAnsi" w:hAnsiTheme="majorHAnsi" w:cstheme="majorHAnsi"/>
          <w:bCs/>
          <w:sz w:val="16"/>
          <w:szCs w:val="16"/>
          <w:lang w:val="ro-RO"/>
        </w:rPr>
        <w:t xml:space="preserve"> 23.09.2010 (în continuare – Legea nr. 229 din 23.09.2010).</w:t>
      </w:r>
    </w:p>
  </w:footnote>
  <w:footnote w:id="36">
    <w:p w:rsidR="001A41ED" w:rsidRPr="00D65FE8" w:rsidRDefault="001A41ED" w:rsidP="0064036A">
      <w:pPr>
        <w:pStyle w:val="FootnoteText"/>
        <w:jc w:val="both"/>
        <w:rPr>
          <w:lang w:val="ro-MD"/>
        </w:rPr>
      </w:pPr>
      <w:r w:rsidRPr="009E69FA">
        <w:rPr>
          <w:rStyle w:val="FootnoteReference"/>
          <w:rFonts w:asciiTheme="majorHAnsi" w:hAnsiTheme="majorHAnsi" w:cstheme="majorHAnsi"/>
          <w:sz w:val="16"/>
          <w:szCs w:val="16"/>
          <w:lang w:val="ro-MD"/>
        </w:rPr>
        <w:footnoteRef/>
      </w:r>
      <w:r w:rsidRPr="009E69FA">
        <w:rPr>
          <w:rStyle w:val="FootnoteReference"/>
          <w:rFonts w:asciiTheme="majorHAnsi" w:hAnsiTheme="majorHAnsi" w:cstheme="majorHAnsi"/>
          <w:sz w:val="16"/>
          <w:szCs w:val="16"/>
          <w:lang w:val="ro-MD"/>
        </w:rPr>
        <w:t xml:space="preserve"> </w:t>
      </w:r>
      <w:r w:rsidRPr="0064036A">
        <w:rPr>
          <w:rFonts w:asciiTheme="majorHAnsi" w:hAnsiTheme="majorHAnsi" w:cstheme="majorHAnsi"/>
          <w:sz w:val="16"/>
          <w:szCs w:val="16"/>
          <w:shd w:val="clear" w:color="auto" w:fill="FFFFFF"/>
          <w:lang w:val="ro-MD"/>
        </w:rPr>
        <w:t>Misiunea de audit de asigurare „Evaluarea procesului de prestare a serviciilor consulare, colectarea și raportarea veniturilor consulare obținute în perioada anilor 2017- septembrie 2020 de către Ambasada Republicii Moldova în România</w:t>
      </w:r>
      <w:r w:rsidRPr="00D65FE8">
        <w:rPr>
          <w:rFonts w:asciiTheme="majorHAnsi" w:hAnsiTheme="majorHAnsi" w:cstheme="majorHAnsi"/>
          <w:sz w:val="16"/>
          <w:szCs w:val="16"/>
          <w:shd w:val="clear" w:color="auto" w:fill="FFFFFF"/>
          <w:lang w:val="ro-MD"/>
        </w:rPr>
        <w:t>”</w:t>
      </w:r>
      <w:r w:rsidRPr="009E69FA">
        <w:rPr>
          <w:rFonts w:asciiTheme="majorHAnsi" w:hAnsiTheme="majorHAnsi" w:cstheme="majorHAnsi"/>
          <w:sz w:val="16"/>
          <w:szCs w:val="16"/>
          <w:shd w:val="clear" w:color="auto" w:fill="FFFFFF"/>
          <w:lang w:val="ro-MD"/>
        </w:rPr>
        <w:t xml:space="preserve">; </w:t>
      </w:r>
      <w:r w:rsidRPr="0064036A">
        <w:rPr>
          <w:rFonts w:asciiTheme="majorHAnsi" w:hAnsiTheme="majorHAnsi" w:cstheme="majorHAnsi"/>
          <w:sz w:val="16"/>
          <w:szCs w:val="16"/>
          <w:shd w:val="clear" w:color="auto" w:fill="FFFFFF"/>
          <w:lang w:val="ro-MD"/>
        </w:rPr>
        <w:t>Misiunea de audit de asigurare „Evaluarea sistemului de control intern managerial și a procesului de prestare a serviciilor consulare în Ambasada Republicii Moldova în Republica Franceză”.</w:t>
      </w:r>
      <w:r w:rsidRPr="00D65FE8">
        <w:rPr>
          <w:rFonts w:asciiTheme="majorHAnsi" w:hAnsiTheme="majorHAnsi" w:cstheme="majorHAnsi"/>
          <w:sz w:val="16"/>
          <w:szCs w:val="16"/>
          <w:shd w:val="clear" w:color="auto" w:fill="FFFFFF"/>
          <w:lang w:val="ro-MD"/>
        </w:rPr>
        <w:t xml:space="preserve"> </w:t>
      </w:r>
    </w:p>
  </w:footnote>
  <w:footnote w:id="37">
    <w:p w:rsidR="001A41ED" w:rsidRPr="0064036A" w:rsidRDefault="001A41ED" w:rsidP="0064036A">
      <w:pPr>
        <w:pStyle w:val="FootnoteText"/>
        <w:ind w:right="140"/>
        <w:jc w:val="both"/>
        <w:rPr>
          <w:rFonts w:asciiTheme="majorHAnsi" w:hAnsiTheme="majorHAnsi" w:cstheme="majorHAnsi"/>
          <w:sz w:val="16"/>
          <w:szCs w:val="16"/>
          <w:lang w:val="ro-MD"/>
        </w:rPr>
      </w:pPr>
      <w:r w:rsidRPr="009E69FA">
        <w:rPr>
          <w:rStyle w:val="FootnoteReference"/>
          <w:rFonts w:asciiTheme="majorHAnsi" w:hAnsiTheme="majorHAnsi" w:cstheme="majorHAnsi"/>
          <w:sz w:val="16"/>
          <w:szCs w:val="16"/>
          <w:lang w:val="ro-MD"/>
        </w:rPr>
        <w:footnoteRef/>
      </w:r>
      <w:r w:rsidRPr="009E69FA">
        <w:rPr>
          <w:rFonts w:asciiTheme="majorHAnsi" w:hAnsiTheme="majorHAnsi" w:cstheme="majorHAnsi"/>
          <w:sz w:val="16"/>
          <w:szCs w:val="16"/>
          <w:lang w:val="ro-MD"/>
        </w:rPr>
        <w:t xml:space="preserve"> </w:t>
      </w:r>
      <w:r w:rsidRPr="0064036A">
        <w:rPr>
          <w:rFonts w:asciiTheme="majorHAnsi" w:hAnsiTheme="majorHAnsi" w:cstheme="majorHAnsi"/>
          <w:sz w:val="16"/>
          <w:szCs w:val="16"/>
          <w:shd w:val="clear" w:color="auto" w:fill="FFFFFF"/>
          <w:lang w:val="ro-MD"/>
        </w:rPr>
        <w:t>Hotărârea Curții de Conturi nr.21 din 03.06.</w:t>
      </w:r>
      <w:r w:rsidRPr="00D65FE8">
        <w:rPr>
          <w:rFonts w:asciiTheme="majorHAnsi" w:hAnsiTheme="majorHAnsi" w:cstheme="majorHAnsi"/>
          <w:sz w:val="16"/>
          <w:szCs w:val="16"/>
          <w:shd w:val="clear" w:color="auto" w:fill="FFFFFF"/>
          <w:lang w:val="ro-MD"/>
        </w:rPr>
        <w:t>2021 „Cu privire la Raportul auditului asupra rapoartelor financiare consolidate ale Ministerului Afacerilor Externe și Integrării Europene încheiate la 31 decembrie 2020”.</w:t>
      </w:r>
      <w:r w:rsidRPr="009E69FA">
        <w:rPr>
          <w:rFonts w:asciiTheme="majorHAnsi" w:hAnsiTheme="majorHAnsi" w:cstheme="majorHAnsi"/>
          <w:sz w:val="16"/>
          <w:szCs w:val="16"/>
          <w:lang w:val="ro-MD"/>
        </w:rPr>
        <w:t xml:space="preserve"> </w:t>
      </w:r>
    </w:p>
  </w:footnote>
  <w:footnote w:id="38">
    <w:p w:rsidR="001A41ED" w:rsidRPr="0064036A" w:rsidRDefault="001A41ED" w:rsidP="009E69FA">
      <w:pPr>
        <w:pStyle w:val="FootnoteText"/>
        <w:jc w:val="both"/>
        <w:rPr>
          <w:rFonts w:asciiTheme="majorHAnsi" w:hAnsiTheme="majorHAnsi" w:cstheme="majorHAnsi"/>
          <w:sz w:val="16"/>
          <w:szCs w:val="16"/>
          <w:lang w:val="ro-MD"/>
        </w:rPr>
      </w:pPr>
      <w:r w:rsidRPr="0064036A">
        <w:rPr>
          <w:rStyle w:val="FootnoteReference"/>
          <w:rFonts w:asciiTheme="majorHAnsi" w:hAnsiTheme="majorHAnsi" w:cstheme="majorHAnsi"/>
          <w:sz w:val="16"/>
          <w:szCs w:val="16"/>
          <w:lang w:val="ro-MD"/>
        </w:rPr>
        <w:footnoteRef/>
      </w:r>
      <w:r w:rsidRPr="0064036A">
        <w:rPr>
          <w:rFonts w:asciiTheme="majorHAnsi" w:hAnsiTheme="majorHAnsi" w:cstheme="majorHAnsi"/>
          <w:sz w:val="16"/>
          <w:szCs w:val="16"/>
          <w:lang w:val="ro-MD"/>
        </w:rPr>
        <w:t xml:space="preserve"> Regulamentul privind activitatea administrativ-financiară a instituțiilor serviciului diplomatic al Republicii Moldova peste hotare, aprobat prin Hotărârea Guvernului nr. 987 din 11.08.2003.</w:t>
      </w:r>
    </w:p>
  </w:footnote>
  <w:footnote w:id="39">
    <w:p w:rsidR="001A41ED" w:rsidRPr="00D65FE8" w:rsidRDefault="001A41ED" w:rsidP="0064036A">
      <w:pPr>
        <w:pStyle w:val="FootnoteText"/>
        <w:jc w:val="both"/>
        <w:rPr>
          <w:rFonts w:asciiTheme="majorHAnsi" w:hAnsiTheme="majorHAnsi" w:cstheme="majorHAnsi"/>
          <w:sz w:val="16"/>
          <w:szCs w:val="16"/>
          <w:lang w:val="ro-MD"/>
        </w:rPr>
      </w:pPr>
      <w:r w:rsidRPr="0064036A">
        <w:rPr>
          <w:rStyle w:val="FootnoteReference"/>
          <w:rFonts w:asciiTheme="majorHAnsi" w:hAnsiTheme="majorHAnsi" w:cstheme="majorHAnsi"/>
          <w:sz w:val="16"/>
          <w:szCs w:val="16"/>
          <w:lang w:val="ro-MD"/>
        </w:rPr>
        <w:footnoteRef/>
      </w:r>
      <w:r w:rsidRPr="0064036A">
        <w:rPr>
          <w:rFonts w:asciiTheme="majorHAnsi" w:hAnsiTheme="majorHAnsi" w:cstheme="majorHAnsi"/>
          <w:sz w:val="16"/>
          <w:szCs w:val="16"/>
          <w:lang w:val="ro-MD"/>
        </w:rPr>
        <w:t xml:space="preserve"> Hotărârea Guvernului nr.1036 din 17.09.2007 „Pentru aprobarea unor regulamente privind modul de încasare, utilizare și evidență a taxelor consulare și a mijloacelor speciale provenite de la serviciile contra plată”</w:t>
      </w:r>
      <w:r w:rsidRPr="00D65FE8">
        <w:rPr>
          <w:rFonts w:asciiTheme="majorHAnsi" w:hAnsiTheme="majorHAnsi" w:cstheme="majorHAnsi"/>
          <w:sz w:val="16"/>
          <w:szCs w:val="16"/>
          <w:lang w:val="ro-MD"/>
        </w:rPr>
        <w:t>.</w:t>
      </w:r>
    </w:p>
  </w:footnote>
  <w:footnote w:id="40">
    <w:p w:rsidR="001A41ED" w:rsidRPr="0064036A" w:rsidRDefault="001A41ED" w:rsidP="009E69FA">
      <w:pPr>
        <w:pStyle w:val="FootnoteText"/>
        <w:jc w:val="both"/>
        <w:rPr>
          <w:rFonts w:asciiTheme="majorHAnsi" w:hAnsiTheme="majorHAnsi" w:cstheme="majorHAnsi"/>
          <w:sz w:val="16"/>
          <w:szCs w:val="16"/>
          <w:lang w:val="ro-MD"/>
        </w:rPr>
      </w:pPr>
      <w:r w:rsidRPr="0064036A">
        <w:rPr>
          <w:rStyle w:val="FootnoteReference"/>
          <w:rFonts w:asciiTheme="majorHAnsi" w:hAnsiTheme="majorHAnsi" w:cstheme="majorHAnsi"/>
          <w:sz w:val="16"/>
          <w:szCs w:val="16"/>
          <w:lang w:val="ro-MD"/>
        </w:rPr>
        <w:footnoteRef/>
      </w:r>
      <w:r w:rsidRPr="0064036A">
        <w:rPr>
          <w:rFonts w:asciiTheme="majorHAnsi" w:hAnsiTheme="majorHAnsi" w:cstheme="majorHAnsi"/>
          <w:sz w:val="16"/>
          <w:szCs w:val="16"/>
          <w:lang w:val="ro-MD"/>
        </w:rPr>
        <w:t xml:space="preserve"> Legea nr. 270 din 23.11.2018 privind sistemul unitar de salarizare în sectorul bugetar.</w:t>
      </w:r>
    </w:p>
  </w:footnote>
  <w:footnote w:id="41">
    <w:p w:rsidR="001A41ED" w:rsidRPr="0064036A" w:rsidRDefault="001A41ED" w:rsidP="009E69FA">
      <w:pPr>
        <w:pStyle w:val="FootnoteText"/>
        <w:jc w:val="both"/>
        <w:rPr>
          <w:rFonts w:asciiTheme="majorHAnsi" w:hAnsiTheme="majorHAnsi" w:cstheme="majorHAnsi"/>
          <w:sz w:val="16"/>
          <w:szCs w:val="16"/>
          <w:lang w:val="ro-MD"/>
        </w:rPr>
      </w:pPr>
      <w:r w:rsidRPr="0064036A">
        <w:rPr>
          <w:rStyle w:val="FootnoteReference"/>
          <w:rFonts w:asciiTheme="majorHAnsi" w:hAnsiTheme="majorHAnsi" w:cstheme="majorHAnsi"/>
          <w:sz w:val="16"/>
          <w:szCs w:val="16"/>
          <w:lang w:val="ro-MD"/>
        </w:rPr>
        <w:footnoteRef/>
      </w:r>
      <w:r w:rsidRPr="0064036A">
        <w:rPr>
          <w:rFonts w:asciiTheme="majorHAnsi" w:hAnsiTheme="majorHAnsi" w:cstheme="majorHAnsi"/>
          <w:sz w:val="16"/>
          <w:szCs w:val="16"/>
          <w:lang w:val="ro-MD"/>
        </w:rPr>
        <w:t xml:space="preserve"> Legea finanțelor publice și responsabilității bugetar-fiscale nr. 181 din 25.07.2014. </w:t>
      </w:r>
    </w:p>
  </w:footnote>
  <w:footnote w:id="42">
    <w:p w:rsidR="001A41ED" w:rsidRPr="0064036A" w:rsidRDefault="001A41ED" w:rsidP="009E69FA">
      <w:pPr>
        <w:pStyle w:val="FootnoteText"/>
        <w:jc w:val="both"/>
        <w:rPr>
          <w:rFonts w:asciiTheme="majorHAnsi" w:hAnsiTheme="majorHAnsi" w:cstheme="majorHAnsi"/>
          <w:sz w:val="16"/>
          <w:szCs w:val="16"/>
          <w:lang w:val="ro-MD"/>
        </w:rPr>
      </w:pPr>
      <w:r w:rsidRPr="0064036A">
        <w:rPr>
          <w:rStyle w:val="FootnoteReference"/>
          <w:rFonts w:asciiTheme="majorHAnsi" w:hAnsiTheme="majorHAnsi" w:cstheme="majorHAnsi"/>
          <w:sz w:val="16"/>
          <w:szCs w:val="16"/>
          <w:lang w:val="ro-MD"/>
        </w:rPr>
        <w:footnoteRef/>
      </w:r>
      <w:r w:rsidRPr="0064036A">
        <w:rPr>
          <w:rFonts w:asciiTheme="majorHAnsi" w:hAnsiTheme="majorHAnsi" w:cstheme="majorHAnsi"/>
          <w:sz w:val="16"/>
          <w:szCs w:val="16"/>
          <w:lang w:val="ro-MD"/>
        </w:rPr>
        <w:t xml:space="preserve"> Ordinul ministrului Finanțelor nr.216 din 28.12.2015 „Cu privire la aprobarea Planului de conturi contabile în sistemul bugetar și a Normelor metodologice privind evidența contabilă și raportarea financiară în sistemul bugetar”.</w:t>
      </w:r>
    </w:p>
  </w:footnote>
  <w:footnote w:id="43">
    <w:p w:rsidR="001A41ED" w:rsidRPr="00FA5756" w:rsidRDefault="001A41ED" w:rsidP="00B37125">
      <w:pPr>
        <w:pStyle w:val="FootnoteText"/>
        <w:ind w:right="-360"/>
        <w:jc w:val="both"/>
        <w:rPr>
          <w:rFonts w:asciiTheme="majorHAnsi" w:hAnsiTheme="majorHAnsi" w:cstheme="majorHAnsi"/>
          <w:sz w:val="16"/>
          <w:szCs w:val="16"/>
          <w:lang w:val="ro-MD"/>
        </w:rPr>
      </w:pPr>
      <w:r w:rsidRPr="00FA5756">
        <w:rPr>
          <w:rStyle w:val="FootnoteReference"/>
          <w:rFonts w:asciiTheme="majorHAnsi" w:hAnsiTheme="majorHAnsi" w:cstheme="majorHAnsi"/>
          <w:sz w:val="16"/>
          <w:szCs w:val="16"/>
          <w:lang w:val="ro-MD"/>
        </w:rPr>
        <w:footnoteRef/>
      </w:r>
      <w:r w:rsidRPr="00FA5756">
        <w:rPr>
          <w:rFonts w:asciiTheme="majorHAnsi" w:hAnsiTheme="majorHAnsi" w:cstheme="majorHAnsi"/>
          <w:sz w:val="16"/>
          <w:szCs w:val="16"/>
          <w:lang w:val="ro-MD"/>
        </w:rPr>
        <w:t xml:space="preserve"> Art.13 alin.(2) din Legea </w:t>
      </w:r>
      <w:r>
        <w:rPr>
          <w:rFonts w:asciiTheme="majorHAnsi" w:hAnsiTheme="majorHAnsi" w:cstheme="majorHAnsi"/>
          <w:sz w:val="16"/>
          <w:szCs w:val="16"/>
          <w:lang w:val="ro-MD"/>
        </w:rPr>
        <w:t xml:space="preserve">contabilității </w:t>
      </w:r>
      <w:r w:rsidRPr="00FA5756">
        <w:rPr>
          <w:rFonts w:asciiTheme="majorHAnsi" w:hAnsiTheme="majorHAnsi" w:cstheme="majorHAnsi"/>
          <w:sz w:val="16"/>
          <w:szCs w:val="16"/>
          <w:lang w:val="ro-MD"/>
        </w:rPr>
        <w:t>nr.113-XVI din 27.04.2007.</w:t>
      </w:r>
    </w:p>
  </w:footnote>
  <w:footnote w:id="44">
    <w:p w:rsidR="001A41ED" w:rsidRPr="00FA5756" w:rsidRDefault="001A41ED" w:rsidP="00B37125">
      <w:pPr>
        <w:pStyle w:val="FootnoteText"/>
        <w:ind w:right="-360"/>
        <w:jc w:val="both"/>
        <w:rPr>
          <w:rFonts w:asciiTheme="majorHAnsi" w:hAnsiTheme="majorHAnsi" w:cstheme="majorHAnsi"/>
          <w:sz w:val="16"/>
          <w:szCs w:val="16"/>
          <w:lang w:val="ro-MD"/>
        </w:rPr>
      </w:pPr>
      <w:r w:rsidRPr="00FA5756">
        <w:rPr>
          <w:rStyle w:val="FootnoteReference"/>
          <w:rFonts w:asciiTheme="majorHAnsi" w:hAnsiTheme="majorHAnsi" w:cstheme="majorHAnsi"/>
          <w:sz w:val="16"/>
          <w:szCs w:val="16"/>
          <w:lang w:val="ro-MD"/>
        </w:rPr>
        <w:footnoteRef/>
      </w:r>
      <w:r w:rsidRPr="00FA5756">
        <w:rPr>
          <w:rFonts w:asciiTheme="majorHAnsi" w:hAnsiTheme="majorHAnsi" w:cstheme="majorHAnsi"/>
          <w:sz w:val="16"/>
          <w:szCs w:val="16"/>
          <w:lang w:val="ro-MD"/>
        </w:rPr>
        <w:t xml:space="preserve"> Legea </w:t>
      </w:r>
      <w:r>
        <w:rPr>
          <w:rFonts w:asciiTheme="majorHAnsi" w:hAnsiTheme="majorHAnsi" w:cstheme="majorHAnsi"/>
          <w:sz w:val="16"/>
          <w:szCs w:val="16"/>
          <w:lang w:val="ro-MD"/>
        </w:rPr>
        <w:t xml:space="preserve">contabilității </w:t>
      </w:r>
      <w:r w:rsidRPr="00FA5756">
        <w:rPr>
          <w:rFonts w:asciiTheme="majorHAnsi" w:hAnsiTheme="majorHAnsi" w:cstheme="majorHAnsi"/>
          <w:sz w:val="16"/>
          <w:szCs w:val="16"/>
          <w:lang w:val="ro-MD"/>
        </w:rPr>
        <w:t>nr.</w:t>
      </w:r>
      <w:r w:rsidRPr="00FA5756">
        <w:rPr>
          <w:rFonts w:asciiTheme="majorHAnsi" w:eastAsia="Times New Roman" w:hAnsiTheme="majorHAnsi" w:cstheme="majorHAnsi"/>
          <w:sz w:val="16"/>
          <w:szCs w:val="16"/>
          <w:lang w:val="ro-MD"/>
        </w:rPr>
        <w:t>113-XVI din 27.04.2007;</w:t>
      </w:r>
      <w:r w:rsidRPr="00FA5756">
        <w:rPr>
          <w:rFonts w:asciiTheme="majorHAnsi" w:hAnsiTheme="majorHAnsi" w:cstheme="majorHAnsi"/>
          <w:sz w:val="16"/>
          <w:szCs w:val="16"/>
          <w:lang w:val="ro-MD"/>
        </w:rPr>
        <w:t xml:space="preserve"> </w:t>
      </w:r>
      <w:r w:rsidRPr="00FA5756">
        <w:rPr>
          <w:rFonts w:asciiTheme="majorHAnsi" w:eastAsia="Times New Roman" w:hAnsiTheme="majorHAnsi" w:cstheme="majorHAnsi"/>
          <w:sz w:val="16"/>
          <w:szCs w:val="16"/>
          <w:lang w:val="ro-MD"/>
        </w:rPr>
        <w:t xml:space="preserve">Ordinul ministrului </w:t>
      </w:r>
      <w:r>
        <w:rPr>
          <w:rFonts w:asciiTheme="majorHAnsi" w:eastAsia="Times New Roman" w:hAnsiTheme="majorHAnsi" w:cstheme="majorHAnsi"/>
          <w:sz w:val="16"/>
          <w:szCs w:val="16"/>
          <w:lang w:val="ro-MD"/>
        </w:rPr>
        <w:t>F</w:t>
      </w:r>
      <w:r w:rsidRPr="00FA5756">
        <w:rPr>
          <w:rFonts w:asciiTheme="majorHAnsi" w:eastAsia="Times New Roman" w:hAnsiTheme="majorHAnsi" w:cstheme="majorHAnsi"/>
          <w:sz w:val="16"/>
          <w:szCs w:val="16"/>
          <w:lang w:val="ro-MD"/>
        </w:rPr>
        <w:t xml:space="preserve">inanțelor nr.216 din 28.12.2015; Ordinul ministrului </w:t>
      </w:r>
      <w:r>
        <w:rPr>
          <w:rFonts w:asciiTheme="majorHAnsi" w:eastAsia="Times New Roman" w:hAnsiTheme="majorHAnsi" w:cstheme="majorHAnsi"/>
          <w:sz w:val="16"/>
          <w:szCs w:val="16"/>
          <w:lang w:val="ro-MD"/>
        </w:rPr>
        <w:t>F</w:t>
      </w:r>
      <w:r w:rsidRPr="00FA5756">
        <w:rPr>
          <w:rFonts w:asciiTheme="majorHAnsi" w:eastAsia="Times New Roman" w:hAnsiTheme="majorHAnsi" w:cstheme="majorHAnsi"/>
          <w:sz w:val="16"/>
          <w:szCs w:val="16"/>
          <w:lang w:val="ro-MD"/>
        </w:rPr>
        <w:t xml:space="preserve">inanțelor nr.164 din 09.12.2019 „Cu privire la aprobarea termenelor de prezentare a rapoartelor financiare pe anul 2019”; Ordinul ministrului </w:t>
      </w:r>
      <w:r>
        <w:rPr>
          <w:rFonts w:asciiTheme="majorHAnsi" w:eastAsia="Times New Roman" w:hAnsiTheme="majorHAnsi" w:cstheme="majorHAnsi"/>
          <w:sz w:val="16"/>
          <w:szCs w:val="16"/>
          <w:lang w:val="ro-MD"/>
        </w:rPr>
        <w:t>F</w:t>
      </w:r>
      <w:r w:rsidRPr="00FA5756">
        <w:rPr>
          <w:rFonts w:asciiTheme="majorHAnsi" w:eastAsia="Times New Roman" w:hAnsiTheme="majorHAnsi" w:cstheme="majorHAnsi"/>
          <w:sz w:val="16"/>
          <w:szCs w:val="16"/>
          <w:lang w:val="ro-MD"/>
        </w:rPr>
        <w:t>inanțelor nr.164 din 30.12.2016 „Cu privire la aprobarea Cerințelor la întocmirea Raportului narativ privind executarea bugetelor autorităților/instituțiilor bugetare”.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9B" w:rsidRPr="00275472" w:rsidRDefault="0087559B" w:rsidP="0087559B">
    <w:pPr>
      <w:pStyle w:val="Header"/>
      <w:jc w:val="right"/>
      <w:rPr>
        <w:rFonts w:asciiTheme="majorHAnsi" w:hAnsiTheme="majorHAnsi"/>
        <w:b/>
        <w:i/>
        <w:sz w:val="24"/>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AB8"/>
    <w:multiLevelType w:val="multilevel"/>
    <w:tmpl w:val="EB6C555C"/>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2223E"/>
    <w:multiLevelType w:val="multilevel"/>
    <w:tmpl w:val="32CAD9E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CC02480"/>
    <w:multiLevelType w:val="multilevel"/>
    <w:tmpl w:val="F4249C78"/>
    <w:lvl w:ilvl="0">
      <w:start w:val="5"/>
      <w:numFmt w:val="decimal"/>
      <w:lvlText w:val="%1."/>
      <w:lvlJc w:val="left"/>
      <w:pPr>
        <w:ind w:left="480" w:hanging="480"/>
      </w:pPr>
      <w:rPr>
        <w:rFonts w:hint="default"/>
      </w:rPr>
    </w:lvl>
    <w:lvl w:ilvl="1">
      <w:start w:val="1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47A677EF"/>
    <w:multiLevelType w:val="multilevel"/>
    <w:tmpl w:val="88DA8206"/>
    <w:lvl w:ilvl="0">
      <w:start w:val="5"/>
      <w:numFmt w:val="decimal"/>
      <w:lvlText w:val="%1."/>
      <w:lvlJc w:val="left"/>
      <w:pPr>
        <w:ind w:left="502" w:hanging="360"/>
      </w:pPr>
      <w:rPr>
        <w:rFonts w:eastAsiaTheme="minorHAnsi" w:cs="Times New Roman" w:hint="default"/>
      </w:rPr>
    </w:lvl>
    <w:lvl w:ilvl="1">
      <w:start w:val="1"/>
      <w:numFmt w:val="decimal"/>
      <w:lvlText w:val="%1.%2."/>
      <w:lvlJc w:val="left"/>
      <w:pPr>
        <w:ind w:left="644" w:hanging="360"/>
      </w:pPr>
      <w:rPr>
        <w:rFonts w:eastAsiaTheme="minorHAnsi" w:cs="Times New Roman" w:hint="default"/>
        <w:b/>
      </w:rPr>
    </w:lvl>
    <w:lvl w:ilvl="2">
      <w:start w:val="1"/>
      <w:numFmt w:val="decimal"/>
      <w:lvlText w:val="%1.%2.%3."/>
      <w:lvlJc w:val="left"/>
      <w:pPr>
        <w:ind w:left="1004" w:hanging="720"/>
      </w:pPr>
      <w:rPr>
        <w:rFonts w:eastAsiaTheme="minorHAnsi" w:cs="Times New Roman" w:hint="default"/>
      </w:rPr>
    </w:lvl>
    <w:lvl w:ilvl="3">
      <w:start w:val="1"/>
      <w:numFmt w:val="decimal"/>
      <w:lvlText w:val="%1.%2.%3.%4."/>
      <w:lvlJc w:val="left"/>
      <w:pPr>
        <w:ind w:left="1146" w:hanging="720"/>
      </w:pPr>
      <w:rPr>
        <w:rFonts w:eastAsiaTheme="minorHAnsi" w:cs="Times New Roman" w:hint="default"/>
      </w:rPr>
    </w:lvl>
    <w:lvl w:ilvl="4">
      <w:start w:val="1"/>
      <w:numFmt w:val="decimal"/>
      <w:lvlText w:val="%1.%2.%3.%4.%5."/>
      <w:lvlJc w:val="left"/>
      <w:pPr>
        <w:ind w:left="1648" w:hanging="1080"/>
      </w:pPr>
      <w:rPr>
        <w:rFonts w:eastAsiaTheme="minorHAnsi" w:cs="Times New Roman" w:hint="default"/>
      </w:rPr>
    </w:lvl>
    <w:lvl w:ilvl="5">
      <w:start w:val="1"/>
      <w:numFmt w:val="decimal"/>
      <w:lvlText w:val="%1.%2.%3.%4.%5.%6."/>
      <w:lvlJc w:val="left"/>
      <w:pPr>
        <w:ind w:left="1790" w:hanging="1080"/>
      </w:pPr>
      <w:rPr>
        <w:rFonts w:eastAsiaTheme="minorHAnsi" w:cs="Times New Roman" w:hint="default"/>
      </w:rPr>
    </w:lvl>
    <w:lvl w:ilvl="6">
      <w:start w:val="1"/>
      <w:numFmt w:val="decimal"/>
      <w:lvlText w:val="%1.%2.%3.%4.%5.%6.%7."/>
      <w:lvlJc w:val="left"/>
      <w:pPr>
        <w:ind w:left="2292" w:hanging="1440"/>
      </w:pPr>
      <w:rPr>
        <w:rFonts w:eastAsiaTheme="minorHAnsi" w:cs="Times New Roman" w:hint="default"/>
      </w:rPr>
    </w:lvl>
    <w:lvl w:ilvl="7">
      <w:start w:val="1"/>
      <w:numFmt w:val="decimal"/>
      <w:lvlText w:val="%1.%2.%3.%4.%5.%6.%7.%8."/>
      <w:lvlJc w:val="left"/>
      <w:pPr>
        <w:ind w:left="2434" w:hanging="1440"/>
      </w:pPr>
      <w:rPr>
        <w:rFonts w:eastAsiaTheme="minorHAnsi" w:cs="Times New Roman" w:hint="default"/>
      </w:rPr>
    </w:lvl>
    <w:lvl w:ilvl="8">
      <w:start w:val="1"/>
      <w:numFmt w:val="decimal"/>
      <w:lvlText w:val="%1.%2.%3.%4.%5.%6.%7.%8.%9."/>
      <w:lvlJc w:val="left"/>
      <w:pPr>
        <w:ind w:left="2936" w:hanging="1800"/>
      </w:pPr>
      <w:rPr>
        <w:rFonts w:eastAsiaTheme="minorHAnsi" w:cs="Times New Roman" w:hint="default"/>
      </w:rPr>
    </w:lvl>
  </w:abstractNum>
  <w:abstractNum w:abstractNumId="4" w15:restartNumberingAfterBreak="0">
    <w:nsid w:val="497C5D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B9838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EE55CB9"/>
    <w:multiLevelType w:val="multilevel"/>
    <w:tmpl w:val="2D3A81BC"/>
    <w:lvl w:ilvl="0">
      <w:start w:val="1"/>
      <w:numFmt w:val="upperRoman"/>
      <w:lvlText w:val="%1."/>
      <w:lvlJc w:val="right"/>
      <w:pPr>
        <w:ind w:left="502" w:hanging="360"/>
      </w:pPr>
    </w:lvl>
    <w:lvl w:ilvl="1">
      <w:start w:val="1"/>
      <w:numFmt w:val="bullet"/>
      <w:lvlText w:val=""/>
      <w:lvlJc w:val="left"/>
      <w:pPr>
        <w:ind w:left="432" w:hanging="432"/>
      </w:pPr>
      <w:rPr>
        <w:rFonts w:ascii="Symbol" w:hAnsi="Symbol" w:hint="default"/>
        <w:b/>
        <w:i w:val="0"/>
        <w:strike w:val="0"/>
        <w:color w:val="auto"/>
        <w:sz w:val="24"/>
        <w:szCs w:val="24"/>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677F48C3"/>
    <w:multiLevelType w:val="multilevel"/>
    <w:tmpl w:val="99DC1A4E"/>
    <w:lvl w:ilvl="0">
      <w:start w:val="1"/>
      <w:numFmt w:val="upperRoman"/>
      <w:lvlText w:val="%1."/>
      <w:lvlJc w:val="right"/>
      <w:pPr>
        <w:ind w:left="502" w:hanging="360"/>
      </w:pPr>
      <w:rPr>
        <w:rFonts w:hint="default"/>
      </w:rPr>
    </w:lvl>
    <w:lvl w:ilvl="1">
      <w:start w:val="1"/>
      <w:numFmt w:val="bullet"/>
      <w:lvlText w:val=""/>
      <w:lvlJc w:val="left"/>
      <w:pPr>
        <w:ind w:left="432" w:hanging="432"/>
      </w:pPr>
      <w:rPr>
        <w:rFonts w:ascii="Symbol" w:hAnsi="Symbol" w:hint="default"/>
        <w:b/>
        <w:i w:val="0"/>
        <w:strike w:val="0"/>
        <w:color w:val="auto"/>
        <w:sz w:val="24"/>
        <w:szCs w:val="24"/>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8" w15:restartNumberingAfterBreak="0">
    <w:nsid w:val="6C891F1E"/>
    <w:multiLevelType w:val="hybridMultilevel"/>
    <w:tmpl w:val="D8968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C2E44"/>
    <w:multiLevelType w:val="hybridMultilevel"/>
    <w:tmpl w:val="A4561394"/>
    <w:lvl w:ilvl="0" w:tplc="BAB684E4">
      <w:start w:val="1"/>
      <w:numFmt w:val="upperRoman"/>
      <w:lvlText w:val="%1."/>
      <w:lvlJc w:val="left"/>
      <w:pPr>
        <w:ind w:left="3839" w:hanging="72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7"/>
  </w:num>
  <w:num w:numId="2">
    <w:abstractNumId w:val="3"/>
  </w:num>
  <w:num w:numId="3">
    <w:abstractNumId w:val="0"/>
  </w:num>
  <w:num w:numId="4">
    <w:abstractNumId w:val="9"/>
  </w:num>
  <w:num w:numId="5">
    <w:abstractNumId w:val="2"/>
  </w:num>
  <w:num w:numId="6">
    <w:abstractNumId w:val="8"/>
  </w:num>
  <w:num w:numId="7">
    <w:abstractNumId w:val="5"/>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E8"/>
    <w:rsid w:val="00014507"/>
    <w:rsid w:val="000321C5"/>
    <w:rsid w:val="00035812"/>
    <w:rsid w:val="00046B59"/>
    <w:rsid w:val="000514E3"/>
    <w:rsid w:val="00055C48"/>
    <w:rsid w:val="000611D0"/>
    <w:rsid w:val="00061984"/>
    <w:rsid w:val="000632CC"/>
    <w:rsid w:val="00064EEF"/>
    <w:rsid w:val="00085CC1"/>
    <w:rsid w:val="000B22F8"/>
    <w:rsid w:val="000B6AF1"/>
    <w:rsid w:val="000C0D7C"/>
    <w:rsid w:val="000C19E5"/>
    <w:rsid w:val="000F1282"/>
    <w:rsid w:val="000F20E8"/>
    <w:rsid w:val="000F5F71"/>
    <w:rsid w:val="00103C37"/>
    <w:rsid w:val="00107433"/>
    <w:rsid w:val="00126E99"/>
    <w:rsid w:val="00132766"/>
    <w:rsid w:val="00137B26"/>
    <w:rsid w:val="00153C13"/>
    <w:rsid w:val="001604C3"/>
    <w:rsid w:val="0016522F"/>
    <w:rsid w:val="00175611"/>
    <w:rsid w:val="001A41ED"/>
    <w:rsid w:val="001A6E1D"/>
    <w:rsid w:val="001B150D"/>
    <w:rsid w:val="001B19E2"/>
    <w:rsid w:val="001B2A85"/>
    <w:rsid w:val="001C20FD"/>
    <w:rsid w:val="001D535C"/>
    <w:rsid w:val="001E4563"/>
    <w:rsid w:val="001E7CDC"/>
    <w:rsid w:val="001F32A7"/>
    <w:rsid w:val="001F71DC"/>
    <w:rsid w:val="00200F2C"/>
    <w:rsid w:val="002148BF"/>
    <w:rsid w:val="00216911"/>
    <w:rsid w:val="0022370C"/>
    <w:rsid w:val="0023449F"/>
    <w:rsid w:val="00243DB7"/>
    <w:rsid w:val="00260C08"/>
    <w:rsid w:val="00286546"/>
    <w:rsid w:val="00287B45"/>
    <w:rsid w:val="002A1F08"/>
    <w:rsid w:val="002C0D0D"/>
    <w:rsid w:val="002C338E"/>
    <w:rsid w:val="002D1EDE"/>
    <w:rsid w:val="002D3677"/>
    <w:rsid w:val="002F07DE"/>
    <w:rsid w:val="002F313D"/>
    <w:rsid w:val="00333E58"/>
    <w:rsid w:val="003B1DE7"/>
    <w:rsid w:val="003B6AE4"/>
    <w:rsid w:val="003C36F1"/>
    <w:rsid w:val="003D1E19"/>
    <w:rsid w:val="003E014E"/>
    <w:rsid w:val="003E4F2F"/>
    <w:rsid w:val="003E63B0"/>
    <w:rsid w:val="0040639F"/>
    <w:rsid w:val="0042525E"/>
    <w:rsid w:val="0046203A"/>
    <w:rsid w:val="00462EE3"/>
    <w:rsid w:val="0047344A"/>
    <w:rsid w:val="004866DC"/>
    <w:rsid w:val="00495EC7"/>
    <w:rsid w:val="004A1334"/>
    <w:rsid w:val="004A5046"/>
    <w:rsid w:val="004A5EFA"/>
    <w:rsid w:val="004C5B2F"/>
    <w:rsid w:val="004D13E5"/>
    <w:rsid w:val="004E620A"/>
    <w:rsid w:val="004E73A2"/>
    <w:rsid w:val="004F49D5"/>
    <w:rsid w:val="00506A17"/>
    <w:rsid w:val="00512BA6"/>
    <w:rsid w:val="00513EDA"/>
    <w:rsid w:val="00535569"/>
    <w:rsid w:val="005448C9"/>
    <w:rsid w:val="00563C4C"/>
    <w:rsid w:val="00580D4F"/>
    <w:rsid w:val="005B562D"/>
    <w:rsid w:val="005C0CD3"/>
    <w:rsid w:val="005C6B71"/>
    <w:rsid w:val="005E0427"/>
    <w:rsid w:val="005E3A03"/>
    <w:rsid w:val="006336E3"/>
    <w:rsid w:val="0064036A"/>
    <w:rsid w:val="006435E2"/>
    <w:rsid w:val="0064452D"/>
    <w:rsid w:val="00652581"/>
    <w:rsid w:val="00657A2E"/>
    <w:rsid w:val="006839A9"/>
    <w:rsid w:val="006A7147"/>
    <w:rsid w:val="006C3D73"/>
    <w:rsid w:val="006D44AA"/>
    <w:rsid w:val="006F52EC"/>
    <w:rsid w:val="00710362"/>
    <w:rsid w:val="00714C80"/>
    <w:rsid w:val="00733351"/>
    <w:rsid w:val="00773FF8"/>
    <w:rsid w:val="007B1430"/>
    <w:rsid w:val="007B225F"/>
    <w:rsid w:val="007C1813"/>
    <w:rsid w:val="007D7C18"/>
    <w:rsid w:val="007E4248"/>
    <w:rsid w:val="007E5BE1"/>
    <w:rsid w:val="007E76B7"/>
    <w:rsid w:val="007F1A01"/>
    <w:rsid w:val="007F4550"/>
    <w:rsid w:val="0080765E"/>
    <w:rsid w:val="00810711"/>
    <w:rsid w:val="00824831"/>
    <w:rsid w:val="0087559B"/>
    <w:rsid w:val="008957F6"/>
    <w:rsid w:val="008A1C2A"/>
    <w:rsid w:val="008F7640"/>
    <w:rsid w:val="00900A63"/>
    <w:rsid w:val="00905F5A"/>
    <w:rsid w:val="0092144D"/>
    <w:rsid w:val="00933A1A"/>
    <w:rsid w:val="009419ED"/>
    <w:rsid w:val="00944BEE"/>
    <w:rsid w:val="00976485"/>
    <w:rsid w:val="009B0EF6"/>
    <w:rsid w:val="009B2120"/>
    <w:rsid w:val="009D501C"/>
    <w:rsid w:val="009E69FA"/>
    <w:rsid w:val="009F789D"/>
    <w:rsid w:val="00A06F4C"/>
    <w:rsid w:val="00A07DD8"/>
    <w:rsid w:val="00A30533"/>
    <w:rsid w:val="00A4309A"/>
    <w:rsid w:val="00A52452"/>
    <w:rsid w:val="00A72C8C"/>
    <w:rsid w:val="00A746F4"/>
    <w:rsid w:val="00A92956"/>
    <w:rsid w:val="00AA35FB"/>
    <w:rsid w:val="00AB5546"/>
    <w:rsid w:val="00B27DB4"/>
    <w:rsid w:val="00B30C29"/>
    <w:rsid w:val="00B37125"/>
    <w:rsid w:val="00B43B08"/>
    <w:rsid w:val="00B665C6"/>
    <w:rsid w:val="00B738FD"/>
    <w:rsid w:val="00B82957"/>
    <w:rsid w:val="00B829A8"/>
    <w:rsid w:val="00B95687"/>
    <w:rsid w:val="00BA00C7"/>
    <w:rsid w:val="00BA3025"/>
    <w:rsid w:val="00BB7B51"/>
    <w:rsid w:val="00BC3D1E"/>
    <w:rsid w:val="00BD58D4"/>
    <w:rsid w:val="00BE71F3"/>
    <w:rsid w:val="00BF2817"/>
    <w:rsid w:val="00C06D17"/>
    <w:rsid w:val="00C118FA"/>
    <w:rsid w:val="00C16FD4"/>
    <w:rsid w:val="00C51FE4"/>
    <w:rsid w:val="00C73447"/>
    <w:rsid w:val="00C83B81"/>
    <w:rsid w:val="00C8721C"/>
    <w:rsid w:val="00C93E2C"/>
    <w:rsid w:val="00C95353"/>
    <w:rsid w:val="00CA11E2"/>
    <w:rsid w:val="00CA629C"/>
    <w:rsid w:val="00CB7373"/>
    <w:rsid w:val="00CC2475"/>
    <w:rsid w:val="00CE11C7"/>
    <w:rsid w:val="00CE7981"/>
    <w:rsid w:val="00D06C1C"/>
    <w:rsid w:val="00D12B36"/>
    <w:rsid w:val="00D4134C"/>
    <w:rsid w:val="00D421C2"/>
    <w:rsid w:val="00D57652"/>
    <w:rsid w:val="00D65FE8"/>
    <w:rsid w:val="00D75156"/>
    <w:rsid w:val="00D8085F"/>
    <w:rsid w:val="00D876E2"/>
    <w:rsid w:val="00DA7189"/>
    <w:rsid w:val="00DC54EC"/>
    <w:rsid w:val="00DD3FEC"/>
    <w:rsid w:val="00DD566B"/>
    <w:rsid w:val="00DE0CDC"/>
    <w:rsid w:val="00DE3C21"/>
    <w:rsid w:val="00DE4357"/>
    <w:rsid w:val="00E008DA"/>
    <w:rsid w:val="00E12967"/>
    <w:rsid w:val="00E133A5"/>
    <w:rsid w:val="00E323B3"/>
    <w:rsid w:val="00E3446F"/>
    <w:rsid w:val="00E35817"/>
    <w:rsid w:val="00E71335"/>
    <w:rsid w:val="00E832DC"/>
    <w:rsid w:val="00E84A64"/>
    <w:rsid w:val="00EB64A8"/>
    <w:rsid w:val="00EC0A75"/>
    <w:rsid w:val="00EC0E15"/>
    <w:rsid w:val="00EC1CE2"/>
    <w:rsid w:val="00EE50FD"/>
    <w:rsid w:val="00F16A55"/>
    <w:rsid w:val="00F20E97"/>
    <w:rsid w:val="00F2428C"/>
    <w:rsid w:val="00F25EC2"/>
    <w:rsid w:val="00F30195"/>
    <w:rsid w:val="00F32736"/>
    <w:rsid w:val="00F36146"/>
    <w:rsid w:val="00F4016F"/>
    <w:rsid w:val="00F44AB5"/>
    <w:rsid w:val="00F51109"/>
    <w:rsid w:val="00F5191F"/>
    <w:rsid w:val="00F560A0"/>
    <w:rsid w:val="00F665DA"/>
    <w:rsid w:val="00F97A95"/>
    <w:rsid w:val="00FA3880"/>
    <w:rsid w:val="00FC255F"/>
    <w:rsid w:val="00FD132D"/>
    <w:rsid w:val="00FD5007"/>
    <w:rsid w:val="00FF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D353C-E18A-4C40-82B6-B8275841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563C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63C4C"/>
    <w:rPr>
      <w:rFonts w:asciiTheme="majorHAnsi" w:eastAsiaTheme="majorEastAsia" w:hAnsiTheme="majorHAnsi" w:cstheme="majorBidi"/>
      <w:i/>
      <w:iCs/>
      <w:color w:val="2E74B5" w:themeColor="accent1" w:themeShade="BF"/>
    </w:rPr>
  </w:style>
  <w:style w:type="paragraph" w:styleId="Footer">
    <w:name w:val="footer"/>
    <w:basedOn w:val="Normal"/>
    <w:link w:val="FooterChar"/>
    <w:uiPriority w:val="99"/>
    <w:semiHidden/>
    <w:unhideWhenUsed/>
    <w:rsid w:val="00563C4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3C4C"/>
  </w:style>
  <w:style w:type="paragraph" w:styleId="Header">
    <w:name w:val="header"/>
    <w:basedOn w:val="Normal"/>
    <w:link w:val="HeaderChar"/>
    <w:uiPriority w:val="99"/>
    <w:semiHidden/>
    <w:unhideWhenUsed/>
    <w:rsid w:val="00563C4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3C4C"/>
  </w:style>
  <w:style w:type="table" w:styleId="TableGrid">
    <w:name w:val="Table Grid"/>
    <w:basedOn w:val="TableNormal"/>
    <w:uiPriority w:val="39"/>
    <w:rsid w:val="0056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Знак1, Знак1, Знак,Знак,Fußnote Char Char,Fußnote Char,Fußnote Char Car Char Char,Fußnote Char Car Char Char Char Char Char Char Char Char Char Char,single space,fn,FOOTNOTES,A,Footnote Text Char1,Footnote Text Char2 Char,Cha,ft"/>
    <w:basedOn w:val="Normal"/>
    <w:link w:val="FootnoteTextChar"/>
    <w:unhideWhenUsed/>
    <w:qFormat/>
    <w:rsid w:val="00563C4C"/>
    <w:pPr>
      <w:spacing w:after="0" w:line="240" w:lineRule="auto"/>
    </w:pPr>
    <w:rPr>
      <w:sz w:val="20"/>
      <w:szCs w:val="20"/>
    </w:rPr>
  </w:style>
  <w:style w:type="character" w:customStyle="1" w:styleId="FootnoteTextChar">
    <w:name w:val="Footnote Text Char"/>
    <w:aliases w:val=" Char Char,Char Char,Знак1 Char, Знак1 Char, Знак Char,Знак Char,Fußnote Char Char Char,Fußnote Char Char1,Fußnote Char Car Char Char Char,Fußnote Char Car Char Char Char Char Char Char Char Char Char Char Char,single space Char"/>
    <w:basedOn w:val="DefaultParagraphFont"/>
    <w:link w:val="FootnoteText"/>
    <w:rsid w:val="00563C4C"/>
    <w:rPr>
      <w:sz w:val="20"/>
      <w:szCs w:val="20"/>
    </w:rPr>
  </w:style>
  <w:style w:type="character" w:styleId="FootnoteReference">
    <w:name w:val="footnote reference"/>
    <w:aliases w:val="ftref,Times 10 Point,Exposant 3 Point,Footnote symbol,Footnote reference number,EN Footnote Reference,note TESI,16 Point,Superscript 6 Point,BVI fnr,Char Char1,FOOTNOTES Char1,fn Char1,single space Char1,ft Char1,Ref,fr,FR"/>
    <w:basedOn w:val="DefaultParagraphFont"/>
    <w:link w:val="FNRefeCharChar"/>
    <w:uiPriority w:val="99"/>
    <w:unhideWhenUsed/>
    <w:rsid w:val="00563C4C"/>
    <w:rPr>
      <w:vertAlign w:val="superscript"/>
    </w:rPr>
  </w:style>
  <w:style w:type="paragraph" w:customStyle="1" w:styleId="FNRefeCharChar">
    <w:name w:val="FNRefe Char Char"/>
    <w:aliases w:val="BVI fnr Char Char,BVI fnr Char Char Char,BVI fnr Car Car Char Char Char,BVI fnr Car Char Char Char,BVI fnr Car Car Car Car Char Char Char Char Char, BVI fnr Char Char Char, BVI fnr Car Car Char Char Char"/>
    <w:basedOn w:val="Normal"/>
    <w:link w:val="FootnoteReference"/>
    <w:uiPriority w:val="99"/>
    <w:qFormat/>
    <w:rsid w:val="00563C4C"/>
    <w:pPr>
      <w:spacing w:line="240" w:lineRule="exact"/>
    </w:pPr>
    <w:rPr>
      <w:vertAlign w:val="superscript"/>
    </w:rPr>
  </w:style>
  <w:style w:type="paragraph" w:styleId="ListParagraph">
    <w:name w:val="List Paragraph"/>
    <w:aliases w:val="List Paragraph 1,Scriptoria bullet points,Абзац списка1,Bullets,References,Liste 1,List Paragraph nowy,Numbered List Paragraph,List Paragraph (numbered (a)),Medium Grid 1 - Accent 21,Paragraphe de liste2,Paragraphe de liste1,Dot pt"/>
    <w:basedOn w:val="Normal"/>
    <w:link w:val="ListParagraphChar"/>
    <w:uiPriority w:val="34"/>
    <w:qFormat/>
    <w:rsid w:val="00046B59"/>
    <w:pPr>
      <w:ind w:left="720"/>
      <w:contextualSpacing/>
    </w:pPr>
  </w:style>
  <w:style w:type="character" w:customStyle="1" w:styleId="ListParagraphChar">
    <w:name w:val="List Paragraph Char"/>
    <w:aliases w:val="List Paragraph 1 Char,Scriptoria bullet points Char,Абзац списка1 Char,Bullets Char,References Char,Liste 1 Char,List Paragraph nowy Char,Numbered List Paragraph Char,List Paragraph (numbered (a)) Char,Medium Grid 1 - Accent 21 Char"/>
    <w:link w:val="ListParagraph"/>
    <w:uiPriority w:val="34"/>
    <w:rsid w:val="009D501C"/>
  </w:style>
  <w:style w:type="paragraph" w:styleId="BalloonText">
    <w:name w:val="Balloon Text"/>
    <w:basedOn w:val="Normal"/>
    <w:link w:val="BalloonTextChar"/>
    <w:uiPriority w:val="99"/>
    <w:semiHidden/>
    <w:unhideWhenUsed/>
    <w:rsid w:val="00B95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687"/>
    <w:rPr>
      <w:rFonts w:ascii="Segoe UI" w:hAnsi="Segoe UI" w:cs="Segoe UI"/>
      <w:sz w:val="18"/>
      <w:szCs w:val="18"/>
    </w:rPr>
  </w:style>
  <w:style w:type="character" w:styleId="Emphasis">
    <w:name w:val="Emphasis"/>
    <w:basedOn w:val="DefaultParagraphFont"/>
    <w:uiPriority w:val="20"/>
    <w:qFormat/>
    <w:rsid w:val="002F07DE"/>
    <w:rPr>
      <w:i/>
      <w:iCs/>
    </w:rPr>
  </w:style>
  <w:style w:type="character" w:styleId="CommentReference">
    <w:name w:val="annotation reference"/>
    <w:basedOn w:val="DefaultParagraphFont"/>
    <w:uiPriority w:val="99"/>
    <w:semiHidden/>
    <w:unhideWhenUsed/>
    <w:rsid w:val="000632CC"/>
    <w:rPr>
      <w:sz w:val="16"/>
      <w:szCs w:val="16"/>
    </w:rPr>
  </w:style>
  <w:style w:type="paragraph" w:styleId="CommentText">
    <w:name w:val="annotation text"/>
    <w:basedOn w:val="Normal"/>
    <w:link w:val="CommentTextChar"/>
    <w:uiPriority w:val="99"/>
    <w:semiHidden/>
    <w:unhideWhenUsed/>
    <w:rsid w:val="000632CC"/>
    <w:pPr>
      <w:spacing w:line="240" w:lineRule="auto"/>
    </w:pPr>
    <w:rPr>
      <w:sz w:val="20"/>
      <w:szCs w:val="20"/>
    </w:rPr>
  </w:style>
  <w:style w:type="character" w:customStyle="1" w:styleId="CommentTextChar">
    <w:name w:val="Comment Text Char"/>
    <w:basedOn w:val="DefaultParagraphFont"/>
    <w:link w:val="CommentText"/>
    <w:uiPriority w:val="99"/>
    <w:semiHidden/>
    <w:rsid w:val="000632CC"/>
    <w:rPr>
      <w:sz w:val="20"/>
      <w:szCs w:val="20"/>
    </w:rPr>
  </w:style>
  <w:style w:type="paragraph" w:styleId="CommentSubject">
    <w:name w:val="annotation subject"/>
    <w:basedOn w:val="CommentText"/>
    <w:next w:val="CommentText"/>
    <w:link w:val="CommentSubjectChar"/>
    <w:uiPriority w:val="99"/>
    <w:semiHidden/>
    <w:unhideWhenUsed/>
    <w:rsid w:val="000632CC"/>
    <w:rPr>
      <w:b/>
      <w:bCs/>
    </w:rPr>
  </w:style>
  <w:style w:type="character" w:customStyle="1" w:styleId="CommentSubjectChar">
    <w:name w:val="Comment Subject Char"/>
    <w:basedOn w:val="CommentTextChar"/>
    <w:link w:val="CommentSubject"/>
    <w:uiPriority w:val="99"/>
    <w:semiHidden/>
    <w:rsid w:val="000632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13856">
      <w:bodyDiv w:val="1"/>
      <w:marLeft w:val="0"/>
      <w:marRight w:val="0"/>
      <w:marTop w:val="0"/>
      <w:marBottom w:val="0"/>
      <w:divBdr>
        <w:top w:val="none" w:sz="0" w:space="0" w:color="auto"/>
        <w:left w:val="none" w:sz="0" w:space="0" w:color="auto"/>
        <w:bottom w:val="none" w:sz="0" w:space="0" w:color="auto"/>
        <w:right w:val="none" w:sz="0" w:space="0" w:color="auto"/>
      </w:divBdr>
    </w:div>
    <w:div w:id="151738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rm.md/activitatea-curtii-de-conturi-1-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rm@ccrm.md" TargetMode="External"/><Relationship Id="rId4" Type="http://schemas.openxmlformats.org/officeDocument/2006/relationships/settings" Target="settings.xml"/><Relationship Id="rId9" Type="http://schemas.openxmlformats.org/officeDocument/2006/relationships/hyperlink" Target="http://www.ccrm.m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AE7A-9546-4533-8015-8BDD6211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4002</Words>
  <Characters>22816</Characters>
  <Application>Microsoft Office Word</Application>
  <DocSecurity>0</DocSecurity>
  <Lines>190</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Negru Uliana</dc:creator>
  <cp:keywords/>
  <dc:description/>
  <cp:lastModifiedBy>Paiu Eugenia</cp:lastModifiedBy>
  <cp:revision>2</cp:revision>
  <cp:lastPrinted>2022-05-25T09:26:00Z</cp:lastPrinted>
  <dcterms:created xsi:type="dcterms:W3CDTF">2022-05-26T09:30:00Z</dcterms:created>
  <dcterms:modified xsi:type="dcterms:W3CDTF">2022-05-26T09:30:00Z</dcterms:modified>
</cp:coreProperties>
</file>