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135F1" w14:textId="77777777" w:rsidR="00E97F9C" w:rsidRPr="00585C40" w:rsidRDefault="00E97F9C" w:rsidP="00E97F9C">
      <w:pPr>
        <w:pStyle w:val="cn"/>
        <w:spacing w:line="276" w:lineRule="auto"/>
        <w:rPr>
          <w:rFonts w:asciiTheme="majorHAnsi" w:hAnsiTheme="majorHAnsi" w:cstheme="majorHAnsi"/>
          <w:lang w:val="ro-MD"/>
        </w:rPr>
      </w:pPr>
      <w:bookmarkStart w:id="0" w:name="_GoBack"/>
      <w:bookmarkEnd w:id="0"/>
      <w:r w:rsidRPr="00585C40">
        <w:rPr>
          <w:rFonts w:asciiTheme="majorHAnsi" w:hAnsiTheme="majorHAnsi" w:cstheme="majorHAnsi"/>
          <w:noProof/>
          <w:lang w:val="ru-RU" w:eastAsia="ru-RU"/>
        </w:rPr>
        <w:drawing>
          <wp:inline distT="0" distB="0" distL="0" distR="0" wp14:anchorId="05CDA862" wp14:editId="3DC17A37">
            <wp:extent cx="6350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14:paraId="37EF5BC2" w14:textId="77777777" w:rsidR="00E97F9C" w:rsidRPr="00585C40" w:rsidRDefault="00E97F9C" w:rsidP="00E97F9C">
      <w:pPr>
        <w:spacing w:after="0"/>
        <w:jc w:val="center"/>
        <w:rPr>
          <w:rFonts w:asciiTheme="majorHAnsi" w:eastAsia="Times New Roman" w:hAnsiTheme="majorHAnsi" w:cstheme="majorHAnsi"/>
          <w:b/>
          <w:bCs/>
          <w:sz w:val="24"/>
          <w:szCs w:val="24"/>
          <w:lang w:val="ro-MD"/>
        </w:rPr>
      </w:pPr>
    </w:p>
    <w:p w14:paraId="749FE8F5" w14:textId="77777777" w:rsidR="00E97F9C" w:rsidRPr="00585C40" w:rsidRDefault="00E97F9C" w:rsidP="00E97F9C">
      <w:pPr>
        <w:spacing w:after="0"/>
        <w:jc w:val="center"/>
        <w:rPr>
          <w:rFonts w:asciiTheme="majorHAnsi" w:eastAsia="Times New Roman" w:hAnsiTheme="majorHAnsi" w:cstheme="majorHAnsi"/>
          <w:bCs/>
          <w:sz w:val="24"/>
          <w:szCs w:val="24"/>
          <w:lang w:val="ro-MD"/>
        </w:rPr>
      </w:pPr>
      <w:r w:rsidRPr="00585C40">
        <w:rPr>
          <w:rFonts w:asciiTheme="majorHAnsi" w:eastAsia="Times New Roman" w:hAnsiTheme="majorHAnsi" w:cstheme="majorHAnsi"/>
          <w:bCs/>
          <w:sz w:val="24"/>
          <w:szCs w:val="24"/>
          <w:lang w:val="ro-MD"/>
        </w:rPr>
        <w:t>CURTEA DE CONTURI A REPUBLICII MOLDOVA</w:t>
      </w:r>
    </w:p>
    <w:p w14:paraId="35B8E3C9" w14:textId="77777777" w:rsidR="00E97F9C" w:rsidRPr="00585C40" w:rsidRDefault="00E97F9C" w:rsidP="00E97F9C">
      <w:pPr>
        <w:spacing w:after="0"/>
        <w:jc w:val="center"/>
        <w:rPr>
          <w:rFonts w:asciiTheme="majorHAnsi" w:eastAsia="Times New Roman" w:hAnsiTheme="majorHAnsi" w:cstheme="majorHAnsi"/>
          <w:bCs/>
          <w:sz w:val="24"/>
          <w:szCs w:val="24"/>
          <w:lang w:val="ro-MD"/>
        </w:rPr>
      </w:pPr>
    </w:p>
    <w:p w14:paraId="11075556" w14:textId="3D70F2EF" w:rsidR="00E97F9C" w:rsidRPr="00585C40" w:rsidRDefault="00E97F9C" w:rsidP="00E97F9C">
      <w:pPr>
        <w:spacing w:after="0"/>
        <w:jc w:val="center"/>
        <w:rPr>
          <w:rFonts w:asciiTheme="majorHAnsi" w:eastAsia="Times New Roman" w:hAnsiTheme="majorHAnsi" w:cstheme="majorHAnsi"/>
          <w:b/>
          <w:bCs/>
          <w:sz w:val="24"/>
          <w:szCs w:val="24"/>
          <w:lang w:val="ro-MD"/>
        </w:rPr>
      </w:pPr>
      <w:bookmarkStart w:id="1" w:name="_Toc450123757"/>
      <w:r w:rsidRPr="00585C40">
        <w:rPr>
          <w:rFonts w:asciiTheme="majorHAnsi" w:eastAsia="Times New Roman" w:hAnsiTheme="majorHAnsi" w:cstheme="majorHAnsi"/>
          <w:b/>
          <w:bCs/>
          <w:sz w:val="24"/>
          <w:szCs w:val="24"/>
          <w:lang w:val="ro-MD"/>
        </w:rPr>
        <w:t>H O T Ă R Â R E A nr.</w:t>
      </w:r>
      <w:bookmarkEnd w:id="1"/>
      <w:r w:rsidR="00272BC8">
        <w:rPr>
          <w:rFonts w:asciiTheme="majorHAnsi" w:eastAsia="Times New Roman" w:hAnsiTheme="majorHAnsi" w:cstheme="majorHAnsi"/>
          <w:b/>
          <w:bCs/>
          <w:sz w:val="24"/>
          <w:szCs w:val="24"/>
          <w:lang w:val="ro-MD"/>
        </w:rPr>
        <w:t xml:space="preserve"> </w:t>
      </w:r>
      <w:r w:rsidR="001A7C6B">
        <w:rPr>
          <w:rFonts w:asciiTheme="majorHAnsi" w:eastAsia="Times New Roman" w:hAnsiTheme="majorHAnsi" w:cstheme="majorHAnsi"/>
          <w:b/>
          <w:bCs/>
          <w:sz w:val="24"/>
          <w:szCs w:val="24"/>
          <w:lang w:val="ro-MD"/>
        </w:rPr>
        <w:t>17</w:t>
      </w:r>
    </w:p>
    <w:p w14:paraId="61618A60" w14:textId="77777777" w:rsidR="00E97F9C" w:rsidRPr="00585C40" w:rsidRDefault="00E97F9C" w:rsidP="00E97F9C">
      <w:pPr>
        <w:spacing w:after="0"/>
        <w:jc w:val="center"/>
        <w:rPr>
          <w:rFonts w:asciiTheme="majorHAnsi" w:eastAsia="Times New Roman" w:hAnsiTheme="majorHAnsi" w:cstheme="majorHAnsi"/>
          <w:bCs/>
          <w:sz w:val="24"/>
          <w:szCs w:val="24"/>
          <w:lang w:val="ro-MD"/>
        </w:rPr>
      </w:pPr>
      <w:r w:rsidRPr="00585C40">
        <w:rPr>
          <w:rFonts w:asciiTheme="majorHAnsi" w:eastAsia="Times New Roman" w:hAnsiTheme="majorHAnsi" w:cstheme="majorHAnsi"/>
          <w:bCs/>
          <w:sz w:val="24"/>
          <w:szCs w:val="24"/>
          <w:lang w:val="ro-MD"/>
        </w:rPr>
        <w:t xml:space="preserve">din </w:t>
      </w:r>
      <w:r w:rsidR="006E0E3D">
        <w:rPr>
          <w:rFonts w:asciiTheme="majorHAnsi" w:eastAsia="Times New Roman" w:hAnsiTheme="majorHAnsi" w:cstheme="majorHAnsi"/>
          <w:bCs/>
          <w:sz w:val="24"/>
          <w:szCs w:val="24"/>
          <w:lang w:val="ro-MD"/>
        </w:rPr>
        <w:t>24 mai 2022</w:t>
      </w:r>
    </w:p>
    <w:p w14:paraId="76065F4F" w14:textId="77777777" w:rsidR="00E97F9C" w:rsidRPr="00585C40" w:rsidRDefault="00E97F9C" w:rsidP="00E97F9C">
      <w:pPr>
        <w:spacing w:after="0"/>
        <w:jc w:val="center"/>
        <w:rPr>
          <w:rFonts w:asciiTheme="majorHAnsi" w:eastAsia="Times New Roman" w:hAnsiTheme="majorHAnsi" w:cstheme="majorHAnsi"/>
          <w:bCs/>
          <w:sz w:val="24"/>
          <w:szCs w:val="24"/>
          <w:lang w:val="ro-MD"/>
        </w:rPr>
      </w:pPr>
    </w:p>
    <w:p w14:paraId="6D83631E" w14:textId="77777777" w:rsidR="00E97F9C" w:rsidRPr="00585C40" w:rsidRDefault="00E97F9C" w:rsidP="00E97F9C">
      <w:pPr>
        <w:spacing w:after="0"/>
        <w:jc w:val="center"/>
        <w:rPr>
          <w:rFonts w:asciiTheme="majorHAnsi" w:eastAsia="Times New Roman" w:hAnsiTheme="majorHAnsi" w:cstheme="majorHAnsi"/>
          <w:b/>
          <w:bCs/>
          <w:sz w:val="24"/>
          <w:szCs w:val="24"/>
          <w:lang w:val="ro-MD" w:eastAsia="ru-RU"/>
        </w:rPr>
      </w:pPr>
      <w:r w:rsidRPr="00585C40">
        <w:rPr>
          <w:rFonts w:asciiTheme="majorHAnsi" w:eastAsia="Times New Roman" w:hAnsiTheme="majorHAnsi" w:cstheme="majorHAnsi"/>
          <w:b/>
          <w:bCs/>
          <w:sz w:val="24"/>
          <w:szCs w:val="24"/>
          <w:lang w:val="ro-MD" w:eastAsia="ru-RU"/>
        </w:rPr>
        <w:t xml:space="preserve">cu privire la Raportul auditului financiar al Raportului Guvernului privind executarea bugetului asigurărilor sociale de stat în anul </w:t>
      </w:r>
      <w:r w:rsidR="006E0E3D">
        <w:rPr>
          <w:rFonts w:asciiTheme="majorHAnsi" w:eastAsia="Times New Roman" w:hAnsiTheme="majorHAnsi" w:cstheme="majorHAnsi"/>
          <w:b/>
          <w:bCs/>
          <w:sz w:val="24"/>
          <w:szCs w:val="24"/>
          <w:lang w:val="ro-MD" w:eastAsia="ru-RU"/>
        </w:rPr>
        <w:t>2021</w:t>
      </w:r>
    </w:p>
    <w:p w14:paraId="647E54D5" w14:textId="77777777" w:rsidR="00E97F9C" w:rsidRPr="00585C40" w:rsidRDefault="00E97F9C" w:rsidP="00E97F9C">
      <w:pPr>
        <w:spacing w:after="0"/>
        <w:jc w:val="center"/>
        <w:rPr>
          <w:rFonts w:asciiTheme="majorHAnsi" w:eastAsia="Times New Roman" w:hAnsiTheme="majorHAnsi" w:cstheme="majorHAnsi"/>
          <w:sz w:val="24"/>
          <w:szCs w:val="24"/>
          <w:lang w:val="ro-MD"/>
        </w:rPr>
      </w:pPr>
    </w:p>
    <w:p w14:paraId="5D894E9C" w14:textId="5762CA74" w:rsidR="00E97F9C" w:rsidRPr="00C30C89" w:rsidRDefault="00E97F9C" w:rsidP="00C30C89">
      <w:pPr>
        <w:ind w:firstLine="720"/>
        <w:rPr>
          <w:rFonts w:asciiTheme="majorHAnsi" w:eastAsia="Times New Roman" w:hAnsiTheme="majorHAnsi" w:cstheme="majorHAnsi"/>
          <w:color w:val="000000"/>
          <w:sz w:val="24"/>
          <w:szCs w:val="24"/>
          <w:lang w:val="ro-MD"/>
        </w:rPr>
      </w:pPr>
      <w:r w:rsidRPr="00C30C89">
        <w:rPr>
          <w:rFonts w:asciiTheme="majorHAnsi" w:hAnsiTheme="majorHAnsi" w:cstheme="majorHAnsi"/>
          <w:sz w:val="24"/>
          <w:szCs w:val="24"/>
          <w:lang w:val="ro-MD"/>
        </w:rPr>
        <w:t>Curtea de Conturi, în prezența</w:t>
      </w:r>
      <w:r w:rsidR="00D81A37">
        <w:rPr>
          <w:rFonts w:asciiTheme="majorHAnsi" w:hAnsiTheme="majorHAnsi" w:cstheme="majorHAnsi"/>
          <w:sz w:val="24"/>
          <w:szCs w:val="24"/>
          <w:lang w:val="ro-MD"/>
        </w:rPr>
        <w:t xml:space="preserve"> </w:t>
      </w:r>
      <w:r w:rsidR="00CB788A">
        <w:rPr>
          <w:rFonts w:asciiTheme="majorHAnsi" w:hAnsiTheme="majorHAnsi" w:cstheme="majorHAnsi"/>
          <w:color w:val="000000"/>
          <w:sz w:val="24"/>
          <w:szCs w:val="24"/>
          <w:lang w:val="ro-MD" w:eastAsia="ro-RO"/>
        </w:rPr>
        <w:t>m</w:t>
      </w:r>
      <w:r w:rsidRPr="006E0E3D">
        <w:rPr>
          <w:rFonts w:asciiTheme="majorHAnsi" w:hAnsiTheme="majorHAnsi" w:cstheme="majorHAnsi"/>
          <w:color w:val="000000"/>
          <w:sz w:val="24"/>
          <w:szCs w:val="24"/>
          <w:lang w:val="ro-MD" w:eastAsia="ro-RO"/>
        </w:rPr>
        <w:t>inist</w:t>
      </w:r>
      <w:r w:rsidR="00CB788A">
        <w:rPr>
          <w:rFonts w:asciiTheme="majorHAnsi" w:hAnsiTheme="majorHAnsi" w:cstheme="majorHAnsi"/>
          <w:color w:val="000000"/>
          <w:sz w:val="24"/>
          <w:szCs w:val="24"/>
          <w:lang w:val="ro-MD" w:eastAsia="ro-RO"/>
        </w:rPr>
        <w:t xml:space="preserve">rului </w:t>
      </w:r>
      <w:r w:rsidR="00A403B5">
        <w:rPr>
          <w:rFonts w:asciiTheme="majorHAnsi" w:hAnsiTheme="majorHAnsi" w:cstheme="majorHAnsi"/>
          <w:color w:val="000000"/>
          <w:sz w:val="24"/>
          <w:szCs w:val="24"/>
          <w:lang w:val="ro-MD" w:eastAsia="ro-RO"/>
        </w:rPr>
        <w:t>M</w:t>
      </w:r>
      <w:r w:rsidR="00CB788A">
        <w:rPr>
          <w:rFonts w:asciiTheme="majorHAnsi" w:hAnsiTheme="majorHAnsi" w:cstheme="majorHAnsi"/>
          <w:color w:val="000000"/>
          <w:sz w:val="24"/>
          <w:szCs w:val="24"/>
          <w:lang w:val="ro-MD" w:eastAsia="ro-RO"/>
        </w:rPr>
        <w:t xml:space="preserve">uncii și </w:t>
      </w:r>
      <w:r w:rsidR="00A403B5">
        <w:rPr>
          <w:rFonts w:asciiTheme="majorHAnsi" w:hAnsiTheme="majorHAnsi" w:cstheme="majorHAnsi"/>
          <w:color w:val="000000"/>
          <w:sz w:val="24"/>
          <w:szCs w:val="24"/>
          <w:lang w:val="ro-MD" w:eastAsia="ro-RO"/>
        </w:rPr>
        <w:t>P</w:t>
      </w:r>
      <w:r w:rsidR="00CB788A">
        <w:rPr>
          <w:rFonts w:asciiTheme="majorHAnsi" w:hAnsiTheme="majorHAnsi" w:cstheme="majorHAnsi"/>
          <w:color w:val="000000"/>
          <w:sz w:val="24"/>
          <w:szCs w:val="24"/>
          <w:lang w:val="ro-MD" w:eastAsia="ro-RO"/>
        </w:rPr>
        <w:t xml:space="preserve">rotecției </w:t>
      </w:r>
      <w:r w:rsidR="00A403B5">
        <w:rPr>
          <w:rFonts w:asciiTheme="majorHAnsi" w:hAnsiTheme="majorHAnsi" w:cstheme="majorHAnsi"/>
          <w:color w:val="000000"/>
          <w:sz w:val="24"/>
          <w:szCs w:val="24"/>
          <w:lang w:val="ro-MD" w:eastAsia="ro-RO"/>
        </w:rPr>
        <w:t>S</w:t>
      </w:r>
      <w:r w:rsidRPr="006E0E3D">
        <w:rPr>
          <w:rFonts w:asciiTheme="majorHAnsi" w:hAnsiTheme="majorHAnsi" w:cstheme="majorHAnsi"/>
          <w:color w:val="000000"/>
          <w:sz w:val="24"/>
          <w:szCs w:val="24"/>
          <w:lang w:val="ro-MD" w:eastAsia="ro-RO"/>
        </w:rPr>
        <w:t>ociale</w:t>
      </w:r>
      <w:r w:rsidR="006E0E3D">
        <w:rPr>
          <w:rFonts w:asciiTheme="majorHAnsi" w:hAnsiTheme="majorHAnsi" w:cstheme="majorHAnsi"/>
          <w:color w:val="000000"/>
          <w:sz w:val="24"/>
          <w:szCs w:val="24"/>
          <w:lang w:val="ro-MD" w:eastAsia="ro-RO"/>
        </w:rPr>
        <w:t>,</w:t>
      </w:r>
      <w:r w:rsidR="00EC7FD8">
        <w:rPr>
          <w:rFonts w:asciiTheme="majorHAnsi" w:hAnsiTheme="majorHAnsi" w:cstheme="majorHAnsi"/>
          <w:color w:val="000000"/>
          <w:sz w:val="24"/>
          <w:szCs w:val="24"/>
          <w:lang w:val="ro-MD" w:eastAsia="ro-RO"/>
        </w:rPr>
        <w:t xml:space="preserve"> </w:t>
      </w:r>
      <w:r w:rsidR="00CB788A">
        <w:rPr>
          <w:rFonts w:asciiTheme="majorHAnsi" w:hAnsiTheme="majorHAnsi" w:cstheme="majorHAnsi"/>
          <w:color w:val="000000"/>
          <w:sz w:val="24"/>
          <w:szCs w:val="24"/>
          <w:lang w:val="ro-MD" w:eastAsia="ro-RO"/>
        </w:rPr>
        <w:t>d</w:t>
      </w:r>
      <w:r w:rsidR="00CB788A" w:rsidRPr="00CB788A">
        <w:rPr>
          <w:rFonts w:asciiTheme="majorHAnsi" w:hAnsiTheme="majorHAnsi" w:cstheme="majorHAnsi"/>
          <w:color w:val="000000"/>
          <w:sz w:val="24"/>
          <w:szCs w:val="24"/>
          <w:lang w:val="ro-MD" w:eastAsia="ro-RO"/>
        </w:rPr>
        <w:t>l Marcel Spatari</w:t>
      </w:r>
      <w:r w:rsidR="00C66412" w:rsidRPr="006E0E3D">
        <w:rPr>
          <w:rFonts w:asciiTheme="majorHAnsi" w:hAnsiTheme="majorHAnsi" w:cstheme="majorHAnsi"/>
          <w:color w:val="000000"/>
          <w:sz w:val="24"/>
          <w:szCs w:val="24"/>
          <w:lang w:val="ro-MD" w:eastAsia="ro-RO"/>
        </w:rPr>
        <w:t>;</w:t>
      </w:r>
      <w:r w:rsidRPr="006E0E3D">
        <w:rPr>
          <w:rFonts w:asciiTheme="majorHAnsi" w:hAnsiTheme="majorHAnsi" w:cstheme="majorHAnsi"/>
          <w:color w:val="000000"/>
          <w:sz w:val="24"/>
          <w:szCs w:val="24"/>
          <w:lang w:val="ro-MD" w:eastAsia="ro-RO"/>
        </w:rPr>
        <w:t xml:space="preserve"> </w:t>
      </w:r>
      <w:r w:rsidR="00EC7FD8">
        <w:rPr>
          <w:rFonts w:ascii="Calibri Light" w:hAnsi="Calibri Light" w:cs="Calibri Light"/>
          <w:color w:val="000000"/>
          <w:sz w:val="24"/>
          <w:szCs w:val="24"/>
          <w:lang w:val="ro-MD" w:eastAsia="ro-RO"/>
        </w:rPr>
        <w:t>directoarei</w:t>
      </w:r>
      <w:r w:rsidR="008C3AFC" w:rsidRPr="006E0E3D">
        <w:rPr>
          <w:rFonts w:ascii="Calibri Light" w:hAnsi="Calibri Light" w:cs="Calibri Light"/>
          <w:color w:val="000000"/>
          <w:sz w:val="24"/>
          <w:szCs w:val="24"/>
          <w:lang w:val="ro-MD" w:eastAsia="ro-RO"/>
        </w:rPr>
        <w:t xml:space="preserve"> general</w:t>
      </w:r>
      <w:r w:rsidR="00EC7FD8">
        <w:rPr>
          <w:rFonts w:ascii="Calibri Light" w:hAnsi="Calibri Light" w:cs="Calibri Light"/>
          <w:color w:val="000000"/>
          <w:sz w:val="24"/>
          <w:szCs w:val="24"/>
          <w:lang w:val="ro-MD" w:eastAsia="ro-RO"/>
        </w:rPr>
        <w:t>e a</w:t>
      </w:r>
      <w:r w:rsidR="008C3AFC" w:rsidRPr="006E0E3D">
        <w:rPr>
          <w:rFonts w:ascii="Calibri Light" w:hAnsi="Calibri Light" w:cs="Calibri Light"/>
          <w:color w:val="000000"/>
          <w:sz w:val="24"/>
          <w:szCs w:val="24"/>
          <w:lang w:val="ro-MD" w:eastAsia="ro-RO"/>
        </w:rPr>
        <w:t xml:space="preserve"> Casei Naționale de Asigurări </w:t>
      </w:r>
      <w:r w:rsidR="008C3AFC" w:rsidRPr="006E0E3D">
        <w:rPr>
          <w:rFonts w:asciiTheme="majorHAnsi" w:hAnsiTheme="majorHAnsi" w:cstheme="majorHAnsi"/>
          <w:noProof/>
          <w:color w:val="000000"/>
          <w:sz w:val="24"/>
          <w:szCs w:val="24"/>
          <w:lang w:val="ro-MD" w:eastAsia="ro-RO"/>
        </w:rPr>
        <w:t>Sociale, dna Elena Țîbîrnă</w:t>
      </w:r>
      <w:r w:rsidR="00EC7FD8">
        <w:rPr>
          <w:rFonts w:asciiTheme="majorHAnsi" w:hAnsiTheme="majorHAnsi" w:cstheme="majorHAnsi"/>
          <w:noProof/>
          <w:color w:val="000000"/>
          <w:sz w:val="24"/>
          <w:szCs w:val="24"/>
          <w:lang w:val="ro-MD" w:eastAsia="ro-RO"/>
        </w:rPr>
        <w:t xml:space="preserve">; </w:t>
      </w:r>
      <w:r w:rsidR="0030128E">
        <w:rPr>
          <w:rFonts w:asciiTheme="majorHAnsi" w:hAnsiTheme="majorHAnsi" w:cstheme="majorHAnsi"/>
          <w:noProof/>
          <w:color w:val="000000"/>
          <w:sz w:val="24"/>
          <w:szCs w:val="24"/>
          <w:lang w:val="ro-MD" w:eastAsia="ro-RO"/>
        </w:rPr>
        <w:t>șef</w:t>
      </w:r>
      <w:r w:rsidR="00A403B5">
        <w:rPr>
          <w:rFonts w:asciiTheme="majorHAnsi" w:hAnsiTheme="majorHAnsi" w:cstheme="majorHAnsi"/>
          <w:noProof/>
          <w:color w:val="000000"/>
          <w:sz w:val="24"/>
          <w:szCs w:val="24"/>
          <w:lang w:val="ro-MD" w:eastAsia="ro-RO"/>
        </w:rPr>
        <w:t>ei</w:t>
      </w:r>
      <w:r w:rsidR="0030128E">
        <w:rPr>
          <w:rFonts w:asciiTheme="majorHAnsi" w:hAnsiTheme="majorHAnsi" w:cstheme="majorHAnsi"/>
          <w:noProof/>
          <w:color w:val="000000"/>
          <w:sz w:val="24"/>
          <w:szCs w:val="24"/>
          <w:lang w:val="ro-MD" w:eastAsia="ro-RO"/>
        </w:rPr>
        <w:t xml:space="preserve"> S</w:t>
      </w:r>
      <w:r w:rsidR="0030128E" w:rsidRPr="0030128E">
        <w:rPr>
          <w:rFonts w:asciiTheme="majorHAnsi" w:hAnsiTheme="majorHAnsi" w:cstheme="majorHAnsi"/>
          <w:noProof/>
          <w:color w:val="000000"/>
          <w:sz w:val="24"/>
          <w:szCs w:val="24"/>
          <w:lang w:val="ro-MD" w:eastAsia="ro-RO"/>
        </w:rPr>
        <w:t>ecției politici în domeniul asistenței</w:t>
      </w:r>
      <w:r w:rsidR="0030128E">
        <w:rPr>
          <w:rFonts w:asciiTheme="majorHAnsi" w:hAnsiTheme="majorHAnsi" w:cstheme="majorHAnsi"/>
          <w:noProof/>
          <w:color w:val="000000"/>
          <w:sz w:val="24"/>
          <w:szCs w:val="24"/>
          <w:lang w:val="ro-MD" w:eastAsia="ro-RO"/>
        </w:rPr>
        <w:t xml:space="preserve"> medicale primare și comunitare din cadrul </w:t>
      </w:r>
      <w:r w:rsidR="0030128E" w:rsidRPr="0030128E">
        <w:rPr>
          <w:rFonts w:asciiTheme="majorHAnsi" w:hAnsiTheme="majorHAnsi" w:cstheme="majorHAnsi"/>
          <w:noProof/>
          <w:color w:val="000000"/>
          <w:sz w:val="24"/>
          <w:szCs w:val="24"/>
          <w:lang w:val="ro-MD" w:eastAsia="ro-RO"/>
        </w:rPr>
        <w:t xml:space="preserve"> Ministerul</w:t>
      </w:r>
      <w:r w:rsidR="0030128E">
        <w:rPr>
          <w:rFonts w:asciiTheme="majorHAnsi" w:hAnsiTheme="majorHAnsi" w:cstheme="majorHAnsi"/>
          <w:noProof/>
          <w:color w:val="000000"/>
          <w:sz w:val="24"/>
          <w:szCs w:val="24"/>
          <w:lang w:val="ro-MD" w:eastAsia="ro-RO"/>
        </w:rPr>
        <w:t>ui</w:t>
      </w:r>
      <w:r w:rsidR="0030128E" w:rsidRPr="0030128E">
        <w:rPr>
          <w:rFonts w:asciiTheme="majorHAnsi" w:hAnsiTheme="majorHAnsi" w:cstheme="majorHAnsi"/>
          <w:noProof/>
          <w:color w:val="000000"/>
          <w:sz w:val="24"/>
          <w:szCs w:val="24"/>
          <w:lang w:val="ro-MD" w:eastAsia="ro-RO"/>
        </w:rPr>
        <w:t xml:space="preserve"> Sănătății</w:t>
      </w:r>
      <w:r w:rsidR="0030128E">
        <w:rPr>
          <w:rFonts w:asciiTheme="majorHAnsi" w:hAnsiTheme="majorHAnsi" w:cstheme="majorHAnsi"/>
          <w:noProof/>
          <w:color w:val="000000"/>
          <w:sz w:val="24"/>
          <w:szCs w:val="24"/>
          <w:lang w:val="ro-MD" w:eastAsia="ro-RO"/>
        </w:rPr>
        <w:t>, dna Tatiana Zatîc; șef</w:t>
      </w:r>
      <w:r w:rsidR="00A403B5">
        <w:rPr>
          <w:rFonts w:asciiTheme="majorHAnsi" w:hAnsiTheme="majorHAnsi" w:cstheme="majorHAnsi"/>
          <w:noProof/>
          <w:color w:val="000000"/>
          <w:sz w:val="24"/>
          <w:szCs w:val="24"/>
          <w:lang w:val="ro-MD" w:eastAsia="ro-RO"/>
        </w:rPr>
        <w:t>ei</w:t>
      </w:r>
      <w:r w:rsidR="0030128E">
        <w:rPr>
          <w:rFonts w:asciiTheme="majorHAnsi" w:hAnsiTheme="majorHAnsi" w:cstheme="majorHAnsi"/>
          <w:noProof/>
          <w:color w:val="000000"/>
          <w:sz w:val="24"/>
          <w:szCs w:val="24"/>
          <w:lang w:val="ro-MD" w:eastAsia="ro-RO"/>
        </w:rPr>
        <w:t xml:space="preserve"> S</w:t>
      </w:r>
      <w:r w:rsidR="0030128E" w:rsidRPr="0030128E">
        <w:rPr>
          <w:rFonts w:asciiTheme="majorHAnsi" w:hAnsiTheme="majorHAnsi" w:cstheme="majorHAnsi"/>
          <w:noProof/>
          <w:color w:val="000000"/>
          <w:sz w:val="24"/>
          <w:szCs w:val="24"/>
          <w:lang w:val="ro-MD" w:eastAsia="ro-RO"/>
        </w:rPr>
        <w:t>ecției finanțele î</w:t>
      </w:r>
      <w:r w:rsidR="0030128E">
        <w:rPr>
          <w:rFonts w:asciiTheme="majorHAnsi" w:hAnsiTheme="majorHAnsi" w:cstheme="majorHAnsi"/>
          <w:noProof/>
          <w:color w:val="000000"/>
          <w:sz w:val="24"/>
          <w:szCs w:val="24"/>
          <w:lang w:val="ro-MD" w:eastAsia="ro-RO"/>
        </w:rPr>
        <w:t>n sănătate și protecție socială din cadrul</w:t>
      </w:r>
      <w:r w:rsidR="0030128E" w:rsidRPr="0030128E">
        <w:rPr>
          <w:rFonts w:asciiTheme="majorHAnsi" w:hAnsiTheme="majorHAnsi" w:cstheme="majorHAnsi"/>
          <w:noProof/>
          <w:color w:val="000000"/>
          <w:sz w:val="24"/>
          <w:szCs w:val="24"/>
          <w:lang w:val="ro-MD" w:eastAsia="ro-RO"/>
        </w:rPr>
        <w:t xml:space="preserve"> Ministerul</w:t>
      </w:r>
      <w:r w:rsidR="0030128E">
        <w:rPr>
          <w:rFonts w:asciiTheme="majorHAnsi" w:hAnsiTheme="majorHAnsi" w:cstheme="majorHAnsi"/>
          <w:noProof/>
          <w:color w:val="000000"/>
          <w:sz w:val="24"/>
          <w:szCs w:val="24"/>
          <w:lang w:val="ro-MD" w:eastAsia="ro-RO"/>
        </w:rPr>
        <w:t>ui</w:t>
      </w:r>
      <w:r w:rsidR="0030128E" w:rsidRPr="0030128E">
        <w:rPr>
          <w:rFonts w:asciiTheme="majorHAnsi" w:hAnsiTheme="majorHAnsi" w:cstheme="majorHAnsi"/>
          <w:noProof/>
          <w:color w:val="000000"/>
          <w:sz w:val="24"/>
          <w:szCs w:val="24"/>
          <w:lang w:val="ro-MD" w:eastAsia="ro-RO"/>
        </w:rPr>
        <w:t xml:space="preserve"> Finanțelor</w:t>
      </w:r>
      <w:r w:rsidR="0030128E">
        <w:rPr>
          <w:rFonts w:asciiTheme="majorHAnsi" w:hAnsiTheme="majorHAnsi" w:cstheme="majorHAnsi"/>
          <w:noProof/>
          <w:color w:val="000000"/>
          <w:sz w:val="24"/>
          <w:szCs w:val="24"/>
          <w:lang w:val="ro-MD" w:eastAsia="ro-RO"/>
        </w:rPr>
        <w:t>, dna Tatiana Bucearschi; șef</w:t>
      </w:r>
      <w:r w:rsidR="00A403B5">
        <w:rPr>
          <w:rFonts w:asciiTheme="majorHAnsi" w:hAnsiTheme="majorHAnsi" w:cstheme="majorHAnsi"/>
          <w:noProof/>
          <w:color w:val="000000"/>
          <w:sz w:val="24"/>
          <w:szCs w:val="24"/>
          <w:lang w:val="ro-MD" w:eastAsia="ro-RO"/>
        </w:rPr>
        <w:t>ei</w:t>
      </w:r>
      <w:r w:rsidR="0030128E">
        <w:rPr>
          <w:rFonts w:asciiTheme="majorHAnsi" w:hAnsiTheme="majorHAnsi" w:cstheme="majorHAnsi"/>
          <w:noProof/>
          <w:color w:val="000000"/>
          <w:sz w:val="24"/>
          <w:szCs w:val="24"/>
          <w:lang w:val="ro-MD" w:eastAsia="ro-RO"/>
        </w:rPr>
        <w:t xml:space="preserve"> S</w:t>
      </w:r>
      <w:r w:rsidR="0030128E" w:rsidRPr="0030128E">
        <w:rPr>
          <w:rFonts w:asciiTheme="majorHAnsi" w:hAnsiTheme="majorHAnsi" w:cstheme="majorHAnsi"/>
          <w:noProof/>
          <w:color w:val="000000"/>
          <w:sz w:val="24"/>
          <w:szCs w:val="24"/>
          <w:lang w:val="ro-MD" w:eastAsia="ro-RO"/>
        </w:rPr>
        <w:t>ecției bugetul de stat și bugetul pub</w:t>
      </w:r>
      <w:r w:rsidR="0030128E">
        <w:rPr>
          <w:rFonts w:asciiTheme="majorHAnsi" w:hAnsiTheme="majorHAnsi" w:cstheme="majorHAnsi"/>
          <w:noProof/>
          <w:color w:val="000000"/>
          <w:sz w:val="24"/>
          <w:szCs w:val="24"/>
          <w:lang w:val="ro-MD" w:eastAsia="ro-RO"/>
        </w:rPr>
        <w:t xml:space="preserve">lic național din cadrul </w:t>
      </w:r>
      <w:r w:rsidR="0030128E" w:rsidRPr="0030128E">
        <w:rPr>
          <w:rFonts w:asciiTheme="majorHAnsi" w:hAnsiTheme="majorHAnsi" w:cstheme="majorHAnsi"/>
          <w:noProof/>
          <w:color w:val="000000"/>
          <w:sz w:val="24"/>
          <w:szCs w:val="24"/>
          <w:lang w:val="ro-MD" w:eastAsia="ro-RO"/>
        </w:rPr>
        <w:t>M</w:t>
      </w:r>
      <w:r w:rsidR="0030128E">
        <w:rPr>
          <w:rFonts w:asciiTheme="majorHAnsi" w:hAnsiTheme="majorHAnsi" w:cstheme="majorHAnsi"/>
          <w:noProof/>
          <w:color w:val="000000"/>
          <w:sz w:val="24"/>
          <w:szCs w:val="24"/>
          <w:lang w:val="ro-MD" w:eastAsia="ro-RO"/>
        </w:rPr>
        <w:t xml:space="preserve">inisterului </w:t>
      </w:r>
      <w:r w:rsidR="0030128E" w:rsidRPr="0030128E">
        <w:rPr>
          <w:rFonts w:asciiTheme="majorHAnsi" w:hAnsiTheme="majorHAnsi" w:cstheme="majorHAnsi"/>
          <w:noProof/>
          <w:color w:val="000000"/>
          <w:sz w:val="24"/>
          <w:szCs w:val="24"/>
          <w:lang w:val="ro-MD" w:eastAsia="ro-RO"/>
        </w:rPr>
        <w:t>F</w:t>
      </w:r>
      <w:r w:rsidR="0030128E">
        <w:rPr>
          <w:rFonts w:asciiTheme="majorHAnsi" w:hAnsiTheme="majorHAnsi" w:cstheme="majorHAnsi"/>
          <w:noProof/>
          <w:color w:val="000000"/>
          <w:sz w:val="24"/>
          <w:szCs w:val="24"/>
          <w:lang w:val="ro-MD" w:eastAsia="ro-RO"/>
        </w:rPr>
        <w:t>inanțelor, dna Valentina Basoc</w:t>
      </w:r>
      <w:r w:rsidR="00A403B5">
        <w:rPr>
          <w:rFonts w:asciiTheme="majorHAnsi" w:hAnsiTheme="majorHAnsi" w:cstheme="majorHAnsi"/>
          <w:noProof/>
          <w:color w:val="000000"/>
          <w:sz w:val="24"/>
          <w:szCs w:val="24"/>
          <w:lang w:val="ro-MD" w:eastAsia="ro-RO"/>
        </w:rPr>
        <w:t>;</w:t>
      </w:r>
      <w:r w:rsidR="0030128E">
        <w:rPr>
          <w:rFonts w:asciiTheme="majorHAnsi" w:hAnsiTheme="majorHAnsi" w:cstheme="majorHAnsi"/>
          <w:noProof/>
          <w:color w:val="000000"/>
          <w:sz w:val="24"/>
          <w:szCs w:val="24"/>
          <w:lang w:val="ro-MD" w:eastAsia="ro-RO"/>
        </w:rPr>
        <w:t xml:space="preserve"> șef</w:t>
      </w:r>
      <w:r w:rsidR="00A403B5">
        <w:rPr>
          <w:rFonts w:asciiTheme="majorHAnsi" w:hAnsiTheme="majorHAnsi" w:cstheme="majorHAnsi"/>
          <w:noProof/>
          <w:color w:val="000000"/>
          <w:sz w:val="24"/>
          <w:szCs w:val="24"/>
          <w:lang w:val="ro-MD" w:eastAsia="ro-RO"/>
        </w:rPr>
        <w:t>ei</w:t>
      </w:r>
      <w:r w:rsidR="0030128E">
        <w:rPr>
          <w:rFonts w:asciiTheme="majorHAnsi" w:hAnsiTheme="majorHAnsi" w:cstheme="majorHAnsi"/>
          <w:noProof/>
          <w:color w:val="000000"/>
          <w:sz w:val="24"/>
          <w:szCs w:val="24"/>
          <w:lang w:val="ro-MD" w:eastAsia="ro-RO"/>
        </w:rPr>
        <w:t xml:space="preserve"> Secției raportare a Ministerului Finanțelor, dna Nadejda Slova; ș</w:t>
      </w:r>
      <w:r w:rsidR="0030128E" w:rsidRPr="0030128E">
        <w:rPr>
          <w:rFonts w:asciiTheme="majorHAnsi" w:hAnsiTheme="majorHAnsi" w:cstheme="majorHAnsi"/>
          <w:noProof/>
          <w:color w:val="000000"/>
          <w:sz w:val="24"/>
          <w:szCs w:val="24"/>
          <w:lang w:val="ro-MD" w:eastAsia="ro-RO"/>
        </w:rPr>
        <w:t>ef</w:t>
      </w:r>
      <w:r w:rsidR="00A403B5">
        <w:rPr>
          <w:rFonts w:asciiTheme="majorHAnsi" w:hAnsiTheme="majorHAnsi" w:cstheme="majorHAnsi"/>
          <w:noProof/>
          <w:color w:val="000000"/>
          <w:sz w:val="24"/>
          <w:szCs w:val="24"/>
          <w:lang w:val="ro-MD" w:eastAsia="ro-RO"/>
        </w:rPr>
        <w:t>ei</w:t>
      </w:r>
      <w:r w:rsidR="0030128E" w:rsidRPr="0030128E">
        <w:rPr>
          <w:rFonts w:asciiTheme="majorHAnsi" w:hAnsiTheme="majorHAnsi" w:cstheme="majorHAnsi"/>
          <w:noProof/>
          <w:color w:val="000000"/>
          <w:sz w:val="24"/>
          <w:szCs w:val="24"/>
          <w:lang w:val="ro-MD" w:eastAsia="ro-RO"/>
        </w:rPr>
        <w:t xml:space="preserve"> Direcției </w:t>
      </w:r>
      <w:r w:rsidR="0030128E">
        <w:rPr>
          <w:rFonts w:asciiTheme="majorHAnsi" w:hAnsiTheme="majorHAnsi" w:cstheme="majorHAnsi"/>
          <w:noProof/>
          <w:color w:val="000000"/>
          <w:sz w:val="24"/>
          <w:szCs w:val="24"/>
          <w:lang w:val="ro-MD" w:eastAsia="ro-RO"/>
        </w:rPr>
        <w:t xml:space="preserve">inspecția prestațiilor sociale din cadrul Inspecției Sociale, dna Alina Dașcov; </w:t>
      </w:r>
      <w:r w:rsidR="0030128E">
        <w:rPr>
          <w:rFonts w:ascii="Calibri Light" w:hAnsi="Calibri Light" w:cs="Calibri Light"/>
          <w:sz w:val="24"/>
          <w:szCs w:val="24"/>
          <w:lang w:val="ro-MD"/>
        </w:rPr>
        <w:t>ș</w:t>
      </w:r>
      <w:r w:rsidR="0030128E" w:rsidRPr="0030128E">
        <w:rPr>
          <w:rFonts w:ascii="Calibri Light" w:hAnsi="Calibri Light" w:cs="Calibri Light"/>
          <w:sz w:val="24"/>
          <w:szCs w:val="24"/>
          <w:lang w:val="ro-MD"/>
        </w:rPr>
        <w:t>ef</w:t>
      </w:r>
      <w:r w:rsidR="00A403B5">
        <w:rPr>
          <w:rFonts w:ascii="Calibri Light" w:hAnsi="Calibri Light" w:cs="Calibri Light"/>
          <w:sz w:val="24"/>
          <w:szCs w:val="24"/>
          <w:lang w:val="ro-MD"/>
        </w:rPr>
        <w:t>ei</w:t>
      </w:r>
      <w:r w:rsidR="0030128E" w:rsidRPr="0030128E">
        <w:rPr>
          <w:rFonts w:ascii="Calibri Light" w:hAnsi="Calibri Light" w:cs="Calibri Light"/>
          <w:sz w:val="24"/>
          <w:szCs w:val="24"/>
          <w:lang w:val="ro-MD"/>
        </w:rPr>
        <w:t xml:space="preserve"> adjunct</w:t>
      </w:r>
      <w:r w:rsidR="00A403B5">
        <w:rPr>
          <w:rFonts w:ascii="Calibri Light" w:hAnsi="Calibri Light" w:cs="Calibri Light"/>
          <w:sz w:val="24"/>
          <w:szCs w:val="24"/>
          <w:lang w:val="ro-MD"/>
        </w:rPr>
        <w:t>e</w:t>
      </w:r>
      <w:r w:rsidR="0030128E" w:rsidRPr="0030128E">
        <w:rPr>
          <w:rFonts w:ascii="Calibri Light" w:hAnsi="Calibri Light" w:cs="Calibri Light"/>
          <w:sz w:val="24"/>
          <w:szCs w:val="24"/>
          <w:lang w:val="ro-MD"/>
        </w:rPr>
        <w:t xml:space="preserve"> a Departamentului stare ci</w:t>
      </w:r>
      <w:r w:rsidR="0030128E">
        <w:rPr>
          <w:rFonts w:ascii="Calibri Light" w:hAnsi="Calibri Light" w:cs="Calibri Light"/>
          <w:sz w:val="24"/>
          <w:szCs w:val="24"/>
          <w:lang w:val="ro-MD"/>
        </w:rPr>
        <w:t>vilă din cadrul Agenției</w:t>
      </w:r>
      <w:r w:rsidR="0030128E" w:rsidRPr="0030128E">
        <w:rPr>
          <w:rFonts w:ascii="Calibri Light" w:hAnsi="Calibri Light" w:cs="Calibri Light"/>
          <w:sz w:val="24"/>
          <w:szCs w:val="24"/>
          <w:lang w:val="ro-MD"/>
        </w:rPr>
        <w:t xml:space="preserve"> Servicii Publice</w:t>
      </w:r>
      <w:r w:rsidR="0030128E">
        <w:rPr>
          <w:rFonts w:ascii="Calibri Light" w:hAnsi="Calibri Light" w:cs="Calibri Light"/>
          <w:sz w:val="24"/>
          <w:szCs w:val="24"/>
          <w:lang w:val="ro-MD"/>
        </w:rPr>
        <w:t>, dna Veronica Busuioc-Volosatîi;</w:t>
      </w:r>
      <w:r w:rsidR="0030128E" w:rsidRPr="00043E75">
        <w:rPr>
          <w:lang w:val="ro-MD"/>
        </w:rPr>
        <w:t xml:space="preserve"> </w:t>
      </w:r>
      <w:r w:rsidR="0030128E" w:rsidRPr="00043E75">
        <w:rPr>
          <w:rFonts w:ascii="Calibri Light" w:hAnsi="Calibri Light" w:cs="Calibri Light"/>
          <w:sz w:val="24"/>
          <w:szCs w:val="24"/>
          <w:lang w:val="ro-MD"/>
        </w:rPr>
        <w:t>ș</w:t>
      </w:r>
      <w:r w:rsidR="0030128E" w:rsidRPr="0030128E">
        <w:rPr>
          <w:rFonts w:ascii="Calibri Light" w:hAnsi="Calibri Light" w:cs="Calibri Light"/>
          <w:sz w:val="24"/>
          <w:szCs w:val="24"/>
          <w:lang w:val="ro-MD"/>
        </w:rPr>
        <w:t>ef</w:t>
      </w:r>
      <w:r w:rsidR="00A403B5">
        <w:rPr>
          <w:rFonts w:ascii="Calibri Light" w:hAnsi="Calibri Light" w:cs="Calibri Light"/>
          <w:sz w:val="24"/>
          <w:szCs w:val="24"/>
          <w:lang w:val="ro-MD"/>
        </w:rPr>
        <w:t>ei</w:t>
      </w:r>
      <w:r w:rsidR="0030128E" w:rsidRPr="0030128E">
        <w:rPr>
          <w:rFonts w:ascii="Calibri Light" w:hAnsi="Calibri Light" w:cs="Calibri Light"/>
          <w:sz w:val="24"/>
          <w:szCs w:val="24"/>
          <w:lang w:val="ro-MD"/>
        </w:rPr>
        <w:t xml:space="preserve"> Direcției</w:t>
      </w:r>
      <w:r w:rsidR="0030128E">
        <w:rPr>
          <w:rFonts w:ascii="Calibri Light" w:hAnsi="Calibri Light" w:cs="Calibri Light"/>
          <w:sz w:val="24"/>
          <w:szCs w:val="24"/>
          <w:lang w:val="ro-MD"/>
        </w:rPr>
        <w:t xml:space="preserve"> generale economico-financiar</w:t>
      </w:r>
      <w:r w:rsidR="00A403B5">
        <w:rPr>
          <w:rFonts w:ascii="Calibri Light" w:hAnsi="Calibri Light" w:cs="Calibri Light"/>
          <w:sz w:val="24"/>
          <w:szCs w:val="24"/>
          <w:lang w:val="ro-MD"/>
        </w:rPr>
        <w:t>e</w:t>
      </w:r>
      <w:r w:rsidR="0030128E">
        <w:rPr>
          <w:rFonts w:ascii="Calibri Light" w:hAnsi="Calibri Light" w:cs="Calibri Light"/>
          <w:sz w:val="24"/>
          <w:szCs w:val="24"/>
          <w:lang w:val="ro-MD"/>
        </w:rPr>
        <w:t xml:space="preserve"> a </w:t>
      </w:r>
      <w:r w:rsidR="0030128E" w:rsidRPr="0030128E">
        <w:rPr>
          <w:rFonts w:ascii="Calibri Light" w:hAnsi="Calibri Light" w:cs="Calibri Light"/>
          <w:sz w:val="24"/>
          <w:szCs w:val="24"/>
          <w:lang w:val="ro-MD"/>
        </w:rPr>
        <w:t>Agenției Servicii Publice</w:t>
      </w:r>
      <w:r w:rsidR="0030128E">
        <w:rPr>
          <w:rFonts w:ascii="Calibri Light" w:hAnsi="Calibri Light" w:cs="Calibri Light"/>
          <w:sz w:val="24"/>
          <w:szCs w:val="24"/>
          <w:lang w:val="ro-MD"/>
        </w:rPr>
        <w:t>,</w:t>
      </w:r>
      <w:r w:rsidR="00043E75">
        <w:rPr>
          <w:rFonts w:ascii="Calibri Light" w:hAnsi="Calibri Light" w:cs="Calibri Light"/>
          <w:sz w:val="24"/>
          <w:szCs w:val="24"/>
          <w:lang w:val="ro-MD"/>
        </w:rPr>
        <w:t xml:space="preserve"> dna Ludmila Niță</w:t>
      </w:r>
      <w:r w:rsidR="00CB1896">
        <w:rPr>
          <w:rFonts w:ascii="Calibri Light" w:hAnsi="Calibri Light" w:cs="Calibri Light"/>
          <w:sz w:val="24"/>
          <w:szCs w:val="24"/>
          <w:lang w:val="ro-MD"/>
        </w:rPr>
        <w:t xml:space="preserve">, </w:t>
      </w:r>
      <w:r w:rsidRPr="00C30C89">
        <w:rPr>
          <w:rFonts w:asciiTheme="majorHAnsi" w:hAnsiTheme="majorHAnsi" w:cstheme="majorHAnsi"/>
          <w:color w:val="000000"/>
          <w:sz w:val="24"/>
          <w:szCs w:val="24"/>
          <w:lang w:val="ro-MD"/>
        </w:rPr>
        <w:t>precum și a altor persoane cu funcții de răspundere,</w:t>
      </w:r>
      <w:r w:rsidR="003B51B3">
        <w:rPr>
          <w:rFonts w:asciiTheme="majorHAnsi" w:eastAsia="Times New Roman" w:hAnsiTheme="majorHAnsi" w:cstheme="majorHAnsi"/>
          <w:color w:val="000000"/>
          <w:sz w:val="24"/>
          <w:szCs w:val="24"/>
          <w:lang w:val="ro-MD"/>
        </w:rPr>
        <w:t xml:space="preserve"> în cadrul ședinței video</w:t>
      </w:r>
      <w:r w:rsidR="00E24A25" w:rsidRPr="00C30C89">
        <w:rPr>
          <w:rFonts w:asciiTheme="majorHAnsi" w:eastAsia="Times New Roman" w:hAnsiTheme="majorHAnsi" w:cstheme="majorHAnsi"/>
          <w:color w:val="000000"/>
          <w:sz w:val="24"/>
          <w:szCs w:val="24"/>
          <w:lang w:val="ro-MD"/>
        </w:rPr>
        <w:t>,</w:t>
      </w:r>
      <w:r w:rsidRPr="00C30C89">
        <w:rPr>
          <w:rFonts w:asciiTheme="majorHAnsi" w:eastAsia="Times New Roman" w:hAnsiTheme="majorHAnsi" w:cstheme="majorHAnsi"/>
          <w:color w:val="000000"/>
          <w:sz w:val="24"/>
          <w:szCs w:val="24"/>
          <w:lang w:val="ro-MD"/>
        </w:rPr>
        <w:t xml:space="preserve"> călăuzindu-se de prevederile art.3 alin.(1), art.5 alin.(1) lit.a) și </w:t>
      </w:r>
      <w:r w:rsidRPr="00C30C89">
        <w:rPr>
          <w:rFonts w:asciiTheme="majorHAnsi" w:hAnsiTheme="majorHAnsi" w:cstheme="majorHAnsi"/>
          <w:sz w:val="24"/>
          <w:szCs w:val="24"/>
          <w:lang w:val="ro-MD"/>
        </w:rPr>
        <w:t>art.3</w:t>
      </w:r>
      <w:r w:rsidR="00A76AA8">
        <w:rPr>
          <w:rFonts w:asciiTheme="majorHAnsi" w:hAnsiTheme="majorHAnsi" w:cstheme="majorHAnsi"/>
          <w:sz w:val="24"/>
          <w:szCs w:val="24"/>
          <w:lang w:val="ro-MD"/>
        </w:rPr>
        <w:t>2</w:t>
      </w:r>
      <w:r w:rsidRPr="00C30C89">
        <w:rPr>
          <w:rFonts w:asciiTheme="majorHAnsi" w:hAnsiTheme="majorHAnsi" w:cstheme="majorHAnsi"/>
          <w:sz w:val="24"/>
          <w:szCs w:val="24"/>
          <w:lang w:val="ro-MD"/>
        </w:rPr>
        <w:t xml:space="preserve"> alin.(</w:t>
      </w:r>
      <w:r w:rsidR="00A76AA8">
        <w:rPr>
          <w:rFonts w:asciiTheme="majorHAnsi" w:hAnsiTheme="majorHAnsi" w:cstheme="majorHAnsi"/>
          <w:sz w:val="24"/>
          <w:szCs w:val="24"/>
          <w:lang w:val="ro-MD"/>
        </w:rPr>
        <w:t>3) lit.b</w:t>
      </w:r>
      <w:r w:rsidRPr="00C30C89">
        <w:rPr>
          <w:rFonts w:asciiTheme="majorHAnsi" w:hAnsiTheme="majorHAnsi" w:cstheme="majorHAnsi"/>
          <w:sz w:val="24"/>
          <w:szCs w:val="24"/>
          <w:lang w:val="ro-MD"/>
        </w:rPr>
        <w:t>)</w:t>
      </w:r>
      <w:r w:rsidRPr="00C30C89">
        <w:rPr>
          <w:rFonts w:asciiTheme="majorHAnsi" w:eastAsia="Times New Roman" w:hAnsiTheme="majorHAnsi" w:cstheme="majorHAnsi"/>
          <w:color w:val="000000"/>
          <w:sz w:val="24"/>
          <w:szCs w:val="24"/>
          <w:lang w:val="ro-MD"/>
        </w:rPr>
        <w:t xml:space="preserve"> din Legea privind organizarea și funcționarea Curții de Conturi a Republicii Moldova</w:t>
      </w:r>
      <w:r w:rsidRPr="00C30C89">
        <w:rPr>
          <w:rStyle w:val="a7"/>
          <w:rFonts w:asciiTheme="majorHAnsi" w:eastAsia="Times New Roman" w:hAnsiTheme="majorHAnsi" w:cstheme="majorHAnsi"/>
          <w:color w:val="000000"/>
          <w:sz w:val="24"/>
          <w:szCs w:val="24"/>
          <w:lang w:val="ro-MD"/>
        </w:rPr>
        <w:footnoteReference w:id="1"/>
      </w:r>
      <w:r w:rsidRPr="00C30C89">
        <w:rPr>
          <w:rFonts w:asciiTheme="majorHAnsi" w:eastAsia="Times New Roman" w:hAnsiTheme="majorHAnsi" w:cstheme="majorHAnsi"/>
          <w:color w:val="000000"/>
          <w:sz w:val="24"/>
          <w:szCs w:val="24"/>
          <w:lang w:val="ro-MD"/>
        </w:rPr>
        <w:t xml:space="preserve">, a examinat Raportul auditului financiar al Raportului Guvernului privind executarea bugetului asigurărilor </w:t>
      </w:r>
      <w:r w:rsidR="006E0E3D">
        <w:rPr>
          <w:rFonts w:asciiTheme="majorHAnsi" w:eastAsia="Times New Roman" w:hAnsiTheme="majorHAnsi" w:cstheme="majorHAnsi"/>
          <w:color w:val="000000"/>
          <w:sz w:val="24"/>
          <w:szCs w:val="24"/>
          <w:lang w:val="ro-MD"/>
        </w:rPr>
        <w:t>sociale de stat în anul 2021</w:t>
      </w:r>
      <w:r w:rsidR="00641E13" w:rsidRPr="00C30C89">
        <w:rPr>
          <w:rFonts w:asciiTheme="majorHAnsi" w:eastAsia="Times New Roman" w:hAnsiTheme="majorHAnsi" w:cstheme="majorHAnsi"/>
          <w:color w:val="000000"/>
          <w:sz w:val="24"/>
          <w:szCs w:val="24"/>
          <w:lang w:val="ro-MD"/>
        </w:rPr>
        <w:t>.</w:t>
      </w:r>
    </w:p>
    <w:p w14:paraId="7799B1B3" w14:textId="77777777" w:rsidR="00E97F9C" w:rsidRPr="00585C40" w:rsidRDefault="00E97F9C" w:rsidP="00C30C89">
      <w:pPr>
        <w:ind w:firstLine="720"/>
        <w:rPr>
          <w:rFonts w:asciiTheme="majorHAnsi" w:hAnsiTheme="majorHAnsi" w:cstheme="majorHAnsi"/>
          <w:sz w:val="24"/>
          <w:szCs w:val="24"/>
          <w:lang w:val="ro-MD"/>
        </w:rPr>
      </w:pPr>
      <w:r w:rsidRPr="00C30C89">
        <w:rPr>
          <w:rFonts w:asciiTheme="majorHAnsi" w:eastAsia="Times New Roman" w:hAnsiTheme="majorHAnsi" w:cstheme="majorHAnsi"/>
          <w:sz w:val="24"/>
          <w:szCs w:val="24"/>
          <w:lang w:val="ro-MD" w:eastAsia="ro-MD"/>
        </w:rPr>
        <w:t>Misiune</w:t>
      </w:r>
      <w:r w:rsidRPr="00585C40">
        <w:rPr>
          <w:rFonts w:asciiTheme="majorHAnsi" w:eastAsia="Times New Roman" w:hAnsiTheme="majorHAnsi" w:cstheme="majorHAnsi"/>
          <w:sz w:val="24"/>
          <w:szCs w:val="24"/>
          <w:lang w:val="ro-MD" w:eastAsia="ro-MD"/>
        </w:rPr>
        <w:t xml:space="preserve">a de audit public extern a fost realizată conform </w:t>
      </w:r>
      <w:r w:rsidRPr="00585C40">
        <w:rPr>
          <w:rFonts w:asciiTheme="majorHAnsi" w:hAnsiTheme="majorHAnsi" w:cstheme="majorHAnsi"/>
          <w:sz w:val="24"/>
          <w:szCs w:val="24"/>
          <w:lang w:val="ro-MD"/>
        </w:rPr>
        <w:t>Programelor activității de audit ale Curții de Conturi pe anii 20</w:t>
      </w:r>
      <w:r w:rsidR="005F376E" w:rsidRPr="00585C40">
        <w:rPr>
          <w:rFonts w:asciiTheme="majorHAnsi" w:hAnsiTheme="majorHAnsi" w:cstheme="majorHAnsi"/>
          <w:sz w:val="24"/>
          <w:szCs w:val="24"/>
          <w:lang w:val="ro-MD"/>
        </w:rPr>
        <w:t>2</w:t>
      </w:r>
      <w:r w:rsidR="006E0E3D">
        <w:rPr>
          <w:rFonts w:asciiTheme="majorHAnsi" w:hAnsiTheme="majorHAnsi" w:cstheme="majorHAnsi"/>
          <w:sz w:val="24"/>
          <w:szCs w:val="24"/>
          <w:lang w:val="ro-MD"/>
        </w:rPr>
        <w:t>1</w:t>
      </w:r>
      <w:r w:rsidRPr="00585C40">
        <w:rPr>
          <w:rFonts w:asciiTheme="majorHAnsi" w:hAnsiTheme="majorHAnsi" w:cstheme="majorHAnsi"/>
          <w:sz w:val="24"/>
          <w:szCs w:val="24"/>
          <w:lang w:val="ro-MD"/>
        </w:rPr>
        <w:t xml:space="preserve"> și, respectiv, 20</w:t>
      </w:r>
      <w:r w:rsidR="006E0E3D">
        <w:rPr>
          <w:rFonts w:asciiTheme="majorHAnsi" w:hAnsiTheme="majorHAnsi" w:cstheme="majorHAnsi"/>
          <w:sz w:val="24"/>
          <w:szCs w:val="24"/>
          <w:lang w:val="ro-MD"/>
        </w:rPr>
        <w:t>22</w:t>
      </w:r>
      <w:r w:rsidR="00C35B0C" w:rsidRPr="00585C40">
        <w:rPr>
          <w:rStyle w:val="a7"/>
          <w:rFonts w:asciiTheme="majorHAnsi" w:hAnsiTheme="majorHAnsi" w:cstheme="majorHAnsi"/>
          <w:sz w:val="24"/>
          <w:szCs w:val="24"/>
          <w:lang w:val="ro-MD"/>
        </w:rPr>
        <w:footnoteReference w:id="2"/>
      </w:r>
      <w:r w:rsidRPr="00585C40">
        <w:rPr>
          <w:rFonts w:asciiTheme="majorHAnsi" w:hAnsiTheme="majorHAnsi" w:cstheme="majorHAnsi"/>
          <w:sz w:val="24"/>
          <w:szCs w:val="24"/>
          <w:lang w:val="ro-MD"/>
        </w:rPr>
        <w:t xml:space="preserve">, </w:t>
      </w:r>
      <w:r w:rsidRPr="00585C40">
        <w:rPr>
          <w:rFonts w:asciiTheme="majorHAnsi" w:eastAsia="Times New Roman" w:hAnsiTheme="majorHAnsi" w:cstheme="majorHAnsi"/>
          <w:sz w:val="24"/>
          <w:szCs w:val="24"/>
          <w:lang w:val="ro-MD"/>
        </w:rPr>
        <w:t>având drept scop oferirea unei asigurări rezonabile cu privire l</w:t>
      </w:r>
      <w:r w:rsidRPr="00585C40">
        <w:rPr>
          <w:rFonts w:asciiTheme="majorHAnsi" w:eastAsia="Times New Roman" w:hAnsiTheme="majorHAnsi" w:cs="Times New Roman"/>
          <w:noProof/>
          <w:sz w:val="24"/>
          <w:szCs w:val="24"/>
          <w:lang w:val="ro-MD"/>
        </w:rPr>
        <w:t>a faptul că Raportul Guvernului privind executarea bugetului asigurărilor sociale de stat în anul 20</w:t>
      </w:r>
      <w:r w:rsidR="000A462D">
        <w:rPr>
          <w:rFonts w:asciiTheme="majorHAnsi" w:eastAsia="Times New Roman" w:hAnsiTheme="majorHAnsi" w:cs="Times New Roman"/>
          <w:noProof/>
          <w:sz w:val="24"/>
          <w:szCs w:val="24"/>
          <w:lang w:val="ro-MD"/>
        </w:rPr>
        <w:t>21</w:t>
      </w:r>
      <w:r w:rsidRPr="00585C40">
        <w:rPr>
          <w:rFonts w:asciiTheme="majorHAnsi" w:eastAsia="Times New Roman" w:hAnsiTheme="majorHAnsi" w:cs="Times New Roman"/>
          <w:noProof/>
          <w:sz w:val="24"/>
          <w:szCs w:val="24"/>
          <w:lang w:val="ro-MD"/>
        </w:rPr>
        <w:t xml:space="preserve"> nu conține, în ansamblu, denaturări semnificative cauzate de fraude sau erori, precum și emiterea unei opinii.</w:t>
      </w:r>
    </w:p>
    <w:p w14:paraId="65E5A298" w14:textId="77777777" w:rsidR="00A03086" w:rsidRPr="00585C40" w:rsidRDefault="00A03086" w:rsidP="00A03086">
      <w:pPr>
        <w:spacing w:after="0"/>
        <w:ind w:firstLine="720"/>
        <w:rPr>
          <w:rFonts w:asciiTheme="majorHAnsi" w:eastAsia="Times New Roman" w:hAnsiTheme="majorHAnsi" w:cstheme="majorHAnsi"/>
          <w:sz w:val="24"/>
          <w:szCs w:val="24"/>
          <w:lang w:val="ro-MD"/>
        </w:rPr>
      </w:pPr>
      <w:r w:rsidRPr="00585C40">
        <w:rPr>
          <w:rFonts w:asciiTheme="majorHAnsi" w:eastAsia="Times New Roman" w:hAnsiTheme="majorHAnsi" w:cstheme="majorHAnsi"/>
          <w:sz w:val="24"/>
          <w:szCs w:val="24"/>
          <w:lang w:val="ro-MD"/>
        </w:rPr>
        <w:t>Auditul public extern a fost planificat și s-a desfășurat în conformitate cu Standardele Internaționale ale Instituțiilor Supreme de Audit aplicate de Curtea de Conturi</w:t>
      </w:r>
      <w:r w:rsidRPr="00585C40">
        <w:rPr>
          <w:rStyle w:val="a7"/>
          <w:rFonts w:asciiTheme="majorHAnsi" w:eastAsia="Times New Roman" w:hAnsiTheme="majorHAnsi" w:cstheme="majorHAnsi"/>
          <w:sz w:val="24"/>
          <w:szCs w:val="24"/>
          <w:lang w:val="ro-MD"/>
        </w:rPr>
        <w:footnoteReference w:id="3"/>
      </w:r>
      <w:r w:rsidRPr="00585C40">
        <w:rPr>
          <w:rFonts w:asciiTheme="majorHAnsi" w:eastAsia="Times New Roman" w:hAnsiTheme="majorHAnsi" w:cstheme="majorHAnsi"/>
          <w:sz w:val="24"/>
          <w:szCs w:val="24"/>
          <w:lang w:val="ro-MD"/>
        </w:rPr>
        <w:t>.</w:t>
      </w:r>
    </w:p>
    <w:p w14:paraId="1A1E0FDC" w14:textId="77777777" w:rsidR="00E97F9C" w:rsidRPr="00585C40" w:rsidRDefault="00E97F9C" w:rsidP="00E97F9C">
      <w:pPr>
        <w:spacing w:after="0"/>
        <w:ind w:firstLine="720"/>
        <w:rPr>
          <w:rFonts w:asciiTheme="majorHAnsi" w:eastAsia="Times New Roman" w:hAnsiTheme="majorHAnsi" w:cstheme="majorHAnsi"/>
          <w:sz w:val="24"/>
          <w:szCs w:val="24"/>
          <w:lang w:val="ro-MD"/>
        </w:rPr>
      </w:pPr>
      <w:r w:rsidRPr="00585C40">
        <w:rPr>
          <w:rFonts w:asciiTheme="majorHAnsi" w:eastAsia="Times New Roman" w:hAnsiTheme="majorHAnsi" w:cstheme="majorHAnsi"/>
          <w:sz w:val="24"/>
          <w:szCs w:val="24"/>
          <w:lang w:val="ro-MD"/>
        </w:rPr>
        <w:t xml:space="preserve">Examinând Raportul de audit prezentat, Curtea de Conturi </w:t>
      </w:r>
    </w:p>
    <w:p w14:paraId="0E531902" w14:textId="77777777" w:rsidR="00650686" w:rsidRDefault="00650686" w:rsidP="00E97F9C">
      <w:pPr>
        <w:spacing w:after="0"/>
        <w:jc w:val="center"/>
        <w:rPr>
          <w:rFonts w:asciiTheme="majorHAnsi" w:eastAsia="Times New Roman" w:hAnsiTheme="majorHAnsi" w:cstheme="majorHAnsi"/>
          <w:b/>
          <w:bCs/>
          <w:sz w:val="24"/>
          <w:szCs w:val="24"/>
          <w:lang w:val="ro-MD"/>
        </w:rPr>
      </w:pPr>
    </w:p>
    <w:p w14:paraId="24F30A0A" w14:textId="77777777" w:rsidR="00E97F9C" w:rsidRPr="00585C40" w:rsidRDefault="00E97F9C" w:rsidP="00E97F9C">
      <w:pPr>
        <w:spacing w:after="0"/>
        <w:jc w:val="center"/>
        <w:rPr>
          <w:rFonts w:asciiTheme="majorHAnsi" w:eastAsia="Times New Roman" w:hAnsiTheme="majorHAnsi" w:cstheme="majorHAnsi"/>
          <w:b/>
          <w:bCs/>
          <w:sz w:val="24"/>
          <w:szCs w:val="24"/>
          <w:lang w:val="ro-MD"/>
        </w:rPr>
      </w:pPr>
      <w:r w:rsidRPr="00585C40">
        <w:rPr>
          <w:rFonts w:asciiTheme="majorHAnsi" w:eastAsia="Times New Roman" w:hAnsiTheme="majorHAnsi" w:cstheme="majorHAnsi"/>
          <w:b/>
          <w:bCs/>
          <w:sz w:val="24"/>
          <w:szCs w:val="24"/>
          <w:lang w:val="ro-MD"/>
        </w:rPr>
        <w:lastRenderedPageBreak/>
        <w:t>A CONSTATAT:</w:t>
      </w:r>
    </w:p>
    <w:p w14:paraId="7627F4FD" w14:textId="3AC08062" w:rsidR="00E97F9C" w:rsidRPr="00A03086" w:rsidRDefault="00E97F9C" w:rsidP="003B51B3">
      <w:pPr>
        <w:ind w:firstLine="720"/>
        <w:rPr>
          <w:rFonts w:asciiTheme="majorHAnsi" w:hAnsiTheme="majorHAnsi" w:cstheme="majorHAnsi"/>
          <w:noProof/>
          <w:sz w:val="24"/>
          <w:szCs w:val="24"/>
          <w:lang w:val="ro-MD"/>
        </w:rPr>
      </w:pPr>
      <w:r w:rsidRPr="00585C40">
        <w:rPr>
          <w:rFonts w:asciiTheme="majorHAnsi" w:hAnsiTheme="majorHAnsi" w:cstheme="majorHAnsi"/>
          <w:noProof/>
          <w:sz w:val="24"/>
          <w:szCs w:val="24"/>
          <w:lang w:val="ro-MD"/>
        </w:rPr>
        <w:t>Raportul Guvernului privind executarea bugetului asigurărilor sociale de stat în anul 20</w:t>
      </w:r>
      <w:r w:rsidR="000A462D">
        <w:rPr>
          <w:rFonts w:asciiTheme="majorHAnsi" w:hAnsiTheme="majorHAnsi" w:cstheme="majorHAnsi"/>
          <w:noProof/>
          <w:sz w:val="24"/>
          <w:szCs w:val="24"/>
          <w:lang w:val="ro-MD"/>
        </w:rPr>
        <w:t xml:space="preserve">21 </w:t>
      </w:r>
      <w:r w:rsidR="000A462D" w:rsidRPr="000A462D">
        <w:rPr>
          <w:rFonts w:asciiTheme="majorHAnsi" w:hAnsiTheme="majorHAnsi" w:cstheme="majorHAnsi"/>
          <w:noProof/>
          <w:sz w:val="24"/>
          <w:szCs w:val="24"/>
          <w:lang w:val="ro-MD"/>
        </w:rPr>
        <w:t xml:space="preserve">oferă, </w:t>
      </w:r>
      <w:r w:rsidRPr="00585C40">
        <w:rPr>
          <w:rFonts w:asciiTheme="majorHAnsi" w:hAnsiTheme="majorHAnsi" w:cstheme="majorHAnsi"/>
          <w:noProof/>
          <w:sz w:val="24"/>
          <w:szCs w:val="24"/>
          <w:lang w:val="ro-MD"/>
        </w:rPr>
        <w:t>sub toate aspectele semnificative, o imagine core</w:t>
      </w:r>
      <w:r w:rsidR="00A03086">
        <w:rPr>
          <w:rFonts w:asciiTheme="majorHAnsi" w:hAnsiTheme="majorHAnsi" w:cstheme="majorHAnsi"/>
          <w:noProof/>
          <w:sz w:val="24"/>
          <w:szCs w:val="24"/>
          <w:lang w:val="ro-MD"/>
        </w:rPr>
        <w:t xml:space="preserve">ctă și fidelă în conformitate </w:t>
      </w:r>
      <w:r w:rsidR="003B51B3">
        <w:rPr>
          <w:rFonts w:asciiTheme="majorHAnsi" w:hAnsiTheme="majorHAnsi" w:cstheme="majorHAnsi"/>
          <w:noProof/>
          <w:sz w:val="24"/>
          <w:szCs w:val="24"/>
          <w:lang w:val="ro-MD"/>
        </w:rPr>
        <w:t xml:space="preserve">cu </w:t>
      </w:r>
      <w:r w:rsidR="00A03086">
        <w:rPr>
          <w:rFonts w:asciiTheme="majorHAnsi" w:hAnsiTheme="majorHAnsi" w:cstheme="majorHAnsi"/>
          <w:noProof/>
          <w:sz w:val="24"/>
          <w:szCs w:val="24"/>
          <w:lang w:val="ro-MD"/>
        </w:rPr>
        <w:t>cadrul de raportare aplicabil</w:t>
      </w:r>
      <w:r w:rsidR="00A03086" w:rsidRPr="00585C40">
        <w:rPr>
          <w:rStyle w:val="a7"/>
          <w:rFonts w:asciiTheme="majorHAnsi" w:eastAsia="Times New Roman" w:hAnsiTheme="majorHAnsi" w:cstheme="majorHAnsi"/>
          <w:noProof/>
          <w:sz w:val="24"/>
          <w:szCs w:val="24"/>
          <w:lang w:val="ro-MD"/>
        </w:rPr>
        <w:footnoteReference w:id="4"/>
      </w:r>
      <w:r w:rsidR="00A03086" w:rsidRPr="00585C40">
        <w:rPr>
          <w:rFonts w:asciiTheme="majorHAnsi" w:hAnsiTheme="majorHAnsi" w:cstheme="majorHAnsi"/>
          <w:noProof/>
          <w:sz w:val="24"/>
          <w:szCs w:val="24"/>
          <w:lang w:val="ro-MD"/>
        </w:rPr>
        <w:t>.</w:t>
      </w:r>
    </w:p>
    <w:p w14:paraId="75EE9767" w14:textId="77777777" w:rsidR="00E97F9C" w:rsidRPr="00585C40" w:rsidRDefault="00E97F9C" w:rsidP="003D59BA">
      <w:pPr>
        <w:spacing w:after="0"/>
        <w:ind w:firstLine="720"/>
        <w:rPr>
          <w:rFonts w:asciiTheme="majorHAnsi" w:eastAsia="Times New Roman" w:hAnsiTheme="majorHAnsi" w:cstheme="majorHAnsi"/>
          <w:noProof/>
          <w:sz w:val="24"/>
          <w:szCs w:val="24"/>
          <w:lang w:val="ro-MD"/>
        </w:rPr>
      </w:pPr>
      <w:r w:rsidRPr="00585C40">
        <w:rPr>
          <w:rFonts w:asciiTheme="majorHAnsi" w:eastAsia="Times New Roman" w:hAnsiTheme="majorHAnsi" w:cstheme="majorHAnsi"/>
          <w:noProof/>
          <w:sz w:val="24"/>
          <w:szCs w:val="24"/>
          <w:lang w:val="ro-MD"/>
        </w:rPr>
        <w:t>Reieșind din cele expuse, în temeiul art.14 alin.(2), art.15 lit.d) și art.37 alin.(2) din Legea nr.260 din 07.12.2017, Curtea de Conturi</w:t>
      </w:r>
    </w:p>
    <w:p w14:paraId="5D33303E" w14:textId="5A8D5A05" w:rsidR="00E97F9C" w:rsidRDefault="00E97F9C" w:rsidP="00E97F9C">
      <w:pPr>
        <w:pStyle w:val="cp"/>
        <w:spacing w:line="276" w:lineRule="auto"/>
        <w:rPr>
          <w:rFonts w:asciiTheme="majorHAnsi" w:hAnsiTheme="majorHAnsi" w:cstheme="majorHAnsi"/>
          <w:lang w:val="ro-MD"/>
        </w:rPr>
      </w:pPr>
    </w:p>
    <w:p w14:paraId="7BC36102" w14:textId="77777777" w:rsidR="00601752" w:rsidRPr="00585C40" w:rsidRDefault="00601752" w:rsidP="00E97F9C">
      <w:pPr>
        <w:pStyle w:val="cp"/>
        <w:spacing w:line="276" w:lineRule="auto"/>
        <w:rPr>
          <w:rFonts w:asciiTheme="majorHAnsi" w:hAnsiTheme="majorHAnsi" w:cstheme="majorHAnsi"/>
          <w:lang w:val="ro-MD"/>
        </w:rPr>
      </w:pPr>
    </w:p>
    <w:p w14:paraId="0FCEB509" w14:textId="77777777" w:rsidR="00E97F9C" w:rsidRPr="00585C40" w:rsidRDefault="00E97F9C" w:rsidP="00E97F9C">
      <w:pPr>
        <w:pStyle w:val="cp"/>
        <w:spacing w:line="276" w:lineRule="auto"/>
        <w:rPr>
          <w:rFonts w:asciiTheme="majorHAnsi" w:hAnsiTheme="majorHAnsi" w:cstheme="majorHAnsi"/>
          <w:lang w:val="ro-MD"/>
        </w:rPr>
      </w:pPr>
      <w:r w:rsidRPr="00585C40">
        <w:rPr>
          <w:rFonts w:asciiTheme="majorHAnsi" w:hAnsiTheme="majorHAnsi" w:cstheme="majorHAnsi"/>
          <w:lang w:val="ro-MD"/>
        </w:rPr>
        <w:t>HOTĂRĂŞTE:</w:t>
      </w:r>
    </w:p>
    <w:p w14:paraId="0803CD13" w14:textId="77777777" w:rsidR="00E97F9C" w:rsidRPr="00585C40" w:rsidRDefault="00E97F9C" w:rsidP="00115F1E">
      <w:pPr>
        <w:pStyle w:val="ab"/>
        <w:numPr>
          <w:ilvl w:val="0"/>
          <w:numId w:val="2"/>
        </w:numPr>
        <w:tabs>
          <w:tab w:val="left" w:pos="900"/>
          <w:tab w:val="left" w:pos="993"/>
        </w:tabs>
        <w:ind w:left="0" w:firstLine="709"/>
        <w:contextualSpacing w:val="0"/>
        <w:rPr>
          <w:rFonts w:asciiTheme="majorHAnsi" w:hAnsiTheme="majorHAnsi" w:cstheme="majorHAnsi"/>
          <w:noProof/>
          <w:sz w:val="24"/>
          <w:szCs w:val="24"/>
          <w:lang w:val="ro-MD"/>
        </w:rPr>
      </w:pPr>
      <w:r w:rsidRPr="00585C40">
        <w:rPr>
          <w:rFonts w:asciiTheme="majorHAnsi" w:hAnsiTheme="majorHAnsi" w:cstheme="majorHAnsi"/>
          <w:noProof/>
          <w:sz w:val="24"/>
          <w:szCs w:val="24"/>
          <w:lang w:val="ro-MD"/>
        </w:rPr>
        <w:t xml:space="preserve"> Se aprobă </w:t>
      </w:r>
      <w:r w:rsidRPr="00585C40">
        <w:rPr>
          <w:rFonts w:asciiTheme="majorHAnsi" w:hAnsiTheme="majorHAnsi" w:cstheme="majorHAnsi"/>
          <w:noProof/>
          <w:sz w:val="24"/>
          <w:szCs w:val="24"/>
          <w:lang w:val="ro-MD" w:eastAsia="ro-RO"/>
        </w:rPr>
        <w:t>Raportul auditului financiar al Raportului Guvernului privind executarea bugetului asigurărilor sociale de stat în anul 20</w:t>
      </w:r>
      <w:r w:rsidR="000A462D">
        <w:rPr>
          <w:rFonts w:asciiTheme="majorHAnsi" w:hAnsiTheme="majorHAnsi" w:cstheme="majorHAnsi"/>
          <w:noProof/>
          <w:sz w:val="24"/>
          <w:szCs w:val="24"/>
          <w:lang w:val="ro-MD" w:eastAsia="ro-RO"/>
        </w:rPr>
        <w:t>21</w:t>
      </w:r>
      <w:r w:rsidRPr="00585C40">
        <w:rPr>
          <w:rFonts w:asciiTheme="majorHAnsi" w:hAnsiTheme="majorHAnsi" w:cstheme="majorHAnsi"/>
          <w:noProof/>
          <w:sz w:val="24"/>
          <w:szCs w:val="24"/>
          <w:lang w:val="ro-MD" w:eastAsia="ro-RO"/>
        </w:rPr>
        <w:t>, anexat la prezenta Hotărâre.</w:t>
      </w:r>
    </w:p>
    <w:p w14:paraId="14DF0B3A" w14:textId="5B91D15A" w:rsidR="00E97F9C" w:rsidRPr="00585C40" w:rsidRDefault="00CB1896" w:rsidP="00115F1E">
      <w:pPr>
        <w:pStyle w:val="ab"/>
        <w:numPr>
          <w:ilvl w:val="0"/>
          <w:numId w:val="1"/>
        </w:numPr>
        <w:tabs>
          <w:tab w:val="left" w:pos="900"/>
          <w:tab w:val="left" w:pos="993"/>
          <w:tab w:val="left" w:pos="1276"/>
        </w:tabs>
        <w:ind w:left="0" w:firstLine="709"/>
        <w:contextualSpacing w:val="0"/>
        <w:rPr>
          <w:rFonts w:asciiTheme="majorHAnsi" w:hAnsiTheme="majorHAnsi" w:cstheme="majorHAnsi"/>
          <w:bCs/>
          <w:noProof/>
          <w:sz w:val="24"/>
          <w:szCs w:val="24"/>
          <w:lang w:val="ro-MD"/>
        </w:rPr>
      </w:pPr>
      <w:r>
        <w:rPr>
          <w:rFonts w:asciiTheme="majorHAnsi" w:hAnsiTheme="majorHAnsi" w:cstheme="majorHAnsi"/>
          <w:bCs/>
          <w:noProof/>
          <w:sz w:val="24"/>
          <w:szCs w:val="24"/>
          <w:lang w:val="ro-MD"/>
        </w:rPr>
        <w:t xml:space="preserve"> </w:t>
      </w:r>
      <w:r w:rsidR="00E97F9C" w:rsidRPr="00585C40">
        <w:rPr>
          <w:rFonts w:asciiTheme="majorHAnsi" w:hAnsiTheme="majorHAnsi" w:cstheme="majorHAnsi"/>
          <w:bCs/>
          <w:noProof/>
          <w:sz w:val="24"/>
          <w:szCs w:val="24"/>
          <w:lang w:val="ro-MD"/>
        </w:rPr>
        <w:t xml:space="preserve">Prezenta Hotărâre și Raportul de audit se remit: </w:t>
      </w:r>
    </w:p>
    <w:p w14:paraId="76EF8E4F" w14:textId="73774F66" w:rsidR="00FD4C3A" w:rsidRDefault="00FD4C3A" w:rsidP="00115F1E">
      <w:pPr>
        <w:pStyle w:val="ab"/>
        <w:numPr>
          <w:ilvl w:val="1"/>
          <w:numId w:val="1"/>
        </w:numPr>
        <w:tabs>
          <w:tab w:val="left" w:pos="900"/>
          <w:tab w:val="left" w:pos="993"/>
          <w:tab w:val="left" w:pos="1276"/>
        </w:tabs>
        <w:ind w:left="0" w:firstLine="709"/>
        <w:contextualSpacing w:val="0"/>
        <w:rPr>
          <w:rFonts w:asciiTheme="majorHAnsi" w:hAnsiTheme="majorHAnsi" w:cstheme="majorHAnsi"/>
          <w:noProof/>
          <w:sz w:val="24"/>
          <w:szCs w:val="24"/>
          <w:lang w:val="ro-MD"/>
        </w:rPr>
      </w:pPr>
      <w:r w:rsidRPr="00585C40">
        <w:rPr>
          <w:rFonts w:asciiTheme="majorHAnsi" w:hAnsiTheme="majorHAnsi" w:cstheme="majorHAnsi"/>
          <w:b/>
          <w:sz w:val="24"/>
          <w:szCs w:val="24"/>
          <w:lang w:val="ro-MD"/>
        </w:rPr>
        <w:t>Parlamentului Republicii Moldova</w:t>
      </w:r>
      <w:r w:rsidRPr="00585C40">
        <w:rPr>
          <w:rFonts w:asciiTheme="majorHAnsi" w:hAnsiTheme="majorHAnsi" w:cstheme="majorHAnsi"/>
          <w:sz w:val="24"/>
          <w:szCs w:val="24"/>
          <w:lang w:val="ro-MD"/>
        </w:rPr>
        <w:t>, pentru informare și examinare, după caz, în cadrul Comisiei parlamentare de control al finanțelor publice</w:t>
      </w:r>
      <w:r w:rsidR="00C719D1">
        <w:rPr>
          <w:rFonts w:asciiTheme="majorHAnsi" w:hAnsiTheme="majorHAnsi" w:cstheme="majorHAnsi"/>
          <w:sz w:val="24"/>
          <w:szCs w:val="24"/>
          <w:lang w:val="ro-MD"/>
        </w:rPr>
        <w:t>;</w:t>
      </w:r>
    </w:p>
    <w:p w14:paraId="33293A5A" w14:textId="77777777" w:rsidR="00601752" w:rsidRPr="00585C40" w:rsidRDefault="00601752" w:rsidP="00115F1E">
      <w:pPr>
        <w:pStyle w:val="ab"/>
        <w:numPr>
          <w:ilvl w:val="1"/>
          <w:numId w:val="1"/>
        </w:numPr>
        <w:tabs>
          <w:tab w:val="left" w:pos="900"/>
          <w:tab w:val="left" w:pos="993"/>
          <w:tab w:val="left" w:pos="1276"/>
        </w:tabs>
        <w:ind w:left="1429"/>
        <w:contextualSpacing w:val="0"/>
        <w:rPr>
          <w:rFonts w:asciiTheme="majorHAnsi" w:hAnsiTheme="majorHAnsi" w:cstheme="majorHAnsi"/>
          <w:noProof/>
          <w:sz w:val="24"/>
          <w:szCs w:val="24"/>
          <w:lang w:val="ro-MD"/>
        </w:rPr>
      </w:pPr>
      <w:r w:rsidRPr="00585C40">
        <w:rPr>
          <w:rFonts w:asciiTheme="majorHAnsi" w:hAnsiTheme="majorHAnsi" w:cstheme="majorHAnsi"/>
          <w:b/>
          <w:noProof/>
          <w:sz w:val="24"/>
          <w:szCs w:val="24"/>
          <w:lang w:val="ro-MD"/>
        </w:rPr>
        <w:t>Președintelui Republicii Moldova</w:t>
      </w:r>
      <w:r w:rsidRPr="00585C40">
        <w:rPr>
          <w:rFonts w:asciiTheme="majorHAnsi" w:hAnsiTheme="majorHAnsi" w:cstheme="majorHAnsi"/>
          <w:noProof/>
          <w:sz w:val="24"/>
          <w:szCs w:val="24"/>
          <w:lang w:val="ro-MD"/>
        </w:rPr>
        <w:t>, pentru informare;</w:t>
      </w:r>
    </w:p>
    <w:p w14:paraId="432DE8A0" w14:textId="2A0CC656" w:rsidR="00601752" w:rsidRPr="00601752" w:rsidRDefault="00601752" w:rsidP="00115F1E">
      <w:pPr>
        <w:pStyle w:val="ab"/>
        <w:numPr>
          <w:ilvl w:val="1"/>
          <w:numId w:val="1"/>
        </w:numPr>
        <w:tabs>
          <w:tab w:val="left" w:pos="900"/>
          <w:tab w:val="left" w:pos="993"/>
          <w:tab w:val="left" w:pos="1276"/>
        </w:tabs>
        <w:ind w:left="1429"/>
        <w:contextualSpacing w:val="0"/>
        <w:rPr>
          <w:rFonts w:asciiTheme="majorHAnsi" w:hAnsiTheme="majorHAnsi" w:cstheme="majorHAnsi"/>
          <w:noProof/>
          <w:sz w:val="24"/>
          <w:szCs w:val="24"/>
          <w:lang w:val="ro-MD"/>
        </w:rPr>
      </w:pPr>
      <w:r w:rsidRPr="00585C40">
        <w:rPr>
          <w:rFonts w:asciiTheme="majorHAnsi" w:hAnsiTheme="majorHAnsi" w:cstheme="majorHAnsi"/>
          <w:b/>
          <w:noProof/>
          <w:sz w:val="24"/>
          <w:szCs w:val="24"/>
          <w:lang w:val="ro-MD"/>
        </w:rPr>
        <w:t>Guvernului Republicii Moldova</w:t>
      </w:r>
      <w:r w:rsidRPr="00585C40">
        <w:rPr>
          <w:rFonts w:asciiTheme="majorHAnsi" w:hAnsiTheme="majorHAnsi" w:cstheme="majorHAnsi"/>
          <w:noProof/>
          <w:sz w:val="24"/>
          <w:szCs w:val="24"/>
          <w:lang w:val="ro-MD"/>
        </w:rPr>
        <w:t>, pentru informare și luare de atitudine în vederea monitorizării asigurării implementării recomandărilor de audit public extern;</w:t>
      </w:r>
    </w:p>
    <w:p w14:paraId="5F3358AB" w14:textId="5FAD583B" w:rsidR="00092E1A" w:rsidRDefault="00092E1A" w:rsidP="00115F1E">
      <w:pPr>
        <w:pStyle w:val="ab"/>
        <w:numPr>
          <w:ilvl w:val="1"/>
          <w:numId w:val="1"/>
        </w:numPr>
        <w:tabs>
          <w:tab w:val="left" w:pos="900"/>
          <w:tab w:val="left" w:pos="993"/>
          <w:tab w:val="left" w:pos="1276"/>
        </w:tabs>
        <w:ind w:left="0" w:firstLine="697"/>
        <w:contextualSpacing w:val="0"/>
        <w:rPr>
          <w:rFonts w:asciiTheme="majorHAnsi" w:hAnsiTheme="majorHAnsi" w:cstheme="majorHAnsi"/>
          <w:noProof/>
          <w:sz w:val="24"/>
          <w:szCs w:val="24"/>
          <w:lang w:val="ro-MD"/>
        </w:rPr>
      </w:pPr>
      <w:r>
        <w:rPr>
          <w:rFonts w:asciiTheme="majorHAnsi" w:hAnsiTheme="majorHAnsi" w:cstheme="majorHAnsi"/>
          <w:b/>
          <w:noProof/>
          <w:sz w:val="24"/>
          <w:szCs w:val="24"/>
          <w:lang w:val="ro-MD"/>
        </w:rPr>
        <w:t>Ministerului Finanțelor</w:t>
      </w:r>
      <w:r w:rsidR="006136F1">
        <w:rPr>
          <w:rFonts w:asciiTheme="majorHAnsi" w:hAnsiTheme="majorHAnsi" w:cstheme="majorHAnsi"/>
          <w:b/>
          <w:noProof/>
          <w:sz w:val="24"/>
          <w:szCs w:val="24"/>
          <w:lang w:val="ro-MD"/>
        </w:rPr>
        <w:t xml:space="preserve">, Ministerului </w:t>
      </w:r>
      <w:r w:rsidR="006136F1">
        <w:rPr>
          <w:rFonts w:asciiTheme="majorHAnsi" w:hAnsiTheme="majorHAnsi" w:cstheme="majorHAnsi"/>
          <w:b/>
          <w:bCs/>
          <w:sz w:val="24"/>
          <w:szCs w:val="24"/>
          <w:lang w:val="ro-MD"/>
        </w:rPr>
        <w:t>Muncii și Protecți</w:t>
      </w:r>
      <w:r w:rsidR="00E73967" w:rsidRPr="00585C40">
        <w:rPr>
          <w:rFonts w:asciiTheme="majorHAnsi" w:hAnsiTheme="majorHAnsi" w:cstheme="majorHAnsi"/>
          <w:b/>
          <w:bCs/>
          <w:sz w:val="24"/>
          <w:szCs w:val="24"/>
          <w:lang w:val="ro-MD"/>
        </w:rPr>
        <w:t>ei Sociale</w:t>
      </w:r>
      <w:r w:rsidR="00C719D1" w:rsidRPr="00272BC8">
        <w:rPr>
          <w:rFonts w:asciiTheme="majorHAnsi" w:hAnsiTheme="majorHAnsi" w:cstheme="majorHAnsi"/>
          <w:bCs/>
          <w:sz w:val="24"/>
          <w:szCs w:val="24"/>
          <w:lang w:val="ro-MD"/>
        </w:rPr>
        <w:t>,</w:t>
      </w:r>
      <w:r w:rsidR="00E73967">
        <w:rPr>
          <w:rFonts w:asciiTheme="majorHAnsi" w:hAnsiTheme="majorHAnsi" w:cstheme="majorHAnsi"/>
          <w:b/>
          <w:noProof/>
          <w:sz w:val="24"/>
          <w:szCs w:val="24"/>
          <w:lang w:val="ro-MD"/>
        </w:rPr>
        <w:t xml:space="preserve"> </w:t>
      </w:r>
      <w:r w:rsidR="006136F1">
        <w:rPr>
          <w:rFonts w:asciiTheme="majorHAnsi" w:hAnsiTheme="majorHAnsi" w:cstheme="majorHAnsi"/>
          <w:b/>
          <w:noProof/>
          <w:sz w:val="24"/>
          <w:szCs w:val="24"/>
          <w:lang w:val="ro-MD"/>
        </w:rPr>
        <w:t xml:space="preserve">Ministerului Sănătății, </w:t>
      </w:r>
      <w:r w:rsidR="006136F1" w:rsidRPr="006136F1">
        <w:rPr>
          <w:rFonts w:asciiTheme="majorHAnsi" w:hAnsiTheme="majorHAnsi" w:cstheme="majorHAnsi"/>
          <w:b/>
          <w:noProof/>
          <w:sz w:val="24"/>
          <w:szCs w:val="24"/>
          <w:lang w:val="ro-MD"/>
        </w:rPr>
        <w:t>Agenției Servicii Publice</w:t>
      </w:r>
      <w:r w:rsidR="00A403B5">
        <w:rPr>
          <w:rFonts w:asciiTheme="majorHAnsi" w:hAnsiTheme="majorHAnsi" w:cstheme="majorHAnsi"/>
          <w:b/>
          <w:noProof/>
          <w:sz w:val="24"/>
          <w:szCs w:val="24"/>
          <w:lang w:val="ro-MD"/>
        </w:rPr>
        <w:t>,</w:t>
      </w:r>
      <w:r w:rsidR="006136F1" w:rsidRPr="006136F1">
        <w:rPr>
          <w:rFonts w:asciiTheme="majorHAnsi" w:hAnsiTheme="majorHAnsi" w:cstheme="majorHAnsi"/>
          <w:b/>
          <w:noProof/>
          <w:sz w:val="24"/>
          <w:szCs w:val="24"/>
          <w:lang w:val="ro-MD"/>
        </w:rPr>
        <w:t xml:space="preserve"> </w:t>
      </w:r>
      <w:r w:rsidR="00E97F9C" w:rsidRPr="00585C40">
        <w:rPr>
          <w:rFonts w:asciiTheme="majorHAnsi" w:hAnsiTheme="majorHAnsi" w:cstheme="majorHAnsi"/>
          <w:sz w:val="24"/>
          <w:szCs w:val="24"/>
          <w:lang w:val="ro-MD"/>
        </w:rPr>
        <w:t>pentru e</w:t>
      </w:r>
      <w:r w:rsidR="006136F1">
        <w:rPr>
          <w:rFonts w:asciiTheme="majorHAnsi" w:hAnsiTheme="majorHAnsi" w:cstheme="majorHAnsi"/>
          <w:sz w:val="24"/>
          <w:szCs w:val="24"/>
          <w:lang w:val="ro-MD"/>
        </w:rPr>
        <w:t>xaminare conform competențelor ș</w:t>
      </w:r>
      <w:r w:rsidR="00E97F9C" w:rsidRPr="00585C40">
        <w:rPr>
          <w:rFonts w:asciiTheme="majorHAnsi" w:hAnsiTheme="majorHAnsi" w:cstheme="majorHAnsi"/>
          <w:sz w:val="24"/>
          <w:szCs w:val="24"/>
          <w:lang w:val="ro-MD"/>
        </w:rPr>
        <w:t>i asigurarea implementării recomandărilor din Raportul de audit;</w:t>
      </w:r>
    </w:p>
    <w:p w14:paraId="4FDD8E95" w14:textId="77777777" w:rsidR="009916DA" w:rsidRPr="00585C40" w:rsidRDefault="009916DA" w:rsidP="00115F1E">
      <w:pPr>
        <w:pStyle w:val="ab"/>
        <w:numPr>
          <w:ilvl w:val="1"/>
          <w:numId w:val="1"/>
        </w:numPr>
        <w:tabs>
          <w:tab w:val="left" w:pos="900"/>
          <w:tab w:val="left" w:pos="993"/>
          <w:tab w:val="left" w:pos="1276"/>
        </w:tabs>
        <w:ind w:left="0" w:firstLine="709"/>
        <w:contextualSpacing w:val="0"/>
        <w:rPr>
          <w:rFonts w:asciiTheme="majorHAnsi" w:hAnsiTheme="majorHAnsi" w:cstheme="majorHAnsi"/>
          <w:bCs/>
          <w:noProof/>
          <w:sz w:val="24"/>
          <w:szCs w:val="24"/>
          <w:lang w:val="ro-MD"/>
        </w:rPr>
      </w:pPr>
      <w:r w:rsidRPr="00585C40">
        <w:rPr>
          <w:rFonts w:asciiTheme="majorHAnsi" w:hAnsiTheme="majorHAnsi" w:cstheme="majorHAnsi"/>
          <w:b/>
          <w:noProof/>
          <w:sz w:val="24"/>
          <w:szCs w:val="24"/>
          <w:lang w:val="ro-MD"/>
        </w:rPr>
        <w:t>Casei Naționale de Asigurări Sociale</w:t>
      </w:r>
      <w:r w:rsidRPr="00272BC8">
        <w:rPr>
          <w:rFonts w:asciiTheme="majorHAnsi" w:hAnsiTheme="majorHAnsi" w:cstheme="majorHAnsi"/>
          <w:noProof/>
          <w:sz w:val="24"/>
          <w:szCs w:val="24"/>
          <w:lang w:val="ro-MD"/>
        </w:rPr>
        <w:t>,</w:t>
      </w:r>
      <w:r w:rsidRPr="00585C40">
        <w:rPr>
          <w:rFonts w:asciiTheme="majorHAnsi" w:hAnsiTheme="majorHAnsi" w:cstheme="majorHAnsi"/>
          <w:b/>
          <w:noProof/>
          <w:sz w:val="24"/>
          <w:szCs w:val="24"/>
          <w:lang w:val="ro-MD"/>
        </w:rPr>
        <w:t xml:space="preserve"> </w:t>
      </w:r>
      <w:r w:rsidRPr="00585C40">
        <w:rPr>
          <w:rFonts w:asciiTheme="majorHAnsi" w:hAnsiTheme="majorHAnsi" w:cstheme="majorHAnsi"/>
          <w:noProof/>
          <w:sz w:val="24"/>
          <w:szCs w:val="24"/>
          <w:lang w:val="ro-MD"/>
        </w:rPr>
        <w:t>pentru l</w:t>
      </w:r>
      <w:r w:rsidR="001A62B8" w:rsidRPr="00585C40">
        <w:rPr>
          <w:rFonts w:asciiTheme="majorHAnsi" w:hAnsiTheme="majorHAnsi" w:cstheme="majorHAnsi"/>
          <w:noProof/>
          <w:sz w:val="24"/>
          <w:szCs w:val="24"/>
          <w:lang w:val="ro-MD"/>
        </w:rPr>
        <w:t xml:space="preserve">uare de atitudine și asigurarea </w:t>
      </w:r>
      <w:r w:rsidRPr="00585C40">
        <w:rPr>
          <w:rFonts w:asciiTheme="majorHAnsi" w:hAnsiTheme="majorHAnsi" w:cstheme="majorHAnsi"/>
          <w:noProof/>
          <w:sz w:val="24"/>
          <w:szCs w:val="24"/>
          <w:lang w:val="ro-MD"/>
        </w:rPr>
        <w:t>implementării recomandărilor din Raportul de audit;</w:t>
      </w:r>
    </w:p>
    <w:p w14:paraId="01B3CAA4" w14:textId="3878A197" w:rsidR="00B51976" w:rsidRPr="00A06AD8" w:rsidRDefault="006136F1" w:rsidP="00115F1E">
      <w:pPr>
        <w:pStyle w:val="ab"/>
        <w:numPr>
          <w:ilvl w:val="1"/>
          <w:numId w:val="1"/>
        </w:numPr>
        <w:tabs>
          <w:tab w:val="left" w:pos="900"/>
          <w:tab w:val="left" w:pos="993"/>
          <w:tab w:val="left" w:pos="1276"/>
        </w:tabs>
        <w:ind w:left="0" w:firstLine="697"/>
        <w:contextualSpacing w:val="0"/>
        <w:rPr>
          <w:rFonts w:asciiTheme="majorHAnsi" w:hAnsiTheme="majorHAnsi" w:cstheme="majorHAnsi"/>
          <w:noProof/>
          <w:sz w:val="24"/>
          <w:szCs w:val="24"/>
          <w:lang w:val="ro-MD"/>
        </w:rPr>
      </w:pPr>
      <w:r>
        <w:rPr>
          <w:rFonts w:asciiTheme="majorHAnsi" w:hAnsiTheme="majorHAnsi" w:cstheme="majorHAnsi"/>
          <w:b/>
          <w:bCs/>
          <w:sz w:val="24"/>
          <w:szCs w:val="24"/>
          <w:lang w:val="ro-MD"/>
        </w:rPr>
        <w:t>Consiliului de Administraț</w:t>
      </w:r>
      <w:r w:rsidR="00114D43" w:rsidRPr="00585C40">
        <w:rPr>
          <w:rFonts w:asciiTheme="majorHAnsi" w:hAnsiTheme="majorHAnsi" w:cstheme="majorHAnsi"/>
          <w:b/>
          <w:bCs/>
          <w:sz w:val="24"/>
          <w:szCs w:val="24"/>
          <w:lang w:val="ro-MD"/>
        </w:rPr>
        <w:t xml:space="preserve">ie al Casei </w:t>
      </w:r>
      <w:r>
        <w:rPr>
          <w:rFonts w:asciiTheme="majorHAnsi" w:hAnsiTheme="majorHAnsi" w:cstheme="majorHAnsi"/>
          <w:b/>
          <w:bCs/>
          <w:sz w:val="24"/>
          <w:szCs w:val="24"/>
          <w:lang w:val="ro-MD"/>
        </w:rPr>
        <w:t>Naț</w:t>
      </w:r>
      <w:r w:rsidR="00114D43" w:rsidRPr="00585C40">
        <w:rPr>
          <w:rFonts w:asciiTheme="majorHAnsi" w:hAnsiTheme="majorHAnsi" w:cstheme="majorHAnsi"/>
          <w:b/>
          <w:bCs/>
          <w:sz w:val="24"/>
          <w:szCs w:val="24"/>
          <w:lang w:val="ro-MD"/>
        </w:rPr>
        <w:t>ionale de Asigurări Sociale</w:t>
      </w:r>
      <w:r w:rsidR="00114D43" w:rsidRPr="00585C40">
        <w:rPr>
          <w:rFonts w:asciiTheme="majorHAnsi" w:hAnsiTheme="majorHAnsi" w:cstheme="majorHAnsi"/>
          <w:sz w:val="24"/>
          <w:szCs w:val="24"/>
          <w:lang w:val="ro-MD"/>
        </w:rPr>
        <w:t>, pentru documentare cu p</w:t>
      </w:r>
      <w:r w:rsidR="00AC0CD0" w:rsidRPr="00585C40">
        <w:rPr>
          <w:rFonts w:asciiTheme="majorHAnsi" w:hAnsiTheme="majorHAnsi" w:cstheme="majorHAnsi"/>
          <w:sz w:val="24"/>
          <w:szCs w:val="24"/>
          <w:lang w:val="ro-MD"/>
        </w:rPr>
        <w:t xml:space="preserve">rivire la rezultatele auditului public extern </w:t>
      </w:r>
      <w:r>
        <w:rPr>
          <w:rFonts w:asciiTheme="majorHAnsi" w:hAnsiTheme="majorHAnsi" w:cstheme="majorHAnsi"/>
          <w:sz w:val="24"/>
          <w:szCs w:val="24"/>
          <w:lang w:val="ro-MD"/>
        </w:rPr>
        <w:t>ș</w:t>
      </w:r>
      <w:r w:rsidR="00114D43" w:rsidRPr="00585C40">
        <w:rPr>
          <w:rFonts w:asciiTheme="majorHAnsi" w:hAnsiTheme="majorHAnsi" w:cstheme="majorHAnsi"/>
          <w:sz w:val="24"/>
          <w:szCs w:val="24"/>
          <w:lang w:val="ro-MD"/>
        </w:rPr>
        <w:t>i monitorizare a implementării recomandărilor înaintate</w:t>
      </w:r>
      <w:r w:rsidR="003B51B3">
        <w:rPr>
          <w:rFonts w:asciiTheme="majorHAnsi" w:hAnsiTheme="majorHAnsi" w:cstheme="majorHAnsi"/>
          <w:sz w:val="24"/>
          <w:szCs w:val="24"/>
          <w:lang w:val="ro-MD"/>
        </w:rPr>
        <w:t>.</w:t>
      </w:r>
    </w:p>
    <w:p w14:paraId="482A52DD" w14:textId="59A6CFEC" w:rsidR="00E97F9C" w:rsidRDefault="00601752" w:rsidP="00115F1E">
      <w:pPr>
        <w:pStyle w:val="ab"/>
        <w:numPr>
          <w:ilvl w:val="0"/>
          <w:numId w:val="1"/>
        </w:numPr>
        <w:tabs>
          <w:tab w:val="left" w:pos="900"/>
          <w:tab w:val="left" w:pos="993"/>
          <w:tab w:val="left" w:pos="1276"/>
        </w:tabs>
        <w:ind w:left="0" w:firstLine="709"/>
        <w:contextualSpacing w:val="0"/>
        <w:rPr>
          <w:rFonts w:asciiTheme="majorHAnsi" w:hAnsiTheme="majorHAnsi" w:cstheme="majorHAnsi"/>
          <w:noProof/>
          <w:sz w:val="24"/>
          <w:szCs w:val="24"/>
          <w:lang w:val="ro-MD"/>
        </w:rPr>
      </w:pPr>
      <w:r>
        <w:rPr>
          <w:rFonts w:asciiTheme="majorHAnsi" w:hAnsiTheme="majorHAnsi" w:cstheme="majorHAnsi"/>
          <w:sz w:val="24"/>
          <w:szCs w:val="24"/>
          <w:lang w:val="ro-MD"/>
        </w:rPr>
        <w:t xml:space="preserve"> </w:t>
      </w:r>
      <w:r w:rsidR="00E97F9C" w:rsidRPr="00601752">
        <w:rPr>
          <w:rFonts w:asciiTheme="majorHAnsi" w:hAnsiTheme="majorHAnsi" w:cstheme="majorHAnsi"/>
          <w:sz w:val="24"/>
          <w:szCs w:val="24"/>
          <w:lang w:val="ro-MD"/>
        </w:rPr>
        <w:t>Prezenta Hotărâre și Raportul auditului financiar al Raportului Guvernului privind executarea bugetului asigurări</w:t>
      </w:r>
      <w:r w:rsidR="00A06AD8" w:rsidRPr="00601752">
        <w:rPr>
          <w:rFonts w:asciiTheme="majorHAnsi" w:hAnsiTheme="majorHAnsi" w:cstheme="majorHAnsi"/>
          <w:sz w:val="24"/>
          <w:szCs w:val="24"/>
          <w:lang w:val="ro-MD"/>
        </w:rPr>
        <w:t>lor sociale de stat în anul 2021</w:t>
      </w:r>
      <w:r w:rsidR="00E97F9C" w:rsidRPr="00601752">
        <w:rPr>
          <w:rFonts w:asciiTheme="majorHAnsi" w:hAnsiTheme="majorHAnsi" w:cstheme="majorHAnsi"/>
          <w:sz w:val="24"/>
          <w:szCs w:val="24"/>
          <w:lang w:val="ro-MD"/>
        </w:rPr>
        <w:t xml:space="preserve"> se publică în Monitorul Oficial al Republicii Moldova, în conformitate cu art.6 alin.(2) din Legea nr.260 din 07.12.2017.</w:t>
      </w:r>
    </w:p>
    <w:p w14:paraId="1AB9C87F" w14:textId="60582E9C" w:rsidR="00E97F9C" w:rsidRPr="00585C40" w:rsidRDefault="00CB1896" w:rsidP="003A390E">
      <w:pPr>
        <w:pStyle w:val="ab"/>
        <w:numPr>
          <w:ilvl w:val="0"/>
          <w:numId w:val="1"/>
        </w:numPr>
        <w:tabs>
          <w:tab w:val="left" w:pos="900"/>
          <w:tab w:val="left" w:pos="993"/>
          <w:tab w:val="left" w:pos="1276"/>
        </w:tabs>
        <w:ind w:left="0" w:firstLine="709"/>
        <w:contextualSpacing w:val="0"/>
        <w:rPr>
          <w:rFonts w:asciiTheme="majorHAnsi" w:hAnsiTheme="majorHAnsi" w:cstheme="majorHAnsi"/>
          <w:noProof/>
          <w:sz w:val="24"/>
          <w:szCs w:val="24"/>
          <w:lang w:val="ro-MD"/>
        </w:rPr>
      </w:pPr>
      <w:r>
        <w:rPr>
          <w:rFonts w:asciiTheme="majorHAnsi" w:hAnsiTheme="majorHAnsi" w:cstheme="majorHAnsi"/>
          <w:sz w:val="24"/>
          <w:szCs w:val="24"/>
          <w:lang w:val="ro-MD"/>
        </w:rPr>
        <w:t xml:space="preserve"> </w:t>
      </w:r>
      <w:r w:rsidR="00E97F9C" w:rsidRPr="00585C40">
        <w:rPr>
          <w:rFonts w:asciiTheme="majorHAnsi" w:hAnsiTheme="majorHAnsi" w:cstheme="majorHAnsi"/>
          <w:sz w:val="24"/>
          <w:szCs w:val="24"/>
          <w:lang w:val="ro-MD"/>
        </w:rPr>
        <w:t>Prezenta Hotărâre intră în vigoare din data publicării în Monitorul Oficial al Republicii Moldova și poate fi contestată cu o cerere prealabilă la autoritatea emitentă în termen de 30 de zile din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14:paraId="644D6C4D" w14:textId="5B9F7808" w:rsidR="00092E1A" w:rsidRPr="006C2CCF" w:rsidRDefault="00C719D1" w:rsidP="00FA5C2B">
      <w:pPr>
        <w:pStyle w:val="ab"/>
        <w:numPr>
          <w:ilvl w:val="0"/>
          <w:numId w:val="1"/>
        </w:numPr>
        <w:tabs>
          <w:tab w:val="left" w:pos="900"/>
          <w:tab w:val="left" w:pos="993"/>
          <w:tab w:val="left" w:pos="1276"/>
        </w:tabs>
        <w:ind w:left="0" w:firstLine="709"/>
        <w:contextualSpacing w:val="0"/>
        <w:rPr>
          <w:rFonts w:asciiTheme="majorHAnsi" w:hAnsiTheme="majorHAnsi" w:cstheme="majorHAnsi"/>
          <w:sz w:val="24"/>
          <w:szCs w:val="24"/>
          <w:lang w:val="ro-MD"/>
        </w:rPr>
      </w:pPr>
      <w:r w:rsidRPr="006C2CCF">
        <w:rPr>
          <w:rFonts w:asciiTheme="majorHAnsi" w:hAnsiTheme="majorHAnsi" w:cstheme="majorHAnsi"/>
          <w:sz w:val="24"/>
          <w:szCs w:val="24"/>
          <w:lang w:val="ro-MD"/>
        </w:rPr>
        <w:t xml:space="preserve"> </w:t>
      </w:r>
      <w:r w:rsidR="00092E1A" w:rsidRPr="006C2CCF">
        <w:rPr>
          <w:rFonts w:asciiTheme="majorHAnsi" w:hAnsiTheme="majorHAnsi" w:cstheme="majorHAnsi"/>
          <w:sz w:val="24"/>
          <w:szCs w:val="24"/>
          <w:lang w:val="ro-MD"/>
        </w:rPr>
        <w:t>Despre acțiunile întreprinse pe</w:t>
      </w:r>
      <w:r w:rsidR="00A06AD8">
        <w:rPr>
          <w:rFonts w:asciiTheme="majorHAnsi" w:hAnsiTheme="majorHAnsi" w:cstheme="majorHAnsi"/>
          <w:sz w:val="24"/>
          <w:szCs w:val="24"/>
          <w:lang w:val="ro-MD"/>
        </w:rPr>
        <w:t>ntru executarea recomandărilor</w:t>
      </w:r>
      <w:r w:rsidR="00A403B5">
        <w:rPr>
          <w:rFonts w:asciiTheme="majorHAnsi" w:hAnsiTheme="majorHAnsi" w:cstheme="majorHAnsi"/>
          <w:sz w:val="24"/>
          <w:szCs w:val="24"/>
          <w:lang w:val="ro-MD"/>
        </w:rPr>
        <w:t>,</w:t>
      </w:r>
      <w:r w:rsidR="00A06AD8">
        <w:rPr>
          <w:rFonts w:asciiTheme="majorHAnsi" w:hAnsiTheme="majorHAnsi" w:cstheme="majorHAnsi"/>
          <w:sz w:val="24"/>
          <w:szCs w:val="24"/>
          <w:lang w:val="ro-MD"/>
        </w:rPr>
        <w:t xml:space="preserve"> </w:t>
      </w:r>
      <w:r w:rsidR="00092E1A" w:rsidRPr="006C2CCF">
        <w:rPr>
          <w:rFonts w:asciiTheme="majorHAnsi" w:hAnsiTheme="majorHAnsi" w:cstheme="majorHAnsi"/>
          <w:sz w:val="24"/>
          <w:szCs w:val="24"/>
          <w:lang w:val="ro-MD"/>
        </w:rPr>
        <w:t>se va informa Curtea de Conturi în termen de 6 luni din data i</w:t>
      </w:r>
      <w:r w:rsidR="00A06AD8">
        <w:rPr>
          <w:rFonts w:asciiTheme="majorHAnsi" w:hAnsiTheme="majorHAnsi" w:cstheme="majorHAnsi"/>
          <w:sz w:val="24"/>
          <w:szCs w:val="24"/>
          <w:lang w:val="ro-MD"/>
        </w:rPr>
        <w:t>ntrării în vigoare a Hotărârii.</w:t>
      </w:r>
    </w:p>
    <w:p w14:paraId="0940C0B5" w14:textId="659C70DD" w:rsidR="00E97F9C" w:rsidRPr="00B35B6C" w:rsidRDefault="00C719D1" w:rsidP="0038546D">
      <w:pPr>
        <w:pStyle w:val="ab"/>
        <w:numPr>
          <w:ilvl w:val="0"/>
          <w:numId w:val="2"/>
        </w:numPr>
        <w:tabs>
          <w:tab w:val="left" w:pos="900"/>
          <w:tab w:val="left" w:pos="993"/>
          <w:tab w:val="left" w:pos="1276"/>
        </w:tabs>
        <w:spacing w:after="0"/>
        <w:ind w:left="0" w:firstLine="709"/>
        <w:rPr>
          <w:rFonts w:asciiTheme="majorHAnsi" w:eastAsia="Times New Roman" w:hAnsiTheme="majorHAnsi" w:cstheme="majorHAnsi"/>
          <w:b/>
          <w:sz w:val="24"/>
          <w:szCs w:val="24"/>
          <w:lang w:val="ro-MD"/>
        </w:rPr>
      </w:pPr>
      <w:r w:rsidRPr="00B35B6C">
        <w:rPr>
          <w:rFonts w:asciiTheme="majorHAnsi" w:hAnsiTheme="majorHAnsi" w:cstheme="majorHAnsi"/>
          <w:sz w:val="24"/>
          <w:szCs w:val="24"/>
          <w:lang w:val="ro-MD"/>
        </w:rPr>
        <w:t xml:space="preserve"> </w:t>
      </w:r>
      <w:r w:rsidR="00E97F9C" w:rsidRPr="00B35B6C">
        <w:rPr>
          <w:rFonts w:asciiTheme="majorHAnsi" w:hAnsiTheme="majorHAnsi" w:cstheme="majorHAnsi"/>
          <w:sz w:val="24"/>
          <w:szCs w:val="24"/>
          <w:lang w:val="ro-MD"/>
        </w:rPr>
        <w:t xml:space="preserve">Hotărârea și </w:t>
      </w:r>
      <w:r w:rsidR="00E97F9C" w:rsidRPr="00B35B6C">
        <w:rPr>
          <w:rFonts w:asciiTheme="majorHAnsi" w:hAnsiTheme="majorHAnsi" w:cstheme="majorHAnsi"/>
          <w:color w:val="000000"/>
          <w:sz w:val="24"/>
          <w:szCs w:val="24"/>
          <w:lang w:val="ro-MD"/>
        </w:rPr>
        <w:t xml:space="preserve">Raportul </w:t>
      </w:r>
      <w:r w:rsidR="00E97F9C" w:rsidRPr="00B35B6C">
        <w:rPr>
          <w:rFonts w:asciiTheme="majorHAnsi" w:hAnsiTheme="majorHAnsi" w:cstheme="majorHAnsi"/>
          <w:bCs/>
          <w:color w:val="000000"/>
          <w:sz w:val="24"/>
          <w:szCs w:val="24"/>
          <w:lang w:val="ro-MD"/>
        </w:rPr>
        <w:t xml:space="preserve">auditului </w:t>
      </w:r>
      <w:r w:rsidR="00E97F9C" w:rsidRPr="00B35B6C">
        <w:rPr>
          <w:rFonts w:asciiTheme="majorHAnsi" w:hAnsiTheme="majorHAnsi" w:cstheme="majorHAnsi"/>
          <w:noProof/>
          <w:sz w:val="24"/>
          <w:szCs w:val="24"/>
          <w:lang w:val="ro-MD" w:eastAsia="ro-RO"/>
        </w:rPr>
        <w:t xml:space="preserve">financiar al Raportului Guvernului privind executarea bugetului asigurărilor sociale de stat în anul </w:t>
      </w:r>
      <w:r w:rsidR="00A06AD8" w:rsidRPr="00B35B6C">
        <w:rPr>
          <w:rFonts w:asciiTheme="majorHAnsi" w:hAnsiTheme="majorHAnsi" w:cstheme="majorHAnsi"/>
          <w:noProof/>
          <w:sz w:val="24"/>
          <w:szCs w:val="24"/>
          <w:lang w:val="ro-MD" w:eastAsia="ro-RO"/>
        </w:rPr>
        <w:t>2021</w:t>
      </w:r>
      <w:r w:rsidR="00E97F9C" w:rsidRPr="00B35B6C">
        <w:rPr>
          <w:rFonts w:asciiTheme="majorHAnsi" w:hAnsiTheme="majorHAnsi" w:cstheme="majorHAnsi"/>
          <w:noProof/>
          <w:sz w:val="24"/>
          <w:szCs w:val="24"/>
          <w:lang w:val="ro-MD" w:eastAsia="ro-RO"/>
        </w:rPr>
        <w:t xml:space="preserve"> </w:t>
      </w:r>
      <w:r w:rsidR="00E97F9C" w:rsidRPr="00B35B6C">
        <w:rPr>
          <w:rFonts w:asciiTheme="majorHAnsi" w:hAnsiTheme="majorHAnsi" w:cstheme="majorHAnsi"/>
          <w:sz w:val="24"/>
          <w:szCs w:val="24"/>
          <w:lang w:val="ro-MD"/>
        </w:rPr>
        <w:t>se plasează pe site-ul oficial al Curții de Conturi (</w:t>
      </w:r>
      <w:hyperlink r:id="rId9" w:history="1">
        <w:r w:rsidR="00B35B6C" w:rsidRPr="00B35B6C">
          <w:rPr>
            <w:rStyle w:val="aa"/>
            <w:rFonts w:asciiTheme="majorHAnsi" w:hAnsiTheme="majorHAnsi"/>
            <w:sz w:val="24"/>
            <w:szCs w:val="24"/>
          </w:rPr>
          <w:t>https://www.ccrm.md/ro/decisions</w:t>
        </w:r>
      </w:hyperlink>
      <w:r w:rsidR="00B35B6C" w:rsidRPr="00B35B6C">
        <w:rPr>
          <w:rFonts w:asciiTheme="majorHAnsi" w:hAnsiTheme="majorHAnsi"/>
          <w:sz w:val="24"/>
          <w:szCs w:val="24"/>
        </w:rPr>
        <w:t>).</w:t>
      </w:r>
    </w:p>
    <w:p w14:paraId="142DA777" w14:textId="77777777" w:rsidR="00FD4C3A" w:rsidRPr="00585C40" w:rsidRDefault="00FD4C3A" w:rsidP="00FD4C3A">
      <w:pPr>
        <w:spacing w:after="0"/>
        <w:jc w:val="center"/>
        <w:rPr>
          <w:rFonts w:asciiTheme="majorHAnsi" w:eastAsia="Times New Roman" w:hAnsiTheme="majorHAnsi" w:cstheme="majorHAnsi"/>
          <w:b/>
          <w:sz w:val="24"/>
          <w:szCs w:val="24"/>
          <w:lang w:val="ro-MD"/>
        </w:rPr>
      </w:pPr>
    </w:p>
    <w:p w14:paraId="75C35049" w14:textId="77777777" w:rsidR="00A403B5" w:rsidRDefault="00A403B5" w:rsidP="00E97F9C">
      <w:pPr>
        <w:spacing w:after="0"/>
        <w:jc w:val="right"/>
        <w:rPr>
          <w:rFonts w:asciiTheme="majorHAnsi" w:eastAsia="Times New Roman" w:hAnsiTheme="majorHAnsi" w:cstheme="majorHAnsi"/>
          <w:b/>
          <w:sz w:val="26"/>
          <w:szCs w:val="26"/>
          <w:lang w:val="ro-MD"/>
        </w:rPr>
      </w:pPr>
    </w:p>
    <w:p w14:paraId="2E653E4C" w14:textId="77777777" w:rsidR="00A403B5" w:rsidRDefault="00A403B5" w:rsidP="00E97F9C">
      <w:pPr>
        <w:spacing w:after="0"/>
        <w:jc w:val="right"/>
        <w:rPr>
          <w:rFonts w:asciiTheme="majorHAnsi" w:eastAsia="Times New Roman" w:hAnsiTheme="majorHAnsi" w:cstheme="majorHAnsi"/>
          <w:b/>
          <w:sz w:val="26"/>
          <w:szCs w:val="26"/>
          <w:lang w:val="ro-MD"/>
        </w:rPr>
      </w:pPr>
    </w:p>
    <w:p w14:paraId="367E2D30" w14:textId="2C10ADBF" w:rsidR="00E97F9C" w:rsidRPr="00172D51" w:rsidRDefault="00A76AA8" w:rsidP="00E97F9C">
      <w:pPr>
        <w:spacing w:after="0"/>
        <w:jc w:val="right"/>
        <w:rPr>
          <w:rFonts w:asciiTheme="majorHAnsi" w:eastAsia="Times New Roman" w:hAnsiTheme="majorHAnsi" w:cstheme="majorHAnsi"/>
          <w:b/>
          <w:sz w:val="26"/>
          <w:szCs w:val="26"/>
          <w:lang w:val="ro-MD"/>
        </w:rPr>
      </w:pPr>
      <w:r>
        <w:rPr>
          <w:rFonts w:asciiTheme="majorHAnsi" w:eastAsia="Times New Roman" w:hAnsiTheme="majorHAnsi" w:cstheme="majorHAnsi"/>
          <w:b/>
          <w:sz w:val="26"/>
          <w:szCs w:val="26"/>
          <w:lang w:val="ro-MD"/>
        </w:rPr>
        <w:t>Viorel CHETRARU</w:t>
      </w:r>
      <w:r w:rsidR="00E97F9C" w:rsidRPr="00172D51">
        <w:rPr>
          <w:rFonts w:asciiTheme="majorHAnsi" w:eastAsia="Times New Roman" w:hAnsiTheme="majorHAnsi" w:cstheme="majorHAnsi"/>
          <w:b/>
          <w:sz w:val="26"/>
          <w:szCs w:val="26"/>
          <w:lang w:val="ro-MD"/>
        </w:rPr>
        <w:t>,</w:t>
      </w:r>
    </w:p>
    <w:p w14:paraId="219863AE" w14:textId="5B7F03BE" w:rsidR="00E97F9C" w:rsidRPr="00172D51" w:rsidRDefault="00A76AA8" w:rsidP="00E97F9C">
      <w:pPr>
        <w:spacing w:after="0"/>
        <w:jc w:val="right"/>
        <w:rPr>
          <w:rFonts w:asciiTheme="majorHAnsi" w:eastAsia="Times New Roman" w:hAnsiTheme="majorHAnsi" w:cstheme="majorHAnsi"/>
          <w:b/>
          <w:sz w:val="26"/>
          <w:szCs w:val="26"/>
          <w:lang w:val="ro-MD"/>
        </w:rPr>
      </w:pPr>
      <w:r>
        <w:rPr>
          <w:rFonts w:asciiTheme="majorHAnsi" w:eastAsia="Times New Roman" w:hAnsiTheme="majorHAnsi" w:cstheme="majorHAnsi"/>
          <w:b/>
          <w:sz w:val="26"/>
          <w:szCs w:val="26"/>
          <w:lang w:val="ro-MD"/>
        </w:rPr>
        <w:t>Vicep</w:t>
      </w:r>
      <w:r w:rsidR="00E97F9C" w:rsidRPr="00172D51">
        <w:rPr>
          <w:rFonts w:asciiTheme="majorHAnsi" w:eastAsia="Times New Roman" w:hAnsiTheme="majorHAnsi" w:cstheme="majorHAnsi"/>
          <w:b/>
          <w:sz w:val="26"/>
          <w:szCs w:val="26"/>
          <w:lang w:val="ro-MD"/>
        </w:rPr>
        <w:t>reședinte</w:t>
      </w:r>
    </w:p>
    <w:p w14:paraId="6E34CA7F" w14:textId="77777777" w:rsidR="00E97F9C" w:rsidRPr="00585C40" w:rsidRDefault="00E97F9C" w:rsidP="00E97F9C">
      <w:pPr>
        <w:rPr>
          <w:rFonts w:asciiTheme="majorHAnsi" w:hAnsiTheme="majorHAnsi" w:cstheme="majorHAnsi"/>
          <w:sz w:val="24"/>
          <w:szCs w:val="24"/>
          <w:lang w:val="ro-MD"/>
        </w:rPr>
      </w:pPr>
      <w:r w:rsidRPr="00585C40">
        <w:rPr>
          <w:rFonts w:asciiTheme="majorHAnsi" w:hAnsiTheme="majorHAnsi" w:cstheme="majorHAnsi"/>
          <w:sz w:val="24"/>
          <w:szCs w:val="24"/>
          <w:lang w:val="ro-MD"/>
        </w:rPr>
        <w:t xml:space="preserve"> </w:t>
      </w:r>
    </w:p>
    <w:p w14:paraId="7A49647E" w14:textId="77777777" w:rsidR="00E97F9C" w:rsidRPr="00585C40" w:rsidRDefault="00E97F9C" w:rsidP="00E97F9C">
      <w:pPr>
        <w:spacing w:after="0"/>
        <w:rPr>
          <w:rFonts w:asciiTheme="majorHAnsi" w:hAnsiTheme="majorHAnsi" w:cstheme="majorHAnsi"/>
          <w:sz w:val="24"/>
          <w:szCs w:val="24"/>
          <w:lang w:val="ro-MD"/>
        </w:rPr>
      </w:pPr>
    </w:p>
    <w:p w14:paraId="6CA12770" w14:textId="77777777" w:rsidR="00E97F9C" w:rsidRPr="00585C40" w:rsidRDefault="00E97F9C" w:rsidP="00E97F9C">
      <w:pPr>
        <w:spacing w:after="0"/>
        <w:rPr>
          <w:rFonts w:asciiTheme="majorHAnsi" w:hAnsiTheme="majorHAnsi" w:cstheme="majorHAnsi"/>
          <w:sz w:val="24"/>
          <w:szCs w:val="24"/>
          <w:lang w:val="ro-MD"/>
        </w:rPr>
      </w:pPr>
    </w:p>
    <w:p w14:paraId="7D72E2A7" w14:textId="77777777" w:rsidR="00E97F9C" w:rsidRPr="00585C40" w:rsidRDefault="00E97F9C" w:rsidP="00E97F9C">
      <w:pPr>
        <w:spacing w:after="0"/>
        <w:rPr>
          <w:rFonts w:asciiTheme="majorHAnsi" w:hAnsiTheme="majorHAnsi" w:cstheme="majorHAnsi"/>
          <w:sz w:val="24"/>
          <w:szCs w:val="24"/>
          <w:lang w:val="ro-MD"/>
        </w:rPr>
      </w:pPr>
    </w:p>
    <w:p w14:paraId="3B6E2152" w14:textId="77777777" w:rsidR="00555FF2" w:rsidRDefault="001F3202">
      <w:pPr>
        <w:rPr>
          <w:sz w:val="24"/>
          <w:szCs w:val="24"/>
        </w:rPr>
      </w:pPr>
    </w:p>
    <w:p w14:paraId="0B011BFC" w14:textId="77777777" w:rsidR="00867B71" w:rsidRDefault="00867B71">
      <w:pPr>
        <w:rPr>
          <w:sz w:val="24"/>
          <w:szCs w:val="24"/>
        </w:rPr>
      </w:pPr>
    </w:p>
    <w:p w14:paraId="449B5A2E" w14:textId="77777777" w:rsidR="00867B71" w:rsidRDefault="00867B71">
      <w:pPr>
        <w:rPr>
          <w:sz w:val="24"/>
          <w:szCs w:val="24"/>
        </w:rPr>
      </w:pPr>
    </w:p>
    <w:p w14:paraId="16DF6311" w14:textId="77777777" w:rsidR="00867B71" w:rsidRDefault="00867B71">
      <w:pPr>
        <w:rPr>
          <w:sz w:val="24"/>
          <w:szCs w:val="24"/>
        </w:rPr>
      </w:pPr>
    </w:p>
    <w:p w14:paraId="12E83A2D" w14:textId="77777777" w:rsidR="00867B71" w:rsidRDefault="00867B71">
      <w:pPr>
        <w:rPr>
          <w:sz w:val="24"/>
          <w:szCs w:val="24"/>
        </w:rPr>
      </w:pPr>
    </w:p>
    <w:p w14:paraId="720C9042" w14:textId="77777777" w:rsidR="00867B71" w:rsidRDefault="00867B71">
      <w:pPr>
        <w:rPr>
          <w:sz w:val="24"/>
          <w:szCs w:val="24"/>
        </w:rPr>
      </w:pPr>
    </w:p>
    <w:p w14:paraId="670731DB" w14:textId="77777777" w:rsidR="00867B71" w:rsidRDefault="00867B71">
      <w:pPr>
        <w:rPr>
          <w:sz w:val="24"/>
          <w:szCs w:val="24"/>
        </w:rPr>
      </w:pPr>
    </w:p>
    <w:p w14:paraId="1A107E65" w14:textId="77777777" w:rsidR="00867B71" w:rsidRDefault="00867B71">
      <w:pPr>
        <w:rPr>
          <w:sz w:val="24"/>
          <w:szCs w:val="24"/>
        </w:rPr>
      </w:pPr>
    </w:p>
    <w:sectPr w:rsidR="00867B71" w:rsidSect="00B51976">
      <w:headerReference w:type="default" r:id="rId10"/>
      <w:footerReference w:type="default" r:id="rId11"/>
      <w:pgSz w:w="12240" w:h="15840"/>
      <w:pgMar w:top="851" w:right="720" w:bottom="1418" w:left="16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F97C6" w14:textId="77777777" w:rsidR="001F3202" w:rsidRDefault="001F3202" w:rsidP="00E97F9C">
      <w:pPr>
        <w:spacing w:after="0" w:line="240" w:lineRule="auto"/>
      </w:pPr>
      <w:r>
        <w:separator/>
      </w:r>
    </w:p>
  </w:endnote>
  <w:endnote w:type="continuationSeparator" w:id="0">
    <w:p w14:paraId="5232BADC" w14:textId="77777777" w:rsidR="001F3202" w:rsidRDefault="001F3202" w:rsidP="00E97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727745"/>
      <w:docPartObj>
        <w:docPartGallery w:val="Page Numbers (Bottom of Page)"/>
        <w:docPartUnique/>
      </w:docPartObj>
    </w:sdtPr>
    <w:sdtEndPr>
      <w:rPr>
        <w:noProof/>
      </w:rPr>
    </w:sdtEndPr>
    <w:sdtContent>
      <w:p w14:paraId="6D7D2EB6" w14:textId="5315035C" w:rsidR="00D02F43" w:rsidRDefault="00DA37F5">
        <w:pPr>
          <w:pStyle w:val="a8"/>
          <w:jc w:val="right"/>
        </w:pPr>
        <w:r>
          <w:fldChar w:fldCharType="begin"/>
        </w:r>
        <w:r>
          <w:instrText xml:space="preserve"> PAGE   \* MERGEFORMAT </w:instrText>
        </w:r>
        <w:r>
          <w:fldChar w:fldCharType="separate"/>
        </w:r>
        <w:r w:rsidR="001F3202">
          <w:rPr>
            <w:noProof/>
          </w:rPr>
          <w:t>1</w:t>
        </w:r>
        <w:r>
          <w:rPr>
            <w:noProof/>
          </w:rPr>
          <w:fldChar w:fldCharType="end"/>
        </w:r>
      </w:p>
    </w:sdtContent>
  </w:sdt>
  <w:p w14:paraId="7675DAC0" w14:textId="77777777" w:rsidR="00D02F43" w:rsidRDefault="001F3202" w:rsidP="00D02F43">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CF692" w14:textId="77777777" w:rsidR="001F3202" w:rsidRDefault="001F3202" w:rsidP="00E97F9C">
      <w:pPr>
        <w:spacing w:after="0" w:line="240" w:lineRule="auto"/>
      </w:pPr>
      <w:r>
        <w:separator/>
      </w:r>
    </w:p>
  </w:footnote>
  <w:footnote w:type="continuationSeparator" w:id="0">
    <w:p w14:paraId="69235C5D" w14:textId="77777777" w:rsidR="001F3202" w:rsidRDefault="001F3202" w:rsidP="00E97F9C">
      <w:pPr>
        <w:spacing w:after="0" w:line="240" w:lineRule="auto"/>
      </w:pPr>
      <w:r>
        <w:continuationSeparator/>
      </w:r>
    </w:p>
  </w:footnote>
  <w:footnote w:id="1">
    <w:p w14:paraId="4BEE2820" w14:textId="77777777" w:rsidR="00E97F9C" w:rsidRPr="005F7A8E" w:rsidRDefault="00E97F9C" w:rsidP="00E97F9C">
      <w:pPr>
        <w:pStyle w:val="a5"/>
        <w:rPr>
          <w:rFonts w:asciiTheme="majorHAnsi" w:hAnsiTheme="majorHAnsi" w:cstheme="majorHAnsi"/>
          <w:sz w:val="16"/>
          <w:szCs w:val="16"/>
          <w:lang w:val="ro-MD"/>
        </w:rPr>
      </w:pPr>
      <w:r w:rsidRPr="005F7A8E">
        <w:rPr>
          <w:rStyle w:val="a7"/>
          <w:rFonts w:asciiTheme="majorHAnsi" w:hAnsiTheme="majorHAnsi" w:cstheme="majorHAnsi"/>
          <w:sz w:val="16"/>
          <w:szCs w:val="16"/>
          <w:lang w:val="ro-MD"/>
        </w:rPr>
        <w:footnoteRef/>
      </w:r>
      <w:r w:rsidRPr="005F7A8E">
        <w:rPr>
          <w:rFonts w:asciiTheme="majorHAnsi" w:hAnsiTheme="majorHAnsi" w:cstheme="majorHAnsi"/>
          <w:sz w:val="16"/>
          <w:szCs w:val="16"/>
          <w:lang w:val="ro-MD"/>
        </w:rPr>
        <w:t xml:space="preserve"> Legea privind organizarea și funcționarea Curții de Conturi a Republicii Moldova nr.260 din 07.12.2017</w:t>
      </w:r>
      <w:r w:rsidR="00C66412">
        <w:rPr>
          <w:rFonts w:asciiTheme="majorHAnsi" w:hAnsiTheme="majorHAnsi" w:cstheme="majorHAnsi"/>
          <w:sz w:val="16"/>
          <w:szCs w:val="16"/>
          <w:lang w:val="ro-MD"/>
        </w:rPr>
        <w:t>,</w:t>
      </w:r>
      <w:r w:rsidRPr="005F7A8E">
        <w:rPr>
          <w:rFonts w:asciiTheme="majorHAnsi" w:hAnsiTheme="majorHAnsi" w:cstheme="majorHAnsi"/>
          <w:sz w:val="16"/>
          <w:szCs w:val="16"/>
          <w:lang w:val="ro-MD"/>
        </w:rPr>
        <w:t xml:space="preserve"> </w:t>
      </w:r>
      <w:r w:rsidR="00AC0CD0">
        <w:rPr>
          <w:rFonts w:asciiTheme="majorHAnsi" w:hAnsiTheme="majorHAnsi" w:cstheme="majorHAnsi"/>
          <w:sz w:val="16"/>
          <w:szCs w:val="16"/>
          <w:lang w:val="ro-MD"/>
        </w:rPr>
        <w:t xml:space="preserve">cu modificările și completările ulterioare </w:t>
      </w:r>
      <w:r w:rsidRPr="005F7A8E">
        <w:rPr>
          <w:rFonts w:asciiTheme="majorHAnsi" w:hAnsiTheme="majorHAnsi" w:cstheme="majorHAnsi"/>
          <w:sz w:val="16"/>
          <w:szCs w:val="16"/>
          <w:lang w:val="ro-MD"/>
        </w:rPr>
        <w:t>(în continuare – Legea nr.260 din 07.12.2017).</w:t>
      </w:r>
    </w:p>
  </w:footnote>
  <w:footnote w:id="2">
    <w:p w14:paraId="0A86206E" w14:textId="7971903F" w:rsidR="00C35B0C" w:rsidRPr="00C35B0C" w:rsidRDefault="00C35B0C" w:rsidP="00C35B0C">
      <w:pPr>
        <w:pStyle w:val="a5"/>
        <w:rPr>
          <w:rFonts w:ascii="Calibri Light" w:hAnsi="Calibri Light" w:cs="Calibri Light"/>
          <w:sz w:val="16"/>
          <w:szCs w:val="16"/>
          <w:lang w:val="ro-RO"/>
        </w:rPr>
      </w:pPr>
      <w:r w:rsidRPr="00A03086">
        <w:rPr>
          <w:rFonts w:ascii="Calibri Light" w:hAnsi="Calibri Light" w:cs="Calibri Light"/>
          <w:sz w:val="16"/>
          <w:szCs w:val="16"/>
          <w:vertAlign w:val="superscript"/>
          <w:lang w:val="ro-RO"/>
        </w:rPr>
        <w:footnoteRef/>
      </w:r>
      <w:r w:rsidRPr="00A03086">
        <w:rPr>
          <w:rFonts w:ascii="Calibri Light" w:hAnsi="Calibri Light" w:cs="Calibri Light"/>
          <w:sz w:val="16"/>
          <w:szCs w:val="16"/>
          <w:vertAlign w:val="superscript"/>
          <w:lang w:val="ro-RO"/>
        </w:rPr>
        <w:t xml:space="preserve"> </w:t>
      </w:r>
      <w:r w:rsidR="000A462D" w:rsidRPr="00A03086">
        <w:rPr>
          <w:rFonts w:ascii="Calibri Light" w:hAnsi="Calibri Light" w:cs="Calibri Light"/>
          <w:sz w:val="16"/>
          <w:szCs w:val="16"/>
          <w:lang w:val="ro-RO"/>
        </w:rPr>
        <w:t>Programul</w:t>
      </w:r>
      <w:r w:rsidR="006E0E3D" w:rsidRPr="00A03086">
        <w:rPr>
          <w:rFonts w:ascii="Calibri Light" w:hAnsi="Calibri Light" w:cs="Calibri Light"/>
          <w:sz w:val="16"/>
          <w:szCs w:val="16"/>
          <w:lang w:val="ro-RO"/>
        </w:rPr>
        <w:t xml:space="preserve"> activității de audit pentru anul 2021, aprobat prin Hotărârea nr.62 din 10.12.2020, cu modifică</w:t>
      </w:r>
      <w:r w:rsidR="000A462D" w:rsidRPr="00A03086">
        <w:rPr>
          <w:rFonts w:ascii="Calibri Light" w:hAnsi="Calibri Light" w:cs="Calibri Light"/>
          <w:sz w:val="16"/>
          <w:szCs w:val="16"/>
          <w:lang w:val="ro-RO"/>
        </w:rPr>
        <w:t>rile și completările ulterioare</w:t>
      </w:r>
      <w:r w:rsidR="00A03086" w:rsidRPr="00A03086">
        <w:rPr>
          <w:rFonts w:ascii="Calibri Light" w:hAnsi="Calibri Light" w:cs="Calibri Light"/>
          <w:sz w:val="16"/>
          <w:szCs w:val="16"/>
          <w:lang w:val="ro-RO"/>
        </w:rPr>
        <w:t>, Programul activității de audit pentru anul 2022, aprobat prin Hotărârea nr. 75 din 28.12.2021.</w:t>
      </w:r>
    </w:p>
  </w:footnote>
  <w:footnote w:id="3">
    <w:p w14:paraId="359B9270" w14:textId="77777777" w:rsidR="00A03086" w:rsidRPr="005F7A8E" w:rsidRDefault="00A03086" w:rsidP="00A03086">
      <w:pPr>
        <w:pStyle w:val="ad"/>
        <w:spacing w:after="0"/>
        <w:rPr>
          <w:rFonts w:asciiTheme="majorHAnsi" w:hAnsiTheme="majorHAnsi" w:cstheme="majorHAnsi"/>
          <w:sz w:val="16"/>
          <w:szCs w:val="16"/>
          <w:lang w:val="ro-MD"/>
        </w:rPr>
      </w:pPr>
      <w:r w:rsidRPr="005F7A8E">
        <w:rPr>
          <w:rStyle w:val="a7"/>
          <w:rFonts w:asciiTheme="majorHAnsi" w:hAnsiTheme="majorHAnsi" w:cstheme="majorHAnsi"/>
          <w:sz w:val="16"/>
          <w:szCs w:val="16"/>
          <w:lang w:val="ro-MD"/>
        </w:rPr>
        <w:footnoteRef/>
      </w:r>
      <w:r w:rsidRPr="005F7A8E">
        <w:rPr>
          <w:rFonts w:asciiTheme="majorHAnsi" w:hAnsiTheme="majorHAnsi" w:cstheme="majorHAnsi"/>
          <w:sz w:val="16"/>
          <w:szCs w:val="16"/>
          <w:lang w:val="ro-MD"/>
        </w:rPr>
        <w:t xml:space="preserve"> Hotărârea Curții de Conturi nr.2 din 24.01.2020 „Cu privire la Cadrul Declarațiilor Profesionale ale INTOSAI”.</w:t>
      </w:r>
    </w:p>
  </w:footnote>
  <w:footnote w:id="4">
    <w:p w14:paraId="37670C1C" w14:textId="77777777" w:rsidR="00A03086" w:rsidRPr="005F7A8E" w:rsidRDefault="00A03086" w:rsidP="00A03086">
      <w:pPr>
        <w:pStyle w:val="af"/>
        <w:rPr>
          <w:rFonts w:asciiTheme="majorHAnsi" w:hAnsiTheme="majorHAnsi" w:cstheme="majorHAnsi"/>
          <w:noProof/>
          <w:sz w:val="16"/>
          <w:szCs w:val="16"/>
          <w:lang w:val="ro-MD"/>
        </w:rPr>
      </w:pPr>
      <w:r w:rsidRPr="005F7A8E">
        <w:rPr>
          <w:rStyle w:val="a7"/>
          <w:rFonts w:asciiTheme="majorHAnsi" w:hAnsiTheme="majorHAnsi" w:cstheme="majorHAnsi"/>
          <w:noProof/>
          <w:sz w:val="16"/>
          <w:szCs w:val="16"/>
          <w:lang w:val="ro-MD"/>
        </w:rPr>
        <w:footnoteRef/>
      </w:r>
      <w:r w:rsidRPr="005F7A8E">
        <w:rPr>
          <w:rFonts w:asciiTheme="majorHAnsi" w:hAnsiTheme="majorHAnsi" w:cstheme="majorHAnsi"/>
          <w:noProof/>
          <w:sz w:val="16"/>
          <w:szCs w:val="16"/>
          <w:lang w:val="ro-MD"/>
        </w:rPr>
        <w:t xml:space="preserve"> Ordinul ministrului </w:t>
      </w:r>
      <w:r>
        <w:rPr>
          <w:rFonts w:asciiTheme="majorHAnsi" w:hAnsiTheme="majorHAnsi" w:cstheme="majorHAnsi"/>
          <w:noProof/>
          <w:sz w:val="16"/>
          <w:szCs w:val="16"/>
          <w:lang w:val="ro-MD"/>
        </w:rPr>
        <w:t>F</w:t>
      </w:r>
      <w:r w:rsidRPr="005F7A8E">
        <w:rPr>
          <w:rFonts w:asciiTheme="majorHAnsi" w:hAnsiTheme="majorHAnsi" w:cstheme="majorHAnsi"/>
          <w:noProof/>
          <w:sz w:val="16"/>
          <w:szCs w:val="16"/>
          <w:lang w:val="ro-MD"/>
        </w:rPr>
        <w:t>inanțelor nr.38 din 17.02.2017 „Cu privire la aprobarea formularelor Rapoartelor privind executarea bugetului asigurărilor sociale de stat şi Normelor metodologice privind modul de întocmire a acestora” (cu modificările și completările ulterioare).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BCA4B" w14:textId="77777777" w:rsidR="00F930F3" w:rsidRPr="00F930F3" w:rsidRDefault="00F930F3" w:rsidP="00F930F3">
    <w:pPr>
      <w:pStyle w:val="af2"/>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5740A"/>
    <w:multiLevelType w:val="multilevel"/>
    <w:tmpl w:val="D1509976"/>
    <w:lvl w:ilvl="0">
      <w:start w:val="1"/>
      <w:numFmt w:val="decimal"/>
      <w:lvlText w:val="%1."/>
      <w:lvlJc w:val="left"/>
      <w:pPr>
        <w:ind w:left="1920" w:hanging="360"/>
      </w:pPr>
      <w:rPr>
        <w:rFonts w:hint="default"/>
        <w:b/>
        <w:color w:val="auto"/>
      </w:rPr>
    </w:lvl>
    <w:lvl w:ilvl="1">
      <w:start w:val="1"/>
      <w:numFmt w:val="decimal"/>
      <w:isLgl/>
      <w:lvlText w:val="%1.%2."/>
      <w:lvlJc w:val="left"/>
      <w:pPr>
        <w:ind w:left="1430" w:hanging="720"/>
      </w:pPr>
      <w:rPr>
        <w:rFonts w:hint="default"/>
        <w:b/>
      </w:rPr>
    </w:lvl>
    <w:lvl w:ilvl="2">
      <w:start w:val="1"/>
      <w:numFmt w:val="decimal"/>
      <w:isLgl/>
      <w:lvlText w:val="%1.%2.%3."/>
      <w:lvlJc w:val="left"/>
      <w:pPr>
        <w:ind w:left="1430"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abstractNum w:abstractNumId="1" w15:restartNumberingAfterBreak="0">
    <w:nsid w:val="5FF21B46"/>
    <w:multiLevelType w:val="multilevel"/>
    <w:tmpl w:val="D1509976"/>
    <w:lvl w:ilvl="0">
      <w:start w:val="1"/>
      <w:numFmt w:val="decimal"/>
      <w:lvlText w:val="%1."/>
      <w:lvlJc w:val="left"/>
      <w:pPr>
        <w:ind w:left="1920" w:hanging="360"/>
      </w:pPr>
      <w:rPr>
        <w:rFonts w:hint="default"/>
        <w:b/>
        <w:color w:val="auto"/>
      </w:rPr>
    </w:lvl>
    <w:lvl w:ilvl="1">
      <w:start w:val="1"/>
      <w:numFmt w:val="decimal"/>
      <w:isLgl/>
      <w:lvlText w:val="%1.%2."/>
      <w:lvlJc w:val="left"/>
      <w:pPr>
        <w:ind w:left="1430" w:hanging="720"/>
      </w:pPr>
      <w:rPr>
        <w:rFonts w:hint="default"/>
        <w:b/>
      </w:rPr>
    </w:lvl>
    <w:lvl w:ilvl="2">
      <w:start w:val="1"/>
      <w:numFmt w:val="decimal"/>
      <w:isLgl/>
      <w:lvlText w:val="%1.%2.%3."/>
      <w:lvlJc w:val="left"/>
      <w:pPr>
        <w:ind w:left="1430"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abstractNum w:abstractNumId="2" w15:restartNumberingAfterBreak="0">
    <w:nsid w:val="68E26F39"/>
    <w:multiLevelType w:val="multilevel"/>
    <w:tmpl w:val="D1509976"/>
    <w:lvl w:ilvl="0">
      <w:start w:val="1"/>
      <w:numFmt w:val="decimal"/>
      <w:lvlText w:val="%1."/>
      <w:lvlJc w:val="left"/>
      <w:pPr>
        <w:ind w:left="1920" w:hanging="360"/>
      </w:pPr>
      <w:rPr>
        <w:rFonts w:hint="default"/>
        <w:b/>
        <w:color w:val="auto"/>
      </w:rPr>
    </w:lvl>
    <w:lvl w:ilvl="1">
      <w:start w:val="1"/>
      <w:numFmt w:val="decimal"/>
      <w:isLgl/>
      <w:lvlText w:val="%1.%2."/>
      <w:lvlJc w:val="left"/>
      <w:pPr>
        <w:ind w:left="1430" w:hanging="720"/>
      </w:pPr>
      <w:rPr>
        <w:rFonts w:hint="default"/>
        <w:b/>
      </w:rPr>
    </w:lvl>
    <w:lvl w:ilvl="2">
      <w:start w:val="1"/>
      <w:numFmt w:val="decimal"/>
      <w:isLgl/>
      <w:lvlText w:val="%1.%2.%3."/>
      <w:lvlJc w:val="left"/>
      <w:pPr>
        <w:ind w:left="1430"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DE"/>
    <w:rsid w:val="00010F79"/>
    <w:rsid w:val="00043E75"/>
    <w:rsid w:val="00054C5C"/>
    <w:rsid w:val="00083943"/>
    <w:rsid w:val="00092E1A"/>
    <w:rsid w:val="000A462D"/>
    <w:rsid w:val="00110C71"/>
    <w:rsid w:val="00114D43"/>
    <w:rsid w:val="00115F1E"/>
    <w:rsid w:val="00122AE6"/>
    <w:rsid w:val="00143136"/>
    <w:rsid w:val="00163C2F"/>
    <w:rsid w:val="00172D51"/>
    <w:rsid w:val="00192337"/>
    <w:rsid w:val="0019250A"/>
    <w:rsid w:val="001A62B8"/>
    <w:rsid w:val="001A7C6B"/>
    <w:rsid w:val="001F2787"/>
    <w:rsid w:val="001F3202"/>
    <w:rsid w:val="002029E0"/>
    <w:rsid w:val="002233EA"/>
    <w:rsid w:val="00255BCC"/>
    <w:rsid w:val="00257A7C"/>
    <w:rsid w:val="00270748"/>
    <w:rsid w:val="00272BC8"/>
    <w:rsid w:val="00281074"/>
    <w:rsid w:val="0030128E"/>
    <w:rsid w:val="003068B8"/>
    <w:rsid w:val="00312611"/>
    <w:rsid w:val="003155A5"/>
    <w:rsid w:val="00315972"/>
    <w:rsid w:val="00355F5B"/>
    <w:rsid w:val="0038546D"/>
    <w:rsid w:val="003A390E"/>
    <w:rsid w:val="003B51B3"/>
    <w:rsid w:val="003B660C"/>
    <w:rsid w:val="003D3AB8"/>
    <w:rsid w:val="003D59BA"/>
    <w:rsid w:val="003E0919"/>
    <w:rsid w:val="00411B5C"/>
    <w:rsid w:val="00422D43"/>
    <w:rsid w:val="00427BF5"/>
    <w:rsid w:val="00483135"/>
    <w:rsid w:val="004939AE"/>
    <w:rsid w:val="004D249B"/>
    <w:rsid w:val="00516532"/>
    <w:rsid w:val="00533532"/>
    <w:rsid w:val="005356CE"/>
    <w:rsid w:val="00551463"/>
    <w:rsid w:val="00561959"/>
    <w:rsid w:val="00585C40"/>
    <w:rsid w:val="005C3BB6"/>
    <w:rsid w:val="005C6205"/>
    <w:rsid w:val="005E4958"/>
    <w:rsid w:val="005F2116"/>
    <w:rsid w:val="005F376E"/>
    <w:rsid w:val="005F5344"/>
    <w:rsid w:val="005F7452"/>
    <w:rsid w:val="00601752"/>
    <w:rsid w:val="006136F1"/>
    <w:rsid w:val="00614CD7"/>
    <w:rsid w:val="00640699"/>
    <w:rsid w:val="00641E13"/>
    <w:rsid w:val="00650686"/>
    <w:rsid w:val="006642F5"/>
    <w:rsid w:val="0067356D"/>
    <w:rsid w:val="006A31D6"/>
    <w:rsid w:val="006C2CCF"/>
    <w:rsid w:val="006E0E3D"/>
    <w:rsid w:val="006F0004"/>
    <w:rsid w:val="00714DD6"/>
    <w:rsid w:val="007158C4"/>
    <w:rsid w:val="00722632"/>
    <w:rsid w:val="00731E4B"/>
    <w:rsid w:val="00783A35"/>
    <w:rsid w:val="008044F9"/>
    <w:rsid w:val="00815CE3"/>
    <w:rsid w:val="0083170B"/>
    <w:rsid w:val="00867B71"/>
    <w:rsid w:val="00884158"/>
    <w:rsid w:val="00894463"/>
    <w:rsid w:val="008B0998"/>
    <w:rsid w:val="008B7B1E"/>
    <w:rsid w:val="008C02D7"/>
    <w:rsid w:val="008C3AFC"/>
    <w:rsid w:val="00916BA4"/>
    <w:rsid w:val="00922399"/>
    <w:rsid w:val="00925E4B"/>
    <w:rsid w:val="00962D05"/>
    <w:rsid w:val="009916DA"/>
    <w:rsid w:val="009C1DD1"/>
    <w:rsid w:val="009C46F7"/>
    <w:rsid w:val="00A03086"/>
    <w:rsid w:val="00A06AD8"/>
    <w:rsid w:val="00A14273"/>
    <w:rsid w:val="00A23831"/>
    <w:rsid w:val="00A2631B"/>
    <w:rsid w:val="00A3256E"/>
    <w:rsid w:val="00A403B5"/>
    <w:rsid w:val="00A57752"/>
    <w:rsid w:val="00A622AC"/>
    <w:rsid w:val="00A67620"/>
    <w:rsid w:val="00A70A45"/>
    <w:rsid w:val="00A76AA8"/>
    <w:rsid w:val="00A86B0D"/>
    <w:rsid w:val="00AC0CD0"/>
    <w:rsid w:val="00AE70E2"/>
    <w:rsid w:val="00B10B7D"/>
    <w:rsid w:val="00B35B6C"/>
    <w:rsid w:val="00B51976"/>
    <w:rsid w:val="00B91499"/>
    <w:rsid w:val="00BD358A"/>
    <w:rsid w:val="00BE5A1A"/>
    <w:rsid w:val="00C02A18"/>
    <w:rsid w:val="00C030F8"/>
    <w:rsid w:val="00C17A9A"/>
    <w:rsid w:val="00C30C89"/>
    <w:rsid w:val="00C35B0C"/>
    <w:rsid w:val="00C41244"/>
    <w:rsid w:val="00C573FA"/>
    <w:rsid w:val="00C57A94"/>
    <w:rsid w:val="00C66412"/>
    <w:rsid w:val="00C6721C"/>
    <w:rsid w:val="00C719D1"/>
    <w:rsid w:val="00CB1896"/>
    <w:rsid w:val="00CB788A"/>
    <w:rsid w:val="00CC11AE"/>
    <w:rsid w:val="00CE0B25"/>
    <w:rsid w:val="00D0593B"/>
    <w:rsid w:val="00D4182F"/>
    <w:rsid w:val="00D561E6"/>
    <w:rsid w:val="00D81A37"/>
    <w:rsid w:val="00DA37F5"/>
    <w:rsid w:val="00DC37AD"/>
    <w:rsid w:val="00DE467B"/>
    <w:rsid w:val="00DE61A8"/>
    <w:rsid w:val="00E24A25"/>
    <w:rsid w:val="00E36E9F"/>
    <w:rsid w:val="00E444DE"/>
    <w:rsid w:val="00E669D6"/>
    <w:rsid w:val="00E73967"/>
    <w:rsid w:val="00E90869"/>
    <w:rsid w:val="00E95B56"/>
    <w:rsid w:val="00E97F9C"/>
    <w:rsid w:val="00EB4CBF"/>
    <w:rsid w:val="00EC7FD8"/>
    <w:rsid w:val="00EE2B38"/>
    <w:rsid w:val="00EE2F9C"/>
    <w:rsid w:val="00EF744C"/>
    <w:rsid w:val="00F839A3"/>
    <w:rsid w:val="00F84399"/>
    <w:rsid w:val="00F930F3"/>
    <w:rsid w:val="00F9687F"/>
    <w:rsid w:val="00FA1803"/>
    <w:rsid w:val="00FA5C2B"/>
    <w:rsid w:val="00FB7510"/>
    <w:rsid w:val="00FC00BE"/>
    <w:rsid w:val="00FD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58B3"/>
  <w15:chartTrackingRefBased/>
  <w15:docId w15:val="{DA8A949D-6908-431B-8491-B70B9AD1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76"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F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footnote text,Char1,A Знак Знак"/>
    <w:basedOn w:val="a"/>
    <w:link w:val="a4"/>
    <w:uiPriority w:val="99"/>
    <w:unhideWhenUsed/>
    <w:qFormat/>
    <w:rsid w:val="00E97F9C"/>
    <w:pPr>
      <w:spacing w:after="0" w:line="240" w:lineRule="auto"/>
      <w:ind w:firstLine="567"/>
    </w:pPr>
    <w:rPr>
      <w:rFonts w:ascii="Times New Roman" w:eastAsia="Times New Roman" w:hAnsi="Times New Roman" w:cs="Times New Roman"/>
      <w:sz w:val="24"/>
      <w:szCs w:val="24"/>
    </w:rPr>
  </w:style>
  <w:style w:type="paragraph" w:customStyle="1" w:styleId="cn">
    <w:name w:val="cn"/>
    <w:basedOn w:val="a"/>
    <w:rsid w:val="00E97F9C"/>
    <w:pPr>
      <w:spacing w:after="0" w:line="240" w:lineRule="auto"/>
      <w:jc w:val="center"/>
    </w:pPr>
    <w:rPr>
      <w:rFonts w:ascii="Times New Roman" w:eastAsia="Times New Roman" w:hAnsi="Times New Roman" w:cs="Times New Roman"/>
      <w:sz w:val="24"/>
      <w:szCs w:val="24"/>
    </w:rPr>
  </w:style>
  <w:style w:type="paragraph" w:styleId="a5">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iPriority w:val="99"/>
    <w:unhideWhenUsed/>
    <w:qFormat/>
    <w:rsid w:val="00E97F9C"/>
    <w:pPr>
      <w:spacing w:after="0" w:line="240" w:lineRule="auto"/>
    </w:pPr>
    <w:rPr>
      <w:sz w:val="20"/>
      <w:szCs w:val="20"/>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5"/>
    <w:uiPriority w:val="99"/>
    <w:rsid w:val="00E97F9C"/>
    <w:rPr>
      <w:sz w:val="20"/>
      <w:szCs w:val="20"/>
    </w:rPr>
  </w:style>
  <w:style w:type="character" w:styleId="a7">
    <w:name w:val="footnote reference"/>
    <w:aliases w:val="ftref,Times 10 Point,Exposant 3 Point,Footnote symbol,Footnote reference number,EN Footnote Reference,note TESI,16 Point,Superscript 6 Point,BVI fnr,Char Char1,FOOTNOTES Char1,fn Char1,single space Char1,ft Char1,Ref"/>
    <w:basedOn w:val="a0"/>
    <w:link w:val="FNRefeCharChar"/>
    <w:uiPriority w:val="99"/>
    <w:unhideWhenUsed/>
    <w:rsid w:val="00E97F9C"/>
    <w:rPr>
      <w:vertAlign w:val="superscript"/>
    </w:rPr>
  </w:style>
  <w:style w:type="paragraph" w:styleId="a8">
    <w:name w:val="footer"/>
    <w:basedOn w:val="a"/>
    <w:link w:val="a9"/>
    <w:uiPriority w:val="99"/>
    <w:unhideWhenUsed/>
    <w:rsid w:val="00E97F9C"/>
    <w:pPr>
      <w:tabs>
        <w:tab w:val="center" w:pos="4844"/>
        <w:tab w:val="right" w:pos="9689"/>
      </w:tabs>
      <w:spacing w:after="0" w:line="240" w:lineRule="auto"/>
    </w:pPr>
  </w:style>
  <w:style w:type="character" w:customStyle="1" w:styleId="a9">
    <w:name w:val="Нижний колонтитул Знак"/>
    <w:basedOn w:val="a0"/>
    <w:link w:val="a8"/>
    <w:uiPriority w:val="99"/>
    <w:rsid w:val="00E97F9C"/>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7"/>
    <w:uiPriority w:val="99"/>
    <w:qFormat/>
    <w:rsid w:val="00E97F9C"/>
    <w:pPr>
      <w:spacing w:line="240" w:lineRule="exact"/>
    </w:pPr>
    <w:rPr>
      <w:vertAlign w:val="superscript"/>
    </w:rPr>
  </w:style>
  <w:style w:type="paragraph" w:customStyle="1" w:styleId="cp">
    <w:name w:val="cp"/>
    <w:basedOn w:val="a"/>
    <w:rsid w:val="00E97F9C"/>
    <w:pPr>
      <w:spacing w:after="0" w:line="240" w:lineRule="auto"/>
      <w:jc w:val="center"/>
    </w:pPr>
    <w:rPr>
      <w:rFonts w:ascii="Times New Roman" w:eastAsia="Times New Roman" w:hAnsi="Times New Roman" w:cs="Times New Roman"/>
      <w:b/>
      <w:bCs/>
      <w:sz w:val="24"/>
      <w:szCs w:val="24"/>
    </w:rPr>
  </w:style>
  <w:style w:type="character" w:styleId="aa">
    <w:name w:val="Hyperlink"/>
    <w:basedOn w:val="a0"/>
    <w:uiPriority w:val="99"/>
    <w:unhideWhenUsed/>
    <w:rsid w:val="00E97F9C"/>
    <w:rPr>
      <w:color w:val="0563C1" w:themeColor="hyperlink"/>
      <w:u w:val="single"/>
    </w:rPr>
  </w:style>
  <w:style w:type="paragraph" w:styleId="ab">
    <w:name w:val="List Paragraph"/>
    <w:aliases w:val="List Paragraph 1,strikethrough,Scriptoria bullet points,Абзац списка1,Bullets,References,Liste 1,List Paragraph nowy,Numbered List Paragraph,List Paragraph (numbered (a)),Medium Grid 1 - Accent 21,Paragraphe de liste2,Paragraphe de liste1"/>
    <w:basedOn w:val="a"/>
    <w:link w:val="ac"/>
    <w:uiPriority w:val="34"/>
    <w:qFormat/>
    <w:rsid w:val="00E97F9C"/>
    <w:pPr>
      <w:ind w:left="720"/>
      <w:contextualSpacing/>
    </w:pPr>
    <w:rPr>
      <w:lang w:val="ro-RO"/>
    </w:rPr>
  </w:style>
  <w:style w:type="character" w:customStyle="1" w:styleId="ac">
    <w:name w:val="Абзац списка Знак"/>
    <w:aliases w:val="List Paragraph 1 Знак,strikethrough Знак,Scriptoria bullet points Знак,Абзац списка1 Знак,Bullets Знак,References Знак,Liste 1 Знак,List Paragraph nowy Знак,Numbered List Paragraph Знак,List Paragraph (numbered (a)) Знак"/>
    <w:link w:val="ab"/>
    <w:uiPriority w:val="34"/>
    <w:rsid w:val="00E97F9C"/>
    <w:rPr>
      <w:lang w:val="ro-RO"/>
    </w:rPr>
  </w:style>
  <w:style w:type="paragraph" w:styleId="ad">
    <w:name w:val="annotation text"/>
    <w:basedOn w:val="a"/>
    <w:link w:val="ae"/>
    <w:uiPriority w:val="99"/>
    <w:unhideWhenUsed/>
    <w:rsid w:val="00E97F9C"/>
    <w:pPr>
      <w:spacing w:line="240" w:lineRule="auto"/>
    </w:pPr>
    <w:rPr>
      <w:sz w:val="20"/>
      <w:szCs w:val="20"/>
    </w:rPr>
  </w:style>
  <w:style w:type="character" w:customStyle="1" w:styleId="ae">
    <w:name w:val="Текст примечания Знак"/>
    <w:basedOn w:val="a0"/>
    <w:link w:val="ad"/>
    <w:uiPriority w:val="99"/>
    <w:rsid w:val="00E97F9C"/>
    <w:rPr>
      <w:sz w:val="20"/>
      <w:szCs w:val="20"/>
    </w:rPr>
  </w:style>
  <w:style w:type="character" w:customStyle="1" w:styleId="a4">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link w:val="a3"/>
    <w:uiPriority w:val="99"/>
    <w:locked/>
    <w:rsid w:val="00E97F9C"/>
    <w:rPr>
      <w:rFonts w:ascii="Times New Roman" w:eastAsia="Times New Roman" w:hAnsi="Times New Roman" w:cs="Times New Roman"/>
      <w:sz w:val="24"/>
      <w:szCs w:val="24"/>
    </w:rPr>
  </w:style>
  <w:style w:type="paragraph" w:styleId="af">
    <w:name w:val="No Spacing"/>
    <w:aliases w:val="Subsol,referinta"/>
    <w:uiPriority w:val="1"/>
    <w:qFormat/>
    <w:rsid w:val="00E97F9C"/>
    <w:pPr>
      <w:widowControl w:val="0"/>
      <w:autoSpaceDE w:val="0"/>
      <w:autoSpaceDN w:val="0"/>
      <w:adjustRightInd w:val="0"/>
      <w:spacing w:after="0" w:line="240" w:lineRule="auto"/>
    </w:pPr>
    <w:rPr>
      <w:rFonts w:ascii="Arial" w:eastAsiaTheme="minorEastAsia" w:hAnsi="Arial" w:cs="Arial"/>
      <w:sz w:val="20"/>
      <w:szCs w:val="20"/>
    </w:rPr>
  </w:style>
  <w:style w:type="paragraph" w:styleId="af0">
    <w:name w:val="Balloon Text"/>
    <w:basedOn w:val="a"/>
    <w:link w:val="af1"/>
    <w:uiPriority w:val="99"/>
    <w:semiHidden/>
    <w:unhideWhenUsed/>
    <w:rsid w:val="00411B5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11B5C"/>
    <w:rPr>
      <w:rFonts w:ascii="Segoe UI" w:hAnsi="Segoe UI" w:cs="Segoe UI"/>
      <w:sz w:val="18"/>
      <w:szCs w:val="18"/>
    </w:rPr>
  </w:style>
  <w:style w:type="paragraph" w:styleId="af2">
    <w:name w:val="header"/>
    <w:basedOn w:val="a"/>
    <w:link w:val="af3"/>
    <w:uiPriority w:val="99"/>
    <w:unhideWhenUsed/>
    <w:rsid w:val="00F930F3"/>
    <w:pPr>
      <w:tabs>
        <w:tab w:val="center" w:pos="4844"/>
        <w:tab w:val="right" w:pos="9689"/>
      </w:tabs>
      <w:spacing w:after="0" w:line="240" w:lineRule="auto"/>
    </w:pPr>
  </w:style>
  <w:style w:type="character" w:customStyle="1" w:styleId="af3">
    <w:name w:val="Верхний колонтитул Знак"/>
    <w:basedOn w:val="a0"/>
    <w:link w:val="af2"/>
    <w:uiPriority w:val="99"/>
    <w:rsid w:val="00F930F3"/>
  </w:style>
  <w:style w:type="character" w:customStyle="1" w:styleId="3">
    <w:name w:val="Основной текст (3)_"/>
    <w:basedOn w:val="a0"/>
    <w:link w:val="30"/>
    <w:rsid w:val="00867B71"/>
    <w:rPr>
      <w:rFonts w:ascii="Calibri" w:eastAsia="Calibri" w:hAnsi="Calibri" w:cs="Calibri"/>
      <w:sz w:val="26"/>
      <w:szCs w:val="26"/>
      <w:shd w:val="clear" w:color="auto" w:fill="FFFFFF"/>
    </w:rPr>
  </w:style>
  <w:style w:type="character" w:customStyle="1" w:styleId="2">
    <w:name w:val="Основной текст (2)_"/>
    <w:basedOn w:val="a0"/>
    <w:link w:val="20"/>
    <w:rsid w:val="00867B71"/>
    <w:rPr>
      <w:rFonts w:ascii="Calibri" w:eastAsia="Calibri" w:hAnsi="Calibri" w:cs="Calibri"/>
      <w:i/>
      <w:iCs/>
      <w:sz w:val="26"/>
      <w:szCs w:val="26"/>
      <w:shd w:val="clear" w:color="auto" w:fill="FFFFFF"/>
    </w:rPr>
  </w:style>
  <w:style w:type="character" w:customStyle="1" w:styleId="21">
    <w:name w:val="Основной текст (2) + Не курсив"/>
    <w:basedOn w:val="2"/>
    <w:rsid w:val="00867B71"/>
    <w:rPr>
      <w:rFonts w:ascii="Calibri" w:eastAsia="Calibri" w:hAnsi="Calibri" w:cs="Calibri"/>
      <w:i/>
      <w:iCs/>
      <w:color w:val="000000"/>
      <w:spacing w:val="0"/>
      <w:w w:val="100"/>
      <w:position w:val="0"/>
      <w:sz w:val="26"/>
      <w:szCs w:val="26"/>
      <w:shd w:val="clear" w:color="auto" w:fill="FFFFFF"/>
      <w:lang w:val="ro-RO" w:eastAsia="ro-RO" w:bidi="ro-RO"/>
    </w:rPr>
  </w:style>
  <w:style w:type="paragraph" w:customStyle="1" w:styleId="30">
    <w:name w:val="Основной текст (3)"/>
    <w:basedOn w:val="a"/>
    <w:link w:val="3"/>
    <w:rsid w:val="00867B71"/>
    <w:pPr>
      <w:widowControl w:val="0"/>
      <w:shd w:val="clear" w:color="auto" w:fill="FFFFFF"/>
      <w:spacing w:after="360" w:line="318" w:lineRule="exact"/>
    </w:pPr>
    <w:rPr>
      <w:rFonts w:ascii="Calibri" w:eastAsia="Calibri" w:hAnsi="Calibri" w:cs="Calibri"/>
      <w:sz w:val="26"/>
      <w:szCs w:val="26"/>
    </w:rPr>
  </w:style>
  <w:style w:type="paragraph" w:customStyle="1" w:styleId="20">
    <w:name w:val="Основной текст (2)"/>
    <w:basedOn w:val="a"/>
    <w:link w:val="2"/>
    <w:rsid w:val="00867B71"/>
    <w:pPr>
      <w:widowControl w:val="0"/>
      <w:shd w:val="clear" w:color="auto" w:fill="FFFFFF"/>
      <w:spacing w:before="360" w:after="360" w:line="318" w:lineRule="exact"/>
    </w:pPr>
    <w:rPr>
      <w:rFonts w:ascii="Calibri" w:eastAsia="Calibri" w:hAnsi="Calibri" w:cs="Calibri"/>
      <w:i/>
      <w:iCs/>
      <w:sz w:val="26"/>
      <w:szCs w:val="26"/>
    </w:rPr>
  </w:style>
  <w:style w:type="paragraph" w:styleId="31">
    <w:name w:val="toc 3"/>
    <w:basedOn w:val="a"/>
    <w:next w:val="a"/>
    <w:autoRedefine/>
    <w:uiPriority w:val="39"/>
    <w:unhideWhenUsed/>
    <w:rsid w:val="00867B71"/>
    <w:pPr>
      <w:spacing w:after="100"/>
      <w:ind w:left="560"/>
    </w:pPr>
    <w:rPr>
      <w:rFonts w:ascii="Times New Roman" w:hAnsi="Times New Roman"/>
      <w:sz w:val="28"/>
      <w:lang w:val="ro-MD"/>
    </w:rPr>
  </w:style>
  <w:style w:type="character" w:styleId="af4">
    <w:name w:val="annotation reference"/>
    <w:basedOn w:val="a0"/>
    <w:uiPriority w:val="99"/>
    <w:semiHidden/>
    <w:unhideWhenUsed/>
    <w:rsid w:val="00815CE3"/>
    <w:rPr>
      <w:sz w:val="16"/>
      <w:szCs w:val="16"/>
    </w:rPr>
  </w:style>
  <w:style w:type="paragraph" w:styleId="af5">
    <w:name w:val="annotation subject"/>
    <w:basedOn w:val="ad"/>
    <w:next w:val="ad"/>
    <w:link w:val="af6"/>
    <w:uiPriority w:val="99"/>
    <w:semiHidden/>
    <w:unhideWhenUsed/>
    <w:rsid w:val="00815CE3"/>
    <w:rPr>
      <w:b/>
      <w:bCs/>
    </w:rPr>
  </w:style>
  <w:style w:type="character" w:customStyle="1" w:styleId="af6">
    <w:name w:val="Тема примечания Знак"/>
    <w:basedOn w:val="ae"/>
    <w:link w:val="af5"/>
    <w:uiPriority w:val="99"/>
    <w:semiHidden/>
    <w:rsid w:val="00815C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4781C-EC41-40A5-9C76-60B85E689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4221</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Mirciu Elena</dc:creator>
  <cp:keywords/>
  <dc:description/>
  <cp:lastModifiedBy>Paiu Eugenia</cp:lastModifiedBy>
  <cp:revision>2</cp:revision>
  <cp:lastPrinted>2021-06-02T14:01:00Z</cp:lastPrinted>
  <dcterms:created xsi:type="dcterms:W3CDTF">2022-05-30T06:50:00Z</dcterms:created>
  <dcterms:modified xsi:type="dcterms:W3CDTF">2022-05-30T06:50:00Z</dcterms:modified>
</cp:coreProperties>
</file>