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3DB8C" w14:textId="77777777" w:rsidR="009351E2" w:rsidRPr="00E82CC1" w:rsidRDefault="009351E2" w:rsidP="009351E2">
      <w:pPr>
        <w:tabs>
          <w:tab w:val="left" w:pos="720"/>
        </w:tabs>
        <w:spacing w:after="0" w:line="276" w:lineRule="auto"/>
        <w:jc w:val="right"/>
        <w:rPr>
          <w:rFonts w:asciiTheme="majorHAnsi" w:eastAsia="Times New Roman" w:hAnsiTheme="majorHAnsi" w:cstheme="majorHAnsi"/>
          <w:bCs/>
          <w:sz w:val="28"/>
          <w:szCs w:val="28"/>
          <w:lang w:val="ro-RO"/>
        </w:rPr>
      </w:pPr>
      <w:bookmarkStart w:id="0" w:name="_Toc468866344"/>
      <w:bookmarkStart w:id="1" w:name="_GoBack"/>
      <w:bookmarkEnd w:id="1"/>
      <w:r w:rsidRPr="00E82CC1">
        <w:rPr>
          <w:rFonts w:asciiTheme="majorHAnsi" w:eastAsia="Times New Roman" w:hAnsiTheme="majorHAnsi" w:cstheme="majorHAnsi"/>
          <w:bCs/>
          <w:sz w:val="28"/>
          <w:szCs w:val="28"/>
          <w:lang w:val="ro-RO"/>
        </w:rPr>
        <w:t xml:space="preserve">Anexă </w:t>
      </w:r>
    </w:p>
    <w:p w14:paraId="37DA88DD" w14:textId="77777777" w:rsidR="009351E2" w:rsidRPr="00E82CC1" w:rsidRDefault="009351E2" w:rsidP="009351E2">
      <w:pPr>
        <w:tabs>
          <w:tab w:val="left" w:pos="720"/>
        </w:tabs>
        <w:spacing w:after="0" w:line="276" w:lineRule="auto"/>
        <w:jc w:val="right"/>
        <w:rPr>
          <w:rFonts w:asciiTheme="majorHAnsi" w:eastAsia="Times New Roman" w:hAnsiTheme="majorHAnsi" w:cstheme="majorHAnsi"/>
          <w:bCs/>
          <w:sz w:val="28"/>
          <w:szCs w:val="28"/>
          <w:lang w:val="ro-RO"/>
        </w:rPr>
      </w:pPr>
      <w:r w:rsidRPr="00E82CC1">
        <w:rPr>
          <w:rFonts w:asciiTheme="majorHAnsi" w:eastAsia="Times New Roman" w:hAnsiTheme="majorHAnsi" w:cstheme="majorHAnsi"/>
          <w:bCs/>
          <w:sz w:val="28"/>
          <w:szCs w:val="28"/>
          <w:lang w:val="ro-RO"/>
        </w:rPr>
        <w:t xml:space="preserve">la Hotărârea Curții de Conturi </w:t>
      </w:r>
    </w:p>
    <w:p w14:paraId="55C15BA1" w14:textId="2C253A6E" w:rsidR="009351E2" w:rsidRPr="00E82CC1" w:rsidRDefault="009351E2" w:rsidP="009351E2">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E82CC1">
        <w:rPr>
          <w:rFonts w:asciiTheme="majorHAnsi" w:eastAsia="Times New Roman" w:hAnsiTheme="majorHAnsi" w:cstheme="majorHAnsi"/>
          <w:bCs/>
          <w:sz w:val="28"/>
          <w:szCs w:val="28"/>
          <w:lang w:val="ro-RO"/>
        </w:rPr>
        <w:t xml:space="preserve"> nr.</w:t>
      </w:r>
      <w:r w:rsidR="00446B99">
        <w:rPr>
          <w:rFonts w:asciiTheme="majorHAnsi" w:eastAsia="Times New Roman" w:hAnsiTheme="majorHAnsi" w:cstheme="majorHAnsi"/>
          <w:bCs/>
          <w:sz w:val="28"/>
          <w:szCs w:val="28"/>
          <w:lang w:val="ro-RO"/>
        </w:rPr>
        <w:t xml:space="preserve">17 </w:t>
      </w:r>
      <w:r w:rsidRPr="00E82CC1">
        <w:rPr>
          <w:rFonts w:asciiTheme="majorHAnsi" w:eastAsia="Times New Roman" w:hAnsiTheme="majorHAnsi" w:cstheme="majorHAnsi"/>
          <w:bCs/>
          <w:sz w:val="28"/>
          <w:szCs w:val="28"/>
          <w:lang w:val="ro-RO"/>
        </w:rPr>
        <w:t xml:space="preserve">din </w:t>
      </w:r>
      <w:r w:rsidR="00566235" w:rsidRPr="00E82CC1">
        <w:rPr>
          <w:rFonts w:asciiTheme="majorHAnsi" w:eastAsia="Times New Roman" w:hAnsiTheme="majorHAnsi" w:cstheme="majorHAnsi"/>
          <w:bCs/>
          <w:sz w:val="28"/>
          <w:szCs w:val="28"/>
          <w:lang w:val="ro-RO"/>
        </w:rPr>
        <w:t>24 mai</w:t>
      </w:r>
      <w:r w:rsidRPr="00E82CC1">
        <w:rPr>
          <w:rFonts w:asciiTheme="majorHAnsi" w:eastAsia="Times New Roman" w:hAnsiTheme="majorHAnsi" w:cstheme="majorHAnsi"/>
          <w:bCs/>
          <w:sz w:val="28"/>
          <w:szCs w:val="28"/>
          <w:lang w:val="ro-RO"/>
        </w:rPr>
        <w:t xml:space="preserve"> 202</w:t>
      </w:r>
      <w:r w:rsidR="00566235" w:rsidRPr="00E82CC1">
        <w:rPr>
          <w:rFonts w:asciiTheme="majorHAnsi" w:eastAsia="Times New Roman" w:hAnsiTheme="majorHAnsi" w:cstheme="majorHAnsi"/>
          <w:bCs/>
          <w:sz w:val="28"/>
          <w:szCs w:val="28"/>
          <w:lang w:val="ro-RO"/>
        </w:rPr>
        <w:t>2</w:t>
      </w:r>
    </w:p>
    <w:p w14:paraId="75E5050E" w14:textId="77777777" w:rsidR="009351E2" w:rsidRPr="00E82CC1" w:rsidRDefault="009351E2" w:rsidP="009351E2">
      <w:pPr>
        <w:tabs>
          <w:tab w:val="left" w:pos="7200"/>
        </w:tabs>
        <w:spacing w:after="0" w:line="276" w:lineRule="auto"/>
        <w:rPr>
          <w:rFonts w:asciiTheme="majorHAnsi" w:hAnsiTheme="majorHAnsi" w:cstheme="majorHAnsi"/>
          <w:lang w:val="ro-RO"/>
        </w:rPr>
      </w:pPr>
    </w:p>
    <w:p w14:paraId="6DFFD48E" w14:textId="77777777" w:rsidR="009351E2" w:rsidRPr="00E82CC1" w:rsidRDefault="009351E2" w:rsidP="009351E2">
      <w:pPr>
        <w:spacing w:after="0" w:line="276" w:lineRule="auto"/>
        <w:rPr>
          <w:rFonts w:asciiTheme="majorHAnsi" w:hAnsiTheme="majorHAnsi" w:cstheme="majorHAnsi"/>
          <w:lang w:val="ro-RO"/>
        </w:rPr>
      </w:pPr>
    </w:p>
    <w:p w14:paraId="0A8A5023" w14:textId="77777777" w:rsidR="009351E2" w:rsidRPr="00E82CC1" w:rsidRDefault="009351E2" w:rsidP="009351E2">
      <w:pPr>
        <w:spacing w:after="0" w:line="276" w:lineRule="auto"/>
        <w:rPr>
          <w:rFonts w:asciiTheme="majorHAnsi" w:hAnsiTheme="majorHAnsi" w:cstheme="majorHAnsi"/>
          <w:lang w:val="ro-RO"/>
        </w:rPr>
      </w:pPr>
    </w:p>
    <w:p w14:paraId="77310EA0" w14:textId="77777777" w:rsidR="009351E2" w:rsidRPr="00E82CC1" w:rsidRDefault="009351E2" w:rsidP="009351E2">
      <w:pPr>
        <w:spacing w:after="0" w:line="276" w:lineRule="auto"/>
        <w:jc w:val="center"/>
        <w:rPr>
          <w:rFonts w:asciiTheme="majorHAnsi" w:hAnsiTheme="majorHAnsi" w:cstheme="majorHAnsi"/>
          <w:b/>
          <w:sz w:val="28"/>
          <w:szCs w:val="28"/>
          <w:lang w:val="ro-RO"/>
        </w:rPr>
      </w:pPr>
    </w:p>
    <w:p w14:paraId="300B0E01" w14:textId="77777777" w:rsidR="009351E2" w:rsidRPr="00E82CC1" w:rsidRDefault="009351E2" w:rsidP="009351E2">
      <w:pPr>
        <w:spacing w:after="0" w:line="276" w:lineRule="auto"/>
        <w:jc w:val="center"/>
        <w:rPr>
          <w:rFonts w:asciiTheme="majorHAnsi" w:hAnsiTheme="majorHAnsi" w:cstheme="majorHAnsi"/>
          <w:b/>
          <w:sz w:val="28"/>
          <w:szCs w:val="28"/>
          <w:lang w:val="ro-RO"/>
        </w:rPr>
      </w:pPr>
      <w:r w:rsidRPr="00E82CC1">
        <w:rPr>
          <w:rFonts w:asciiTheme="majorHAnsi" w:hAnsiTheme="majorHAnsi" w:cstheme="majorHAnsi"/>
          <w:b/>
          <w:noProof/>
          <w:sz w:val="28"/>
          <w:szCs w:val="28"/>
          <w:lang w:val="ru-RU" w:eastAsia="ru-RU"/>
        </w:rPr>
        <w:drawing>
          <wp:inline distT="0" distB="0" distL="0" distR="0" wp14:anchorId="34056663" wp14:editId="4E35B44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3251C33" w14:textId="77777777" w:rsidR="009351E2" w:rsidRPr="00E82CC1" w:rsidRDefault="009351E2" w:rsidP="009351E2">
      <w:pPr>
        <w:spacing w:after="0" w:line="276" w:lineRule="auto"/>
        <w:rPr>
          <w:rFonts w:asciiTheme="majorHAnsi" w:hAnsiTheme="majorHAnsi" w:cstheme="majorHAnsi"/>
          <w:i/>
          <w:sz w:val="24"/>
          <w:szCs w:val="24"/>
          <w:lang w:val="ro-RO"/>
        </w:rPr>
      </w:pPr>
    </w:p>
    <w:p w14:paraId="31B79038" w14:textId="77777777" w:rsidR="009351E2" w:rsidRPr="00E82CC1" w:rsidRDefault="009351E2" w:rsidP="009351E2">
      <w:pPr>
        <w:spacing w:after="0" w:line="276" w:lineRule="auto"/>
        <w:rPr>
          <w:rFonts w:asciiTheme="majorHAnsi" w:hAnsiTheme="majorHAnsi" w:cstheme="majorHAnsi"/>
          <w:i/>
          <w:sz w:val="24"/>
          <w:szCs w:val="24"/>
          <w:lang w:val="ro-RO"/>
        </w:rPr>
      </w:pPr>
    </w:p>
    <w:p w14:paraId="6A2476F4" w14:textId="77777777" w:rsidR="009351E2" w:rsidRPr="00E82CC1" w:rsidRDefault="009351E2" w:rsidP="009351E2">
      <w:pPr>
        <w:spacing w:after="0" w:line="276" w:lineRule="auto"/>
        <w:rPr>
          <w:rFonts w:asciiTheme="majorHAnsi" w:hAnsiTheme="majorHAnsi" w:cstheme="majorHAnsi"/>
          <w:i/>
          <w:sz w:val="24"/>
          <w:szCs w:val="24"/>
          <w:lang w:val="ro-RO"/>
        </w:rPr>
      </w:pPr>
    </w:p>
    <w:p w14:paraId="13F45AD7" w14:textId="77777777" w:rsidR="009351E2" w:rsidRPr="00E82CC1" w:rsidRDefault="009351E2" w:rsidP="009351E2">
      <w:pPr>
        <w:spacing w:after="0" w:line="276" w:lineRule="auto"/>
        <w:rPr>
          <w:rFonts w:asciiTheme="majorHAnsi" w:hAnsiTheme="majorHAnsi" w:cstheme="majorHAnsi"/>
          <w:b/>
          <w:sz w:val="24"/>
          <w:szCs w:val="24"/>
          <w:lang w:val="ro-RO"/>
        </w:rPr>
      </w:pPr>
    </w:p>
    <w:p w14:paraId="204DA8AC" w14:textId="77777777" w:rsidR="009351E2" w:rsidRPr="00E82CC1" w:rsidRDefault="009351E2" w:rsidP="009351E2">
      <w:pPr>
        <w:spacing w:after="0" w:line="276" w:lineRule="auto"/>
        <w:jc w:val="center"/>
        <w:rPr>
          <w:rFonts w:asciiTheme="majorHAnsi" w:hAnsiTheme="majorHAnsi" w:cstheme="majorHAnsi"/>
          <w:b/>
          <w:sz w:val="28"/>
          <w:szCs w:val="28"/>
          <w:lang w:val="ro-RO"/>
        </w:rPr>
      </w:pPr>
      <w:r w:rsidRPr="00E82CC1">
        <w:rPr>
          <w:rFonts w:asciiTheme="majorHAnsi" w:hAnsiTheme="majorHAnsi" w:cstheme="majorHAnsi"/>
          <w:b/>
          <w:sz w:val="28"/>
          <w:szCs w:val="28"/>
          <w:lang w:val="ro-RO"/>
        </w:rPr>
        <w:t>CURTEA DE CONTURI A REPUBLICII MOLDOVA</w:t>
      </w:r>
    </w:p>
    <w:p w14:paraId="5E4C9BA9" w14:textId="77777777" w:rsidR="009351E2" w:rsidRPr="00E82CC1" w:rsidRDefault="009351E2" w:rsidP="009351E2">
      <w:pPr>
        <w:spacing w:after="0" w:line="276" w:lineRule="auto"/>
        <w:rPr>
          <w:rFonts w:asciiTheme="majorHAnsi" w:hAnsiTheme="majorHAnsi" w:cstheme="majorHAnsi"/>
          <w:sz w:val="24"/>
          <w:szCs w:val="24"/>
          <w:lang w:val="ro-RO"/>
        </w:rPr>
      </w:pPr>
    </w:p>
    <w:p w14:paraId="3BFC7FAE" w14:textId="77777777" w:rsidR="009351E2" w:rsidRPr="00E82CC1" w:rsidRDefault="009351E2" w:rsidP="009351E2">
      <w:pPr>
        <w:spacing w:after="0" w:line="276" w:lineRule="auto"/>
        <w:rPr>
          <w:rFonts w:asciiTheme="majorHAnsi" w:hAnsiTheme="majorHAnsi" w:cstheme="majorHAnsi"/>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9351E2" w:rsidRPr="00561466" w14:paraId="1054F21A" w14:textId="77777777" w:rsidTr="00B050E3">
        <w:trPr>
          <w:trHeight w:val="396"/>
          <w:jc w:val="center"/>
        </w:trPr>
        <w:tc>
          <w:tcPr>
            <w:tcW w:w="9350" w:type="dxa"/>
            <w:tcBorders>
              <w:top w:val="thinThickSmallGap" w:sz="12" w:space="0" w:color="00000A"/>
              <w:bottom w:val="thickThinSmallGap" w:sz="12" w:space="0" w:color="00000A"/>
            </w:tcBorders>
            <w:shd w:val="clear" w:color="auto" w:fill="auto"/>
          </w:tcPr>
          <w:p w14:paraId="60BB1585" w14:textId="170E80ED" w:rsidR="009351E2" w:rsidRPr="00046B6A" w:rsidRDefault="009351E2" w:rsidP="00426C1F">
            <w:pPr>
              <w:spacing w:after="0" w:line="276" w:lineRule="auto"/>
              <w:jc w:val="center"/>
              <w:rPr>
                <w:rFonts w:asciiTheme="majorHAnsi" w:hAnsiTheme="majorHAnsi" w:cstheme="majorHAnsi"/>
                <w:lang w:val="ro-RO"/>
              </w:rPr>
            </w:pPr>
            <w:r w:rsidRPr="00046B6A">
              <w:rPr>
                <w:rFonts w:asciiTheme="majorHAnsi" w:hAnsiTheme="majorHAnsi" w:cstheme="majorHAnsi"/>
                <w:lang w:val="ro-RO"/>
              </w:rPr>
              <w:t>MD-2001, mun. Chișinău, bd. Ștefan cel Mare și Sfânt</w:t>
            </w:r>
            <w:r w:rsidR="00426C1F" w:rsidRPr="00046B6A">
              <w:rPr>
                <w:rFonts w:asciiTheme="majorHAnsi" w:hAnsiTheme="majorHAnsi" w:cstheme="majorHAnsi"/>
                <w:lang w:val="ro-RO"/>
              </w:rPr>
              <w:t xml:space="preserve"> </w:t>
            </w:r>
            <w:r w:rsidRPr="00046B6A">
              <w:rPr>
                <w:rFonts w:asciiTheme="majorHAnsi" w:hAnsiTheme="majorHAnsi" w:cstheme="majorHAnsi"/>
                <w:lang w:val="ro-RO"/>
              </w:rPr>
              <w:t>69, tel.: (+373) 22 26 60 02,</w:t>
            </w:r>
          </w:p>
          <w:p w14:paraId="04356AF5" w14:textId="7F60639D" w:rsidR="009351E2" w:rsidRPr="005C2D79" w:rsidRDefault="009351E2" w:rsidP="00426C1F">
            <w:pPr>
              <w:spacing w:after="0" w:line="276" w:lineRule="auto"/>
              <w:jc w:val="center"/>
              <w:rPr>
                <w:rFonts w:asciiTheme="majorHAnsi" w:hAnsiTheme="majorHAnsi" w:cstheme="majorHAnsi"/>
                <w:b/>
                <w:lang w:val="ro-RO"/>
              </w:rPr>
            </w:pPr>
            <w:r w:rsidRPr="00046B6A">
              <w:rPr>
                <w:rFonts w:asciiTheme="majorHAnsi" w:hAnsiTheme="majorHAnsi" w:cstheme="majorHAnsi"/>
                <w:lang w:val="ro-RO"/>
              </w:rPr>
              <w:t xml:space="preserve">fax: (+373) 22 26 61 00, </w:t>
            </w:r>
            <w:hyperlink r:id="rId9">
              <w:r w:rsidRPr="00046B6A">
                <w:rPr>
                  <w:rStyle w:val="LegturInternet"/>
                  <w:rFonts w:asciiTheme="majorHAnsi" w:hAnsiTheme="majorHAnsi" w:cstheme="majorHAnsi"/>
                  <w:lang w:val="ro-RO"/>
                </w:rPr>
                <w:t>www.ccrm.md</w:t>
              </w:r>
            </w:hyperlink>
            <w:r w:rsidRPr="00046B6A">
              <w:rPr>
                <w:rFonts w:asciiTheme="majorHAnsi" w:hAnsiTheme="majorHAnsi" w:cstheme="majorHAnsi"/>
                <w:u w:val="single"/>
                <w:lang w:val="ro-RO"/>
              </w:rPr>
              <w:t>;</w:t>
            </w:r>
            <w:r w:rsidRPr="00046B6A">
              <w:rPr>
                <w:rFonts w:asciiTheme="majorHAnsi" w:hAnsiTheme="majorHAnsi" w:cstheme="majorHAnsi"/>
                <w:lang w:val="ro-RO"/>
              </w:rPr>
              <w:t xml:space="preserve"> e-mail: </w:t>
            </w:r>
            <w:hyperlink r:id="rId10">
              <w:r w:rsidRPr="00046B6A">
                <w:rPr>
                  <w:rStyle w:val="LegturInternet"/>
                  <w:rFonts w:asciiTheme="majorHAnsi" w:hAnsiTheme="majorHAnsi" w:cstheme="majorHAnsi"/>
                  <w:lang w:val="ro-RO"/>
                </w:rPr>
                <w:t>ccrm@ccrm.md</w:t>
              </w:r>
            </w:hyperlink>
          </w:p>
        </w:tc>
      </w:tr>
    </w:tbl>
    <w:p w14:paraId="25D892A8" w14:textId="77777777" w:rsidR="009351E2" w:rsidRPr="005C2D79" w:rsidRDefault="009351E2" w:rsidP="009351E2">
      <w:pPr>
        <w:spacing w:after="0" w:line="276" w:lineRule="auto"/>
        <w:rPr>
          <w:rFonts w:asciiTheme="majorHAnsi" w:eastAsia="Times New Roman" w:hAnsiTheme="majorHAnsi" w:cstheme="majorHAnsi"/>
          <w:sz w:val="24"/>
          <w:szCs w:val="24"/>
          <w:lang w:val="ro-RO"/>
        </w:rPr>
      </w:pPr>
      <w:r w:rsidRPr="005C2D79">
        <w:rPr>
          <w:rFonts w:asciiTheme="majorHAnsi" w:eastAsia="Times New Roman" w:hAnsiTheme="majorHAnsi" w:cstheme="majorHAnsi"/>
          <w:sz w:val="24"/>
          <w:szCs w:val="24"/>
          <w:lang w:val="ro-RO"/>
        </w:rPr>
        <w:br/>
      </w:r>
    </w:p>
    <w:p w14:paraId="007F0E41" w14:textId="77777777" w:rsidR="009351E2" w:rsidRPr="00C13672" w:rsidRDefault="009351E2" w:rsidP="009351E2">
      <w:pPr>
        <w:tabs>
          <w:tab w:val="left" w:pos="720"/>
        </w:tabs>
        <w:spacing w:after="0" w:line="276" w:lineRule="auto"/>
        <w:jc w:val="center"/>
        <w:rPr>
          <w:rFonts w:asciiTheme="majorHAnsi" w:eastAsia="Times New Roman" w:hAnsiTheme="majorHAnsi" w:cstheme="majorHAnsi"/>
          <w:b/>
          <w:bCs/>
          <w:sz w:val="32"/>
          <w:szCs w:val="28"/>
          <w:lang w:val="ro-RO"/>
        </w:rPr>
      </w:pPr>
      <w:r w:rsidRPr="00C13672">
        <w:rPr>
          <w:rFonts w:asciiTheme="majorHAnsi" w:eastAsia="Times New Roman" w:hAnsiTheme="majorHAnsi" w:cstheme="majorHAnsi"/>
          <w:b/>
          <w:bCs/>
          <w:sz w:val="32"/>
          <w:szCs w:val="28"/>
          <w:lang w:val="ro-RO"/>
        </w:rPr>
        <w:t>RAPORTUL</w:t>
      </w:r>
    </w:p>
    <w:p w14:paraId="25527136" w14:textId="77777777" w:rsidR="009351E2" w:rsidRPr="00E82CC1" w:rsidRDefault="009351E2" w:rsidP="009351E2">
      <w:pPr>
        <w:spacing w:after="0" w:line="276" w:lineRule="auto"/>
        <w:jc w:val="center"/>
        <w:rPr>
          <w:rFonts w:asciiTheme="majorHAnsi" w:hAnsiTheme="majorHAnsi" w:cstheme="majorHAnsi"/>
          <w:b/>
          <w:sz w:val="28"/>
          <w:szCs w:val="28"/>
          <w:lang w:val="ro-RO"/>
        </w:rPr>
      </w:pPr>
      <w:r w:rsidRPr="00E82CC1">
        <w:rPr>
          <w:rFonts w:asciiTheme="majorHAnsi" w:eastAsia="Times New Roman" w:hAnsiTheme="majorHAnsi" w:cstheme="majorHAnsi"/>
          <w:b/>
          <w:bCs/>
          <w:sz w:val="28"/>
          <w:szCs w:val="28"/>
          <w:lang w:val="ro-RO"/>
        </w:rPr>
        <w:t xml:space="preserve">auditului financiar al </w:t>
      </w:r>
      <w:r w:rsidRPr="00E82CC1">
        <w:rPr>
          <w:rFonts w:asciiTheme="majorHAnsi" w:hAnsiTheme="majorHAnsi" w:cstheme="majorHAnsi"/>
          <w:b/>
          <w:sz w:val="28"/>
          <w:szCs w:val="28"/>
          <w:lang w:val="ro-RO"/>
        </w:rPr>
        <w:t xml:space="preserve">Raportului Guvernului </w:t>
      </w:r>
    </w:p>
    <w:p w14:paraId="66CDF4CA" w14:textId="77777777" w:rsidR="009351E2" w:rsidRPr="00E82CC1" w:rsidRDefault="009351E2" w:rsidP="009351E2">
      <w:pPr>
        <w:spacing w:after="0" w:line="276" w:lineRule="auto"/>
        <w:jc w:val="center"/>
        <w:rPr>
          <w:rFonts w:asciiTheme="majorHAnsi" w:hAnsiTheme="majorHAnsi" w:cstheme="majorHAnsi"/>
          <w:b/>
          <w:sz w:val="28"/>
          <w:szCs w:val="28"/>
          <w:lang w:val="ro-RO"/>
        </w:rPr>
      </w:pPr>
      <w:r w:rsidRPr="00E82CC1">
        <w:rPr>
          <w:rFonts w:asciiTheme="majorHAnsi" w:hAnsiTheme="majorHAnsi" w:cstheme="majorHAnsi"/>
          <w:b/>
          <w:sz w:val="28"/>
          <w:szCs w:val="28"/>
          <w:lang w:val="ro-RO"/>
        </w:rPr>
        <w:t xml:space="preserve">privind executarea bugetului asigurărilor sociale de stat </w:t>
      </w:r>
    </w:p>
    <w:p w14:paraId="0634DC5D" w14:textId="77777777" w:rsidR="009351E2" w:rsidRPr="00E82CC1" w:rsidRDefault="009351E2" w:rsidP="009351E2">
      <w:pPr>
        <w:spacing w:after="0" w:line="276" w:lineRule="auto"/>
        <w:jc w:val="center"/>
        <w:rPr>
          <w:rFonts w:asciiTheme="majorHAnsi" w:eastAsia="Times New Roman" w:hAnsiTheme="majorHAnsi" w:cstheme="majorHAnsi"/>
          <w:b/>
          <w:bCs/>
          <w:sz w:val="28"/>
          <w:szCs w:val="28"/>
          <w:lang w:val="ro-RO"/>
        </w:rPr>
      </w:pPr>
      <w:r w:rsidRPr="00E82CC1">
        <w:rPr>
          <w:rFonts w:asciiTheme="majorHAnsi" w:hAnsiTheme="majorHAnsi" w:cstheme="majorHAnsi"/>
          <w:b/>
          <w:sz w:val="28"/>
          <w:szCs w:val="28"/>
          <w:lang w:val="ro-RO"/>
        </w:rPr>
        <w:t>în anul 202</w:t>
      </w:r>
      <w:r w:rsidR="00323D9E" w:rsidRPr="00E82CC1">
        <w:rPr>
          <w:rFonts w:asciiTheme="majorHAnsi" w:hAnsiTheme="majorHAnsi" w:cstheme="majorHAnsi"/>
          <w:b/>
          <w:sz w:val="28"/>
          <w:szCs w:val="28"/>
          <w:lang w:val="ro-RO"/>
        </w:rPr>
        <w:t>1</w:t>
      </w:r>
    </w:p>
    <w:p w14:paraId="34F69807" w14:textId="77777777" w:rsidR="009351E2" w:rsidRPr="00E82CC1" w:rsidRDefault="009351E2" w:rsidP="009351E2">
      <w:pPr>
        <w:spacing w:after="0" w:line="276" w:lineRule="auto"/>
        <w:rPr>
          <w:rFonts w:asciiTheme="majorHAnsi" w:hAnsiTheme="majorHAnsi" w:cstheme="majorHAnsi"/>
          <w:sz w:val="28"/>
          <w:szCs w:val="28"/>
          <w:lang w:val="ro-RO"/>
        </w:rPr>
      </w:pPr>
    </w:p>
    <w:p w14:paraId="73331FE1" w14:textId="77777777" w:rsidR="009351E2" w:rsidRPr="00E82CC1" w:rsidRDefault="009351E2" w:rsidP="009351E2">
      <w:pPr>
        <w:spacing w:after="0" w:line="276" w:lineRule="auto"/>
        <w:rPr>
          <w:rFonts w:asciiTheme="majorHAnsi" w:hAnsiTheme="majorHAnsi" w:cstheme="majorHAnsi"/>
          <w:lang w:val="ro-RO"/>
        </w:rPr>
      </w:pPr>
    </w:p>
    <w:p w14:paraId="0B5AE4B1" w14:textId="77777777" w:rsidR="009351E2" w:rsidRPr="00E82CC1" w:rsidRDefault="009351E2" w:rsidP="009351E2">
      <w:pPr>
        <w:spacing w:after="0" w:line="276" w:lineRule="auto"/>
        <w:jc w:val="center"/>
        <w:rPr>
          <w:rFonts w:asciiTheme="majorHAnsi" w:hAnsiTheme="majorHAnsi" w:cstheme="majorHAnsi"/>
          <w:lang w:val="ro-RO"/>
        </w:rPr>
      </w:pPr>
      <w:r w:rsidRPr="00E82CC1">
        <w:rPr>
          <w:rFonts w:asciiTheme="majorHAnsi" w:hAnsiTheme="majorHAnsi" w:cstheme="majorHAnsi"/>
          <w:lang w:val="ro-RO"/>
        </w:rPr>
        <w:br w:type="page"/>
      </w:r>
    </w:p>
    <w:p w14:paraId="390407C8" w14:textId="77777777" w:rsidR="009351E2" w:rsidRPr="00E82CC1" w:rsidRDefault="009351E2" w:rsidP="009351E2">
      <w:pPr>
        <w:tabs>
          <w:tab w:val="left" w:pos="720"/>
        </w:tabs>
        <w:spacing w:after="0" w:line="276" w:lineRule="auto"/>
        <w:jc w:val="center"/>
        <w:rPr>
          <w:rFonts w:asciiTheme="majorHAnsi" w:eastAsia="Times New Roman" w:hAnsiTheme="majorHAnsi" w:cs="Times New Roman"/>
          <w:b/>
          <w:bCs/>
          <w:sz w:val="28"/>
          <w:szCs w:val="28"/>
          <w:lang w:val="ro-RO"/>
        </w:rPr>
      </w:pPr>
      <w:r w:rsidRPr="00E82CC1">
        <w:rPr>
          <w:rFonts w:asciiTheme="majorHAnsi" w:eastAsia="Times New Roman" w:hAnsiTheme="majorHAnsi" w:cs="Times New Roman"/>
          <w:b/>
          <w:bCs/>
          <w:sz w:val="28"/>
          <w:szCs w:val="28"/>
          <w:lang w:val="ro-RO"/>
        </w:rPr>
        <w:lastRenderedPageBreak/>
        <w:t>Lista acronimelor</w:t>
      </w:r>
    </w:p>
    <w:p w14:paraId="6AAB674F" w14:textId="77777777" w:rsidR="009351E2" w:rsidRPr="00E82CC1" w:rsidRDefault="009351E2" w:rsidP="009351E2">
      <w:pPr>
        <w:tabs>
          <w:tab w:val="left" w:pos="720"/>
        </w:tabs>
        <w:spacing w:after="0" w:line="276" w:lineRule="auto"/>
        <w:jc w:val="center"/>
        <w:rPr>
          <w:rFonts w:asciiTheme="majorHAnsi" w:eastAsia="Times New Roman" w:hAnsiTheme="majorHAnsi" w:cs="Times New Roman"/>
          <w:b/>
          <w:bCs/>
          <w:sz w:val="28"/>
          <w:szCs w:val="28"/>
          <w:lang w:val="ro-RO"/>
        </w:rPr>
      </w:pPr>
    </w:p>
    <w:tbl>
      <w:tblPr>
        <w:tblStyle w:val="-1"/>
        <w:tblW w:w="0" w:type="auto"/>
        <w:jc w:val="center"/>
        <w:tblInd w:w="0" w:type="dxa"/>
        <w:tblLook w:val="04A0" w:firstRow="1" w:lastRow="0" w:firstColumn="1" w:lastColumn="0" w:noHBand="0" w:noVBand="1"/>
      </w:tblPr>
      <w:tblGrid>
        <w:gridCol w:w="1555"/>
        <w:gridCol w:w="7229"/>
      </w:tblGrid>
      <w:tr w:rsidR="009351E2" w:rsidRPr="00E82CC1" w14:paraId="004B51A6" w14:textId="77777777" w:rsidTr="00B050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CA731DE" w14:textId="77777777" w:rsidR="009351E2" w:rsidRPr="00E82CC1" w:rsidRDefault="009351E2" w:rsidP="00B050E3">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Acronimul</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530E844" w14:textId="77777777" w:rsidR="009351E2" w:rsidRPr="00E82CC1" w:rsidRDefault="009351E2" w:rsidP="00B050E3">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Termenul abreviat</w:t>
            </w:r>
          </w:p>
        </w:tc>
      </w:tr>
      <w:tr w:rsidR="009351E2" w:rsidRPr="00E82CC1" w14:paraId="151FBC45"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7F1B8" w14:textId="77777777" w:rsidR="009351E2" w:rsidRPr="00E82CC1" w:rsidRDefault="009351E2" w:rsidP="00B050E3">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AGE</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510453" w14:textId="77777777" w:rsidR="009351E2" w:rsidRPr="00E82CC1" w:rsidRDefault="009351E2" w:rsidP="00B050E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Agenția de Guvernare Electronică</w:t>
            </w:r>
          </w:p>
        </w:tc>
      </w:tr>
      <w:tr w:rsidR="009351E2" w:rsidRPr="00E82CC1" w14:paraId="40B92D0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66DEB" w14:textId="77777777" w:rsidR="009351E2" w:rsidRPr="00E82CC1" w:rsidRDefault="009351E2" w:rsidP="00B050E3">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ANOFM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3BBD2" w14:textId="4FA19F67" w:rsidR="009351E2" w:rsidRPr="00E82CC1" w:rsidRDefault="009351E2" w:rsidP="00426C1F">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Agenția Națională pentru Ocuparea Forței de M</w:t>
            </w:r>
            <w:r w:rsidR="00426C1F">
              <w:rPr>
                <w:rFonts w:asciiTheme="majorHAnsi" w:eastAsia="Times New Roman" w:hAnsiTheme="majorHAnsi" w:cstheme="majorHAnsi"/>
                <w:bCs/>
                <w:sz w:val="24"/>
                <w:szCs w:val="24"/>
                <w:lang w:val="ro-RO"/>
              </w:rPr>
              <w:t>u</w:t>
            </w:r>
            <w:r w:rsidRPr="00E82CC1">
              <w:rPr>
                <w:rFonts w:asciiTheme="majorHAnsi" w:eastAsia="Times New Roman" w:hAnsiTheme="majorHAnsi" w:cstheme="majorHAnsi"/>
                <w:bCs/>
                <w:sz w:val="24"/>
                <w:szCs w:val="24"/>
                <w:lang w:val="ro-RO"/>
              </w:rPr>
              <w:t>ncă</w:t>
            </w:r>
          </w:p>
        </w:tc>
      </w:tr>
      <w:tr w:rsidR="00115AA0" w:rsidRPr="00E82CC1" w14:paraId="1AFC52E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020352" w14:textId="77777777" w:rsidR="00115AA0" w:rsidRPr="00E82CC1" w:rsidRDefault="00115AA0" w:rsidP="00B050E3">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463216" w14:textId="6744A9E3" w:rsidR="00115AA0" w:rsidRPr="00E82CC1" w:rsidRDefault="00D90A74" w:rsidP="00B17ED6">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MD"/>
              </w:rPr>
              <w:t xml:space="preserve">Ajutor </w:t>
            </w:r>
            <w:r w:rsidR="00B17ED6">
              <w:rPr>
                <w:rFonts w:asciiTheme="majorHAnsi" w:eastAsia="Times New Roman" w:hAnsiTheme="majorHAnsi" w:cstheme="majorHAnsi"/>
                <w:bCs/>
                <w:sz w:val="24"/>
                <w:szCs w:val="24"/>
                <w:lang w:val="ro-MD"/>
              </w:rPr>
              <w:t>s</w:t>
            </w:r>
            <w:r w:rsidRPr="00E82CC1">
              <w:rPr>
                <w:rFonts w:asciiTheme="majorHAnsi" w:eastAsia="Times New Roman" w:hAnsiTheme="majorHAnsi" w:cstheme="majorHAnsi"/>
                <w:bCs/>
                <w:sz w:val="24"/>
                <w:szCs w:val="24"/>
                <w:lang w:val="ro-MD"/>
              </w:rPr>
              <w:t>ocial</w:t>
            </w:r>
          </w:p>
        </w:tc>
      </w:tr>
      <w:tr w:rsidR="00115AA0" w:rsidRPr="00E82CC1" w14:paraId="4B410B1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054ABF" w14:textId="77777777" w:rsidR="00115AA0" w:rsidRPr="00E82CC1" w:rsidRDefault="00115AA0" w:rsidP="00B050E3">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ASP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1171A1" w14:textId="77777777" w:rsidR="00115AA0" w:rsidRPr="00E82CC1" w:rsidRDefault="00115AA0" w:rsidP="00B050E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Agenția Servicii Publice</w:t>
            </w:r>
          </w:p>
        </w:tc>
      </w:tr>
      <w:tr w:rsidR="00D90A74" w:rsidRPr="00E82CC1" w14:paraId="3B4FAA61"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52ACB9" w14:textId="77777777" w:rsidR="00D90A74" w:rsidRPr="00E82CC1" w:rsidRDefault="00D90A74" w:rsidP="00B7562C">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APRA</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B9005D"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E82CC1">
              <w:rPr>
                <w:rFonts w:asciiTheme="majorHAnsi" w:eastAsia="Times New Roman" w:hAnsiTheme="majorHAnsi" w:cstheme="majorHAnsi"/>
                <w:bCs/>
                <w:sz w:val="24"/>
                <w:szCs w:val="24"/>
                <w:lang w:val="ro-MD"/>
              </w:rPr>
              <w:t>Ajutor pentru perioada rece a anului</w:t>
            </w:r>
          </w:p>
        </w:tc>
      </w:tr>
      <w:tr w:rsidR="00D90A74" w:rsidRPr="00E82CC1" w14:paraId="23D2872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826B9"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BASS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27F18"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Bugetul Asigurărilor Sociale de Stat</w:t>
            </w:r>
          </w:p>
        </w:tc>
      </w:tr>
      <w:tr w:rsidR="00D90A74" w:rsidRPr="00E82CC1" w14:paraId="0DC2B87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87973"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BPN</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782225"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Bugetul Public Național</w:t>
            </w:r>
          </w:p>
        </w:tc>
      </w:tr>
      <w:tr w:rsidR="00D90A74" w:rsidRPr="00E82CC1" w14:paraId="1CA2B58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B6A9A"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BS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5405B"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Bugetul de Stat</w:t>
            </w:r>
          </w:p>
        </w:tc>
      </w:tr>
      <w:tr w:rsidR="00D90A74" w:rsidRPr="00E82CC1" w14:paraId="7DBAE4A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BF8E8"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CIM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89A79"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Control Intern Managerial</w:t>
            </w:r>
          </w:p>
        </w:tc>
      </w:tr>
      <w:tr w:rsidR="00D90A74" w:rsidRPr="00E82CC1" w14:paraId="516107D9"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2CC90"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CNAS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E6762"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Casa Națională de Asigurări Sociale</w:t>
            </w:r>
          </w:p>
        </w:tc>
      </w:tr>
      <w:tr w:rsidR="00D90A74" w:rsidRPr="00E82CC1" w14:paraId="47626E5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6E33B"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CTAS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F80846"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Casa Teritorială de Asigurări Sociale</w:t>
            </w:r>
          </w:p>
        </w:tc>
      </w:tr>
      <w:tr w:rsidR="00D90A74" w:rsidRPr="00E82CC1" w14:paraId="63E0892D"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F3A99"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IMSP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7CE41"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Instituție Medico-Sanitară Publică</w:t>
            </w:r>
          </w:p>
        </w:tc>
      </w:tr>
      <w:tr w:rsidR="00D90A74" w:rsidRPr="00E82CC1" w14:paraId="784053C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B5D0A"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ÎS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D0C5E"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Întreprindere de Stat</w:t>
            </w:r>
          </w:p>
        </w:tc>
      </w:tr>
      <w:tr w:rsidR="00D90A74" w:rsidRPr="00E82CC1" w14:paraId="3F59B45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AED22"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MAI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8044D"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Ministerul Afacerilor Interne</w:t>
            </w:r>
          </w:p>
        </w:tc>
      </w:tr>
      <w:tr w:rsidR="00D90A74" w:rsidRPr="00E82CC1" w14:paraId="4BF8C2C1"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697567"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MMPS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C9E8E7"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Ministerul Muncii și Protecției Sociale</w:t>
            </w:r>
          </w:p>
        </w:tc>
      </w:tr>
      <w:tr w:rsidR="00D90A74" w:rsidRPr="00E82CC1" w14:paraId="50AB1280"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441FA"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MSMPS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3E1D2"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Ministerul Sănătății, Muncii și Protecției Sociale</w:t>
            </w:r>
          </w:p>
        </w:tc>
      </w:tr>
      <w:tr w:rsidR="00D90A74" w:rsidRPr="00E82CC1" w14:paraId="25F3685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190D7"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PIB</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E67DD"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Produsul Intern Brut</w:t>
            </w:r>
          </w:p>
        </w:tc>
      </w:tr>
      <w:tr w:rsidR="00D90A74" w:rsidRPr="00E82CC1" w14:paraId="539D196B"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7CB3F" w14:textId="77777777" w:rsidR="00D90A74" w:rsidRPr="00E82CC1" w:rsidRDefault="00D90A74" w:rsidP="00D90A74">
            <w:pPr>
              <w:tabs>
                <w:tab w:val="left" w:pos="720"/>
              </w:tabs>
              <w:spacing w:line="276" w:lineRule="auto"/>
              <w:jc w:val="center"/>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SI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CF559" w14:textId="77777777" w:rsidR="00D90A74" w:rsidRPr="00E82CC1" w:rsidRDefault="00D90A74"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RO"/>
              </w:rPr>
            </w:pPr>
            <w:r w:rsidRPr="00E82CC1">
              <w:rPr>
                <w:rFonts w:asciiTheme="majorHAnsi" w:eastAsia="Times New Roman" w:hAnsiTheme="majorHAnsi" w:cstheme="majorHAnsi"/>
                <w:bCs/>
                <w:sz w:val="24"/>
                <w:szCs w:val="24"/>
                <w:lang w:val="ro-RO"/>
              </w:rPr>
              <w:t>Sistem Informațional</w:t>
            </w:r>
          </w:p>
        </w:tc>
      </w:tr>
    </w:tbl>
    <w:p w14:paraId="4CE4FFA7" w14:textId="77777777" w:rsidR="009351E2" w:rsidRPr="00E82CC1" w:rsidRDefault="009351E2" w:rsidP="009351E2">
      <w:pPr>
        <w:spacing w:after="0" w:line="276" w:lineRule="auto"/>
        <w:jc w:val="center"/>
        <w:rPr>
          <w:rFonts w:asciiTheme="majorHAnsi" w:hAnsiTheme="majorHAnsi" w:cstheme="majorHAnsi"/>
          <w:lang w:val="ro-RO"/>
        </w:rPr>
      </w:pPr>
    </w:p>
    <w:p w14:paraId="08308516" w14:textId="77777777" w:rsidR="009351E2" w:rsidRPr="00E82CC1" w:rsidRDefault="009351E2" w:rsidP="009351E2">
      <w:pPr>
        <w:spacing w:after="0" w:line="276" w:lineRule="auto"/>
        <w:rPr>
          <w:rFonts w:asciiTheme="majorHAnsi" w:hAnsiTheme="majorHAnsi" w:cstheme="majorHAnsi"/>
          <w:lang w:val="ro-RO"/>
        </w:rPr>
      </w:pPr>
    </w:p>
    <w:p w14:paraId="486E412F" w14:textId="77777777" w:rsidR="009351E2" w:rsidRPr="00E82CC1" w:rsidRDefault="009351E2" w:rsidP="009351E2">
      <w:pPr>
        <w:spacing w:after="0" w:line="276" w:lineRule="auto"/>
        <w:rPr>
          <w:rFonts w:asciiTheme="majorHAnsi" w:hAnsiTheme="majorHAnsi" w:cstheme="majorHAnsi"/>
          <w:lang w:val="ro-RO"/>
        </w:rPr>
      </w:pPr>
    </w:p>
    <w:p w14:paraId="48C777A6" w14:textId="77777777" w:rsidR="009351E2" w:rsidRPr="00E82CC1" w:rsidRDefault="009351E2" w:rsidP="009351E2">
      <w:pPr>
        <w:spacing w:after="0" w:line="276" w:lineRule="auto"/>
        <w:rPr>
          <w:rFonts w:asciiTheme="majorHAnsi" w:hAnsiTheme="majorHAnsi" w:cstheme="majorHAnsi"/>
          <w:lang w:val="ro-RO"/>
        </w:rPr>
      </w:pPr>
    </w:p>
    <w:p w14:paraId="2745F166" w14:textId="77777777" w:rsidR="009351E2" w:rsidRPr="00E82CC1" w:rsidRDefault="009351E2" w:rsidP="009351E2">
      <w:pPr>
        <w:pStyle w:val="1"/>
        <w:numPr>
          <w:ilvl w:val="0"/>
          <w:numId w:val="0"/>
        </w:numPr>
        <w:spacing w:before="0"/>
        <w:jc w:val="left"/>
        <w:rPr>
          <w:rFonts w:asciiTheme="majorHAnsi" w:hAnsiTheme="majorHAnsi" w:cstheme="majorHAnsi"/>
          <w:sz w:val="28"/>
          <w:szCs w:val="28"/>
          <w:lang w:val="ro-RO"/>
        </w:rPr>
      </w:pPr>
      <w:bookmarkStart w:id="2" w:name="_Toc35000680"/>
      <w:bookmarkEnd w:id="0"/>
      <w:r w:rsidRPr="00E82CC1">
        <w:rPr>
          <w:rFonts w:asciiTheme="majorHAnsi" w:hAnsiTheme="majorHAnsi" w:cstheme="majorHAnsi"/>
          <w:sz w:val="28"/>
          <w:szCs w:val="28"/>
          <w:lang w:val="ro-RO"/>
        </w:rPr>
        <w:br w:type="page"/>
      </w:r>
    </w:p>
    <w:p w14:paraId="414AA494" w14:textId="77777777" w:rsidR="009351E2" w:rsidRPr="00E82CC1" w:rsidRDefault="009351E2" w:rsidP="002F5E0F">
      <w:pPr>
        <w:pStyle w:val="1"/>
        <w:numPr>
          <w:ilvl w:val="0"/>
          <w:numId w:val="15"/>
        </w:numPr>
        <w:spacing w:before="0"/>
        <w:ind w:left="0" w:firstLine="0"/>
        <w:jc w:val="left"/>
        <w:rPr>
          <w:rFonts w:asciiTheme="majorHAnsi" w:hAnsiTheme="majorHAnsi" w:cstheme="majorHAnsi"/>
          <w:sz w:val="28"/>
          <w:szCs w:val="28"/>
          <w:lang w:val="ro-RO"/>
        </w:rPr>
      </w:pPr>
      <w:r w:rsidRPr="00E82CC1">
        <w:rPr>
          <w:rFonts w:asciiTheme="majorHAnsi" w:hAnsiTheme="majorHAnsi" w:cstheme="majorHAnsi"/>
          <w:sz w:val="28"/>
          <w:szCs w:val="28"/>
          <w:lang w:val="ro-RO"/>
        </w:rPr>
        <w:t>OPINI</w:t>
      </w:r>
      <w:bookmarkEnd w:id="2"/>
      <w:r w:rsidR="00B6255F" w:rsidRPr="00E82CC1">
        <w:rPr>
          <w:rFonts w:asciiTheme="majorHAnsi" w:hAnsiTheme="majorHAnsi" w:cstheme="majorHAnsi"/>
          <w:sz w:val="28"/>
          <w:szCs w:val="28"/>
          <w:lang w:val="ro-RO"/>
        </w:rPr>
        <w:t>E</w:t>
      </w:r>
      <w:r w:rsidR="004428A8" w:rsidRPr="00E82CC1">
        <w:rPr>
          <w:rFonts w:asciiTheme="majorHAnsi" w:hAnsiTheme="majorHAnsi" w:cstheme="majorHAnsi"/>
          <w:sz w:val="28"/>
          <w:szCs w:val="28"/>
          <w:lang w:val="ro-RO"/>
        </w:rPr>
        <w:t xml:space="preserve"> </w:t>
      </w:r>
    </w:p>
    <w:p w14:paraId="6798A964" w14:textId="77777777" w:rsidR="009351E2" w:rsidRPr="00E82CC1" w:rsidRDefault="009351E2" w:rsidP="009351E2">
      <w:pPr>
        <w:pStyle w:val="a6"/>
        <w:spacing w:line="276" w:lineRule="auto"/>
        <w:ind w:firstLine="0"/>
        <w:rPr>
          <w:rFonts w:asciiTheme="majorHAnsi" w:hAnsiTheme="majorHAnsi" w:cstheme="majorHAnsi"/>
          <w:lang w:val="ro-RO"/>
        </w:rPr>
      </w:pPr>
      <w:r w:rsidRPr="00E82CC1">
        <w:rPr>
          <w:rFonts w:asciiTheme="majorHAnsi" w:hAnsiTheme="majorHAnsi" w:cstheme="majorHAnsi"/>
          <w:lang w:val="ro-RO"/>
        </w:rPr>
        <w:t>Am auditat Raportul Guvernului privind executarea bugetului asigurărilor sociale de stat în anul 202</w:t>
      </w:r>
      <w:r w:rsidR="00323D9E" w:rsidRPr="00E82CC1">
        <w:rPr>
          <w:rFonts w:asciiTheme="majorHAnsi" w:hAnsiTheme="majorHAnsi" w:cstheme="majorHAnsi"/>
          <w:lang w:val="ro-RO"/>
        </w:rPr>
        <w:t>1</w:t>
      </w:r>
      <w:r w:rsidRPr="00E82CC1">
        <w:rPr>
          <w:rFonts w:asciiTheme="majorHAnsi" w:hAnsiTheme="majorHAnsi" w:cstheme="majorHAnsi"/>
          <w:lang w:val="ro-RO"/>
        </w:rPr>
        <w:t>, întocmit de Casa Naţională de Asigurări Sociale, care cuprinde: Formularul nr.1 CNAS, Formularul nr.2 CNAS, Formularul nr.4 CNAS, Formularul nr.4.1 CNAS şi descrierea narativă</w:t>
      </w:r>
      <w:r w:rsidRPr="00E82CC1">
        <w:rPr>
          <w:rStyle w:val="a5"/>
          <w:rFonts w:asciiTheme="majorHAnsi" w:hAnsiTheme="majorHAnsi" w:cstheme="majorHAnsi"/>
          <w:lang w:val="ro-RO"/>
        </w:rPr>
        <w:footnoteReference w:id="1"/>
      </w:r>
      <w:r w:rsidRPr="00E82CC1">
        <w:rPr>
          <w:rFonts w:asciiTheme="majorHAnsi" w:hAnsiTheme="majorHAnsi" w:cstheme="majorHAnsi"/>
          <w:lang w:val="ro-RO"/>
        </w:rPr>
        <w:t>, inclusiv un sumar al politicilor contabile semnificative.</w:t>
      </w:r>
    </w:p>
    <w:p w14:paraId="66A7432F" w14:textId="3415CE41" w:rsidR="009351E2" w:rsidRPr="00E82CC1" w:rsidRDefault="009351E2" w:rsidP="009351E2">
      <w:pPr>
        <w:pStyle w:val="a6"/>
        <w:spacing w:line="276" w:lineRule="auto"/>
        <w:ind w:firstLine="0"/>
        <w:rPr>
          <w:rFonts w:asciiTheme="majorHAnsi" w:hAnsiTheme="majorHAnsi" w:cstheme="majorHAnsi"/>
          <w:lang w:val="ro-RO"/>
        </w:rPr>
      </w:pPr>
      <w:r w:rsidRPr="00E82CC1">
        <w:rPr>
          <w:rFonts w:asciiTheme="majorHAnsi" w:hAnsiTheme="majorHAnsi" w:cstheme="majorHAnsi"/>
          <w:lang w:val="ro-RO"/>
        </w:rPr>
        <w:t>În opinia noastră, Raportul Guvernului privind executarea bugetului asigurărilor sociale de stat oferă, sub toate aspectele semnificative, o imagine corectă şi fidelă, în conformitate cu cadrul</w:t>
      </w:r>
      <w:r w:rsidR="00C13672">
        <w:rPr>
          <w:rFonts w:asciiTheme="majorHAnsi" w:hAnsiTheme="majorHAnsi" w:cstheme="majorHAnsi"/>
          <w:lang w:val="ro-RO"/>
        </w:rPr>
        <w:t xml:space="preserve"> de </w:t>
      </w:r>
      <w:r w:rsidRPr="00E82CC1">
        <w:rPr>
          <w:rFonts w:asciiTheme="majorHAnsi" w:hAnsiTheme="majorHAnsi" w:cstheme="majorHAnsi"/>
          <w:lang w:val="ro-RO"/>
        </w:rPr>
        <w:t xml:space="preserve">raportare </w:t>
      </w:r>
      <w:r w:rsidR="00C13672">
        <w:rPr>
          <w:rFonts w:asciiTheme="majorHAnsi" w:hAnsiTheme="majorHAnsi" w:cstheme="majorHAnsi"/>
          <w:lang w:val="ro-RO"/>
        </w:rPr>
        <w:t>financiar</w:t>
      </w:r>
      <w:r w:rsidR="00B17ED6">
        <w:rPr>
          <w:rFonts w:asciiTheme="majorHAnsi" w:hAnsiTheme="majorHAnsi" w:cstheme="majorHAnsi"/>
          <w:lang w:val="ro-RO"/>
        </w:rPr>
        <w:t>ă</w:t>
      </w:r>
      <w:r w:rsidR="00C13672">
        <w:rPr>
          <w:rFonts w:asciiTheme="majorHAnsi" w:hAnsiTheme="majorHAnsi" w:cstheme="majorHAnsi"/>
          <w:lang w:val="ro-RO"/>
        </w:rPr>
        <w:t xml:space="preserve"> </w:t>
      </w:r>
      <w:r w:rsidRPr="00E82CC1">
        <w:rPr>
          <w:rFonts w:asciiTheme="majorHAnsi" w:hAnsiTheme="majorHAnsi" w:cstheme="majorHAnsi"/>
          <w:lang w:val="ro-RO"/>
        </w:rPr>
        <w:t>aplicabil</w:t>
      </w:r>
      <w:r w:rsidRPr="00E82CC1">
        <w:rPr>
          <w:rStyle w:val="a5"/>
          <w:rFonts w:asciiTheme="majorHAnsi" w:hAnsiTheme="majorHAnsi" w:cstheme="majorHAnsi"/>
          <w:lang w:val="ro-RO"/>
        </w:rPr>
        <w:footnoteReference w:id="2"/>
      </w:r>
      <w:r w:rsidRPr="00E82CC1">
        <w:rPr>
          <w:rFonts w:asciiTheme="majorHAnsi" w:hAnsiTheme="majorHAnsi" w:cstheme="majorHAnsi"/>
          <w:lang w:val="ro-RO"/>
        </w:rPr>
        <w:t>.</w:t>
      </w:r>
    </w:p>
    <w:p w14:paraId="39C94475" w14:textId="77777777" w:rsidR="00504112" w:rsidRPr="00E82CC1" w:rsidRDefault="00504112" w:rsidP="002F5E0F">
      <w:pPr>
        <w:pStyle w:val="1"/>
        <w:numPr>
          <w:ilvl w:val="0"/>
          <w:numId w:val="15"/>
        </w:numPr>
        <w:tabs>
          <w:tab w:val="left" w:pos="720"/>
        </w:tabs>
        <w:spacing w:line="240" w:lineRule="auto"/>
        <w:ind w:left="0" w:firstLine="0"/>
        <w:jc w:val="both"/>
        <w:rPr>
          <w:rFonts w:asciiTheme="majorHAnsi" w:hAnsiTheme="majorHAnsi" w:cstheme="minorHAnsi"/>
          <w:bCs/>
          <w:sz w:val="28"/>
          <w:szCs w:val="24"/>
          <w:lang w:val="ro-RO"/>
        </w:rPr>
      </w:pPr>
      <w:r w:rsidRPr="00E82CC1">
        <w:rPr>
          <w:rFonts w:asciiTheme="majorHAnsi" w:hAnsiTheme="majorHAnsi" w:cstheme="minorHAnsi"/>
          <w:bCs/>
          <w:sz w:val="28"/>
          <w:szCs w:val="24"/>
          <w:lang w:val="ro-RO"/>
        </w:rPr>
        <w:t xml:space="preserve">BAZA PENTRU OPINIE </w:t>
      </w:r>
    </w:p>
    <w:p w14:paraId="795402EF" w14:textId="77777777" w:rsidR="00504112" w:rsidRPr="00E82CC1" w:rsidRDefault="00504112" w:rsidP="00504112">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Am realizat misiunea de audit în conformitate cu Standardele Internaționale ale Instituțiilor Supreme de Audit</w:t>
      </w:r>
      <w:r w:rsidRPr="00E82CC1">
        <w:rPr>
          <w:rFonts w:asciiTheme="majorHAnsi" w:hAnsiTheme="majorHAnsi" w:cstheme="majorHAnsi"/>
          <w:sz w:val="24"/>
          <w:szCs w:val="24"/>
          <w:vertAlign w:val="superscript"/>
          <w:lang w:val="ro-RO"/>
        </w:rPr>
        <w:footnoteReference w:id="3"/>
      </w:r>
      <w:r w:rsidRPr="00E82CC1">
        <w:rPr>
          <w:rFonts w:asciiTheme="majorHAnsi" w:hAnsiTheme="majorHAnsi" w:cstheme="majorHAnsi"/>
          <w:sz w:val="24"/>
          <w:szCs w:val="24"/>
          <w:lang w:val="ro-RO"/>
        </w:rPr>
        <w:t xml:space="preserve">. Responsabilitățile noastre, potrivit standardelor respective, sunt expuse în secțiunea </w:t>
      </w:r>
      <w:r w:rsidRPr="00E82CC1">
        <w:rPr>
          <w:rFonts w:asciiTheme="majorHAnsi" w:hAnsiTheme="majorHAnsi" w:cstheme="majorHAnsi"/>
          <w:i/>
          <w:sz w:val="24"/>
          <w:szCs w:val="24"/>
          <w:lang w:val="ro-RO"/>
        </w:rPr>
        <w:t>Responsabilitățile auditorului într-un audit al situațiilor financiare</w:t>
      </w:r>
      <w:r w:rsidRPr="00E82CC1">
        <w:rPr>
          <w:rFonts w:asciiTheme="majorHAnsi" w:hAnsiTheme="majorHAnsi" w:cstheme="majorHAnsi"/>
          <w:sz w:val="24"/>
          <w:szCs w:val="24"/>
          <w:lang w:val="ro-RO"/>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27018123" w14:textId="77777777" w:rsidR="00B75D57" w:rsidRPr="00E82CC1" w:rsidRDefault="00B75D57" w:rsidP="00160C57">
      <w:pPr>
        <w:pStyle w:val="1"/>
        <w:numPr>
          <w:ilvl w:val="0"/>
          <w:numId w:val="15"/>
        </w:numPr>
        <w:tabs>
          <w:tab w:val="left" w:pos="709"/>
        </w:tabs>
        <w:spacing w:before="120" w:after="120"/>
        <w:ind w:left="0" w:firstLine="0"/>
        <w:jc w:val="left"/>
        <w:rPr>
          <w:rFonts w:asciiTheme="majorHAnsi" w:hAnsiTheme="majorHAnsi" w:cstheme="majorHAnsi"/>
          <w:sz w:val="28"/>
          <w:szCs w:val="28"/>
          <w:lang w:val="ro-RO"/>
        </w:rPr>
      </w:pPr>
      <w:bookmarkStart w:id="3" w:name="_Toc35000683"/>
      <w:r w:rsidRPr="00E82CC1">
        <w:rPr>
          <w:rFonts w:asciiTheme="majorHAnsi" w:hAnsiTheme="majorHAnsi" w:cstheme="majorHAnsi"/>
          <w:sz w:val="28"/>
          <w:szCs w:val="28"/>
          <w:lang w:val="ro-RO"/>
        </w:rPr>
        <w:t>PARAGRAF DE EVIDENȚIERE</w:t>
      </w:r>
    </w:p>
    <w:p w14:paraId="7FC3EE5B" w14:textId="358EE8FA" w:rsidR="00A27F84" w:rsidRPr="00E82CC1" w:rsidRDefault="00D91126" w:rsidP="00481212">
      <w:pPr>
        <w:pStyle w:val="a9"/>
        <w:numPr>
          <w:ilvl w:val="1"/>
          <w:numId w:val="15"/>
        </w:numPr>
        <w:spacing w:after="120" w:line="276" w:lineRule="auto"/>
        <w:ind w:left="0" w:firstLine="0"/>
        <w:jc w:val="both"/>
        <w:rPr>
          <w:rFonts w:asciiTheme="majorHAnsi" w:hAnsiTheme="majorHAnsi" w:cstheme="majorHAnsi"/>
          <w:b/>
          <w:sz w:val="24"/>
          <w:szCs w:val="24"/>
          <w:lang w:val="ro-RO"/>
        </w:rPr>
      </w:pPr>
      <w:r w:rsidRPr="00E82CC1">
        <w:rPr>
          <w:rFonts w:asciiTheme="majorHAnsi" w:hAnsiTheme="majorHAnsi" w:cstheme="majorHAnsi"/>
          <w:b/>
          <w:sz w:val="24"/>
          <w:szCs w:val="24"/>
          <w:lang w:val="ro-RO"/>
        </w:rPr>
        <w:t xml:space="preserve">Atragem atenția asupra </w:t>
      </w:r>
      <w:r w:rsidR="00E54DF8" w:rsidRPr="00E82CC1">
        <w:rPr>
          <w:rFonts w:asciiTheme="majorHAnsi" w:hAnsiTheme="majorHAnsi" w:cstheme="majorHAnsi"/>
          <w:b/>
          <w:sz w:val="24"/>
          <w:szCs w:val="24"/>
          <w:lang w:val="ro-RO"/>
        </w:rPr>
        <w:t xml:space="preserve">reflectării soldurilor datoriilor în Rapoartele de executare </w:t>
      </w:r>
      <w:r w:rsidR="00B17ED6">
        <w:rPr>
          <w:rFonts w:asciiTheme="majorHAnsi" w:hAnsiTheme="majorHAnsi" w:cstheme="majorHAnsi"/>
          <w:b/>
          <w:sz w:val="24"/>
          <w:szCs w:val="24"/>
          <w:lang w:val="ro-RO"/>
        </w:rPr>
        <w:t xml:space="preserve">a </w:t>
      </w:r>
      <w:r w:rsidR="00E54DF8" w:rsidRPr="00E82CC1">
        <w:rPr>
          <w:rFonts w:asciiTheme="majorHAnsi" w:hAnsiTheme="majorHAnsi" w:cstheme="majorHAnsi"/>
          <w:b/>
          <w:sz w:val="24"/>
          <w:szCs w:val="24"/>
          <w:lang w:val="ro-RO"/>
        </w:rPr>
        <w:t>BASS.</w:t>
      </w:r>
      <w:r w:rsidR="00A27F84" w:rsidRPr="00E82CC1">
        <w:rPr>
          <w:rFonts w:asciiTheme="majorHAnsi" w:hAnsiTheme="majorHAnsi" w:cstheme="majorHAnsi"/>
          <w:b/>
          <w:sz w:val="24"/>
          <w:szCs w:val="24"/>
          <w:lang w:val="ro-RO"/>
        </w:rPr>
        <w:t xml:space="preserve"> </w:t>
      </w:r>
      <w:r w:rsidR="00B7562C" w:rsidRPr="00E82CC1">
        <w:rPr>
          <w:rFonts w:asciiTheme="majorHAnsi" w:hAnsiTheme="majorHAnsi" w:cstheme="majorHAnsi"/>
          <w:b/>
          <w:sz w:val="24"/>
          <w:szCs w:val="24"/>
          <w:lang w:val="ro-RO"/>
        </w:rPr>
        <w:t xml:space="preserve">Deși opinia nu este modificată din cauza soldurilor inițiale care nu au fost ajustate, acestea nu oferă </w:t>
      </w:r>
      <w:r w:rsidR="00A27F84" w:rsidRPr="00E82CC1">
        <w:rPr>
          <w:rFonts w:asciiTheme="majorHAnsi" w:hAnsiTheme="majorHAnsi" w:cstheme="majorHAnsi"/>
          <w:b/>
          <w:sz w:val="24"/>
          <w:szCs w:val="24"/>
          <w:lang w:val="ro-RO"/>
        </w:rPr>
        <w:t xml:space="preserve">comparabilitate </w:t>
      </w:r>
      <w:r w:rsidR="00B7562C" w:rsidRPr="00E82CC1">
        <w:rPr>
          <w:rFonts w:asciiTheme="majorHAnsi" w:hAnsiTheme="majorHAnsi" w:cstheme="majorHAnsi"/>
          <w:b/>
          <w:sz w:val="24"/>
          <w:szCs w:val="24"/>
          <w:lang w:val="ro-RO"/>
        </w:rPr>
        <w:t xml:space="preserve">la </w:t>
      </w:r>
      <w:r w:rsidR="00A27F84" w:rsidRPr="00E82CC1">
        <w:rPr>
          <w:rFonts w:asciiTheme="majorHAnsi" w:hAnsiTheme="majorHAnsi" w:cstheme="majorHAnsi"/>
          <w:b/>
          <w:sz w:val="24"/>
          <w:szCs w:val="24"/>
          <w:lang w:val="ro-RO"/>
        </w:rPr>
        <w:t>reflectarea datoriilor pe termen scurt ale prestaț</w:t>
      </w:r>
      <w:r w:rsidR="00B7562C" w:rsidRPr="00E82CC1">
        <w:rPr>
          <w:rFonts w:asciiTheme="majorHAnsi" w:hAnsiTheme="majorHAnsi" w:cstheme="majorHAnsi"/>
          <w:b/>
          <w:sz w:val="24"/>
          <w:szCs w:val="24"/>
          <w:lang w:val="ro-RO"/>
        </w:rPr>
        <w:t>iilor sociale pentru anul 2021.</w:t>
      </w:r>
    </w:p>
    <w:p w14:paraId="1A9C26AD" w14:textId="2F23DCDF" w:rsidR="00D91126" w:rsidRPr="00E82CC1" w:rsidRDefault="0024423C" w:rsidP="00F169BE">
      <w:pPr>
        <w:pStyle w:val="af2"/>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De menționat că</w:t>
      </w:r>
      <w:r w:rsidR="00B17ED6">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începând cu anul 2021, CNAS a elaborat modificări ale normelor de evidență a datoriilor, astfel acestea au fost reflectate ca datorii pe termen lung la conturile extrabilanțiere. În </w:t>
      </w:r>
      <w:r w:rsidR="00B17ED6">
        <w:rPr>
          <w:rFonts w:asciiTheme="majorHAnsi" w:hAnsiTheme="majorHAnsi" w:cstheme="majorHAnsi"/>
          <w:sz w:val="24"/>
          <w:szCs w:val="24"/>
          <w:lang w:val="ro-RO"/>
        </w:rPr>
        <w:t xml:space="preserve">acest </w:t>
      </w:r>
      <w:r w:rsidRPr="00E82CC1">
        <w:rPr>
          <w:rFonts w:asciiTheme="majorHAnsi" w:hAnsiTheme="majorHAnsi" w:cstheme="majorHAnsi"/>
          <w:sz w:val="24"/>
          <w:szCs w:val="24"/>
          <w:lang w:val="ro-RO"/>
        </w:rPr>
        <w:t xml:space="preserve">context, auditul menționează că metoda nouă reflectă datoriile formate după 12 luni în caz de neridicare a prestației, fără a fi luate în calcul datoriile suspendate </w:t>
      </w:r>
      <w:r w:rsidRPr="00046B6A">
        <w:rPr>
          <w:rFonts w:asciiTheme="majorHAnsi" w:hAnsiTheme="majorHAnsi" w:cstheme="majorHAnsi"/>
          <w:sz w:val="24"/>
          <w:szCs w:val="24"/>
          <w:lang w:val="ro-RO"/>
        </w:rPr>
        <w:t>după 3</w:t>
      </w:r>
      <w:r w:rsidR="00617E4A"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6</w:t>
      </w:r>
      <w:r w:rsidRPr="00E82CC1">
        <w:rPr>
          <w:rFonts w:asciiTheme="majorHAnsi" w:hAnsiTheme="majorHAnsi" w:cstheme="majorHAnsi"/>
          <w:sz w:val="24"/>
          <w:szCs w:val="24"/>
          <w:lang w:val="ro-RO"/>
        </w:rPr>
        <w:t xml:space="preserve"> luni ale perioadelor precedente (inclusiv cele ale anului 2020), menținându-se doar în SI </w:t>
      </w:r>
      <w:r w:rsidR="00323D9E" w:rsidRPr="00E82CC1">
        <w:rPr>
          <w:rFonts w:asciiTheme="majorHAnsi" w:hAnsiTheme="majorHAnsi" w:cstheme="majorHAnsi"/>
          <w:sz w:val="24"/>
          <w:szCs w:val="24"/>
          <w:lang w:val="ro-RO"/>
        </w:rPr>
        <w:t>„Protecția</w:t>
      </w:r>
      <w:r w:rsidRPr="00E82CC1">
        <w:rPr>
          <w:rFonts w:asciiTheme="majorHAnsi" w:hAnsiTheme="majorHAnsi" w:cstheme="majorHAnsi"/>
          <w:sz w:val="24"/>
          <w:szCs w:val="24"/>
          <w:lang w:val="ro-RO"/>
        </w:rPr>
        <w:t xml:space="preserve"> Socială</w:t>
      </w:r>
      <w:r w:rsidR="00323D9E" w:rsidRPr="00E82CC1">
        <w:rPr>
          <w:rFonts w:asciiTheme="majorHAnsi" w:hAnsiTheme="majorHAnsi" w:cstheme="majorHAnsi"/>
          <w:sz w:val="24"/>
          <w:szCs w:val="24"/>
          <w:lang w:val="ro-RO"/>
        </w:rPr>
        <w:t>”</w:t>
      </w:r>
      <w:r w:rsidRPr="00E82CC1">
        <w:rPr>
          <w:rFonts w:asciiTheme="majorHAnsi" w:hAnsiTheme="majorHAnsi" w:cstheme="majorHAnsi"/>
          <w:sz w:val="24"/>
          <w:szCs w:val="24"/>
          <w:lang w:val="ro-RO"/>
        </w:rPr>
        <w:t>. Acestea ap</w:t>
      </w:r>
      <w:r w:rsidR="00F169BE" w:rsidRPr="00E82CC1">
        <w:rPr>
          <w:rFonts w:asciiTheme="majorHAnsi" w:hAnsiTheme="majorHAnsi" w:cstheme="majorHAnsi"/>
          <w:sz w:val="24"/>
          <w:szCs w:val="24"/>
          <w:lang w:val="ro-RO"/>
        </w:rPr>
        <w:t>a</w:t>
      </w:r>
      <w:r w:rsidRPr="00E82CC1">
        <w:rPr>
          <w:rFonts w:asciiTheme="majorHAnsi" w:hAnsiTheme="majorHAnsi" w:cstheme="majorHAnsi"/>
          <w:sz w:val="24"/>
          <w:szCs w:val="24"/>
          <w:lang w:val="ro-RO"/>
        </w:rPr>
        <w:t>r în evidență odată cu cererea de reluare a plății.</w:t>
      </w:r>
      <w:r w:rsidR="00F169BE" w:rsidRPr="00E82CC1">
        <w:rPr>
          <w:rFonts w:asciiTheme="majorHAnsi" w:hAnsiTheme="majorHAnsi" w:cstheme="majorHAnsi"/>
          <w:sz w:val="24"/>
          <w:szCs w:val="24"/>
          <w:lang w:val="ro-RO"/>
        </w:rPr>
        <w:t xml:space="preserve"> Neregulile constatate au avut loc din cauza c</w:t>
      </w:r>
      <w:r w:rsidR="00F169BE" w:rsidRPr="00E82CC1">
        <w:rPr>
          <w:rFonts w:asciiTheme="majorHAnsi" w:hAnsiTheme="majorHAnsi" w:cstheme="majorHAnsi"/>
          <w:sz w:val="24"/>
          <w:szCs w:val="24"/>
          <w:lang w:val="ro-MD"/>
        </w:rPr>
        <w:t xml:space="preserve">ă </w:t>
      </w:r>
      <w:r w:rsidR="00E54DF8" w:rsidRPr="00E82CC1">
        <w:rPr>
          <w:rFonts w:asciiTheme="majorHAnsi" w:hAnsiTheme="majorHAnsi" w:cstheme="majorHAnsi"/>
          <w:sz w:val="24"/>
          <w:szCs w:val="24"/>
          <w:lang w:val="ro-RO"/>
        </w:rPr>
        <w:t xml:space="preserve">SI „Protecția Socială” oferă posibilitatea accesării datoriei per beneficiar (prin verificarea contului individual </w:t>
      </w:r>
      <w:r w:rsidR="00F169BE" w:rsidRPr="00E82CC1">
        <w:rPr>
          <w:rFonts w:asciiTheme="majorHAnsi" w:hAnsiTheme="majorHAnsi" w:cstheme="majorHAnsi"/>
          <w:sz w:val="24"/>
          <w:szCs w:val="24"/>
          <w:lang w:val="ro-RO"/>
        </w:rPr>
        <w:t>pentru prestați</w:t>
      </w:r>
      <w:r w:rsidR="00566235" w:rsidRPr="00E82CC1">
        <w:rPr>
          <w:rFonts w:asciiTheme="majorHAnsi" w:hAnsiTheme="majorHAnsi" w:cstheme="majorHAnsi"/>
          <w:sz w:val="24"/>
          <w:szCs w:val="24"/>
          <w:lang w:val="ro-RO"/>
        </w:rPr>
        <w:t>ile suspendate până în anul 2021).</w:t>
      </w:r>
    </w:p>
    <w:p w14:paraId="73847A02" w14:textId="2BD69396" w:rsidR="0024423C" w:rsidRPr="00E82CC1" w:rsidRDefault="00B17ED6" w:rsidP="00D04FA4">
      <w:pPr>
        <w:shd w:val="clear" w:color="auto" w:fill="FFFFFF" w:themeFill="background1"/>
        <w:spacing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Referitor l</w:t>
      </w:r>
      <w:r w:rsidR="00B7562C" w:rsidRPr="00E82CC1">
        <w:rPr>
          <w:rFonts w:asciiTheme="majorHAnsi" w:hAnsiTheme="majorHAnsi" w:cstheme="majorHAnsi"/>
          <w:sz w:val="24"/>
          <w:szCs w:val="24"/>
          <w:lang w:val="ro-RO"/>
        </w:rPr>
        <w:t>a acest aspect</w:t>
      </w:r>
      <w:r w:rsidR="00F169BE" w:rsidRPr="00E82CC1">
        <w:rPr>
          <w:rFonts w:asciiTheme="majorHAnsi" w:hAnsiTheme="majorHAnsi" w:cstheme="majorHAnsi"/>
          <w:sz w:val="24"/>
          <w:szCs w:val="24"/>
          <w:lang w:val="ro-RO"/>
        </w:rPr>
        <w:t xml:space="preserve"> auditul a solicitat sumele plăților reluate pe parcursul anului 2021 ale beneficiarilor care li s-a suspendat prestația până la implementarea mecanismului de reflecta</w:t>
      </w:r>
      <w:r w:rsidR="00D04FA4" w:rsidRPr="00E82CC1">
        <w:rPr>
          <w:rFonts w:asciiTheme="majorHAnsi" w:hAnsiTheme="majorHAnsi" w:cstheme="majorHAnsi"/>
          <w:sz w:val="24"/>
          <w:szCs w:val="24"/>
          <w:lang w:val="ro-RO"/>
        </w:rPr>
        <w:t>re a datoriilor pe termen lung</w:t>
      </w:r>
      <w:r w:rsidR="00F169BE" w:rsidRPr="00E82CC1">
        <w:rPr>
          <w:rFonts w:asciiTheme="majorHAnsi" w:hAnsiTheme="majorHAnsi" w:cstheme="majorHAnsi"/>
          <w:sz w:val="24"/>
          <w:szCs w:val="24"/>
          <w:lang w:val="ro-RO"/>
        </w:rPr>
        <w:t>, cu efectuarea estimărilor pentru sumele suspendate, ale drepturil</w:t>
      </w:r>
      <w:r w:rsidR="00323D9E" w:rsidRPr="00E82CC1">
        <w:rPr>
          <w:rFonts w:asciiTheme="majorHAnsi" w:hAnsiTheme="majorHAnsi" w:cstheme="majorHAnsi"/>
          <w:sz w:val="24"/>
          <w:szCs w:val="24"/>
          <w:lang w:val="ro-RO"/>
        </w:rPr>
        <w:t>or</w:t>
      </w:r>
      <w:r w:rsidR="00F169BE" w:rsidRPr="00E82CC1">
        <w:rPr>
          <w:rFonts w:asciiTheme="majorHAnsi" w:hAnsiTheme="majorHAnsi" w:cstheme="majorHAnsi"/>
          <w:sz w:val="24"/>
          <w:szCs w:val="24"/>
          <w:lang w:val="ro-RO"/>
        </w:rPr>
        <w:t xml:space="preserve"> neridicate timp de 3</w:t>
      </w:r>
      <w:r>
        <w:rPr>
          <w:rFonts w:asciiTheme="majorHAnsi" w:hAnsiTheme="majorHAnsi" w:cstheme="majorHAnsi"/>
          <w:sz w:val="24"/>
          <w:szCs w:val="24"/>
          <w:lang w:val="ro-RO"/>
        </w:rPr>
        <w:t>-</w:t>
      </w:r>
      <w:r w:rsidR="00F169BE" w:rsidRPr="00E82CC1">
        <w:rPr>
          <w:rFonts w:asciiTheme="majorHAnsi" w:hAnsiTheme="majorHAnsi" w:cstheme="majorHAnsi"/>
          <w:sz w:val="24"/>
          <w:szCs w:val="24"/>
          <w:lang w:val="ro-RO"/>
        </w:rPr>
        <w:t>6 luni sistate până la 1 ianuarie 2021, dar cu reluare în anul audita</w:t>
      </w:r>
      <w:r w:rsidR="00D04FA4" w:rsidRPr="00E82CC1">
        <w:rPr>
          <w:rFonts w:asciiTheme="majorHAnsi" w:hAnsiTheme="majorHAnsi" w:cstheme="majorHAnsi"/>
          <w:sz w:val="24"/>
          <w:szCs w:val="24"/>
          <w:lang w:val="ro-RO"/>
        </w:rPr>
        <w:t>t</w:t>
      </w:r>
      <w:r w:rsidR="00F169BE" w:rsidRPr="00E82CC1">
        <w:rPr>
          <w:rFonts w:asciiTheme="majorHAnsi" w:hAnsiTheme="majorHAnsi" w:cstheme="majorHAnsi"/>
          <w:sz w:val="24"/>
          <w:szCs w:val="24"/>
          <w:lang w:val="ro-RO"/>
        </w:rPr>
        <w:t xml:space="preserve">. Astfel, valoarea </w:t>
      </w:r>
      <w:r w:rsidR="00B7562C" w:rsidRPr="00E82CC1">
        <w:rPr>
          <w:rFonts w:asciiTheme="majorHAnsi" w:hAnsiTheme="majorHAnsi" w:cstheme="majorHAnsi"/>
          <w:sz w:val="24"/>
          <w:szCs w:val="24"/>
          <w:lang w:val="ro-RO"/>
        </w:rPr>
        <w:t>atribuită</w:t>
      </w:r>
      <w:r w:rsidR="00F169BE" w:rsidRPr="00E82CC1">
        <w:rPr>
          <w:rFonts w:asciiTheme="majorHAnsi" w:hAnsiTheme="majorHAnsi" w:cstheme="majorHAnsi"/>
          <w:sz w:val="24"/>
          <w:szCs w:val="24"/>
          <w:lang w:val="ro-RO"/>
        </w:rPr>
        <w:t xml:space="preserve">  </w:t>
      </w:r>
      <w:r w:rsidR="00B7562C" w:rsidRPr="00E82CC1">
        <w:rPr>
          <w:rFonts w:asciiTheme="majorHAnsi" w:hAnsiTheme="majorHAnsi" w:cstheme="majorHAnsi"/>
          <w:sz w:val="24"/>
          <w:szCs w:val="24"/>
          <w:lang w:val="ro-RO"/>
        </w:rPr>
        <w:t>posibilei datori</w:t>
      </w:r>
      <w:r w:rsidR="00F169BE" w:rsidRPr="00E82CC1">
        <w:rPr>
          <w:rFonts w:asciiTheme="majorHAnsi" w:hAnsiTheme="majorHAnsi" w:cstheme="majorHAnsi"/>
          <w:sz w:val="24"/>
          <w:szCs w:val="24"/>
          <w:lang w:val="ro-RO"/>
        </w:rPr>
        <w:t xml:space="preserve">i nereflectate în soldurile inițiale se estimează la 60,3 mil. lei. </w:t>
      </w:r>
    </w:p>
    <w:p w14:paraId="3C49A3A6" w14:textId="0A2F9AA2" w:rsidR="0024423C" w:rsidRPr="00E82CC1" w:rsidRDefault="00D04FA4" w:rsidP="00F747F0">
      <w:pPr>
        <w:pStyle w:val="a8"/>
        <w:spacing w:line="276" w:lineRule="auto"/>
        <w:jc w:val="both"/>
        <w:rPr>
          <w:rFonts w:asciiTheme="majorHAnsi" w:eastAsiaTheme="minorHAnsi" w:hAnsiTheme="majorHAnsi" w:cstheme="majorHAnsi"/>
          <w:sz w:val="24"/>
          <w:szCs w:val="24"/>
          <w:lang w:val="ro-RO"/>
        </w:rPr>
      </w:pPr>
      <w:r w:rsidRPr="00E82CC1">
        <w:rPr>
          <w:rFonts w:asciiTheme="majorHAnsi" w:eastAsiaTheme="minorHAnsi" w:hAnsiTheme="majorHAnsi" w:cstheme="majorHAnsi"/>
          <w:b/>
          <w:sz w:val="24"/>
          <w:szCs w:val="24"/>
          <w:lang w:val="ro-RO"/>
        </w:rPr>
        <w:t xml:space="preserve">Cu referire la </w:t>
      </w:r>
      <w:r w:rsidR="005F3B9D" w:rsidRPr="00E82CC1">
        <w:rPr>
          <w:rFonts w:asciiTheme="majorHAnsi" w:eastAsiaTheme="minorHAnsi" w:hAnsiTheme="majorHAnsi" w:cstheme="majorHAnsi"/>
          <w:b/>
          <w:sz w:val="24"/>
          <w:szCs w:val="24"/>
          <w:lang w:val="ro-RO"/>
        </w:rPr>
        <w:t>reflec</w:t>
      </w:r>
      <w:r w:rsidRPr="00E82CC1">
        <w:rPr>
          <w:rFonts w:asciiTheme="majorHAnsi" w:eastAsiaTheme="minorHAnsi" w:hAnsiTheme="majorHAnsi" w:cstheme="majorHAnsi"/>
          <w:b/>
          <w:sz w:val="24"/>
          <w:szCs w:val="24"/>
          <w:lang w:val="ro-RO"/>
        </w:rPr>
        <w:t>tarea</w:t>
      </w:r>
      <w:r w:rsidR="0024423C" w:rsidRPr="00E82CC1">
        <w:rPr>
          <w:rFonts w:asciiTheme="majorHAnsi" w:eastAsiaTheme="minorHAnsi" w:hAnsiTheme="majorHAnsi" w:cstheme="majorHAnsi"/>
          <w:b/>
          <w:sz w:val="24"/>
          <w:szCs w:val="24"/>
          <w:lang w:val="ro-RO"/>
        </w:rPr>
        <w:t xml:space="preserve"> datorii</w:t>
      </w:r>
      <w:r w:rsidRPr="00E82CC1">
        <w:rPr>
          <w:rFonts w:asciiTheme="majorHAnsi" w:eastAsiaTheme="minorHAnsi" w:hAnsiTheme="majorHAnsi" w:cstheme="majorHAnsi"/>
          <w:b/>
          <w:sz w:val="24"/>
          <w:szCs w:val="24"/>
          <w:lang w:val="ro-RO"/>
        </w:rPr>
        <w:t>lo</w:t>
      </w:r>
      <w:r w:rsidR="00323D9E" w:rsidRPr="00E82CC1">
        <w:rPr>
          <w:rFonts w:asciiTheme="majorHAnsi" w:eastAsiaTheme="minorHAnsi" w:hAnsiTheme="majorHAnsi" w:cstheme="majorHAnsi"/>
          <w:b/>
          <w:sz w:val="24"/>
          <w:szCs w:val="24"/>
          <w:lang w:val="ro-RO"/>
        </w:rPr>
        <w:t>r</w:t>
      </w:r>
      <w:r w:rsidR="0024423C" w:rsidRPr="00E82CC1">
        <w:rPr>
          <w:rFonts w:asciiTheme="majorHAnsi" w:eastAsiaTheme="minorHAnsi" w:hAnsiTheme="majorHAnsi" w:cstheme="majorHAnsi"/>
          <w:b/>
          <w:sz w:val="24"/>
          <w:szCs w:val="24"/>
          <w:lang w:val="ro-RO"/>
        </w:rPr>
        <w:t xml:space="preserve"> pe termen lung</w:t>
      </w:r>
      <w:r w:rsidRPr="00E82CC1">
        <w:rPr>
          <w:rFonts w:asciiTheme="majorHAnsi" w:eastAsiaTheme="minorHAnsi" w:hAnsiTheme="majorHAnsi" w:cstheme="majorHAnsi"/>
          <w:sz w:val="24"/>
          <w:szCs w:val="24"/>
          <w:lang w:val="ro-RO"/>
        </w:rPr>
        <w:t>,</w:t>
      </w:r>
      <w:r w:rsidR="0024423C" w:rsidRPr="00E82CC1">
        <w:rPr>
          <w:rFonts w:asciiTheme="majorHAnsi" w:eastAsiaTheme="minorHAnsi" w:hAnsiTheme="majorHAnsi" w:cstheme="majorHAnsi"/>
          <w:sz w:val="24"/>
          <w:szCs w:val="24"/>
          <w:lang w:val="ro-RO"/>
        </w:rPr>
        <w:t xml:space="preserve"> </w:t>
      </w:r>
      <w:r w:rsidRPr="00E82CC1">
        <w:rPr>
          <w:rFonts w:asciiTheme="majorHAnsi" w:eastAsiaTheme="minorHAnsi" w:hAnsiTheme="majorHAnsi" w:cstheme="majorHAnsi"/>
          <w:sz w:val="24"/>
          <w:szCs w:val="24"/>
          <w:lang w:val="ro-RO"/>
        </w:rPr>
        <w:t>se denotă că</w:t>
      </w:r>
      <w:r w:rsidR="0024423C" w:rsidRPr="00E82CC1">
        <w:rPr>
          <w:rFonts w:asciiTheme="majorHAnsi" w:eastAsiaTheme="minorHAnsi" w:hAnsiTheme="majorHAnsi" w:cstheme="majorHAnsi"/>
          <w:sz w:val="24"/>
          <w:szCs w:val="24"/>
          <w:lang w:val="ro-RO"/>
        </w:rPr>
        <w:t xml:space="preserve"> acestea se </w:t>
      </w:r>
      <w:r w:rsidRPr="00E82CC1">
        <w:rPr>
          <w:rFonts w:asciiTheme="majorHAnsi" w:eastAsiaTheme="minorHAnsi" w:hAnsiTheme="majorHAnsi" w:cstheme="majorHAnsi"/>
          <w:sz w:val="24"/>
          <w:szCs w:val="24"/>
          <w:lang w:val="ro-RO"/>
        </w:rPr>
        <w:t>trec în conturi extrabilanţiere</w:t>
      </w:r>
      <w:r w:rsidR="0024423C" w:rsidRPr="00E82CC1">
        <w:rPr>
          <w:rFonts w:asciiTheme="majorHAnsi" w:eastAsiaTheme="minorHAnsi" w:hAnsiTheme="majorHAnsi" w:cstheme="majorHAnsi"/>
          <w:sz w:val="24"/>
          <w:szCs w:val="24"/>
          <w:lang w:val="ro-RO"/>
        </w:rPr>
        <w:t xml:space="preserve"> pentru evidența </w:t>
      </w:r>
      <w:r w:rsidRPr="00E82CC1">
        <w:rPr>
          <w:rFonts w:asciiTheme="majorHAnsi" w:eastAsiaTheme="minorHAnsi" w:hAnsiTheme="majorHAnsi" w:cstheme="majorHAnsi"/>
          <w:sz w:val="24"/>
          <w:szCs w:val="24"/>
          <w:lang w:val="ro-RO"/>
        </w:rPr>
        <w:t>acestor tipuri de datorii</w:t>
      </w:r>
      <w:r w:rsidR="0024423C" w:rsidRPr="00E82CC1">
        <w:rPr>
          <w:rFonts w:asciiTheme="majorHAnsi" w:eastAsiaTheme="minorHAnsi" w:hAnsiTheme="majorHAnsi" w:cstheme="majorHAnsi"/>
          <w:sz w:val="24"/>
          <w:szCs w:val="24"/>
          <w:lang w:val="ro-RO"/>
        </w:rPr>
        <w:t>. La finele fiecărei luni</w:t>
      </w:r>
      <w:r w:rsidR="00FA56F9">
        <w:rPr>
          <w:rFonts w:asciiTheme="majorHAnsi" w:eastAsiaTheme="minorHAnsi" w:hAnsiTheme="majorHAnsi" w:cstheme="majorHAnsi"/>
          <w:sz w:val="24"/>
          <w:szCs w:val="24"/>
          <w:lang w:val="ro-RO"/>
        </w:rPr>
        <w:t>,</w:t>
      </w:r>
      <w:r w:rsidR="0024423C" w:rsidRPr="00E82CC1">
        <w:rPr>
          <w:rFonts w:asciiTheme="majorHAnsi" w:eastAsiaTheme="minorHAnsi" w:hAnsiTheme="majorHAnsi" w:cstheme="majorHAnsi"/>
          <w:sz w:val="24"/>
          <w:szCs w:val="24"/>
          <w:lang w:val="ro-RO"/>
        </w:rPr>
        <w:t xml:space="preserve"> sumele pensiilor stabilite și neprimite de beneficiar în decurs de 12 luni consecutive se suspendă și se reflectă la conturi extrabilanțiere. În cazul reluării plății în baza cererii depuse de beneficiar</w:t>
      </w:r>
      <w:r w:rsidR="00FC38E1">
        <w:rPr>
          <w:rFonts w:asciiTheme="majorHAnsi" w:eastAsiaTheme="minorHAnsi" w:hAnsiTheme="majorHAnsi" w:cstheme="majorHAnsi"/>
          <w:sz w:val="24"/>
          <w:szCs w:val="24"/>
          <w:lang w:val="ro-RO"/>
        </w:rPr>
        <w:t>,</w:t>
      </w:r>
      <w:r w:rsidR="0024423C" w:rsidRPr="00E82CC1">
        <w:rPr>
          <w:rFonts w:asciiTheme="majorHAnsi" w:eastAsiaTheme="minorHAnsi" w:hAnsiTheme="majorHAnsi" w:cstheme="majorHAnsi"/>
          <w:sz w:val="24"/>
          <w:szCs w:val="24"/>
          <w:lang w:val="ro-RO"/>
        </w:rPr>
        <w:t xml:space="preserve"> soldul datoriilor plăților suspendate se micșorează cu suma prestațiilor reluate.</w:t>
      </w:r>
    </w:p>
    <w:p w14:paraId="7017FA22" w14:textId="75C3933E" w:rsidR="00F169BE" w:rsidRPr="00E82CC1" w:rsidRDefault="00D04FA4" w:rsidP="00F747F0">
      <w:pPr>
        <w:pStyle w:val="a8"/>
        <w:spacing w:line="276" w:lineRule="auto"/>
        <w:jc w:val="both"/>
        <w:rPr>
          <w:rFonts w:asciiTheme="majorHAnsi" w:eastAsiaTheme="minorHAnsi" w:hAnsiTheme="majorHAnsi" w:cstheme="majorHAnsi"/>
          <w:sz w:val="24"/>
          <w:szCs w:val="24"/>
          <w:lang w:val="ro-RO"/>
        </w:rPr>
      </w:pPr>
      <w:r w:rsidRPr="00E82CC1">
        <w:rPr>
          <w:rFonts w:asciiTheme="majorHAnsi" w:eastAsiaTheme="minorHAnsi" w:hAnsiTheme="majorHAnsi" w:cstheme="majorHAnsi"/>
          <w:sz w:val="24"/>
          <w:szCs w:val="24"/>
          <w:lang w:val="ro-RO"/>
        </w:rPr>
        <w:t xml:space="preserve">Reflectarea datoriilor plăților </w:t>
      </w:r>
      <w:r w:rsidR="0024423C" w:rsidRPr="00E82CC1">
        <w:rPr>
          <w:rFonts w:asciiTheme="majorHAnsi" w:eastAsiaTheme="minorHAnsi" w:hAnsiTheme="majorHAnsi" w:cstheme="majorHAnsi"/>
          <w:sz w:val="24"/>
          <w:szCs w:val="24"/>
          <w:lang w:val="ro-RO"/>
        </w:rPr>
        <w:t xml:space="preserve">suspendate la conturile exrabilanțiere </w:t>
      </w:r>
      <w:r w:rsidRPr="00E82CC1">
        <w:rPr>
          <w:rFonts w:asciiTheme="majorHAnsi" w:eastAsiaTheme="minorHAnsi" w:hAnsiTheme="majorHAnsi" w:cstheme="majorHAnsi"/>
          <w:sz w:val="24"/>
          <w:szCs w:val="24"/>
          <w:lang w:val="ro-RO"/>
        </w:rPr>
        <w:t>se efectuează</w:t>
      </w:r>
      <w:r w:rsidR="0024423C" w:rsidRPr="00E82CC1">
        <w:rPr>
          <w:rFonts w:asciiTheme="majorHAnsi" w:eastAsiaTheme="minorHAnsi" w:hAnsiTheme="majorHAnsi" w:cstheme="majorHAnsi"/>
          <w:sz w:val="24"/>
          <w:szCs w:val="24"/>
          <w:lang w:val="ro-RO"/>
        </w:rPr>
        <w:t xml:space="preserve"> începând cu data de 01.01.2021, în </w:t>
      </w:r>
      <w:r w:rsidR="00FA56F9">
        <w:rPr>
          <w:rFonts w:asciiTheme="majorHAnsi" w:eastAsiaTheme="minorHAnsi" w:hAnsiTheme="majorHAnsi" w:cstheme="majorHAnsi"/>
          <w:sz w:val="24"/>
          <w:szCs w:val="24"/>
          <w:lang w:val="ro-RO"/>
        </w:rPr>
        <w:t>urma</w:t>
      </w:r>
      <w:r w:rsidR="00FA56F9" w:rsidRPr="00E82CC1">
        <w:rPr>
          <w:rFonts w:asciiTheme="majorHAnsi" w:eastAsiaTheme="minorHAnsi" w:hAnsiTheme="majorHAnsi" w:cstheme="majorHAnsi"/>
          <w:sz w:val="24"/>
          <w:szCs w:val="24"/>
          <w:lang w:val="ro-RO"/>
        </w:rPr>
        <w:t xml:space="preserve"> </w:t>
      </w:r>
      <w:r w:rsidR="0024423C" w:rsidRPr="00E82CC1">
        <w:rPr>
          <w:rFonts w:asciiTheme="majorHAnsi" w:eastAsiaTheme="minorHAnsi" w:hAnsiTheme="majorHAnsi" w:cstheme="majorHAnsi"/>
          <w:sz w:val="24"/>
          <w:szCs w:val="24"/>
          <w:lang w:val="ro-RO"/>
        </w:rPr>
        <w:t>punerii în aplicare a serviciului guvernamen</w:t>
      </w:r>
      <w:r w:rsidRPr="00E82CC1">
        <w:rPr>
          <w:rFonts w:asciiTheme="majorHAnsi" w:eastAsiaTheme="minorHAnsi" w:hAnsiTheme="majorHAnsi" w:cstheme="majorHAnsi"/>
          <w:sz w:val="24"/>
          <w:szCs w:val="24"/>
          <w:lang w:val="ro-RO"/>
        </w:rPr>
        <w:t>tal de plăți electronice</w:t>
      </w:r>
      <w:r w:rsidR="004A35A3" w:rsidRPr="00E82CC1">
        <w:rPr>
          <w:rFonts w:asciiTheme="majorHAnsi" w:eastAsiaTheme="minorHAnsi" w:hAnsiTheme="majorHAnsi" w:cstheme="majorHAnsi"/>
          <w:sz w:val="24"/>
          <w:szCs w:val="24"/>
          <w:lang w:val="ro-RO"/>
        </w:rPr>
        <w:t xml:space="preserve"> (MP</w:t>
      </w:r>
      <w:r w:rsidRPr="00E82CC1">
        <w:rPr>
          <w:rFonts w:asciiTheme="majorHAnsi" w:eastAsiaTheme="minorHAnsi" w:hAnsiTheme="majorHAnsi" w:cstheme="majorHAnsi"/>
          <w:sz w:val="24"/>
          <w:szCs w:val="24"/>
          <w:lang w:val="ro-RO"/>
        </w:rPr>
        <w:t>ay). Această nouă abordare furnizează utilizatorilor rapoartelor, informații relevante cu privire la angajamentele reale ale CNAS față de beneficiarii de prestații și reprezintă drept sursă completă la prognozarea resurselor necesare pentru continuitatea operațiunilor și satisfacerea obligațiunilor</w:t>
      </w:r>
      <w:r w:rsidR="005D118D" w:rsidRPr="00E82CC1">
        <w:rPr>
          <w:rFonts w:asciiTheme="majorHAnsi" w:eastAsiaTheme="minorHAnsi" w:hAnsiTheme="majorHAnsi" w:cstheme="majorHAnsi"/>
          <w:sz w:val="24"/>
          <w:szCs w:val="24"/>
          <w:lang w:val="ro-RO"/>
        </w:rPr>
        <w:t xml:space="preserve">. </w:t>
      </w:r>
    </w:p>
    <w:p w14:paraId="62E3DA98" w14:textId="38C15991" w:rsidR="005F3B9D" w:rsidRPr="00E82CC1" w:rsidRDefault="00814A01" w:rsidP="00814A01">
      <w:pPr>
        <w:pStyle w:val="a8"/>
        <w:spacing w:line="276" w:lineRule="auto"/>
        <w:jc w:val="right"/>
        <w:rPr>
          <w:rFonts w:asciiTheme="majorHAnsi" w:eastAsiaTheme="minorHAnsi" w:hAnsiTheme="majorHAnsi" w:cstheme="majorHAnsi"/>
          <w:b/>
          <w:sz w:val="24"/>
          <w:szCs w:val="24"/>
          <w:lang w:val="ro-RO"/>
        </w:rPr>
      </w:pPr>
      <w:r w:rsidRPr="00E82CC1">
        <w:rPr>
          <w:rFonts w:asciiTheme="majorHAnsi" w:eastAsiaTheme="minorHAnsi" w:hAnsiTheme="majorHAnsi" w:cstheme="majorHAnsi"/>
          <w:b/>
          <w:sz w:val="24"/>
          <w:szCs w:val="24"/>
          <w:lang w:val="ro-RO"/>
        </w:rPr>
        <w:t>Tabel</w:t>
      </w:r>
      <w:r w:rsidR="009766E3">
        <w:rPr>
          <w:rFonts w:asciiTheme="majorHAnsi" w:eastAsiaTheme="minorHAnsi" w:hAnsiTheme="majorHAnsi" w:cstheme="majorHAnsi"/>
          <w:b/>
          <w:sz w:val="24"/>
          <w:szCs w:val="24"/>
          <w:lang w:val="ro-RO"/>
        </w:rPr>
        <w:t>ul</w:t>
      </w:r>
      <w:r w:rsidRPr="00E82CC1">
        <w:rPr>
          <w:rFonts w:asciiTheme="majorHAnsi" w:eastAsiaTheme="minorHAnsi" w:hAnsiTheme="majorHAnsi" w:cstheme="majorHAnsi"/>
          <w:b/>
          <w:sz w:val="24"/>
          <w:szCs w:val="24"/>
          <w:lang w:val="ro-RO"/>
        </w:rPr>
        <w:t xml:space="preserve"> nr.1</w:t>
      </w:r>
    </w:p>
    <w:p w14:paraId="5A45D6F4" w14:textId="170A9D1A" w:rsidR="00D04FA4" w:rsidRPr="00E82CC1" w:rsidRDefault="00814A01" w:rsidP="00814A01">
      <w:pPr>
        <w:pStyle w:val="a8"/>
        <w:spacing w:line="276" w:lineRule="auto"/>
        <w:jc w:val="center"/>
        <w:rPr>
          <w:rFonts w:asciiTheme="majorHAnsi" w:eastAsiaTheme="minorHAnsi" w:hAnsiTheme="majorHAnsi" w:cstheme="majorHAnsi"/>
          <w:b/>
          <w:sz w:val="24"/>
          <w:szCs w:val="24"/>
          <w:lang w:val="ro-RO"/>
        </w:rPr>
      </w:pPr>
      <w:r w:rsidRPr="00E82CC1">
        <w:rPr>
          <w:rFonts w:asciiTheme="majorHAnsi" w:eastAsiaTheme="minorHAnsi" w:hAnsiTheme="majorHAnsi" w:cstheme="majorHAnsi"/>
          <w:b/>
          <w:sz w:val="24"/>
          <w:szCs w:val="24"/>
          <w:lang w:val="ro-RO"/>
        </w:rPr>
        <w:t>Informații privind datorii</w:t>
      </w:r>
      <w:r w:rsidR="00FA56F9">
        <w:rPr>
          <w:rFonts w:asciiTheme="majorHAnsi" w:eastAsiaTheme="minorHAnsi" w:hAnsiTheme="majorHAnsi" w:cstheme="majorHAnsi"/>
          <w:b/>
          <w:sz w:val="24"/>
          <w:szCs w:val="24"/>
          <w:lang w:val="ro-RO"/>
        </w:rPr>
        <w:t>le</w:t>
      </w:r>
      <w:r w:rsidRPr="00E82CC1">
        <w:rPr>
          <w:rFonts w:asciiTheme="majorHAnsi" w:eastAsiaTheme="minorHAnsi" w:hAnsiTheme="majorHAnsi" w:cstheme="majorHAnsi"/>
          <w:b/>
          <w:sz w:val="24"/>
          <w:szCs w:val="24"/>
          <w:lang w:val="ro-RO"/>
        </w:rPr>
        <w:t xml:space="preserve"> suspendate față de beneficiarii de prestații sociale</w:t>
      </w:r>
    </w:p>
    <w:tbl>
      <w:tblPr>
        <w:tblW w:w="9540" w:type="dxa"/>
        <w:jc w:val="center"/>
        <w:tblLook w:val="04A0" w:firstRow="1" w:lastRow="0" w:firstColumn="1" w:lastColumn="0" w:noHBand="0" w:noVBand="1"/>
      </w:tblPr>
      <w:tblGrid>
        <w:gridCol w:w="5760"/>
        <w:gridCol w:w="1350"/>
        <w:gridCol w:w="2430"/>
      </w:tblGrid>
      <w:tr w:rsidR="005F3B9D" w:rsidRPr="00E82CC1" w14:paraId="154C6622" w14:textId="77777777" w:rsidTr="005F3B9D">
        <w:trPr>
          <w:trHeight w:val="2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3165" w14:textId="77777777" w:rsidR="005F3B9D" w:rsidRPr="00E82CC1" w:rsidRDefault="005F3B9D" w:rsidP="00866B53">
            <w:pPr>
              <w:spacing w:after="0" w:line="240" w:lineRule="auto"/>
              <w:jc w:val="center"/>
              <w:rPr>
                <w:rFonts w:asciiTheme="majorHAnsi" w:eastAsia="Times New Roman" w:hAnsiTheme="majorHAnsi" w:cstheme="majorHAnsi"/>
                <w:b/>
                <w:color w:val="000000"/>
                <w:sz w:val="24"/>
                <w:szCs w:val="24"/>
                <w:lang w:val="ro-RO"/>
              </w:rPr>
            </w:pPr>
            <w:r w:rsidRPr="00E82CC1">
              <w:rPr>
                <w:rFonts w:asciiTheme="majorHAnsi" w:eastAsia="Times New Roman" w:hAnsiTheme="majorHAnsi" w:cstheme="majorHAnsi"/>
                <w:b/>
                <w:color w:val="000000"/>
                <w:sz w:val="24"/>
                <w:szCs w:val="24"/>
                <w:lang w:val="ro-RO"/>
              </w:rPr>
              <w:t>Tipul prestației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CF7D8F7" w14:textId="77777777" w:rsidR="005F3B9D" w:rsidRPr="00E82CC1" w:rsidRDefault="005F3B9D" w:rsidP="00866B53">
            <w:pPr>
              <w:spacing w:after="0" w:line="240" w:lineRule="auto"/>
              <w:jc w:val="center"/>
              <w:rPr>
                <w:rFonts w:asciiTheme="majorHAnsi" w:eastAsia="Times New Roman" w:hAnsiTheme="majorHAnsi" w:cstheme="majorHAnsi"/>
                <w:b/>
                <w:color w:val="000000"/>
                <w:sz w:val="24"/>
                <w:szCs w:val="24"/>
                <w:lang w:val="ro-RO"/>
              </w:rPr>
            </w:pPr>
            <w:r w:rsidRPr="00E82CC1">
              <w:rPr>
                <w:rFonts w:asciiTheme="majorHAnsi" w:eastAsia="Times New Roman" w:hAnsiTheme="majorHAnsi" w:cstheme="majorHAnsi"/>
                <w:b/>
                <w:color w:val="000000"/>
                <w:sz w:val="24"/>
                <w:szCs w:val="24"/>
                <w:lang w:val="ro-RO"/>
              </w:rPr>
              <w:t>Perioada de reflectare</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7B4B5D6F" w14:textId="6B37BC74" w:rsidR="005F3B9D" w:rsidRPr="00E82CC1" w:rsidRDefault="005F3B9D" w:rsidP="00866B53">
            <w:pPr>
              <w:spacing w:after="0" w:line="240" w:lineRule="auto"/>
              <w:jc w:val="center"/>
              <w:rPr>
                <w:rFonts w:asciiTheme="majorHAnsi" w:eastAsia="Times New Roman" w:hAnsiTheme="majorHAnsi" w:cstheme="majorHAnsi"/>
                <w:b/>
                <w:color w:val="000000"/>
                <w:sz w:val="24"/>
                <w:szCs w:val="24"/>
                <w:lang w:val="ro-RO"/>
              </w:rPr>
            </w:pPr>
            <w:r w:rsidRPr="00E82CC1">
              <w:rPr>
                <w:rFonts w:asciiTheme="majorHAnsi" w:eastAsia="Times New Roman" w:hAnsiTheme="majorHAnsi" w:cstheme="majorHAnsi"/>
                <w:b/>
                <w:color w:val="000000"/>
                <w:sz w:val="24"/>
                <w:szCs w:val="24"/>
                <w:lang w:val="ro-RO"/>
              </w:rPr>
              <w:t>Suma datoriei la finele anului 2021</w:t>
            </w:r>
            <w:r w:rsidR="00EE4E5A" w:rsidRPr="00E82CC1">
              <w:rPr>
                <w:rFonts w:asciiTheme="majorHAnsi" w:eastAsia="Times New Roman" w:hAnsiTheme="majorHAnsi" w:cstheme="majorHAnsi"/>
                <w:b/>
                <w:color w:val="000000"/>
                <w:sz w:val="24"/>
                <w:szCs w:val="24"/>
                <w:lang w:val="ro-RO"/>
              </w:rPr>
              <w:t xml:space="preserve">, </w:t>
            </w:r>
            <w:r w:rsidR="00617E4A">
              <w:rPr>
                <w:rFonts w:asciiTheme="majorHAnsi" w:eastAsia="Times New Roman" w:hAnsiTheme="majorHAnsi" w:cstheme="majorHAnsi"/>
                <w:b/>
                <w:color w:val="000000"/>
                <w:sz w:val="24"/>
                <w:szCs w:val="24"/>
                <w:lang w:val="ro-RO"/>
              </w:rPr>
              <w:t xml:space="preserve">mii </w:t>
            </w:r>
            <w:r w:rsidR="00EE4E5A" w:rsidRPr="00E82CC1">
              <w:rPr>
                <w:rFonts w:asciiTheme="majorHAnsi" w:eastAsia="Times New Roman" w:hAnsiTheme="majorHAnsi" w:cstheme="majorHAnsi"/>
                <w:b/>
                <w:color w:val="000000"/>
                <w:sz w:val="24"/>
                <w:szCs w:val="24"/>
                <w:lang w:val="ro-RO"/>
              </w:rPr>
              <w:t>lei</w:t>
            </w:r>
          </w:p>
        </w:tc>
      </w:tr>
      <w:tr w:rsidR="005F3B9D" w:rsidRPr="00E82CC1" w14:paraId="456B268C"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2EF6F51A"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Pensii de asigurări sociale de stat</w:t>
            </w:r>
          </w:p>
        </w:tc>
        <w:tc>
          <w:tcPr>
            <w:tcW w:w="1350" w:type="dxa"/>
            <w:tcBorders>
              <w:top w:val="nil"/>
              <w:left w:val="nil"/>
              <w:bottom w:val="single" w:sz="4" w:space="0" w:color="auto"/>
              <w:right w:val="single" w:sz="4" w:space="0" w:color="auto"/>
            </w:tcBorders>
            <w:shd w:val="clear" w:color="auto" w:fill="auto"/>
            <w:noWrap/>
            <w:vAlign w:val="bottom"/>
            <w:hideMark/>
          </w:tcPr>
          <w:p w14:paraId="5325BC9D"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08-12</w:t>
            </w:r>
          </w:p>
        </w:tc>
        <w:tc>
          <w:tcPr>
            <w:tcW w:w="2430" w:type="dxa"/>
            <w:tcBorders>
              <w:top w:val="nil"/>
              <w:left w:val="nil"/>
              <w:bottom w:val="single" w:sz="4" w:space="0" w:color="auto"/>
              <w:right w:val="single" w:sz="4" w:space="0" w:color="auto"/>
            </w:tcBorders>
            <w:shd w:val="clear" w:color="auto" w:fill="auto"/>
            <w:noWrap/>
            <w:vAlign w:val="bottom"/>
            <w:hideMark/>
          </w:tcPr>
          <w:p w14:paraId="69C1A887" w14:textId="299A9342" w:rsidR="005F3B9D" w:rsidRPr="00E82CC1" w:rsidRDefault="005F3B9D" w:rsidP="00617E4A">
            <w:pPr>
              <w:spacing w:after="0" w:line="240" w:lineRule="auto"/>
              <w:jc w:val="right"/>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3 312</w:t>
            </w:r>
            <w:r w:rsidR="00617E4A">
              <w:rPr>
                <w:rFonts w:asciiTheme="majorHAnsi" w:eastAsia="Times New Roman" w:hAnsiTheme="majorHAnsi" w:cstheme="majorHAnsi"/>
                <w:color w:val="000000"/>
                <w:sz w:val="24"/>
                <w:szCs w:val="24"/>
                <w:lang w:val="ro-RO"/>
              </w:rPr>
              <w:t>,1</w:t>
            </w:r>
          </w:p>
        </w:tc>
      </w:tr>
      <w:tr w:rsidR="005F3B9D" w:rsidRPr="00E82CC1" w14:paraId="79B257E1"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3AB2AB17"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Alocații sociale de stat</w:t>
            </w:r>
          </w:p>
        </w:tc>
        <w:tc>
          <w:tcPr>
            <w:tcW w:w="1350" w:type="dxa"/>
            <w:tcBorders>
              <w:top w:val="nil"/>
              <w:left w:val="nil"/>
              <w:bottom w:val="single" w:sz="4" w:space="0" w:color="auto"/>
              <w:right w:val="single" w:sz="4" w:space="0" w:color="auto"/>
            </w:tcBorders>
            <w:shd w:val="clear" w:color="auto" w:fill="auto"/>
            <w:noWrap/>
            <w:vAlign w:val="bottom"/>
            <w:hideMark/>
          </w:tcPr>
          <w:p w14:paraId="735A7036"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08-12</w:t>
            </w:r>
          </w:p>
        </w:tc>
        <w:tc>
          <w:tcPr>
            <w:tcW w:w="2430" w:type="dxa"/>
            <w:tcBorders>
              <w:top w:val="nil"/>
              <w:left w:val="nil"/>
              <w:bottom w:val="single" w:sz="4" w:space="0" w:color="auto"/>
              <w:right w:val="single" w:sz="4" w:space="0" w:color="auto"/>
            </w:tcBorders>
            <w:shd w:val="clear" w:color="auto" w:fill="auto"/>
            <w:noWrap/>
            <w:vAlign w:val="bottom"/>
            <w:hideMark/>
          </w:tcPr>
          <w:p w14:paraId="6F8FC62B" w14:textId="5CABC587" w:rsidR="005F3B9D" w:rsidRPr="00E82CC1" w:rsidRDefault="005F3B9D" w:rsidP="00617E4A">
            <w:pPr>
              <w:spacing w:after="0" w:line="240" w:lineRule="auto"/>
              <w:jc w:val="right"/>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737</w:t>
            </w:r>
            <w:r w:rsidR="00617E4A">
              <w:rPr>
                <w:rFonts w:asciiTheme="majorHAnsi" w:eastAsia="Times New Roman" w:hAnsiTheme="majorHAnsi" w:cstheme="majorHAnsi"/>
                <w:color w:val="000000"/>
                <w:sz w:val="24"/>
                <w:szCs w:val="24"/>
                <w:lang w:val="ro-RO"/>
              </w:rPr>
              <w:t>,</w:t>
            </w:r>
            <w:r w:rsidRPr="00E82CC1">
              <w:rPr>
                <w:rFonts w:asciiTheme="majorHAnsi" w:eastAsia="Times New Roman" w:hAnsiTheme="majorHAnsi" w:cstheme="majorHAnsi"/>
                <w:color w:val="000000"/>
                <w:sz w:val="24"/>
                <w:szCs w:val="24"/>
                <w:lang w:val="ro-RO"/>
              </w:rPr>
              <w:t>9</w:t>
            </w:r>
          </w:p>
        </w:tc>
      </w:tr>
      <w:tr w:rsidR="005F3B9D" w:rsidRPr="00E82CC1" w14:paraId="1E5BFBF1"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49E2411B"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Suport financiar</w:t>
            </w:r>
          </w:p>
        </w:tc>
        <w:tc>
          <w:tcPr>
            <w:tcW w:w="1350" w:type="dxa"/>
            <w:tcBorders>
              <w:top w:val="nil"/>
              <w:left w:val="nil"/>
              <w:bottom w:val="single" w:sz="4" w:space="0" w:color="auto"/>
              <w:right w:val="single" w:sz="4" w:space="0" w:color="auto"/>
            </w:tcBorders>
            <w:shd w:val="clear" w:color="auto" w:fill="auto"/>
            <w:noWrap/>
            <w:vAlign w:val="bottom"/>
            <w:hideMark/>
          </w:tcPr>
          <w:p w14:paraId="07E89815"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09-12</w:t>
            </w:r>
          </w:p>
        </w:tc>
        <w:tc>
          <w:tcPr>
            <w:tcW w:w="2430" w:type="dxa"/>
            <w:tcBorders>
              <w:top w:val="nil"/>
              <w:left w:val="nil"/>
              <w:bottom w:val="single" w:sz="4" w:space="0" w:color="auto"/>
              <w:right w:val="single" w:sz="4" w:space="0" w:color="auto"/>
            </w:tcBorders>
            <w:shd w:val="clear" w:color="auto" w:fill="auto"/>
            <w:noWrap/>
            <w:vAlign w:val="bottom"/>
            <w:hideMark/>
          </w:tcPr>
          <w:p w14:paraId="011F06FE" w14:textId="2A997B7A" w:rsidR="005F3B9D" w:rsidRPr="00E82CC1" w:rsidRDefault="005F3B9D" w:rsidP="00617E4A">
            <w:pPr>
              <w:spacing w:after="0" w:line="240" w:lineRule="auto"/>
              <w:jc w:val="right"/>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189</w:t>
            </w:r>
            <w:r w:rsidR="00617E4A">
              <w:rPr>
                <w:rFonts w:asciiTheme="majorHAnsi" w:eastAsia="Times New Roman" w:hAnsiTheme="majorHAnsi" w:cstheme="majorHAnsi"/>
                <w:color w:val="000000"/>
                <w:sz w:val="24"/>
                <w:szCs w:val="24"/>
                <w:lang w:val="ro-RO"/>
              </w:rPr>
              <w:t>,</w:t>
            </w:r>
            <w:r w:rsidRPr="00E82CC1">
              <w:rPr>
                <w:rFonts w:asciiTheme="majorHAnsi" w:eastAsia="Times New Roman" w:hAnsiTheme="majorHAnsi" w:cstheme="majorHAnsi"/>
                <w:color w:val="000000"/>
                <w:sz w:val="24"/>
                <w:szCs w:val="24"/>
                <w:lang w:val="ro-RO"/>
              </w:rPr>
              <w:t>5</w:t>
            </w:r>
          </w:p>
        </w:tc>
      </w:tr>
      <w:tr w:rsidR="005F3B9D" w:rsidRPr="00E82CC1" w14:paraId="245544C9"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49DD12D6"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Compensație bănească</w:t>
            </w:r>
          </w:p>
        </w:tc>
        <w:tc>
          <w:tcPr>
            <w:tcW w:w="1350" w:type="dxa"/>
            <w:tcBorders>
              <w:top w:val="nil"/>
              <w:left w:val="nil"/>
              <w:bottom w:val="single" w:sz="4" w:space="0" w:color="auto"/>
              <w:right w:val="single" w:sz="4" w:space="0" w:color="auto"/>
            </w:tcBorders>
            <w:shd w:val="clear" w:color="auto" w:fill="auto"/>
            <w:noWrap/>
            <w:vAlign w:val="bottom"/>
            <w:hideMark/>
          </w:tcPr>
          <w:p w14:paraId="41286941"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11</w:t>
            </w:r>
          </w:p>
        </w:tc>
        <w:tc>
          <w:tcPr>
            <w:tcW w:w="2430" w:type="dxa"/>
            <w:tcBorders>
              <w:top w:val="nil"/>
              <w:left w:val="nil"/>
              <w:bottom w:val="single" w:sz="4" w:space="0" w:color="auto"/>
              <w:right w:val="single" w:sz="4" w:space="0" w:color="auto"/>
            </w:tcBorders>
            <w:shd w:val="clear" w:color="auto" w:fill="auto"/>
            <w:noWrap/>
            <w:vAlign w:val="bottom"/>
            <w:hideMark/>
          </w:tcPr>
          <w:p w14:paraId="465ACC1D" w14:textId="1320C5E1"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35,</w:t>
            </w:r>
            <w:r w:rsidR="005F3B9D" w:rsidRPr="00E82CC1">
              <w:rPr>
                <w:rFonts w:asciiTheme="majorHAnsi" w:eastAsia="Times New Roman" w:hAnsiTheme="majorHAnsi" w:cstheme="majorHAnsi"/>
                <w:color w:val="000000"/>
                <w:sz w:val="24"/>
                <w:szCs w:val="24"/>
                <w:lang w:val="ro-RO"/>
              </w:rPr>
              <w:t>7</w:t>
            </w:r>
          </w:p>
        </w:tc>
      </w:tr>
      <w:tr w:rsidR="005F3B9D" w:rsidRPr="00E82CC1" w14:paraId="48191BB6"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763C9B19"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Merite deosebite</w:t>
            </w:r>
          </w:p>
        </w:tc>
        <w:tc>
          <w:tcPr>
            <w:tcW w:w="1350" w:type="dxa"/>
            <w:tcBorders>
              <w:top w:val="nil"/>
              <w:left w:val="nil"/>
              <w:bottom w:val="single" w:sz="4" w:space="0" w:color="auto"/>
              <w:right w:val="single" w:sz="4" w:space="0" w:color="auto"/>
            </w:tcBorders>
            <w:shd w:val="clear" w:color="auto" w:fill="auto"/>
            <w:noWrap/>
            <w:vAlign w:val="bottom"/>
            <w:hideMark/>
          </w:tcPr>
          <w:p w14:paraId="0E17043F"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11-12</w:t>
            </w:r>
          </w:p>
        </w:tc>
        <w:tc>
          <w:tcPr>
            <w:tcW w:w="2430" w:type="dxa"/>
            <w:tcBorders>
              <w:top w:val="nil"/>
              <w:left w:val="nil"/>
              <w:bottom w:val="single" w:sz="4" w:space="0" w:color="auto"/>
              <w:right w:val="single" w:sz="4" w:space="0" w:color="auto"/>
            </w:tcBorders>
            <w:shd w:val="clear" w:color="auto" w:fill="auto"/>
            <w:noWrap/>
            <w:vAlign w:val="bottom"/>
            <w:hideMark/>
          </w:tcPr>
          <w:p w14:paraId="240AA999" w14:textId="73AB49F4"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31,</w:t>
            </w:r>
            <w:r w:rsidR="005F3B9D" w:rsidRPr="00E82CC1">
              <w:rPr>
                <w:rFonts w:asciiTheme="majorHAnsi" w:eastAsia="Times New Roman" w:hAnsiTheme="majorHAnsi" w:cstheme="majorHAnsi"/>
                <w:color w:val="000000"/>
                <w:sz w:val="24"/>
                <w:szCs w:val="24"/>
                <w:lang w:val="ro-RO"/>
              </w:rPr>
              <w:t>7</w:t>
            </w:r>
          </w:p>
        </w:tc>
      </w:tr>
      <w:tr w:rsidR="005F3B9D" w:rsidRPr="00E82CC1" w14:paraId="3B256B96"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0648F9C0" w14:textId="28B47B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 xml:space="preserve">Ajutor </w:t>
            </w:r>
            <w:r w:rsidR="00FA56F9">
              <w:rPr>
                <w:rFonts w:asciiTheme="majorHAnsi" w:eastAsia="Times New Roman" w:hAnsiTheme="majorHAnsi" w:cstheme="majorHAnsi"/>
                <w:color w:val="000000"/>
                <w:sz w:val="24"/>
                <w:szCs w:val="24"/>
                <w:lang w:val="ro-RO"/>
              </w:rPr>
              <w:t xml:space="preserve">de </w:t>
            </w:r>
            <w:r w:rsidRPr="00E82CC1">
              <w:rPr>
                <w:rFonts w:asciiTheme="majorHAnsi" w:eastAsia="Times New Roman" w:hAnsiTheme="majorHAnsi" w:cstheme="majorHAnsi"/>
                <w:color w:val="000000"/>
                <w:sz w:val="24"/>
                <w:szCs w:val="24"/>
                <w:lang w:val="ro-RO"/>
              </w:rPr>
              <w:t>șomaj</w:t>
            </w:r>
          </w:p>
        </w:tc>
        <w:tc>
          <w:tcPr>
            <w:tcW w:w="1350" w:type="dxa"/>
            <w:tcBorders>
              <w:top w:val="nil"/>
              <w:left w:val="nil"/>
              <w:bottom w:val="single" w:sz="4" w:space="0" w:color="auto"/>
              <w:right w:val="single" w:sz="4" w:space="0" w:color="auto"/>
            </w:tcBorders>
            <w:shd w:val="clear" w:color="auto" w:fill="auto"/>
            <w:noWrap/>
            <w:vAlign w:val="bottom"/>
            <w:hideMark/>
          </w:tcPr>
          <w:p w14:paraId="38A1EC0E"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08-12</w:t>
            </w:r>
          </w:p>
        </w:tc>
        <w:tc>
          <w:tcPr>
            <w:tcW w:w="2430" w:type="dxa"/>
            <w:tcBorders>
              <w:top w:val="nil"/>
              <w:left w:val="nil"/>
              <w:bottom w:val="single" w:sz="4" w:space="0" w:color="auto"/>
              <w:right w:val="single" w:sz="4" w:space="0" w:color="auto"/>
            </w:tcBorders>
            <w:shd w:val="clear" w:color="auto" w:fill="auto"/>
            <w:noWrap/>
            <w:vAlign w:val="bottom"/>
            <w:hideMark/>
          </w:tcPr>
          <w:p w14:paraId="36E99C7E" w14:textId="066925AA" w:rsidR="005F3B9D" w:rsidRPr="00E82CC1" w:rsidRDefault="005F3B9D" w:rsidP="00617E4A">
            <w:pPr>
              <w:spacing w:after="0" w:line="240" w:lineRule="auto"/>
              <w:jc w:val="right"/>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1 020</w:t>
            </w:r>
            <w:r w:rsidR="00617E4A">
              <w:rPr>
                <w:rFonts w:asciiTheme="majorHAnsi" w:eastAsia="Times New Roman" w:hAnsiTheme="majorHAnsi" w:cstheme="majorHAnsi"/>
                <w:color w:val="000000"/>
                <w:sz w:val="24"/>
                <w:szCs w:val="24"/>
                <w:lang w:val="ro-RO"/>
              </w:rPr>
              <w:t>,</w:t>
            </w:r>
            <w:r w:rsidRPr="00E82CC1">
              <w:rPr>
                <w:rFonts w:asciiTheme="majorHAnsi" w:eastAsia="Times New Roman" w:hAnsiTheme="majorHAnsi" w:cstheme="majorHAnsi"/>
                <w:color w:val="000000"/>
                <w:sz w:val="24"/>
                <w:szCs w:val="24"/>
                <w:lang w:val="ro-RO"/>
              </w:rPr>
              <w:t>9</w:t>
            </w:r>
          </w:p>
        </w:tc>
      </w:tr>
      <w:tr w:rsidR="005F3B9D" w:rsidRPr="00E82CC1" w14:paraId="4FFAA76E"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259D1CDB"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Alocație lunară de stat</w:t>
            </w:r>
          </w:p>
        </w:tc>
        <w:tc>
          <w:tcPr>
            <w:tcW w:w="1350" w:type="dxa"/>
            <w:tcBorders>
              <w:top w:val="nil"/>
              <w:left w:val="nil"/>
              <w:bottom w:val="single" w:sz="4" w:space="0" w:color="auto"/>
              <w:right w:val="single" w:sz="4" w:space="0" w:color="auto"/>
            </w:tcBorders>
            <w:shd w:val="clear" w:color="auto" w:fill="auto"/>
            <w:noWrap/>
            <w:vAlign w:val="bottom"/>
            <w:hideMark/>
          </w:tcPr>
          <w:p w14:paraId="1768BC5A"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11-12</w:t>
            </w:r>
          </w:p>
        </w:tc>
        <w:tc>
          <w:tcPr>
            <w:tcW w:w="2430" w:type="dxa"/>
            <w:tcBorders>
              <w:top w:val="nil"/>
              <w:left w:val="nil"/>
              <w:bottom w:val="single" w:sz="4" w:space="0" w:color="auto"/>
              <w:right w:val="single" w:sz="4" w:space="0" w:color="auto"/>
            </w:tcBorders>
            <w:shd w:val="clear" w:color="auto" w:fill="auto"/>
            <w:noWrap/>
            <w:vAlign w:val="bottom"/>
            <w:hideMark/>
          </w:tcPr>
          <w:p w14:paraId="280E846A" w14:textId="780A5A4D"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2 604,</w:t>
            </w:r>
            <w:r w:rsidR="005F3B9D" w:rsidRPr="00E82CC1">
              <w:rPr>
                <w:rFonts w:asciiTheme="majorHAnsi" w:eastAsia="Times New Roman" w:hAnsiTheme="majorHAnsi" w:cstheme="majorHAnsi"/>
                <w:color w:val="000000"/>
                <w:sz w:val="24"/>
                <w:szCs w:val="24"/>
                <w:lang w:val="ro-RO"/>
              </w:rPr>
              <w:t>4</w:t>
            </w:r>
          </w:p>
        </w:tc>
      </w:tr>
      <w:tr w:rsidR="005F3B9D" w:rsidRPr="00E82CC1" w14:paraId="43CDF973" w14:textId="77777777" w:rsidTr="005F3B9D">
        <w:trPr>
          <w:trHeight w:val="71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5DF60764"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Indemnizație viageră sportivilor de performanță care s-au retras din activitatea sportivă și antrenorilor acestora</w:t>
            </w:r>
          </w:p>
        </w:tc>
        <w:tc>
          <w:tcPr>
            <w:tcW w:w="1350" w:type="dxa"/>
            <w:tcBorders>
              <w:top w:val="nil"/>
              <w:left w:val="nil"/>
              <w:bottom w:val="single" w:sz="4" w:space="0" w:color="auto"/>
              <w:right w:val="single" w:sz="4" w:space="0" w:color="auto"/>
            </w:tcBorders>
            <w:shd w:val="clear" w:color="auto" w:fill="auto"/>
            <w:noWrap/>
            <w:vAlign w:val="bottom"/>
            <w:hideMark/>
          </w:tcPr>
          <w:p w14:paraId="42867EC4"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12</w:t>
            </w:r>
          </w:p>
        </w:tc>
        <w:tc>
          <w:tcPr>
            <w:tcW w:w="2430" w:type="dxa"/>
            <w:tcBorders>
              <w:top w:val="nil"/>
              <w:left w:val="nil"/>
              <w:bottom w:val="single" w:sz="4" w:space="0" w:color="auto"/>
              <w:right w:val="single" w:sz="4" w:space="0" w:color="auto"/>
            </w:tcBorders>
            <w:shd w:val="clear" w:color="auto" w:fill="auto"/>
            <w:noWrap/>
            <w:vAlign w:val="bottom"/>
            <w:hideMark/>
          </w:tcPr>
          <w:p w14:paraId="3CB9ED36" w14:textId="1D3D555B"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189,</w:t>
            </w:r>
            <w:r w:rsidR="005F3B9D" w:rsidRPr="00E82CC1">
              <w:rPr>
                <w:rFonts w:asciiTheme="majorHAnsi" w:eastAsia="Times New Roman" w:hAnsiTheme="majorHAnsi" w:cstheme="majorHAnsi"/>
                <w:color w:val="000000"/>
                <w:sz w:val="24"/>
                <w:szCs w:val="24"/>
                <w:lang w:val="ro-RO"/>
              </w:rPr>
              <w:t>7</w:t>
            </w:r>
          </w:p>
        </w:tc>
      </w:tr>
      <w:tr w:rsidR="005F3B9D" w:rsidRPr="00E82CC1" w14:paraId="0240F289"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4FE77988"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Îngrijirea copilului cu vârsta de până la 2 ani, ca persoană neasigurată</w:t>
            </w:r>
          </w:p>
        </w:tc>
        <w:tc>
          <w:tcPr>
            <w:tcW w:w="1350" w:type="dxa"/>
            <w:tcBorders>
              <w:top w:val="nil"/>
              <w:left w:val="nil"/>
              <w:bottom w:val="single" w:sz="4" w:space="0" w:color="auto"/>
              <w:right w:val="single" w:sz="4" w:space="0" w:color="auto"/>
            </w:tcBorders>
            <w:shd w:val="clear" w:color="auto" w:fill="auto"/>
            <w:noWrap/>
            <w:vAlign w:val="bottom"/>
            <w:hideMark/>
          </w:tcPr>
          <w:p w14:paraId="7E2E3E8E"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11-12</w:t>
            </w:r>
          </w:p>
        </w:tc>
        <w:tc>
          <w:tcPr>
            <w:tcW w:w="2430" w:type="dxa"/>
            <w:tcBorders>
              <w:top w:val="nil"/>
              <w:left w:val="nil"/>
              <w:bottom w:val="single" w:sz="4" w:space="0" w:color="auto"/>
              <w:right w:val="single" w:sz="4" w:space="0" w:color="auto"/>
            </w:tcBorders>
            <w:shd w:val="clear" w:color="auto" w:fill="auto"/>
            <w:noWrap/>
            <w:vAlign w:val="bottom"/>
            <w:hideMark/>
          </w:tcPr>
          <w:p w14:paraId="4F22B9DB" w14:textId="02342934"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1 415,</w:t>
            </w:r>
            <w:r w:rsidR="005F3B9D" w:rsidRPr="00E82CC1">
              <w:rPr>
                <w:rFonts w:asciiTheme="majorHAnsi" w:eastAsia="Times New Roman" w:hAnsiTheme="majorHAnsi" w:cstheme="majorHAnsi"/>
                <w:color w:val="000000"/>
                <w:sz w:val="24"/>
                <w:szCs w:val="24"/>
                <w:lang w:val="ro-RO"/>
              </w:rPr>
              <w:t>7</w:t>
            </w:r>
          </w:p>
        </w:tc>
      </w:tr>
      <w:tr w:rsidR="005F3B9D" w:rsidRPr="00E82CC1" w14:paraId="28D29B91"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10A51B6F"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Îngrijirea copilului cu vârsta de până la 3 ani</w:t>
            </w:r>
          </w:p>
        </w:tc>
        <w:tc>
          <w:tcPr>
            <w:tcW w:w="1350" w:type="dxa"/>
            <w:tcBorders>
              <w:top w:val="nil"/>
              <w:left w:val="nil"/>
              <w:bottom w:val="single" w:sz="4" w:space="0" w:color="auto"/>
              <w:right w:val="single" w:sz="4" w:space="0" w:color="auto"/>
            </w:tcBorders>
            <w:shd w:val="clear" w:color="auto" w:fill="auto"/>
            <w:noWrap/>
            <w:vAlign w:val="bottom"/>
            <w:hideMark/>
          </w:tcPr>
          <w:p w14:paraId="291A2481"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11-12</w:t>
            </w:r>
          </w:p>
        </w:tc>
        <w:tc>
          <w:tcPr>
            <w:tcW w:w="2430" w:type="dxa"/>
            <w:tcBorders>
              <w:top w:val="nil"/>
              <w:left w:val="nil"/>
              <w:bottom w:val="single" w:sz="4" w:space="0" w:color="auto"/>
              <w:right w:val="single" w:sz="4" w:space="0" w:color="auto"/>
            </w:tcBorders>
            <w:shd w:val="clear" w:color="auto" w:fill="auto"/>
            <w:noWrap/>
            <w:vAlign w:val="bottom"/>
            <w:hideMark/>
          </w:tcPr>
          <w:p w14:paraId="6AF735AA" w14:textId="58BD014A"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709,4</w:t>
            </w:r>
          </w:p>
        </w:tc>
      </w:tr>
      <w:tr w:rsidR="005F3B9D" w:rsidRPr="00E82CC1" w14:paraId="4E176BED"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32A6D73A" w14:textId="720DFC3C" w:rsidR="005F3B9D" w:rsidRPr="00E82CC1" w:rsidRDefault="005F3B9D" w:rsidP="00FA56F9">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Îngrijirea copilului cu vârsta de până la 3 ani</w:t>
            </w:r>
            <w:r w:rsidR="00FA56F9">
              <w:rPr>
                <w:rFonts w:asciiTheme="majorHAnsi" w:eastAsia="Times New Roman" w:hAnsiTheme="majorHAnsi" w:cstheme="majorHAnsi"/>
                <w:color w:val="000000"/>
                <w:sz w:val="24"/>
                <w:szCs w:val="24"/>
                <w:lang w:val="ro-RO"/>
              </w:rPr>
              <w:t>,</w:t>
            </w:r>
            <w:r w:rsidRPr="00E82CC1">
              <w:rPr>
                <w:rFonts w:asciiTheme="majorHAnsi" w:eastAsia="Times New Roman" w:hAnsiTheme="majorHAnsi" w:cstheme="majorHAnsi"/>
                <w:color w:val="000000"/>
                <w:sz w:val="24"/>
                <w:szCs w:val="24"/>
                <w:lang w:val="ro-RO"/>
              </w:rPr>
              <w:t xml:space="preserve"> a copiilor gemeni sau </w:t>
            </w:r>
            <w:r w:rsidR="00FA56F9">
              <w:rPr>
                <w:rFonts w:asciiTheme="majorHAnsi" w:eastAsia="Times New Roman" w:hAnsiTheme="majorHAnsi" w:cstheme="majorHAnsi"/>
                <w:color w:val="000000"/>
                <w:sz w:val="24"/>
                <w:szCs w:val="24"/>
                <w:lang w:val="ro-RO"/>
              </w:rPr>
              <w:t xml:space="preserve">a </w:t>
            </w:r>
            <w:r w:rsidRPr="00E82CC1">
              <w:rPr>
                <w:rFonts w:asciiTheme="majorHAnsi" w:eastAsia="Times New Roman" w:hAnsiTheme="majorHAnsi" w:cstheme="majorHAnsi"/>
                <w:color w:val="000000"/>
                <w:sz w:val="24"/>
                <w:szCs w:val="24"/>
                <w:lang w:val="ro-RO"/>
              </w:rPr>
              <w:t>mai mul</w:t>
            </w:r>
            <w:r w:rsidR="00FA56F9">
              <w:rPr>
                <w:rFonts w:asciiTheme="majorHAnsi" w:eastAsia="Times New Roman" w:hAnsiTheme="majorHAnsi" w:cstheme="majorHAnsi"/>
                <w:color w:val="000000"/>
                <w:sz w:val="24"/>
                <w:szCs w:val="24"/>
                <w:lang w:val="ro-RO"/>
              </w:rPr>
              <w:t>tor</w:t>
            </w:r>
            <w:r w:rsidRPr="00E82CC1">
              <w:rPr>
                <w:rFonts w:asciiTheme="majorHAnsi" w:eastAsia="Times New Roman" w:hAnsiTheme="majorHAnsi" w:cstheme="majorHAnsi"/>
                <w:color w:val="000000"/>
                <w:sz w:val="24"/>
                <w:szCs w:val="24"/>
                <w:lang w:val="ro-RO"/>
              </w:rPr>
              <w:t xml:space="preserve"> copii născuți dintr-o sarcină</w:t>
            </w:r>
          </w:p>
        </w:tc>
        <w:tc>
          <w:tcPr>
            <w:tcW w:w="1350" w:type="dxa"/>
            <w:tcBorders>
              <w:top w:val="nil"/>
              <w:left w:val="nil"/>
              <w:bottom w:val="single" w:sz="4" w:space="0" w:color="auto"/>
              <w:right w:val="single" w:sz="4" w:space="0" w:color="auto"/>
            </w:tcBorders>
            <w:shd w:val="clear" w:color="auto" w:fill="auto"/>
            <w:noWrap/>
            <w:vAlign w:val="bottom"/>
            <w:hideMark/>
          </w:tcPr>
          <w:p w14:paraId="459BA5D6"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11-12</w:t>
            </w:r>
          </w:p>
        </w:tc>
        <w:tc>
          <w:tcPr>
            <w:tcW w:w="2430" w:type="dxa"/>
            <w:tcBorders>
              <w:top w:val="nil"/>
              <w:left w:val="nil"/>
              <w:bottom w:val="single" w:sz="4" w:space="0" w:color="auto"/>
              <w:right w:val="single" w:sz="4" w:space="0" w:color="auto"/>
            </w:tcBorders>
            <w:shd w:val="clear" w:color="auto" w:fill="auto"/>
            <w:noWrap/>
            <w:vAlign w:val="bottom"/>
            <w:hideMark/>
          </w:tcPr>
          <w:p w14:paraId="7F35CD71" w14:textId="20E14AF9"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146,7</w:t>
            </w:r>
          </w:p>
        </w:tc>
      </w:tr>
      <w:tr w:rsidR="005F3B9D" w:rsidRPr="00E82CC1" w14:paraId="51D18B96"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739430F2" w14:textId="77777777" w:rsidR="005F3B9D" w:rsidRPr="00E82CC1" w:rsidRDefault="005F3B9D" w:rsidP="00866B53">
            <w:pPr>
              <w:spacing w:after="0" w:line="240"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Șomaj stare de urgență</w:t>
            </w:r>
          </w:p>
        </w:tc>
        <w:tc>
          <w:tcPr>
            <w:tcW w:w="1350" w:type="dxa"/>
            <w:tcBorders>
              <w:top w:val="nil"/>
              <w:left w:val="nil"/>
              <w:bottom w:val="single" w:sz="4" w:space="0" w:color="auto"/>
              <w:right w:val="single" w:sz="4" w:space="0" w:color="auto"/>
            </w:tcBorders>
            <w:shd w:val="clear" w:color="auto" w:fill="auto"/>
            <w:noWrap/>
            <w:vAlign w:val="bottom"/>
            <w:hideMark/>
          </w:tcPr>
          <w:p w14:paraId="1726A98E" w14:textId="77777777" w:rsidR="005F3B9D" w:rsidRPr="00E82CC1" w:rsidRDefault="005F3B9D" w:rsidP="00866B53">
            <w:pPr>
              <w:spacing w:after="0" w:line="240" w:lineRule="auto"/>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Luna 07</w:t>
            </w:r>
          </w:p>
        </w:tc>
        <w:tc>
          <w:tcPr>
            <w:tcW w:w="2430" w:type="dxa"/>
            <w:tcBorders>
              <w:top w:val="nil"/>
              <w:left w:val="nil"/>
              <w:bottom w:val="single" w:sz="4" w:space="0" w:color="auto"/>
              <w:right w:val="single" w:sz="4" w:space="0" w:color="auto"/>
            </w:tcBorders>
            <w:shd w:val="clear" w:color="auto" w:fill="auto"/>
            <w:noWrap/>
            <w:vAlign w:val="bottom"/>
            <w:hideMark/>
          </w:tcPr>
          <w:p w14:paraId="414366F5" w14:textId="5F172B5E" w:rsidR="005F3B9D" w:rsidRPr="00E82CC1" w:rsidRDefault="00617E4A" w:rsidP="00617E4A">
            <w:pPr>
              <w:spacing w:after="0" w:line="240" w:lineRule="auto"/>
              <w:jc w:val="right"/>
              <w:rPr>
                <w:rFonts w:asciiTheme="majorHAnsi" w:eastAsia="Times New Roman" w:hAnsiTheme="majorHAnsi" w:cstheme="majorHAnsi"/>
                <w:color w:val="000000"/>
                <w:sz w:val="24"/>
                <w:szCs w:val="24"/>
                <w:lang w:val="ro-RO"/>
              </w:rPr>
            </w:pPr>
            <w:r>
              <w:rPr>
                <w:rFonts w:asciiTheme="majorHAnsi" w:eastAsia="Times New Roman" w:hAnsiTheme="majorHAnsi" w:cstheme="majorHAnsi"/>
                <w:color w:val="000000"/>
                <w:sz w:val="24"/>
                <w:szCs w:val="24"/>
                <w:lang w:val="ro-RO"/>
              </w:rPr>
              <w:t>1 964,</w:t>
            </w:r>
            <w:r w:rsidR="005F3B9D" w:rsidRPr="00E82CC1">
              <w:rPr>
                <w:rFonts w:asciiTheme="majorHAnsi" w:eastAsia="Times New Roman" w:hAnsiTheme="majorHAnsi" w:cstheme="majorHAnsi"/>
                <w:color w:val="000000"/>
                <w:sz w:val="24"/>
                <w:szCs w:val="24"/>
                <w:lang w:val="ro-RO"/>
              </w:rPr>
              <w:t>2</w:t>
            </w:r>
          </w:p>
        </w:tc>
      </w:tr>
      <w:tr w:rsidR="005F3B9D" w:rsidRPr="00E82CC1" w14:paraId="22E7AF36" w14:textId="77777777" w:rsidTr="005F3B9D">
        <w:trPr>
          <w:trHeight w:val="20"/>
          <w:jc w:val="center"/>
        </w:trPr>
        <w:tc>
          <w:tcPr>
            <w:tcW w:w="5760" w:type="dxa"/>
            <w:tcBorders>
              <w:top w:val="nil"/>
              <w:left w:val="single" w:sz="4" w:space="0" w:color="auto"/>
              <w:bottom w:val="single" w:sz="4" w:space="0" w:color="auto"/>
              <w:right w:val="single" w:sz="4" w:space="0" w:color="auto"/>
            </w:tcBorders>
            <w:shd w:val="clear" w:color="auto" w:fill="auto"/>
            <w:vAlign w:val="bottom"/>
            <w:hideMark/>
          </w:tcPr>
          <w:p w14:paraId="6EE4D760" w14:textId="66E4E083" w:rsidR="005F3B9D" w:rsidRPr="00E82CC1" w:rsidRDefault="005F3B9D" w:rsidP="00617E4A">
            <w:pPr>
              <w:spacing w:after="0" w:line="240" w:lineRule="auto"/>
              <w:jc w:val="both"/>
              <w:rPr>
                <w:rFonts w:asciiTheme="majorHAnsi" w:eastAsia="Times New Roman" w:hAnsiTheme="majorHAnsi" w:cstheme="majorHAnsi"/>
                <w:b/>
                <w:color w:val="000000"/>
                <w:sz w:val="24"/>
                <w:szCs w:val="24"/>
                <w:lang w:val="ro-RO"/>
              </w:rPr>
            </w:pPr>
            <w:r w:rsidRPr="00E82CC1">
              <w:rPr>
                <w:rFonts w:asciiTheme="majorHAnsi" w:eastAsia="Times New Roman" w:hAnsiTheme="majorHAnsi" w:cstheme="majorHAnsi"/>
                <w:b/>
                <w:color w:val="000000"/>
                <w:sz w:val="24"/>
                <w:szCs w:val="24"/>
                <w:lang w:val="ro-RO"/>
              </w:rPr>
              <w:t xml:space="preserve">Total datorii </w:t>
            </w:r>
            <w:r w:rsidR="00617E4A">
              <w:rPr>
                <w:rFonts w:asciiTheme="majorHAnsi" w:eastAsia="Times New Roman" w:hAnsiTheme="majorHAnsi" w:cstheme="majorHAnsi"/>
                <w:b/>
                <w:color w:val="000000"/>
                <w:sz w:val="24"/>
                <w:szCs w:val="24"/>
                <w:lang w:val="ro-RO"/>
              </w:rPr>
              <w:t>pe termen lung</w:t>
            </w:r>
          </w:p>
        </w:tc>
        <w:tc>
          <w:tcPr>
            <w:tcW w:w="1350" w:type="dxa"/>
            <w:tcBorders>
              <w:top w:val="nil"/>
              <w:left w:val="nil"/>
              <w:bottom w:val="single" w:sz="4" w:space="0" w:color="auto"/>
              <w:right w:val="single" w:sz="4" w:space="0" w:color="auto"/>
            </w:tcBorders>
            <w:shd w:val="clear" w:color="auto" w:fill="auto"/>
            <w:noWrap/>
            <w:vAlign w:val="bottom"/>
            <w:hideMark/>
          </w:tcPr>
          <w:p w14:paraId="5C276E91" w14:textId="77777777" w:rsidR="005F3B9D" w:rsidRPr="00E82CC1" w:rsidRDefault="005F3B9D" w:rsidP="00866B53">
            <w:pPr>
              <w:spacing w:after="0" w:line="240" w:lineRule="auto"/>
              <w:rPr>
                <w:rFonts w:asciiTheme="majorHAnsi" w:eastAsia="Times New Roman" w:hAnsiTheme="majorHAnsi" w:cstheme="majorHAnsi"/>
                <w:b/>
                <w:color w:val="000000"/>
                <w:sz w:val="24"/>
                <w:szCs w:val="24"/>
                <w:lang w:val="ro-RO"/>
              </w:rPr>
            </w:pPr>
            <w:r w:rsidRPr="00E82CC1">
              <w:rPr>
                <w:rFonts w:asciiTheme="majorHAnsi" w:eastAsia="Times New Roman" w:hAnsiTheme="majorHAnsi" w:cstheme="majorHAnsi"/>
                <w:b/>
                <w:color w:val="000000"/>
                <w:sz w:val="24"/>
                <w:szCs w:val="24"/>
                <w:lang w:val="ro-RO"/>
              </w:rPr>
              <w:t> </w:t>
            </w:r>
          </w:p>
        </w:tc>
        <w:tc>
          <w:tcPr>
            <w:tcW w:w="2430" w:type="dxa"/>
            <w:tcBorders>
              <w:top w:val="nil"/>
              <w:left w:val="nil"/>
              <w:bottom w:val="single" w:sz="4" w:space="0" w:color="auto"/>
              <w:right w:val="single" w:sz="4" w:space="0" w:color="auto"/>
            </w:tcBorders>
            <w:shd w:val="clear" w:color="auto" w:fill="auto"/>
            <w:noWrap/>
            <w:vAlign w:val="bottom"/>
            <w:hideMark/>
          </w:tcPr>
          <w:p w14:paraId="6FC991B5" w14:textId="382B6818" w:rsidR="005F3B9D" w:rsidRPr="00E82CC1" w:rsidRDefault="00617E4A" w:rsidP="00617E4A">
            <w:pPr>
              <w:spacing w:after="0" w:line="240" w:lineRule="auto"/>
              <w:jc w:val="right"/>
              <w:rPr>
                <w:rFonts w:asciiTheme="majorHAnsi" w:eastAsia="Times New Roman" w:hAnsiTheme="majorHAnsi" w:cstheme="majorHAnsi"/>
                <w:b/>
                <w:color w:val="000000"/>
                <w:sz w:val="24"/>
                <w:szCs w:val="24"/>
                <w:lang w:val="ro-RO"/>
              </w:rPr>
            </w:pPr>
            <w:r>
              <w:rPr>
                <w:rFonts w:asciiTheme="majorHAnsi" w:eastAsia="Times New Roman" w:hAnsiTheme="majorHAnsi" w:cstheme="majorHAnsi"/>
                <w:b/>
                <w:color w:val="000000"/>
                <w:sz w:val="24"/>
                <w:szCs w:val="24"/>
                <w:lang w:val="ro-RO"/>
              </w:rPr>
              <w:t>12 358,2</w:t>
            </w:r>
          </w:p>
        </w:tc>
      </w:tr>
    </w:tbl>
    <w:p w14:paraId="2D39782B" w14:textId="77777777" w:rsidR="00D91126" w:rsidRPr="00617E4A" w:rsidRDefault="003A16CA" w:rsidP="00E54DF8">
      <w:pPr>
        <w:spacing w:after="120"/>
        <w:contextualSpacing/>
        <w:jc w:val="both"/>
        <w:rPr>
          <w:rFonts w:asciiTheme="majorHAnsi" w:hAnsiTheme="majorHAnsi" w:cstheme="majorHAnsi"/>
          <w:i/>
          <w:sz w:val="24"/>
          <w:szCs w:val="24"/>
          <w:lang w:val="ro-RO"/>
        </w:rPr>
      </w:pPr>
      <w:r w:rsidRPr="00617E4A">
        <w:rPr>
          <w:rFonts w:asciiTheme="majorHAnsi" w:hAnsiTheme="majorHAnsi" w:cstheme="majorHAnsi"/>
          <w:i/>
          <w:sz w:val="24"/>
          <w:szCs w:val="24"/>
          <w:lang w:val="ro-RO"/>
        </w:rPr>
        <w:t>Sursa: Rapoartele privind datoriile la plata prestațiilor sociale neprimite de către beneficiari</w:t>
      </w:r>
    </w:p>
    <w:p w14:paraId="10C3E363" w14:textId="77777777" w:rsidR="00B7562C" w:rsidRPr="00E82CC1" w:rsidRDefault="00B7562C" w:rsidP="00B7562C">
      <w:pPr>
        <w:spacing w:after="0"/>
        <w:rPr>
          <w:rFonts w:asciiTheme="majorHAnsi" w:hAnsiTheme="majorHAnsi" w:cstheme="majorHAnsi"/>
          <w:sz w:val="24"/>
          <w:szCs w:val="24"/>
          <w:lang w:val="ro-RO"/>
        </w:rPr>
      </w:pPr>
    </w:p>
    <w:p w14:paraId="45F717AB" w14:textId="1D927DF0" w:rsidR="00B7562C" w:rsidRPr="00E82CC1" w:rsidRDefault="00B7562C" w:rsidP="00B75D57">
      <w:pPr>
        <w:rPr>
          <w:lang w:val="ro-RO"/>
        </w:rPr>
      </w:pPr>
      <w:r w:rsidRPr="00E82CC1">
        <w:rPr>
          <w:rFonts w:asciiTheme="majorHAnsi" w:hAnsiTheme="majorHAnsi" w:cstheme="majorHAnsi"/>
          <w:sz w:val="24"/>
          <w:szCs w:val="24"/>
          <w:lang w:val="ro-RO"/>
        </w:rPr>
        <w:t>Astfel, potrivit datelor reflectate în tabel</w:t>
      </w:r>
      <w:r w:rsidR="00FA56F9">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suma datoriilor suspendate în anul 2021  cumulează 12,4 mil. lei.</w:t>
      </w:r>
    </w:p>
    <w:p w14:paraId="3353D8A2" w14:textId="77777777" w:rsidR="00B75D57" w:rsidRPr="00E82CC1" w:rsidRDefault="00B75D57" w:rsidP="00160C57">
      <w:pPr>
        <w:pStyle w:val="1"/>
        <w:numPr>
          <w:ilvl w:val="0"/>
          <w:numId w:val="15"/>
        </w:numPr>
        <w:tabs>
          <w:tab w:val="left" w:pos="709"/>
        </w:tabs>
        <w:spacing w:before="120" w:after="120"/>
        <w:ind w:left="0" w:firstLine="0"/>
        <w:jc w:val="left"/>
        <w:rPr>
          <w:rFonts w:asciiTheme="majorHAnsi" w:hAnsiTheme="majorHAnsi" w:cstheme="majorHAnsi"/>
          <w:sz w:val="28"/>
          <w:szCs w:val="28"/>
          <w:lang w:val="ro-RO"/>
        </w:rPr>
      </w:pPr>
      <w:r w:rsidRPr="00E82CC1">
        <w:rPr>
          <w:rFonts w:asciiTheme="majorHAnsi" w:hAnsiTheme="majorHAnsi" w:cstheme="majorHAnsi"/>
          <w:sz w:val="28"/>
          <w:szCs w:val="28"/>
          <w:lang w:val="ro-RO"/>
        </w:rPr>
        <w:t>ASPECTE-CHEIE DE AUDIT</w:t>
      </w:r>
      <w:bookmarkEnd w:id="3"/>
    </w:p>
    <w:p w14:paraId="32AA8CB4" w14:textId="77777777" w:rsidR="00ED3A72" w:rsidRPr="00E82CC1" w:rsidRDefault="00B75D57" w:rsidP="00A24C46">
      <w:pPr>
        <w:jc w:val="both"/>
        <w:rPr>
          <w:rFonts w:asciiTheme="majorHAnsi" w:eastAsia="Calibri" w:hAnsiTheme="majorHAnsi" w:cstheme="majorHAnsi"/>
          <w:b/>
          <w:sz w:val="24"/>
          <w:szCs w:val="24"/>
          <w:lang w:val="ro-RO"/>
        </w:rPr>
      </w:pPr>
      <w:r w:rsidRPr="00E82CC1">
        <w:rPr>
          <w:rFonts w:asciiTheme="majorHAnsi" w:eastAsia="Calibri" w:hAnsiTheme="majorHAnsi" w:cstheme="majorHAnsi"/>
          <w:sz w:val="24"/>
          <w:szCs w:val="24"/>
          <w:lang w:val="ro-RO"/>
        </w:rPr>
        <w:t>Aspectele-cheie de audit sunt acele aspecte care, în baza raționamentului nostru profesional, au avut cea mai mare importanță pentru auditul financiar al Raportului Guvernului privind executarea BASS în anul 2021. Aceste aspecte au fost abordate în contextul auditului situațiilor financiare în ansamblu şi în formarea opiniei asupra acestora și nu oferim o opinie separată cu privire la aceste aspecte. Considerăm că aspectele descrise mai jos, deși nu au influențat opinia de audit, reprezintă aspectele-cheie de audit care trebuie comunicate în Raportul nostru</w:t>
      </w:r>
      <w:r w:rsidR="00ED3A72" w:rsidRPr="00E82CC1">
        <w:rPr>
          <w:rFonts w:asciiTheme="majorHAnsi" w:eastAsia="Calibri" w:hAnsiTheme="majorHAnsi" w:cstheme="majorHAnsi"/>
          <w:sz w:val="24"/>
          <w:szCs w:val="24"/>
          <w:lang w:val="ro-RO"/>
        </w:rPr>
        <w:t>.</w:t>
      </w:r>
    </w:p>
    <w:p w14:paraId="53E4A4AA" w14:textId="40D93F18" w:rsidR="00ED3A72" w:rsidRPr="00E82CC1" w:rsidRDefault="00921C5D" w:rsidP="00D470AF">
      <w:pPr>
        <w:pStyle w:val="a9"/>
        <w:numPr>
          <w:ilvl w:val="1"/>
          <w:numId w:val="15"/>
        </w:numPr>
        <w:spacing w:after="0" w:line="276" w:lineRule="auto"/>
        <w:ind w:left="0" w:firstLine="0"/>
        <w:jc w:val="both"/>
        <w:outlineLvl w:val="1"/>
        <w:rPr>
          <w:rFonts w:asciiTheme="majorHAnsi" w:hAnsiTheme="majorHAnsi" w:cstheme="majorHAnsi"/>
          <w:b/>
          <w:sz w:val="24"/>
          <w:szCs w:val="24"/>
          <w:lang w:val="ro-RO"/>
        </w:rPr>
      </w:pPr>
      <w:r w:rsidRPr="00E82CC1">
        <w:rPr>
          <w:rFonts w:asciiTheme="majorHAnsi" w:hAnsiTheme="majorHAnsi" w:cstheme="majorHAnsi"/>
          <w:b/>
          <w:sz w:val="24"/>
          <w:szCs w:val="24"/>
          <w:lang w:val="ro-RO"/>
        </w:rPr>
        <w:t>C</w:t>
      </w:r>
      <w:r w:rsidR="00ED3A72" w:rsidRPr="00E82CC1">
        <w:rPr>
          <w:rFonts w:asciiTheme="majorHAnsi" w:hAnsiTheme="majorHAnsi" w:cstheme="majorHAnsi"/>
          <w:b/>
          <w:sz w:val="24"/>
          <w:szCs w:val="24"/>
          <w:lang w:val="ro-RO"/>
        </w:rPr>
        <w:t xml:space="preserve">reșterea dependenței </w:t>
      </w:r>
      <w:r w:rsidRPr="00E82CC1">
        <w:rPr>
          <w:rFonts w:asciiTheme="majorHAnsi" w:hAnsiTheme="majorHAnsi" w:cstheme="majorHAnsi"/>
          <w:b/>
          <w:sz w:val="24"/>
          <w:szCs w:val="24"/>
          <w:lang w:val="ro-RO"/>
        </w:rPr>
        <w:t xml:space="preserve">BASS </w:t>
      </w:r>
      <w:r w:rsidR="00ED3A72" w:rsidRPr="00E82CC1">
        <w:rPr>
          <w:rFonts w:asciiTheme="majorHAnsi" w:hAnsiTheme="majorHAnsi" w:cstheme="majorHAnsi"/>
          <w:b/>
          <w:sz w:val="24"/>
          <w:szCs w:val="24"/>
          <w:lang w:val="ro-RO"/>
        </w:rPr>
        <w:t xml:space="preserve">față de bugetul de stat </w:t>
      </w:r>
      <w:r w:rsidRPr="00E82CC1">
        <w:rPr>
          <w:rFonts w:asciiTheme="majorHAnsi" w:hAnsiTheme="majorHAnsi" w:cstheme="majorHAnsi"/>
          <w:b/>
          <w:sz w:val="24"/>
          <w:szCs w:val="24"/>
          <w:lang w:val="ro-RO"/>
        </w:rPr>
        <w:t xml:space="preserve">odată cu </w:t>
      </w:r>
      <w:r w:rsidR="00ED3A72" w:rsidRPr="00E82CC1">
        <w:rPr>
          <w:rFonts w:asciiTheme="majorHAnsi" w:hAnsiTheme="majorHAnsi" w:cstheme="majorHAnsi"/>
          <w:b/>
          <w:sz w:val="24"/>
          <w:szCs w:val="24"/>
          <w:lang w:val="ro-RO"/>
        </w:rPr>
        <w:t>solicitarea transferurilor cu destinație generală</w:t>
      </w:r>
      <w:r w:rsidR="00FA56F9">
        <w:rPr>
          <w:rFonts w:asciiTheme="majorHAnsi" w:hAnsiTheme="majorHAnsi" w:cstheme="majorHAnsi"/>
          <w:b/>
          <w:sz w:val="24"/>
          <w:szCs w:val="24"/>
          <w:lang w:val="ro-RO"/>
        </w:rPr>
        <w:t xml:space="preserve"> pentru</w:t>
      </w:r>
      <w:r w:rsidR="00ED3A72" w:rsidRPr="00E82CC1">
        <w:rPr>
          <w:rFonts w:asciiTheme="majorHAnsi" w:hAnsiTheme="majorHAnsi" w:cstheme="majorHAnsi"/>
          <w:b/>
          <w:sz w:val="24"/>
          <w:szCs w:val="24"/>
          <w:lang w:val="ro-RO"/>
        </w:rPr>
        <w:t xml:space="preserve"> acoperir</w:t>
      </w:r>
      <w:r w:rsidR="00FA56F9">
        <w:rPr>
          <w:rFonts w:asciiTheme="majorHAnsi" w:hAnsiTheme="majorHAnsi" w:cstheme="majorHAnsi"/>
          <w:b/>
          <w:sz w:val="24"/>
          <w:szCs w:val="24"/>
          <w:lang w:val="ro-RO"/>
        </w:rPr>
        <w:t>ea</w:t>
      </w:r>
      <w:r w:rsidR="007D7239" w:rsidRPr="00E82CC1">
        <w:rPr>
          <w:rFonts w:asciiTheme="majorHAnsi" w:hAnsiTheme="majorHAnsi" w:cstheme="majorHAnsi"/>
          <w:b/>
          <w:sz w:val="24"/>
          <w:szCs w:val="24"/>
          <w:lang w:val="ro-RO"/>
        </w:rPr>
        <w:t xml:space="preserve"> deficitului</w:t>
      </w:r>
      <w:r w:rsidR="00ED3A72" w:rsidRPr="00E82CC1">
        <w:rPr>
          <w:rFonts w:asciiTheme="majorHAnsi" w:hAnsiTheme="majorHAnsi" w:cstheme="majorHAnsi"/>
          <w:b/>
          <w:sz w:val="24"/>
          <w:szCs w:val="24"/>
          <w:lang w:val="ro-RO"/>
        </w:rPr>
        <w:t xml:space="preserve">, care s-a majorat </w:t>
      </w:r>
      <w:r w:rsidR="00397AAD" w:rsidRPr="00E82CC1">
        <w:rPr>
          <w:rFonts w:asciiTheme="majorHAnsi" w:hAnsiTheme="majorHAnsi" w:cstheme="majorHAnsi"/>
          <w:b/>
          <w:sz w:val="24"/>
          <w:szCs w:val="24"/>
          <w:lang w:val="ro-RO"/>
        </w:rPr>
        <w:t xml:space="preserve">de </w:t>
      </w:r>
      <w:r w:rsidR="007D7239" w:rsidRPr="00E82CC1">
        <w:rPr>
          <w:rFonts w:asciiTheme="majorHAnsi" w:hAnsiTheme="majorHAnsi" w:cstheme="majorHAnsi"/>
          <w:b/>
          <w:sz w:val="24"/>
          <w:szCs w:val="24"/>
          <w:lang w:val="ro-RO"/>
        </w:rPr>
        <w:t xml:space="preserve">2,5 </w:t>
      </w:r>
      <w:r w:rsidR="00397AAD" w:rsidRPr="00E82CC1">
        <w:rPr>
          <w:rFonts w:asciiTheme="majorHAnsi" w:hAnsiTheme="majorHAnsi" w:cstheme="majorHAnsi"/>
          <w:b/>
          <w:sz w:val="24"/>
          <w:szCs w:val="24"/>
          <w:lang w:val="ro-RO"/>
        </w:rPr>
        <w:t>ori</w:t>
      </w:r>
      <w:r w:rsidR="00ED3A72" w:rsidRPr="00E82CC1">
        <w:rPr>
          <w:rFonts w:asciiTheme="majorHAnsi" w:hAnsiTheme="majorHAnsi" w:cstheme="majorHAnsi"/>
          <w:b/>
          <w:sz w:val="24"/>
          <w:szCs w:val="24"/>
          <w:lang w:val="ro-RO"/>
        </w:rPr>
        <w:t xml:space="preserve"> </w:t>
      </w:r>
      <w:r w:rsidRPr="00E82CC1">
        <w:rPr>
          <w:rFonts w:asciiTheme="majorHAnsi" w:hAnsiTheme="majorHAnsi" w:cstheme="majorHAnsi"/>
          <w:b/>
          <w:sz w:val="24"/>
          <w:szCs w:val="24"/>
          <w:lang w:val="ro-RO"/>
        </w:rPr>
        <w:t>în ultimii</w:t>
      </w:r>
      <w:r w:rsidR="00740CF4" w:rsidRPr="00E82CC1">
        <w:rPr>
          <w:rFonts w:asciiTheme="majorHAnsi" w:hAnsiTheme="majorHAnsi" w:cstheme="majorHAnsi"/>
          <w:b/>
          <w:sz w:val="24"/>
          <w:szCs w:val="24"/>
          <w:lang w:val="ro-RO"/>
        </w:rPr>
        <w:t xml:space="preserve"> </w:t>
      </w:r>
      <w:r w:rsidR="007D7239" w:rsidRPr="00E82CC1">
        <w:rPr>
          <w:rFonts w:asciiTheme="majorHAnsi" w:hAnsiTheme="majorHAnsi" w:cstheme="majorHAnsi"/>
          <w:b/>
          <w:sz w:val="24"/>
          <w:szCs w:val="24"/>
          <w:lang w:val="ro-RO"/>
        </w:rPr>
        <w:t>patru</w:t>
      </w:r>
      <w:r w:rsidRPr="00E82CC1">
        <w:rPr>
          <w:rFonts w:asciiTheme="majorHAnsi" w:hAnsiTheme="majorHAnsi" w:cstheme="majorHAnsi"/>
          <w:b/>
          <w:sz w:val="24"/>
          <w:szCs w:val="24"/>
          <w:lang w:val="ro-RO"/>
        </w:rPr>
        <w:t xml:space="preserve"> ani, poate afecta sustenabilitatea acestui buget.</w:t>
      </w:r>
    </w:p>
    <w:p w14:paraId="058DEE58" w14:textId="493DAAC9" w:rsidR="00C5751A" w:rsidRPr="00E82CC1" w:rsidRDefault="00C5751A" w:rsidP="00C5751A">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O problemă majoră pentru BASS este dependența financiară continuă față de bugetul de stat, transferurile primite cu destinație generală fiind </w:t>
      </w:r>
      <w:r w:rsidR="004E51FB" w:rsidRPr="00E82CC1">
        <w:rPr>
          <w:rFonts w:asciiTheme="majorHAnsi" w:hAnsiTheme="majorHAnsi" w:cstheme="majorHAnsi"/>
          <w:sz w:val="24"/>
          <w:szCs w:val="24"/>
          <w:lang w:val="ro-RO"/>
        </w:rPr>
        <w:t>anual în creștere</w:t>
      </w:r>
      <w:r w:rsidR="00FA56F9">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comparativ cu anul precedent, și cu </w:t>
      </w:r>
      <w:r w:rsidR="00C61FFF" w:rsidRPr="00E82CC1">
        <w:rPr>
          <w:rFonts w:asciiTheme="majorHAnsi" w:hAnsiTheme="majorHAnsi" w:cstheme="majorHAnsi"/>
          <w:sz w:val="24"/>
          <w:szCs w:val="24"/>
          <w:lang w:val="ro-RO"/>
        </w:rPr>
        <w:t xml:space="preserve">254 </w:t>
      </w:r>
      <w:r w:rsidRPr="00E82CC1">
        <w:rPr>
          <w:rFonts w:asciiTheme="majorHAnsi" w:hAnsiTheme="majorHAnsi" w:cstheme="majorHAnsi"/>
          <w:sz w:val="24"/>
          <w:szCs w:val="24"/>
          <w:lang w:val="ro-RO"/>
        </w:rPr>
        <w:t>% față de anul 201</w:t>
      </w:r>
      <w:r w:rsidR="00AE4DDB">
        <w:rPr>
          <w:rFonts w:asciiTheme="majorHAnsi" w:hAnsiTheme="majorHAnsi" w:cstheme="majorHAnsi"/>
          <w:sz w:val="24"/>
          <w:szCs w:val="24"/>
          <w:lang w:val="ro-RO"/>
        </w:rPr>
        <w:t>8</w:t>
      </w:r>
      <w:r w:rsidR="00FD5F15" w:rsidRPr="00E82CC1">
        <w:rPr>
          <w:rFonts w:asciiTheme="majorHAnsi" w:hAnsiTheme="majorHAnsi" w:cstheme="majorHAnsi"/>
          <w:sz w:val="24"/>
          <w:szCs w:val="24"/>
          <w:lang w:val="ro-RO"/>
        </w:rPr>
        <w:t xml:space="preserve">, ceea ce constituie de </w:t>
      </w:r>
      <w:r w:rsidR="00C61FFF" w:rsidRPr="00E82CC1">
        <w:rPr>
          <w:rFonts w:asciiTheme="majorHAnsi" w:hAnsiTheme="majorHAnsi" w:cstheme="majorHAnsi"/>
          <w:sz w:val="24"/>
          <w:szCs w:val="24"/>
          <w:lang w:val="ro-RO"/>
        </w:rPr>
        <w:t xml:space="preserve">2,5 </w:t>
      </w:r>
      <w:r w:rsidR="00FD5F15" w:rsidRPr="00E82CC1">
        <w:rPr>
          <w:rFonts w:asciiTheme="majorHAnsi" w:hAnsiTheme="majorHAnsi" w:cstheme="majorHAnsi"/>
          <w:sz w:val="24"/>
          <w:szCs w:val="24"/>
          <w:lang w:val="ro-RO"/>
        </w:rPr>
        <w:t>ori mai mult.</w:t>
      </w:r>
      <w:r w:rsidRPr="00E82CC1">
        <w:rPr>
          <w:rFonts w:asciiTheme="majorHAnsi" w:hAnsiTheme="majorHAnsi" w:cstheme="majorHAnsi"/>
          <w:sz w:val="24"/>
          <w:szCs w:val="24"/>
          <w:lang w:val="ro-RO"/>
        </w:rPr>
        <w:t xml:space="preserve"> </w:t>
      </w:r>
    </w:p>
    <w:p w14:paraId="30FD5E9E" w14:textId="77777777" w:rsidR="004E51FB" w:rsidRPr="00E82CC1" w:rsidRDefault="004E51FB" w:rsidP="00C5751A">
      <w:pPr>
        <w:spacing w:line="276" w:lineRule="auto"/>
        <w:jc w:val="both"/>
        <w:rPr>
          <w:rFonts w:asciiTheme="majorHAnsi" w:hAnsiTheme="majorHAnsi" w:cstheme="majorHAnsi"/>
          <w:sz w:val="24"/>
          <w:szCs w:val="24"/>
          <w:lang w:val="ro-RO"/>
        </w:rPr>
      </w:pPr>
      <w:r w:rsidRPr="00E82CC1">
        <w:rPr>
          <w:noProof/>
          <w:lang w:val="ru-RU" w:eastAsia="ru-RU"/>
        </w:rPr>
        <w:drawing>
          <wp:inline distT="0" distB="0" distL="0" distR="0" wp14:anchorId="7D5249EE" wp14:editId="683C5BB7">
            <wp:extent cx="6152515" cy="3049905"/>
            <wp:effectExtent l="0" t="0" r="63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3932B" w14:textId="77777777" w:rsidR="001A0115" w:rsidRPr="00AB56C8" w:rsidRDefault="001A0115" w:rsidP="001A0115">
      <w:pPr>
        <w:spacing w:line="276" w:lineRule="auto"/>
        <w:jc w:val="both"/>
        <w:rPr>
          <w:rFonts w:asciiTheme="majorHAnsi" w:hAnsiTheme="majorHAnsi" w:cstheme="majorHAnsi"/>
          <w:i/>
          <w:sz w:val="24"/>
          <w:lang w:val="ro-RO"/>
        </w:rPr>
      </w:pPr>
      <w:r w:rsidRPr="00E82CC1">
        <w:rPr>
          <w:rFonts w:asciiTheme="majorHAnsi" w:hAnsiTheme="majorHAnsi" w:cstheme="majorHAnsi"/>
          <w:b/>
          <w:sz w:val="24"/>
          <w:lang w:val="ro-RO"/>
        </w:rPr>
        <w:t>Figura nr.</w:t>
      </w:r>
      <w:r w:rsidR="00566235" w:rsidRPr="00E82CC1">
        <w:rPr>
          <w:rFonts w:asciiTheme="majorHAnsi" w:hAnsiTheme="majorHAnsi" w:cstheme="majorHAnsi"/>
          <w:b/>
          <w:sz w:val="24"/>
          <w:lang w:val="ro-RO"/>
        </w:rPr>
        <w:t>1</w:t>
      </w:r>
      <w:r w:rsidRPr="00E82CC1">
        <w:rPr>
          <w:rFonts w:asciiTheme="majorHAnsi" w:hAnsiTheme="majorHAnsi" w:cstheme="majorHAnsi"/>
          <w:i/>
          <w:sz w:val="24"/>
          <w:lang w:val="ro-RO"/>
        </w:rPr>
        <w:t xml:space="preserve"> </w:t>
      </w:r>
      <w:r w:rsidRPr="00AB56C8">
        <w:rPr>
          <w:rFonts w:asciiTheme="majorHAnsi" w:hAnsiTheme="majorHAnsi" w:cstheme="majorHAnsi"/>
          <w:bCs/>
          <w:i/>
          <w:sz w:val="24"/>
          <w:lang w:val="ro-RO"/>
        </w:rPr>
        <w:t>Dinamica transferurilor de la bugetul de stat pentru acoperirea deficitului bugetului asigurărilor sociale de stat în anii 2017-2021</w:t>
      </w:r>
    </w:p>
    <w:p w14:paraId="7425DD92" w14:textId="4BDF1993" w:rsidR="00C61FFF" w:rsidRPr="00AB56C8" w:rsidRDefault="00C5751A" w:rsidP="004102C5">
      <w:pPr>
        <w:tabs>
          <w:tab w:val="left" w:pos="426"/>
          <w:tab w:val="left" w:pos="709"/>
          <w:tab w:val="left" w:pos="993"/>
        </w:tabs>
        <w:spacing w:line="276" w:lineRule="auto"/>
        <w:jc w:val="both"/>
        <w:rPr>
          <w:rFonts w:asciiTheme="majorHAnsi" w:hAnsiTheme="majorHAnsi" w:cstheme="majorHAnsi"/>
          <w:sz w:val="24"/>
          <w:szCs w:val="24"/>
          <w:lang w:val="ro-RO"/>
        </w:rPr>
      </w:pPr>
      <w:r w:rsidRPr="00AB56C8">
        <w:rPr>
          <w:rFonts w:asciiTheme="majorHAnsi" w:hAnsiTheme="majorHAnsi" w:cstheme="majorHAnsi"/>
          <w:sz w:val="24"/>
          <w:szCs w:val="24"/>
          <w:lang w:val="ro-RO"/>
        </w:rPr>
        <w:t>În anul 202</w:t>
      </w:r>
      <w:r w:rsidR="00740CF4" w:rsidRPr="00AB56C8">
        <w:rPr>
          <w:rFonts w:asciiTheme="majorHAnsi" w:hAnsiTheme="majorHAnsi" w:cstheme="majorHAnsi"/>
          <w:sz w:val="24"/>
          <w:szCs w:val="24"/>
          <w:lang w:val="ro-RO"/>
        </w:rPr>
        <w:t>1</w:t>
      </w:r>
      <w:r w:rsidRPr="00AB56C8">
        <w:rPr>
          <w:rFonts w:asciiTheme="majorHAnsi" w:hAnsiTheme="majorHAnsi" w:cstheme="majorHAnsi"/>
          <w:sz w:val="24"/>
          <w:szCs w:val="24"/>
          <w:lang w:val="ro-RO"/>
        </w:rPr>
        <w:t xml:space="preserve">, transferurile cu destinație generală au însumat 2 </w:t>
      </w:r>
      <w:r w:rsidR="006005CB" w:rsidRPr="00AB56C8">
        <w:rPr>
          <w:rFonts w:asciiTheme="majorHAnsi" w:hAnsiTheme="majorHAnsi" w:cstheme="majorHAnsi"/>
          <w:sz w:val="24"/>
          <w:szCs w:val="24"/>
          <w:lang w:val="ro-RO"/>
        </w:rPr>
        <w:t>840,0</w:t>
      </w:r>
      <w:r w:rsidRPr="00AB56C8">
        <w:rPr>
          <w:rFonts w:asciiTheme="majorHAnsi" w:hAnsiTheme="majorHAnsi" w:cstheme="majorHAnsi"/>
          <w:sz w:val="24"/>
          <w:szCs w:val="24"/>
          <w:lang w:val="ro-RO"/>
        </w:rPr>
        <w:t xml:space="preserve"> mil. lei, ceea ce constituie o creștere cu </w:t>
      </w:r>
      <w:r w:rsidR="006005CB" w:rsidRPr="00AB56C8">
        <w:rPr>
          <w:rFonts w:asciiTheme="majorHAnsi" w:hAnsiTheme="majorHAnsi" w:cstheme="majorHAnsi"/>
          <w:sz w:val="24"/>
          <w:szCs w:val="24"/>
          <w:lang w:val="ro-RO"/>
        </w:rPr>
        <w:t>11,2</w:t>
      </w:r>
      <w:r w:rsidRPr="00AB56C8">
        <w:rPr>
          <w:rFonts w:asciiTheme="majorHAnsi" w:hAnsiTheme="majorHAnsi" w:cstheme="majorHAnsi"/>
          <w:sz w:val="24"/>
          <w:szCs w:val="24"/>
          <w:lang w:val="ro-RO"/>
        </w:rPr>
        <w:t>% față de anul precedent (</w:t>
      </w:r>
      <w:r w:rsidR="006005CB" w:rsidRPr="00AB56C8">
        <w:rPr>
          <w:rFonts w:asciiTheme="majorHAnsi" w:hAnsiTheme="majorHAnsi" w:cstheme="majorHAnsi"/>
          <w:sz w:val="24"/>
          <w:szCs w:val="24"/>
          <w:lang w:val="ro-RO"/>
        </w:rPr>
        <w:t>2 554,6</w:t>
      </w:r>
      <w:r w:rsidRPr="00AB56C8">
        <w:rPr>
          <w:rFonts w:asciiTheme="majorHAnsi" w:hAnsiTheme="majorHAnsi" w:cstheme="majorHAnsi"/>
          <w:sz w:val="24"/>
          <w:szCs w:val="24"/>
          <w:lang w:val="ro-RO"/>
        </w:rPr>
        <w:t xml:space="preserve"> mil. lei). </w:t>
      </w:r>
      <w:r w:rsidR="00C61FFF" w:rsidRPr="00AB56C8">
        <w:rPr>
          <w:rFonts w:asciiTheme="majorHAnsi" w:hAnsiTheme="majorHAnsi" w:cstheme="majorHAnsi"/>
          <w:sz w:val="24"/>
          <w:szCs w:val="24"/>
          <w:lang w:val="ro-RO"/>
        </w:rPr>
        <w:t xml:space="preserve"> </w:t>
      </w:r>
      <w:r w:rsidR="00C61FFF" w:rsidRPr="00617E4A">
        <w:rPr>
          <w:rFonts w:asciiTheme="majorHAnsi" w:hAnsiTheme="majorHAnsi" w:cstheme="majorHAnsi"/>
          <w:sz w:val="24"/>
          <w:szCs w:val="24"/>
          <w:lang w:val="ro-RO"/>
        </w:rPr>
        <w:t>În acest context, menționăm că ritmul de creștere a cheltuielilor (139,4%) în perioada 2018-2021</w:t>
      </w:r>
      <w:r w:rsidR="0017066D" w:rsidRPr="00617E4A">
        <w:rPr>
          <w:rFonts w:asciiTheme="majorHAnsi" w:hAnsiTheme="majorHAnsi" w:cstheme="majorHAnsi"/>
          <w:sz w:val="24"/>
          <w:szCs w:val="24"/>
          <w:lang w:val="ro-RO"/>
        </w:rPr>
        <w:t xml:space="preserve"> (Anexa </w:t>
      </w:r>
      <w:r w:rsidR="00FA56F9" w:rsidRPr="00617E4A">
        <w:rPr>
          <w:rFonts w:asciiTheme="majorHAnsi" w:hAnsiTheme="majorHAnsi" w:cstheme="majorHAnsi"/>
          <w:sz w:val="24"/>
          <w:szCs w:val="24"/>
          <w:lang w:val="ro-RO"/>
        </w:rPr>
        <w:t>nr.</w:t>
      </w:r>
      <w:r w:rsidR="0017066D" w:rsidRPr="00617E4A">
        <w:rPr>
          <w:rFonts w:asciiTheme="majorHAnsi" w:hAnsiTheme="majorHAnsi" w:cstheme="majorHAnsi"/>
          <w:sz w:val="24"/>
          <w:szCs w:val="24"/>
          <w:lang w:val="ro-RO"/>
        </w:rPr>
        <w:t>10</w:t>
      </w:r>
      <w:r w:rsidR="007D7239" w:rsidRPr="00617E4A">
        <w:rPr>
          <w:rFonts w:asciiTheme="majorHAnsi" w:hAnsiTheme="majorHAnsi" w:cstheme="majorHAnsi"/>
          <w:sz w:val="24"/>
          <w:szCs w:val="24"/>
          <w:lang w:val="ro-RO"/>
        </w:rPr>
        <w:t>)</w:t>
      </w:r>
      <w:r w:rsidR="00C61FFF" w:rsidRPr="00617E4A">
        <w:rPr>
          <w:rFonts w:asciiTheme="majorHAnsi" w:hAnsiTheme="majorHAnsi" w:cstheme="majorHAnsi"/>
          <w:sz w:val="24"/>
          <w:szCs w:val="24"/>
          <w:lang w:val="ro-RO"/>
        </w:rPr>
        <w:t xml:space="preserve"> a depășit ritmul </w:t>
      </w:r>
      <w:r w:rsidR="00AB56C8">
        <w:rPr>
          <w:rFonts w:asciiTheme="majorHAnsi" w:hAnsiTheme="majorHAnsi" w:cstheme="majorHAnsi"/>
          <w:sz w:val="24"/>
          <w:szCs w:val="24"/>
          <w:lang w:val="ro-RO"/>
        </w:rPr>
        <w:t xml:space="preserve">de </w:t>
      </w:r>
      <w:r w:rsidR="00C61FFF" w:rsidRPr="00617E4A">
        <w:rPr>
          <w:rFonts w:asciiTheme="majorHAnsi" w:hAnsiTheme="majorHAnsi" w:cstheme="majorHAnsi"/>
          <w:sz w:val="24"/>
          <w:szCs w:val="24"/>
          <w:lang w:val="ro-RO"/>
        </w:rPr>
        <w:t>creșter</w:t>
      </w:r>
      <w:r w:rsidR="00AB56C8">
        <w:rPr>
          <w:rFonts w:asciiTheme="majorHAnsi" w:hAnsiTheme="majorHAnsi" w:cstheme="majorHAnsi"/>
          <w:sz w:val="24"/>
          <w:szCs w:val="24"/>
          <w:lang w:val="ro-RO"/>
        </w:rPr>
        <w:t>e a</w:t>
      </w:r>
      <w:r w:rsidR="00C61FFF" w:rsidRPr="00617E4A">
        <w:rPr>
          <w:rFonts w:asciiTheme="majorHAnsi" w:hAnsiTheme="majorHAnsi" w:cstheme="majorHAnsi"/>
          <w:sz w:val="24"/>
          <w:szCs w:val="24"/>
          <w:lang w:val="ro-RO"/>
        </w:rPr>
        <w:t xml:space="preserve"> veniturilor proprii (124,4 %) cu 15 puncte procentuale</w:t>
      </w:r>
      <w:r w:rsidR="0017066D" w:rsidRPr="00617E4A">
        <w:rPr>
          <w:rFonts w:asciiTheme="majorHAnsi" w:hAnsiTheme="majorHAnsi" w:cstheme="majorHAnsi"/>
          <w:sz w:val="24"/>
          <w:szCs w:val="24"/>
          <w:lang w:val="ro-RO"/>
        </w:rPr>
        <w:t xml:space="preserve"> (Anexa </w:t>
      </w:r>
      <w:r w:rsidR="00FA56F9" w:rsidRPr="00617E4A">
        <w:rPr>
          <w:rFonts w:asciiTheme="majorHAnsi" w:hAnsiTheme="majorHAnsi" w:cstheme="majorHAnsi"/>
          <w:sz w:val="24"/>
          <w:szCs w:val="24"/>
          <w:lang w:val="ro-RO"/>
        </w:rPr>
        <w:t>nr.</w:t>
      </w:r>
      <w:r w:rsidR="0017066D" w:rsidRPr="00617E4A">
        <w:rPr>
          <w:rFonts w:asciiTheme="majorHAnsi" w:hAnsiTheme="majorHAnsi" w:cstheme="majorHAnsi"/>
          <w:sz w:val="24"/>
          <w:szCs w:val="24"/>
          <w:lang w:val="ro-RO"/>
        </w:rPr>
        <w:t>6</w:t>
      </w:r>
      <w:r w:rsidR="007D7239" w:rsidRPr="00617E4A">
        <w:rPr>
          <w:rFonts w:asciiTheme="majorHAnsi" w:hAnsiTheme="majorHAnsi" w:cstheme="majorHAnsi"/>
          <w:sz w:val="24"/>
          <w:szCs w:val="24"/>
          <w:lang w:val="ro-RO"/>
        </w:rPr>
        <w:t>)</w:t>
      </w:r>
      <w:r w:rsidR="00C61FFF" w:rsidRPr="00617E4A">
        <w:rPr>
          <w:rFonts w:asciiTheme="majorHAnsi" w:hAnsiTheme="majorHAnsi" w:cstheme="majorHAnsi"/>
          <w:sz w:val="24"/>
          <w:szCs w:val="24"/>
          <w:lang w:val="ro-RO"/>
        </w:rPr>
        <w:t xml:space="preserve">, ceea ce a determinat </w:t>
      </w:r>
      <w:r w:rsidR="00007224" w:rsidRPr="00617E4A">
        <w:rPr>
          <w:rFonts w:asciiTheme="majorHAnsi" w:hAnsiTheme="majorHAnsi" w:cstheme="majorHAnsi"/>
          <w:sz w:val="24"/>
          <w:szCs w:val="24"/>
          <w:lang w:val="ro-RO"/>
        </w:rPr>
        <w:t>s</w:t>
      </w:r>
      <w:r w:rsidR="00C61FFF" w:rsidRPr="00AB56C8">
        <w:rPr>
          <w:rFonts w:asciiTheme="majorHAnsi" w:hAnsiTheme="majorHAnsi" w:cstheme="majorHAnsi"/>
          <w:sz w:val="24"/>
          <w:szCs w:val="24"/>
          <w:lang w:val="ro-RO"/>
        </w:rPr>
        <w:t xml:space="preserve">olicitarea mijloacelor financiare </w:t>
      </w:r>
      <w:r w:rsidR="00007224" w:rsidRPr="00AB56C8">
        <w:rPr>
          <w:rFonts w:asciiTheme="majorHAnsi" w:hAnsiTheme="majorHAnsi" w:cstheme="majorHAnsi"/>
          <w:sz w:val="24"/>
          <w:szCs w:val="24"/>
          <w:lang w:val="ro-RO"/>
        </w:rPr>
        <w:t>necesare acoperirii deficitului. Acest</w:t>
      </w:r>
      <w:r w:rsidR="00AB56C8">
        <w:rPr>
          <w:rFonts w:asciiTheme="majorHAnsi" w:hAnsiTheme="majorHAnsi" w:cstheme="majorHAnsi"/>
          <w:sz w:val="24"/>
          <w:szCs w:val="24"/>
          <w:lang w:val="ro-RO"/>
        </w:rPr>
        <w:t xml:space="preserve"> fapt</w:t>
      </w:r>
      <w:r w:rsidR="00007224" w:rsidRPr="00AB56C8">
        <w:rPr>
          <w:rFonts w:asciiTheme="majorHAnsi" w:hAnsiTheme="majorHAnsi" w:cstheme="majorHAnsi"/>
          <w:sz w:val="24"/>
          <w:szCs w:val="24"/>
          <w:lang w:val="ro-RO"/>
        </w:rPr>
        <w:t xml:space="preserve"> a fost cauzat </w:t>
      </w:r>
      <w:r w:rsidR="00C61FFF" w:rsidRPr="00AB56C8">
        <w:rPr>
          <w:rFonts w:asciiTheme="majorHAnsi" w:hAnsiTheme="majorHAnsi" w:cstheme="majorHAnsi"/>
          <w:sz w:val="24"/>
          <w:szCs w:val="24"/>
          <w:lang w:val="ro-RO"/>
        </w:rPr>
        <w:t>de insuficienţa veniturilor proprii utilizate pentru acoperirea cheltuielilor</w:t>
      </w:r>
      <w:r w:rsidR="00007224" w:rsidRPr="00AB56C8">
        <w:rPr>
          <w:rFonts w:asciiTheme="majorHAnsi" w:hAnsiTheme="majorHAnsi" w:cstheme="majorHAnsi"/>
          <w:sz w:val="24"/>
          <w:szCs w:val="24"/>
          <w:lang w:val="ro-RO"/>
        </w:rPr>
        <w:t>,</w:t>
      </w:r>
      <w:r w:rsidR="00C61FFF" w:rsidRPr="00AB56C8">
        <w:rPr>
          <w:rFonts w:asciiTheme="majorHAnsi" w:hAnsiTheme="majorHAnsi" w:cstheme="majorHAnsi"/>
          <w:sz w:val="24"/>
          <w:szCs w:val="24"/>
          <w:lang w:val="ro-RO"/>
        </w:rPr>
        <w:t xml:space="preserve"> reieşind din necesitatea asigurării plăţii prestaţiilor sociale în termen</w:t>
      </w:r>
      <w:r w:rsidR="00FA56F9" w:rsidRPr="00AB56C8">
        <w:rPr>
          <w:rFonts w:asciiTheme="majorHAnsi" w:hAnsiTheme="majorHAnsi" w:cstheme="majorHAnsi"/>
          <w:sz w:val="24"/>
          <w:szCs w:val="24"/>
          <w:lang w:val="ro-RO"/>
        </w:rPr>
        <w:t>ele</w:t>
      </w:r>
      <w:r w:rsidR="00C61FFF" w:rsidRPr="00AB56C8">
        <w:rPr>
          <w:rFonts w:asciiTheme="majorHAnsi" w:hAnsiTheme="majorHAnsi" w:cstheme="majorHAnsi"/>
          <w:sz w:val="24"/>
          <w:szCs w:val="24"/>
          <w:lang w:val="ro-RO"/>
        </w:rPr>
        <w:t xml:space="preserve"> stabili</w:t>
      </w:r>
      <w:r w:rsidR="00FA56F9" w:rsidRPr="00AB56C8">
        <w:rPr>
          <w:rFonts w:asciiTheme="majorHAnsi" w:hAnsiTheme="majorHAnsi" w:cstheme="majorHAnsi"/>
          <w:sz w:val="24"/>
          <w:szCs w:val="24"/>
          <w:lang w:val="ro-RO"/>
        </w:rPr>
        <w:t>te</w:t>
      </w:r>
      <w:r w:rsidR="00C61FFF" w:rsidRPr="00AB56C8">
        <w:rPr>
          <w:rFonts w:asciiTheme="majorHAnsi" w:hAnsiTheme="majorHAnsi" w:cstheme="majorHAnsi"/>
          <w:sz w:val="24"/>
          <w:szCs w:val="24"/>
          <w:lang w:val="ro-RO"/>
        </w:rPr>
        <w:t>.</w:t>
      </w:r>
      <w:r w:rsidR="007D7239" w:rsidRPr="00AB56C8">
        <w:rPr>
          <w:rFonts w:asciiTheme="majorHAnsi" w:hAnsiTheme="majorHAnsi" w:cstheme="majorHAnsi"/>
          <w:sz w:val="24"/>
          <w:szCs w:val="24"/>
          <w:lang w:val="ro-RO"/>
        </w:rPr>
        <w:t xml:space="preserve"> </w:t>
      </w:r>
    </w:p>
    <w:p w14:paraId="4748FFA1" w14:textId="0F455F98" w:rsidR="003E58D9" w:rsidRPr="00E82CC1" w:rsidRDefault="003E58D9" w:rsidP="004102C5">
      <w:pPr>
        <w:tabs>
          <w:tab w:val="left" w:pos="426"/>
          <w:tab w:val="left" w:pos="709"/>
          <w:tab w:val="left" w:pos="993"/>
        </w:tabs>
        <w:spacing w:line="276" w:lineRule="auto"/>
        <w:jc w:val="both"/>
        <w:rPr>
          <w:rFonts w:asciiTheme="majorHAnsi" w:hAnsiTheme="majorHAnsi" w:cstheme="majorHAnsi"/>
          <w:sz w:val="24"/>
          <w:szCs w:val="24"/>
          <w:lang w:val="ro-RO"/>
        </w:rPr>
      </w:pPr>
      <w:r w:rsidRPr="00AB56C8">
        <w:rPr>
          <w:rFonts w:asciiTheme="majorHAnsi" w:hAnsiTheme="majorHAnsi" w:cstheme="majorHAnsi"/>
          <w:sz w:val="24"/>
          <w:szCs w:val="24"/>
          <w:lang w:val="ro-RO"/>
        </w:rPr>
        <w:t xml:space="preserve">Se denotă că numărul beneficiarilor în anii 2018-2020 a fost în continuă creștere, </w:t>
      </w:r>
      <w:r w:rsidR="00AB56C8">
        <w:rPr>
          <w:rFonts w:asciiTheme="majorHAnsi" w:hAnsiTheme="majorHAnsi" w:cstheme="majorHAnsi"/>
          <w:sz w:val="24"/>
          <w:szCs w:val="24"/>
          <w:lang w:val="ro-RO"/>
        </w:rPr>
        <w:t xml:space="preserve">iar </w:t>
      </w:r>
      <w:r w:rsidRPr="00AB56C8">
        <w:rPr>
          <w:rFonts w:asciiTheme="majorHAnsi" w:hAnsiTheme="majorHAnsi" w:cstheme="majorHAnsi"/>
          <w:sz w:val="24"/>
          <w:szCs w:val="24"/>
          <w:lang w:val="ro-RO"/>
        </w:rPr>
        <w:t>în anul 2021 se constată o diminuare cu 713</w:t>
      </w:r>
      <w:r w:rsidR="00AB56C8">
        <w:rPr>
          <w:rFonts w:asciiTheme="majorHAnsi" w:hAnsiTheme="majorHAnsi" w:cstheme="majorHAnsi"/>
          <w:sz w:val="24"/>
          <w:szCs w:val="24"/>
          <w:lang w:val="ro-RO"/>
        </w:rPr>
        <w:t xml:space="preserve"> </w:t>
      </w:r>
      <w:r w:rsidRPr="00AB56C8">
        <w:rPr>
          <w:rFonts w:asciiTheme="majorHAnsi" w:hAnsiTheme="majorHAnsi" w:cstheme="majorHAnsi"/>
          <w:sz w:val="24"/>
          <w:szCs w:val="24"/>
          <w:lang w:val="ro-RO"/>
        </w:rPr>
        <w:t xml:space="preserve">252 </w:t>
      </w:r>
      <w:r w:rsidR="00AB56C8">
        <w:rPr>
          <w:rFonts w:asciiTheme="majorHAnsi" w:hAnsiTheme="majorHAnsi" w:cstheme="majorHAnsi"/>
          <w:sz w:val="24"/>
          <w:szCs w:val="24"/>
          <w:lang w:val="ro-RO"/>
        </w:rPr>
        <w:t xml:space="preserve">de </w:t>
      </w:r>
      <w:r w:rsidRPr="00AB56C8">
        <w:rPr>
          <w:rFonts w:asciiTheme="majorHAnsi" w:hAnsiTheme="majorHAnsi" w:cstheme="majorHAnsi"/>
          <w:sz w:val="24"/>
          <w:szCs w:val="24"/>
          <w:lang w:val="ro-RO"/>
        </w:rPr>
        <w:t>pers</w:t>
      </w:r>
      <w:r w:rsidR="0017066D" w:rsidRPr="00AB56C8">
        <w:rPr>
          <w:rFonts w:asciiTheme="majorHAnsi" w:hAnsiTheme="majorHAnsi" w:cstheme="majorHAnsi"/>
          <w:sz w:val="24"/>
          <w:szCs w:val="24"/>
          <w:lang w:val="ro-RO"/>
        </w:rPr>
        <w:t xml:space="preserve">oane față de anul 2020 (Anexa </w:t>
      </w:r>
      <w:r w:rsidR="00AB56C8">
        <w:rPr>
          <w:rFonts w:asciiTheme="majorHAnsi" w:hAnsiTheme="majorHAnsi" w:cstheme="majorHAnsi"/>
          <w:sz w:val="24"/>
          <w:szCs w:val="24"/>
          <w:lang w:val="ro-RO"/>
        </w:rPr>
        <w:t>nr.</w:t>
      </w:r>
      <w:r w:rsidR="0017066D" w:rsidRPr="00AB56C8">
        <w:rPr>
          <w:rFonts w:asciiTheme="majorHAnsi" w:hAnsiTheme="majorHAnsi" w:cstheme="majorHAnsi"/>
          <w:sz w:val="24"/>
          <w:szCs w:val="24"/>
          <w:lang w:val="ro-RO"/>
        </w:rPr>
        <w:t>13</w:t>
      </w:r>
      <w:r w:rsidRPr="00AB56C8">
        <w:rPr>
          <w:rFonts w:asciiTheme="majorHAnsi" w:hAnsiTheme="majorHAnsi" w:cstheme="majorHAnsi"/>
          <w:sz w:val="24"/>
          <w:szCs w:val="24"/>
          <w:lang w:val="ro-RO"/>
        </w:rPr>
        <w:t>), situație generată de excluderea unor beneficiari care avea</w:t>
      </w:r>
      <w:r w:rsidR="00AB56C8">
        <w:rPr>
          <w:rFonts w:asciiTheme="majorHAnsi" w:hAnsiTheme="majorHAnsi" w:cstheme="majorHAnsi"/>
          <w:sz w:val="24"/>
          <w:szCs w:val="24"/>
          <w:lang w:val="ro-RO"/>
        </w:rPr>
        <w:t>u</w:t>
      </w:r>
      <w:r w:rsidRPr="00AB56C8">
        <w:rPr>
          <w:rFonts w:asciiTheme="majorHAnsi" w:hAnsiTheme="majorHAnsi" w:cstheme="majorHAnsi"/>
          <w:sz w:val="24"/>
          <w:szCs w:val="24"/>
          <w:lang w:val="ro-RO"/>
        </w:rPr>
        <w:t xml:space="preserve"> dreptul la </w:t>
      </w:r>
      <w:r w:rsidRPr="00E82CC1">
        <w:rPr>
          <w:rFonts w:asciiTheme="majorHAnsi" w:hAnsiTheme="majorHAnsi" w:cstheme="majorHAnsi"/>
          <w:sz w:val="24"/>
          <w:szCs w:val="24"/>
          <w:lang w:val="ro-RO"/>
        </w:rPr>
        <w:t>anumite plăți/prestații (de exemplu, neacordarea suportului unic în anul 2021)</w:t>
      </w:r>
      <w:r w:rsidR="00AE4DDB">
        <w:rPr>
          <w:rFonts w:asciiTheme="majorHAnsi" w:hAnsiTheme="majorHAnsi" w:cstheme="majorHAnsi"/>
          <w:sz w:val="24"/>
          <w:szCs w:val="24"/>
          <w:lang w:val="ro-RO"/>
        </w:rPr>
        <w:t xml:space="preserve">. </w:t>
      </w:r>
      <w:r w:rsidR="00AE4DDB" w:rsidRPr="00046B6A">
        <w:rPr>
          <w:rFonts w:asciiTheme="majorHAnsi" w:hAnsiTheme="majorHAnsi" w:cstheme="majorHAnsi"/>
          <w:sz w:val="24"/>
          <w:szCs w:val="24"/>
          <w:lang w:val="ro-RO"/>
        </w:rPr>
        <w:t>Totodat</w:t>
      </w:r>
      <w:r w:rsidR="00AE4DDB" w:rsidRPr="00046B6A">
        <w:rPr>
          <w:rFonts w:asciiTheme="majorHAnsi" w:hAnsiTheme="majorHAnsi" w:cstheme="majorHAnsi"/>
          <w:sz w:val="24"/>
          <w:szCs w:val="24"/>
          <w:lang w:val="ro-MD"/>
        </w:rPr>
        <w:t xml:space="preserve">ă, unele persoane </w:t>
      </w:r>
      <w:r w:rsidR="00561466" w:rsidRPr="00046B6A">
        <w:rPr>
          <w:rFonts w:asciiTheme="majorHAnsi" w:hAnsiTheme="majorHAnsi" w:cstheme="majorHAnsi"/>
          <w:sz w:val="24"/>
          <w:szCs w:val="24"/>
          <w:lang w:val="ro-MD"/>
        </w:rPr>
        <w:t xml:space="preserve">au </w:t>
      </w:r>
      <w:r w:rsidR="00AE4DDB" w:rsidRPr="00046B6A">
        <w:rPr>
          <w:rFonts w:asciiTheme="majorHAnsi" w:hAnsiTheme="majorHAnsi" w:cstheme="majorHAnsi"/>
          <w:sz w:val="24"/>
          <w:szCs w:val="24"/>
          <w:lang w:val="ro-MD"/>
        </w:rPr>
        <w:t>benefici</w:t>
      </w:r>
      <w:r w:rsidR="00561466" w:rsidRPr="00046B6A">
        <w:rPr>
          <w:rFonts w:asciiTheme="majorHAnsi" w:hAnsiTheme="majorHAnsi" w:cstheme="majorHAnsi"/>
          <w:sz w:val="24"/>
          <w:szCs w:val="24"/>
          <w:lang w:val="ro-MD"/>
        </w:rPr>
        <w:t>at</w:t>
      </w:r>
      <w:r w:rsidR="00AE4DDB" w:rsidRPr="00046B6A">
        <w:rPr>
          <w:rFonts w:asciiTheme="majorHAnsi" w:hAnsiTheme="majorHAnsi" w:cstheme="majorHAnsi"/>
          <w:sz w:val="24"/>
          <w:szCs w:val="24"/>
          <w:lang w:val="ro-MD"/>
        </w:rPr>
        <w:t xml:space="preserve"> de mai multe prestații</w:t>
      </w:r>
      <w:r w:rsidRPr="00046B6A">
        <w:rPr>
          <w:rFonts w:asciiTheme="majorHAnsi" w:hAnsiTheme="majorHAnsi" w:cstheme="majorHAnsi"/>
          <w:sz w:val="24"/>
          <w:szCs w:val="24"/>
          <w:lang w:val="ro-RO"/>
        </w:rPr>
        <w:t>. În</w:t>
      </w:r>
      <w:r w:rsidRPr="00E82CC1">
        <w:rPr>
          <w:rFonts w:asciiTheme="majorHAnsi" w:hAnsiTheme="majorHAnsi" w:cstheme="majorHAnsi"/>
          <w:sz w:val="24"/>
          <w:szCs w:val="24"/>
          <w:lang w:val="ro-RO"/>
        </w:rPr>
        <w:t xml:space="preserve"> același timp, CNAS </w:t>
      </w:r>
      <w:r w:rsidR="0017066D">
        <w:rPr>
          <w:rFonts w:asciiTheme="majorHAnsi" w:hAnsiTheme="majorHAnsi" w:cstheme="majorHAnsi"/>
          <w:sz w:val="24"/>
          <w:szCs w:val="24"/>
          <w:lang w:val="ro-RO"/>
        </w:rPr>
        <w:t>a realizat peste 15 procese noi</w:t>
      </w:r>
      <w:r w:rsidRPr="00E82CC1">
        <w:rPr>
          <w:rFonts w:asciiTheme="majorHAnsi" w:hAnsiTheme="majorHAnsi" w:cstheme="majorHAnsi"/>
          <w:sz w:val="24"/>
          <w:szCs w:val="24"/>
          <w:lang w:val="ro-RO"/>
        </w:rPr>
        <w:t>, care au majorat mărimea medie a prestațiilor</w:t>
      </w:r>
      <w:r w:rsidR="00AB56C8">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cum ar fi: reexaminarea pensiilor pentru limită de vârstă, a pensiilor de dizabilitate, a indemnizațiilor pentru incapacitate temporară de muncă etc.</w:t>
      </w:r>
    </w:p>
    <w:p w14:paraId="2D88A8D2" w14:textId="6E664E2C" w:rsidR="00740CF4" w:rsidRPr="00E82CC1" w:rsidRDefault="00740CF4" w:rsidP="004102C5">
      <w:pPr>
        <w:tabs>
          <w:tab w:val="left" w:pos="426"/>
          <w:tab w:val="left" w:pos="709"/>
          <w:tab w:val="left" w:pos="993"/>
        </w:tabs>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Evoluția transferurilor, precum și obligațiile față de beneficiari care urmează a fi realizate în exercițiile financiare viitoare pot afecta sustenabilitatea BASS. Aceasta poate condiționa perturbarea echilibrului bugetului asigurărilor sociale de stat, ceea ce va impune majorarea poverii bugetului asigurărilor sociale de stat și/sau, după caz, a bugetului de stat, odată cu solicitarea transferurilor cu destinație generală (resurse financiare</w:t>
      </w:r>
      <w:r w:rsidR="007D7239" w:rsidRPr="00E82CC1">
        <w:rPr>
          <w:rFonts w:asciiTheme="majorHAnsi" w:hAnsiTheme="majorHAnsi" w:cstheme="majorHAnsi"/>
          <w:sz w:val="24"/>
          <w:szCs w:val="24"/>
          <w:lang w:val="ro-RO"/>
        </w:rPr>
        <w:t xml:space="preserve"> pentru acoperirea deficitului) și denotă motive de îngrijorare cu referire la evoluția veniturilor BASS, față de cheltuielile ce urmează a fi suportate.</w:t>
      </w:r>
    </w:p>
    <w:p w14:paraId="6EC15638" w14:textId="7790BC1F" w:rsidR="00C5751A" w:rsidRPr="00E82CC1" w:rsidRDefault="00C5751A" w:rsidP="004102C5">
      <w:pPr>
        <w:tabs>
          <w:tab w:val="left" w:pos="426"/>
          <w:tab w:val="left" w:pos="709"/>
          <w:tab w:val="left" w:pos="993"/>
        </w:tabs>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Concomitent, se menționează că, pentru acoperire</w:t>
      </w:r>
      <w:r w:rsidR="001830E7" w:rsidRPr="00E82CC1">
        <w:rPr>
          <w:rFonts w:asciiTheme="majorHAnsi" w:hAnsiTheme="majorHAnsi" w:cstheme="majorHAnsi"/>
          <w:sz w:val="24"/>
          <w:szCs w:val="24"/>
          <w:lang w:val="ro-RO"/>
        </w:rPr>
        <w:t>a decalajului temporar de casă</w:t>
      </w:r>
      <w:r w:rsidR="00232CA4" w:rsidRPr="00E82CC1">
        <w:rPr>
          <w:rFonts w:asciiTheme="majorHAnsi" w:hAnsiTheme="majorHAnsi" w:cstheme="majorHAnsi"/>
          <w:sz w:val="24"/>
          <w:szCs w:val="24"/>
          <w:lang w:val="ro-RO"/>
        </w:rPr>
        <w:t>,</w:t>
      </w:r>
      <w:r w:rsidR="001830E7" w:rsidRPr="00E82CC1">
        <w:rPr>
          <w:rFonts w:asciiTheme="majorHAnsi" w:hAnsiTheme="majorHAnsi" w:cstheme="majorHAnsi"/>
          <w:sz w:val="24"/>
          <w:szCs w:val="24"/>
          <w:lang w:val="ro-RO"/>
        </w:rPr>
        <w:t xml:space="preserve"> în scopul onorării obligațiilor față de beneficiari și asigur</w:t>
      </w:r>
      <w:r w:rsidR="00AB56C8">
        <w:rPr>
          <w:rFonts w:asciiTheme="majorHAnsi" w:hAnsiTheme="majorHAnsi" w:cstheme="majorHAnsi"/>
          <w:sz w:val="24"/>
          <w:szCs w:val="24"/>
          <w:lang w:val="ro-RO"/>
        </w:rPr>
        <w:t>ării</w:t>
      </w:r>
      <w:r w:rsidR="001830E7" w:rsidRPr="00E82CC1">
        <w:rPr>
          <w:rFonts w:asciiTheme="majorHAnsi" w:hAnsiTheme="majorHAnsi" w:cstheme="majorHAnsi"/>
          <w:sz w:val="24"/>
          <w:szCs w:val="24"/>
          <w:lang w:val="ro-RO"/>
        </w:rPr>
        <w:t xml:space="preserve"> transferurilor în termen a prestaţiilor sociale, în perioada noiembrie-decembrie 2021, </w:t>
      </w:r>
      <w:r w:rsidRPr="00E82CC1">
        <w:rPr>
          <w:rFonts w:asciiTheme="majorHAnsi" w:hAnsiTheme="majorHAnsi" w:cstheme="majorHAnsi"/>
          <w:sz w:val="24"/>
          <w:szCs w:val="24"/>
          <w:lang w:val="ro-RO"/>
        </w:rPr>
        <w:t xml:space="preserve">CNAS a fost nevoită de a contracta </w:t>
      </w:r>
      <w:r w:rsidR="001830E7" w:rsidRPr="00E82CC1">
        <w:rPr>
          <w:rFonts w:asciiTheme="majorHAnsi" w:hAnsiTheme="majorHAnsi" w:cstheme="majorHAnsi"/>
          <w:sz w:val="24"/>
          <w:szCs w:val="24"/>
          <w:lang w:val="ro-RO"/>
        </w:rPr>
        <w:t>2</w:t>
      </w:r>
      <w:r w:rsidRPr="00E82CC1">
        <w:rPr>
          <w:rFonts w:asciiTheme="majorHAnsi" w:hAnsiTheme="majorHAnsi" w:cstheme="majorHAnsi"/>
          <w:sz w:val="24"/>
          <w:szCs w:val="24"/>
          <w:lang w:val="ro-RO"/>
        </w:rPr>
        <w:t xml:space="preserve">  împrumuturi de la bugetul de stat, în sumă totală de </w:t>
      </w:r>
      <w:r w:rsidR="006005CB" w:rsidRPr="00E82CC1">
        <w:rPr>
          <w:rFonts w:asciiTheme="majorHAnsi" w:hAnsiTheme="majorHAnsi" w:cstheme="majorHAnsi"/>
          <w:sz w:val="24"/>
          <w:szCs w:val="24"/>
          <w:lang w:val="ro-RO"/>
        </w:rPr>
        <w:t>8</w:t>
      </w:r>
      <w:r w:rsidRPr="00E82CC1">
        <w:rPr>
          <w:rFonts w:asciiTheme="majorHAnsi" w:hAnsiTheme="majorHAnsi" w:cstheme="majorHAnsi"/>
          <w:sz w:val="24"/>
          <w:szCs w:val="24"/>
          <w:lang w:val="ro-RO"/>
        </w:rPr>
        <w:t>00,0 mil. lei, care au fost restituite în același an bugetar</w:t>
      </w:r>
      <w:r w:rsidRPr="00E82CC1">
        <w:rPr>
          <w:rStyle w:val="a5"/>
          <w:rFonts w:asciiTheme="majorHAnsi" w:hAnsiTheme="majorHAnsi" w:cstheme="majorHAnsi"/>
          <w:sz w:val="24"/>
          <w:szCs w:val="24"/>
          <w:lang w:val="ro-RO"/>
        </w:rPr>
        <w:footnoteReference w:id="4"/>
      </w:r>
      <w:r w:rsidRPr="00E82CC1">
        <w:rPr>
          <w:rFonts w:asciiTheme="majorHAnsi" w:hAnsiTheme="majorHAnsi" w:cstheme="majorHAnsi"/>
          <w:sz w:val="24"/>
          <w:szCs w:val="24"/>
          <w:lang w:val="ro-RO"/>
        </w:rPr>
        <w:t>. Analiza transferurilor primite de la bugetul de sta</w:t>
      </w:r>
      <w:r w:rsidR="0017066D">
        <w:rPr>
          <w:rFonts w:asciiTheme="majorHAnsi" w:hAnsiTheme="majorHAnsi" w:cstheme="majorHAnsi"/>
          <w:sz w:val="24"/>
          <w:szCs w:val="24"/>
          <w:lang w:val="ro-RO"/>
        </w:rPr>
        <w:t>t este prezentată în Anexa nr. 7</w:t>
      </w:r>
      <w:r w:rsidRPr="00E82CC1">
        <w:rPr>
          <w:rFonts w:asciiTheme="majorHAnsi" w:hAnsiTheme="majorHAnsi" w:cstheme="majorHAnsi"/>
          <w:sz w:val="24"/>
          <w:szCs w:val="24"/>
          <w:lang w:val="ro-RO"/>
        </w:rPr>
        <w:t xml:space="preserve"> la prezentul Raport de audit.</w:t>
      </w:r>
    </w:p>
    <w:p w14:paraId="0A15A06A" w14:textId="1D5A8078" w:rsidR="00F95C8F" w:rsidRPr="00E82CC1" w:rsidRDefault="009D4055" w:rsidP="004102C5">
      <w:pPr>
        <w:spacing w:line="276" w:lineRule="auto"/>
        <w:jc w:val="both"/>
        <w:rPr>
          <w:rFonts w:asciiTheme="majorHAnsi" w:hAnsiTheme="majorHAnsi" w:cstheme="majorHAnsi"/>
          <w:sz w:val="24"/>
          <w:szCs w:val="24"/>
          <w:lang w:val="ro-RO"/>
        </w:rPr>
      </w:pPr>
      <w:r w:rsidRPr="00E82CC1">
        <w:rPr>
          <w:rFonts w:asciiTheme="majorHAnsi" w:hAnsiTheme="majorHAnsi" w:cstheme="majorHAnsi"/>
          <w:b/>
          <w:sz w:val="24"/>
          <w:szCs w:val="24"/>
          <w:lang w:val="ro-RO"/>
        </w:rPr>
        <w:t>Cu referire la transferurile cu destinație specială</w:t>
      </w:r>
      <w:r w:rsidR="00F95C8F" w:rsidRPr="00E82CC1">
        <w:rPr>
          <w:rFonts w:asciiTheme="majorHAnsi" w:hAnsiTheme="majorHAnsi" w:cstheme="majorHAnsi"/>
          <w:sz w:val="24"/>
          <w:szCs w:val="24"/>
          <w:lang w:val="ro-RO"/>
        </w:rPr>
        <w:t xml:space="preserve"> în sumă de</w:t>
      </w:r>
      <w:r w:rsidR="00BF7B04" w:rsidRPr="00E82CC1">
        <w:rPr>
          <w:rFonts w:asciiTheme="majorHAnsi" w:hAnsiTheme="majorHAnsi" w:cstheme="majorHAnsi"/>
          <w:sz w:val="24"/>
          <w:szCs w:val="24"/>
          <w:lang w:val="ro-RO"/>
        </w:rPr>
        <w:t xml:space="preserve"> 7</w:t>
      </w:r>
      <w:r w:rsidR="00F95C8F" w:rsidRPr="00E82CC1">
        <w:rPr>
          <w:rFonts w:asciiTheme="majorHAnsi" w:hAnsiTheme="majorHAnsi" w:cstheme="majorHAnsi"/>
          <w:sz w:val="24"/>
          <w:szCs w:val="24"/>
          <w:lang w:val="ro-RO"/>
        </w:rPr>
        <w:t xml:space="preserve"> </w:t>
      </w:r>
      <w:r w:rsidR="00BF7B04" w:rsidRPr="00E82CC1">
        <w:rPr>
          <w:rFonts w:asciiTheme="majorHAnsi" w:hAnsiTheme="majorHAnsi" w:cstheme="majorHAnsi"/>
          <w:sz w:val="24"/>
          <w:szCs w:val="24"/>
          <w:lang w:val="ro-RO"/>
        </w:rPr>
        <w:t>884</w:t>
      </w:r>
      <w:r w:rsidR="00F95C8F" w:rsidRPr="00E82CC1">
        <w:rPr>
          <w:rFonts w:asciiTheme="majorHAnsi" w:hAnsiTheme="majorHAnsi" w:cstheme="majorHAnsi"/>
          <w:sz w:val="24"/>
          <w:szCs w:val="24"/>
          <w:lang w:val="ro-RO"/>
        </w:rPr>
        <w:t>,6 mil. lei</w:t>
      </w:r>
      <w:r w:rsidR="00AB56C8">
        <w:rPr>
          <w:rFonts w:asciiTheme="majorHAnsi" w:hAnsiTheme="majorHAnsi" w:cstheme="majorHAnsi"/>
          <w:sz w:val="24"/>
          <w:szCs w:val="24"/>
          <w:lang w:val="ro-RO"/>
        </w:rPr>
        <w:t>,</w:t>
      </w:r>
      <w:r w:rsidR="00F95C8F" w:rsidRPr="00E82CC1">
        <w:rPr>
          <w:rFonts w:asciiTheme="majorHAnsi" w:hAnsiTheme="majorHAnsi" w:cstheme="majorHAnsi"/>
          <w:sz w:val="24"/>
          <w:szCs w:val="24"/>
          <w:lang w:val="ro-RO"/>
        </w:rPr>
        <w:t xml:space="preserve"> se denotă că acestea au fost utilizate preponderent </w:t>
      </w:r>
      <w:r w:rsidR="00AB56C8">
        <w:rPr>
          <w:rFonts w:asciiTheme="majorHAnsi" w:hAnsiTheme="majorHAnsi" w:cstheme="majorHAnsi"/>
          <w:sz w:val="24"/>
          <w:szCs w:val="24"/>
          <w:lang w:val="ro-RO"/>
        </w:rPr>
        <w:t>la</w:t>
      </w:r>
      <w:r w:rsidR="00F95C8F" w:rsidRPr="00E82CC1">
        <w:rPr>
          <w:rFonts w:asciiTheme="majorHAnsi" w:hAnsiTheme="majorHAnsi" w:cstheme="majorHAnsi"/>
          <w:sz w:val="24"/>
          <w:szCs w:val="24"/>
          <w:lang w:val="ro-RO"/>
        </w:rPr>
        <w:t xml:space="preserve"> plata prestaţiilor de asistenţă socială</w:t>
      </w:r>
      <w:r w:rsidR="00876DAB" w:rsidRPr="00E82CC1">
        <w:rPr>
          <w:rFonts w:asciiTheme="majorHAnsi" w:hAnsiTheme="majorHAnsi" w:cstheme="majorHAnsi"/>
          <w:sz w:val="24"/>
          <w:szCs w:val="24"/>
          <w:lang w:val="ro-RO"/>
        </w:rPr>
        <w:t xml:space="preserve"> (99%</w:t>
      </w:r>
      <w:r w:rsidR="00AB56C8">
        <w:rPr>
          <w:rFonts w:asciiTheme="majorHAnsi" w:hAnsiTheme="majorHAnsi" w:cstheme="majorHAnsi"/>
          <w:sz w:val="24"/>
          <w:szCs w:val="24"/>
          <w:lang w:val="ro-RO"/>
        </w:rPr>
        <w:t>,</w:t>
      </w:r>
      <w:r w:rsidR="00876DAB" w:rsidRPr="00E82CC1">
        <w:rPr>
          <w:rFonts w:asciiTheme="majorHAnsi" w:hAnsiTheme="majorHAnsi" w:cstheme="majorHAnsi"/>
          <w:sz w:val="24"/>
          <w:szCs w:val="24"/>
          <w:lang w:val="ro-RO"/>
        </w:rPr>
        <w:t xml:space="preserve"> sau 7 811,3 mil. lei)</w:t>
      </w:r>
      <w:r w:rsidR="00F95C8F" w:rsidRPr="00E82CC1">
        <w:rPr>
          <w:rFonts w:asciiTheme="majorHAnsi" w:hAnsiTheme="majorHAnsi" w:cstheme="majorHAnsi"/>
          <w:sz w:val="24"/>
          <w:szCs w:val="24"/>
          <w:lang w:val="ro-RO"/>
        </w:rPr>
        <w:t>, care conform legislaţiei sunt finanţate din bugetul de stat şi acordate unor categorii de populaţie prin intermediul Casei N</w:t>
      </w:r>
      <w:r w:rsidR="00876DAB" w:rsidRPr="00E82CC1">
        <w:rPr>
          <w:rFonts w:asciiTheme="majorHAnsi" w:hAnsiTheme="majorHAnsi" w:cstheme="majorHAnsi"/>
          <w:sz w:val="24"/>
          <w:szCs w:val="24"/>
          <w:lang w:val="ro-RO"/>
        </w:rPr>
        <w:t>aţionale de Asigurări Sociale. Totodată, unele din</w:t>
      </w:r>
      <w:r w:rsidR="00AB56C8">
        <w:rPr>
          <w:rFonts w:asciiTheme="majorHAnsi" w:hAnsiTheme="majorHAnsi" w:cstheme="majorHAnsi"/>
          <w:sz w:val="24"/>
          <w:szCs w:val="24"/>
          <w:lang w:val="ro-RO"/>
        </w:rPr>
        <w:t>tre</w:t>
      </w:r>
      <w:r w:rsidR="00876DAB" w:rsidRPr="00E82CC1">
        <w:rPr>
          <w:rFonts w:asciiTheme="majorHAnsi" w:hAnsiTheme="majorHAnsi" w:cstheme="majorHAnsi"/>
          <w:sz w:val="24"/>
          <w:szCs w:val="24"/>
          <w:lang w:val="ro-RO"/>
        </w:rPr>
        <w:t xml:space="preserve"> ele au fost utilizate </w:t>
      </w:r>
      <w:r w:rsidR="00F95C8F" w:rsidRPr="00E82CC1">
        <w:rPr>
          <w:rFonts w:asciiTheme="majorHAnsi" w:hAnsiTheme="majorHAnsi" w:cstheme="majorHAnsi"/>
          <w:sz w:val="24"/>
          <w:szCs w:val="24"/>
          <w:lang w:val="ro-RO"/>
        </w:rPr>
        <w:t>pentru compensarea diferenţei de tarife de asigurări sociale de stat ob</w:t>
      </w:r>
      <w:r w:rsidR="00876DAB" w:rsidRPr="00E82CC1">
        <w:rPr>
          <w:rFonts w:asciiTheme="majorHAnsi" w:hAnsiTheme="majorHAnsi" w:cstheme="majorHAnsi"/>
          <w:sz w:val="24"/>
          <w:szCs w:val="24"/>
          <w:lang w:val="ro-RO"/>
        </w:rPr>
        <w:t>ligatorii în sectorul agrar (</w:t>
      </w:r>
      <w:r w:rsidR="00F95C8F" w:rsidRPr="00E82CC1">
        <w:rPr>
          <w:rFonts w:asciiTheme="majorHAnsi" w:hAnsiTheme="majorHAnsi" w:cstheme="majorHAnsi"/>
          <w:sz w:val="24"/>
          <w:szCs w:val="24"/>
          <w:lang w:val="ro-RO"/>
        </w:rPr>
        <w:t>72</w:t>
      </w:r>
      <w:r w:rsidR="00876DAB" w:rsidRPr="00E82CC1">
        <w:rPr>
          <w:rFonts w:asciiTheme="majorHAnsi" w:hAnsiTheme="majorHAnsi" w:cstheme="majorHAnsi"/>
          <w:sz w:val="24"/>
          <w:szCs w:val="24"/>
          <w:lang w:val="ro-RO"/>
        </w:rPr>
        <w:t xml:space="preserve">,4 mil. lei) și </w:t>
      </w:r>
      <w:r w:rsidR="00F95C8F" w:rsidRPr="00E82CC1">
        <w:rPr>
          <w:rFonts w:asciiTheme="majorHAnsi" w:hAnsiTheme="majorHAnsi" w:cstheme="majorHAnsi"/>
          <w:sz w:val="24"/>
          <w:szCs w:val="24"/>
          <w:lang w:val="ro-RO"/>
        </w:rPr>
        <w:t>pentru compensarea veniturilor ratate ale bugetului asigurărilor sociale de stat, în legătură cu scutirea deţinătorilor de terenuri agricole situate după traseul R</w:t>
      </w:r>
      <w:r w:rsidR="00AB56C8">
        <w:rPr>
          <w:rFonts w:asciiTheme="majorHAnsi" w:hAnsiTheme="majorHAnsi" w:cstheme="majorHAnsi"/>
          <w:sz w:val="24"/>
          <w:szCs w:val="24"/>
          <w:lang w:val="ro-RO"/>
        </w:rPr>
        <w:t>â</w:t>
      </w:r>
      <w:r w:rsidR="00F95C8F" w:rsidRPr="00E82CC1">
        <w:rPr>
          <w:rFonts w:asciiTheme="majorHAnsi" w:hAnsiTheme="majorHAnsi" w:cstheme="majorHAnsi"/>
          <w:sz w:val="24"/>
          <w:szCs w:val="24"/>
          <w:lang w:val="ro-RO"/>
        </w:rPr>
        <w:t>bniţa - Tiraspol de plata contribuţiilor de asigurări sociale de stat obligatorii</w:t>
      </w:r>
      <w:r w:rsidR="00876DAB" w:rsidRPr="00E82CC1">
        <w:rPr>
          <w:rFonts w:asciiTheme="majorHAnsi" w:hAnsiTheme="majorHAnsi" w:cstheme="majorHAnsi"/>
          <w:sz w:val="24"/>
          <w:szCs w:val="24"/>
          <w:lang w:val="ro-RO"/>
        </w:rPr>
        <w:t xml:space="preserve"> (0,</w:t>
      </w:r>
      <w:r w:rsidR="00F95C8F" w:rsidRPr="00E82CC1">
        <w:rPr>
          <w:rFonts w:asciiTheme="majorHAnsi" w:hAnsiTheme="majorHAnsi" w:cstheme="majorHAnsi"/>
          <w:sz w:val="24"/>
          <w:szCs w:val="24"/>
          <w:lang w:val="ro-RO"/>
        </w:rPr>
        <w:t>8</w:t>
      </w:r>
      <w:r w:rsidR="00876DAB" w:rsidRPr="00E82CC1">
        <w:rPr>
          <w:rFonts w:asciiTheme="majorHAnsi" w:hAnsiTheme="majorHAnsi" w:cstheme="majorHAnsi"/>
          <w:sz w:val="24"/>
          <w:szCs w:val="24"/>
          <w:lang w:val="ro-RO"/>
        </w:rPr>
        <w:t>7 mil. lei).</w:t>
      </w:r>
    </w:p>
    <w:p w14:paraId="7AB7BA53" w14:textId="77777777" w:rsidR="00876DAB" w:rsidRPr="00E82CC1" w:rsidRDefault="00876DAB" w:rsidP="004102C5">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Înregistrarea și raportarea transferurilor primite de la bugetul de stat s-a efectuat conform principiilor elaborate de către Ministerul Finanțelor, tranzacțiile de intrare/ieșire a mijloacelor băneștii fiind recunoscute pe măsura încasării/plății acestora, în sumele și perioadele în care au avut loc și în conturile corespunzătoare, în funcție de tipul prestației pentru care au fost utilizate.</w:t>
      </w:r>
    </w:p>
    <w:p w14:paraId="75740EB7" w14:textId="1AAA871D" w:rsidR="00D420DA" w:rsidRPr="00E82CC1" w:rsidRDefault="00D420DA" w:rsidP="00F54A26">
      <w:pPr>
        <w:pStyle w:val="a9"/>
        <w:numPr>
          <w:ilvl w:val="1"/>
          <w:numId w:val="15"/>
        </w:numPr>
        <w:spacing w:after="0" w:line="276" w:lineRule="auto"/>
        <w:ind w:left="0" w:firstLine="0"/>
        <w:jc w:val="both"/>
        <w:outlineLvl w:val="1"/>
        <w:rPr>
          <w:rFonts w:asciiTheme="majorHAnsi" w:eastAsia="Times New Roman" w:hAnsiTheme="majorHAnsi" w:cstheme="majorHAnsi"/>
          <w:b/>
          <w:sz w:val="24"/>
          <w:szCs w:val="24"/>
          <w:lang w:val="ro-MD"/>
        </w:rPr>
      </w:pPr>
      <w:r w:rsidRPr="00E82CC1">
        <w:rPr>
          <w:rFonts w:asciiTheme="majorHAnsi" w:eastAsia="Times New Roman" w:hAnsiTheme="majorHAnsi" w:cstheme="majorHAnsi"/>
          <w:b/>
          <w:sz w:val="24"/>
          <w:szCs w:val="24"/>
          <w:lang w:val="ro-MD"/>
        </w:rPr>
        <w:t>Nivelul veniturilor la bugetul asigurărilor sociale de stat este în creștere constantă, inclusiv transferurile primite de la bugetul de stat</w:t>
      </w:r>
      <w:r w:rsidR="000501BC" w:rsidRPr="00E82CC1">
        <w:rPr>
          <w:rFonts w:asciiTheme="majorHAnsi" w:eastAsia="Times New Roman" w:hAnsiTheme="majorHAnsi" w:cstheme="majorHAnsi"/>
          <w:b/>
          <w:sz w:val="24"/>
          <w:szCs w:val="24"/>
          <w:lang w:val="ro-MD"/>
        </w:rPr>
        <w:t>, deși planul anual nu a fost atins</w:t>
      </w:r>
      <w:r w:rsidR="001C7155" w:rsidRPr="00E82CC1">
        <w:rPr>
          <w:rFonts w:asciiTheme="majorHAnsi" w:eastAsia="Times New Roman" w:hAnsiTheme="majorHAnsi" w:cstheme="majorHAnsi"/>
          <w:b/>
          <w:sz w:val="24"/>
          <w:szCs w:val="24"/>
          <w:lang w:val="ro-MD"/>
        </w:rPr>
        <w:t xml:space="preserve">, </w:t>
      </w:r>
      <w:r w:rsidR="00D01939">
        <w:rPr>
          <w:rFonts w:asciiTheme="majorHAnsi" w:eastAsia="Times New Roman" w:hAnsiTheme="majorHAnsi" w:cstheme="majorHAnsi"/>
          <w:b/>
          <w:sz w:val="24"/>
          <w:szCs w:val="24"/>
          <w:lang w:val="ro-MD"/>
        </w:rPr>
        <w:t xml:space="preserve">ceea </w:t>
      </w:r>
      <w:r w:rsidR="001C7155" w:rsidRPr="00E82CC1">
        <w:rPr>
          <w:rFonts w:asciiTheme="majorHAnsi" w:eastAsia="Times New Roman" w:hAnsiTheme="majorHAnsi" w:cstheme="majorHAnsi"/>
          <w:b/>
          <w:sz w:val="24"/>
          <w:szCs w:val="24"/>
          <w:lang w:val="ro-MD"/>
        </w:rPr>
        <w:t>ce a determinat majorarea transferurilor pentru acoperirea deficitului.</w:t>
      </w:r>
    </w:p>
    <w:p w14:paraId="73F86C0B" w14:textId="33FF36B7" w:rsidR="00DD463B" w:rsidRPr="00E82CC1" w:rsidRDefault="00D420DA" w:rsidP="00F54A26">
      <w:pPr>
        <w:pStyle w:val="Default"/>
        <w:spacing w:line="276" w:lineRule="auto"/>
        <w:jc w:val="both"/>
        <w:rPr>
          <w:rFonts w:asciiTheme="majorHAnsi" w:hAnsiTheme="majorHAnsi" w:cstheme="majorHAnsi"/>
          <w:lang w:val="ro-MD"/>
        </w:rPr>
      </w:pPr>
      <w:r w:rsidRPr="00E82CC1">
        <w:rPr>
          <w:rFonts w:asciiTheme="majorHAnsi" w:eastAsia="Times New Roman" w:hAnsiTheme="majorHAnsi" w:cstheme="majorHAnsi"/>
          <w:lang w:val="ro-MD"/>
        </w:rPr>
        <w:t>În anul 2021, veniturile totale ale bugetului asigurărilor sociale de stat sunt de 27 246,8 mil. le</w:t>
      </w:r>
      <w:r w:rsidRPr="00D01939">
        <w:rPr>
          <w:rFonts w:asciiTheme="majorHAnsi" w:eastAsia="Times New Roman" w:hAnsiTheme="majorHAnsi" w:cstheme="majorHAnsi"/>
          <w:lang w:val="ro-MD"/>
        </w:rPr>
        <w:t>i</w:t>
      </w:r>
      <w:r w:rsidRPr="00617E4A">
        <w:rPr>
          <w:rStyle w:val="a5"/>
          <w:rFonts w:asciiTheme="majorHAnsi" w:eastAsia="Times New Roman" w:hAnsiTheme="majorHAnsi" w:cstheme="majorHAnsi"/>
        </w:rPr>
        <w:footnoteReference w:id="5"/>
      </w:r>
      <w:r w:rsidRPr="00E82CC1">
        <w:rPr>
          <w:rFonts w:asciiTheme="majorHAnsi" w:eastAsia="Times New Roman" w:hAnsiTheme="majorHAnsi" w:cstheme="majorHAnsi"/>
          <w:lang w:val="ro-MD"/>
        </w:rPr>
        <w:t xml:space="preserve">, </w:t>
      </w:r>
      <w:r w:rsidRPr="00E82CC1">
        <w:rPr>
          <w:rFonts w:asciiTheme="majorHAnsi" w:hAnsiTheme="majorHAnsi" w:cstheme="majorHAnsi"/>
          <w:lang w:val="ro-RO"/>
        </w:rPr>
        <w:t>cu 1,4%</w:t>
      </w:r>
      <w:r w:rsidR="00D01939">
        <w:rPr>
          <w:rFonts w:asciiTheme="majorHAnsi" w:hAnsiTheme="majorHAnsi" w:cstheme="majorHAnsi"/>
          <w:lang w:val="ro-RO"/>
        </w:rPr>
        <w:t>,</w:t>
      </w:r>
      <w:r w:rsidRPr="00E82CC1">
        <w:rPr>
          <w:rFonts w:asciiTheme="majorHAnsi" w:hAnsiTheme="majorHAnsi" w:cstheme="majorHAnsi"/>
          <w:lang w:val="ro-RO"/>
        </w:rPr>
        <w:t xml:space="preserve"> sau cu 382,2 mil. lei mai puțin față de prevederile anuale</w:t>
      </w:r>
      <w:r w:rsidR="00DD463B" w:rsidRPr="00E82CC1">
        <w:rPr>
          <w:rFonts w:asciiTheme="majorHAnsi" w:hAnsiTheme="majorHAnsi" w:cstheme="majorHAnsi"/>
          <w:lang w:val="ro-RO"/>
        </w:rPr>
        <w:t>, iar acest trend se menține în ultimii trei ani (2019-2021), vezi tabelul nr. 2.</w:t>
      </w:r>
      <w:r w:rsidR="001C7155" w:rsidRPr="00E82CC1">
        <w:rPr>
          <w:rFonts w:asciiTheme="majorHAnsi" w:hAnsiTheme="majorHAnsi" w:cstheme="majorHAnsi"/>
          <w:lang w:val="ro-RO"/>
        </w:rPr>
        <w:t xml:space="preserve"> Totodată, acestea au înregistrat o creștere de 3</w:t>
      </w:r>
      <w:r w:rsidR="00D01939">
        <w:rPr>
          <w:rFonts w:asciiTheme="majorHAnsi" w:hAnsiTheme="majorHAnsi" w:cstheme="majorHAnsi"/>
          <w:lang w:val="ro-RO"/>
        </w:rPr>
        <w:t xml:space="preserve"> </w:t>
      </w:r>
      <w:r w:rsidR="001C7155" w:rsidRPr="00E82CC1">
        <w:rPr>
          <w:rFonts w:asciiTheme="majorHAnsi" w:hAnsiTheme="majorHAnsi" w:cstheme="majorHAnsi"/>
          <w:lang w:val="ro-RO"/>
        </w:rPr>
        <w:t>056,94 mii lei comparativ cu anul precedent.</w:t>
      </w:r>
    </w:p>
    <w:p w14:paraId="00657965" w14:textId="776CFCDA" w:rsidR="00D420DA" w:rsidRPr="00E82CC1" w:rsidRDefault="00D420DA" w:rsidP="00F54A26">
      <w:pPr>
        <w:pStyle w:val="Default"/>
        <w:spacing w:line="276" w:lineRule="auto"/>
        <w:jc w:val="both"/>
        <w:rPr>
          <w:rFonts w:asciiTheme="majorHAnsi" w:hAnsiTheme="majorHAnsi" w:cstheme="majorHAnsi"/>
          <w:lang w:val="ro-RO"/>
        </w:rPr>
      </w:pPr>
      <w:r w:rsidRPr="00E82CC1">
        <w:rPr>
          <w:rFonts w:asciiTheme="majorHAnsi" w:hAnsiTheme="majorHAnsi" w:cstheme="majorHAnsi"/>
          <w:lang w:val="ro-RO"/>
        </w:rPr>
        <w:t xml:space="preserve">În structura veniturilor bugetului asigurărilor sociale de stat </w:t>
      </w:r>
      <w:r w:rsidR="00D01939">
        <w:rPr>
          <w:rFonts w:asciiTheme="majorHAnsi" w:hAnsiTheme="majorHAnsi" w:cstheme="majorHAnsi"/>
          <w:lang w:val="ro-RO"/>
        </w:rPr>
        <w:t>pe</w:t>
      </w:r>
      <w:r w:rsidRPr="00E82CC1">
        <w:rPr>
          <w:rFonts w:asciiTheme="majorHAnsi" w:hAnsiTheme="majorHAnsi" w:cstheme="majorHAnsi"/>
          <w:lang w:val="ro-RO"/>
        </w:rPr>
        <w:t xml:space="preserve"> anul 2021</w:t>
      </w:r>
      <w:r w:rsidR="00D01939">
        <w:rPr>
          <w:rFonts w:asciiTheme="majorHAnsi" w:hAnsiTheme="majorHAnsi" w:cstheme="majorHAnsi"/>
          <w:lang w:val="ro-RO"/>
        </w:rPr>
        <w:t>,</w:t>
      </w:r>
      <w:r w:rsidRPr="00E82CC1">
        <w:rPr>
          <w:rFonts w:asciiTheme="majorHAnsi" w:hAnsiTheme="majorHAnsi" w:cstheme="majorHAnsi"/>
          <w:lang w:val="ro-RO"/>
        </w:rPr>
        <w:t xml:space="preserve"> resursele generale ale </w:t>
      </w:r>
      <w:r w:rsidR="00D01939">
        <w:rPr>
          <w:rFonts w:asciiTheme="majorHAnsi" w:hAnsiTheme="majorHAnsi" w:cstheme="majorHAnsi"/>
          <w:lang w:val="ro-RO"/>
        </w:rPr>
        <w:t xml:space="preserve">acestui </w:t>
      </w:r>
      <w:r w:rsidRPr="00E82CC1">
        <w:rPr>
          <w:rFonts w:asciiTheme="majorHAnsi" w:hAnsiTheme="majorHAnsi" w:cstheme="majorHAnsi"/>
          <w:lang w:val="ro-RO"/>
        </w:rPr>
        <w:t xml:space="preserve">buget au constituit 60,6%, iar transferurile de la bugetul de stat </w:t>
      </w:r>
      <w:r w:rsidR="00D01939">
        <w:rPr>
          <w:rFonts w:asciiTheme="majorHAnsi" w:hAnsiTheme="majorHAnsi" w:cstheme="majorHAnsi"/>
          <w:lang w:val="ro-RO"/>
        </w:rPr>
        <w:t xml:space="preserve">– </w:t>
      </w:r>
      <w:r w:rsidRPr="00E82CC1">
        <w:rPr>
          <w:rFonts w:asciiTheme="majorHAnsi" w:hAnsiTheme="majorHAnsi" w:cstheme="majorHAnsi"/>
          <w:lang w:val="ro-RO"/>
        </w:rPr>
        <w:t xml:space="preserve">39,4%. </w:t>
      </w:r>
    </w:p>
    <w:p w14:paraId="4FEED55B" w14:textId="4928A4B0" w:rsidR="00D420DA" w:rsidRPr="00E82CC1" w:rsidRDefault="00D420DA" w:rsidP="00D420DA">
      <w:pPr>
        <w:pStyle w:val="Default"/>
        <w:spacing w:line="276" w:lineRule="auto"/>
        <w:jc w:val="both"/>
        <w:rPr>
          <w:rFonts w:asciiTheme="majorHAnsi" w:hAnsiTheme="majorHAnsi" w:cstheme="majorHAnsi"/>
          <w:lang w:val="ro-RO"/>
        </w:rPr>
      </w:pPr>
      <w:r w:rsidRPr="00E82CC1">
        <w:rPr>
          <w:rFonts w:asciiTheme="majorHAnsi" w:hAnsiTheme="majorHAnsi" w:cstheme="majorHAnsi"/>
          <w:lang w:val="ro-RO"/>
        </w:rPr>
        <w:t>Resursele generale ale bugetului asigurărilor sociale de stat constituite din contribuțiile asigurărilor sociale de stat obligatorii și alte venituri au fost acumulate în sumă de 16 522,2 mil. lei</w:t>
      </w:r>
      <w:r w:rsidR="00D01939">
        <w:rPr>
          <w:rFonts w:asciiTheme="majorHAnsi" w:hAnsiTheme="majorHAnsi" w:cstheme="majorHAnsi"/>
          <w:lang w:val="ro-RO"/>
        </w:rPr>
        <w:t>,</w:t>
      </w:r>
      <w:r w:rsidRPr="00E82CC1">
        <w:rPr>
          <w:rFonts w:asciiTheme="majorHAnsi" w:hAnsiTheme="majorHAnsi" w:cstheme="majorHAnsi"/>
          <w:lang w:val="ro-RO"/>
        </w:rPr>
        <w:t xml:space="preserve"> sau mai puțin față de planul anual precizat cu 38,9 mii lei (0,2%).</w:t>
      </w:r>
      <w:r w:rsidRPr="00E82CC1">
        <w:t xml:space="preserve"> </w:t>
      </w:r>
      <w:r w:rsidRPr="00E82CC1">
        <w:rPr>
          <w:rFonts w:asciiTheme="majorHAnsi" w:hAnsiTheme="majorHAnsi" w:cstheme="majorHAnsi"/>
          <w:lang w:val="ro-RO"/>
        </w:rPr>
        <w:t xml:space="preserve">Cota maximă din totalul veniturilor bugetului asigurărilor sociale de stat </w:t>
      </w:r>
      <w:r w:rsidR="00D01939">
        <w:rPr>
          <w:rFonts w:asciiTheme="majorHAnsi" w:hAnsiTheme="majorHAnsi" w:cstheme="majorHAnsi"/>
          <w:lang w:val="ro-RO"/>
        </w:rPr>
        <w:t>a fost de</w:t>
      </w:r>
      <w:r w:rsidRPr="00E82CC1">
        <w:rPr>
          <w:rFonts w:asciiTheme="majorHAnsi" w:hAnsiTheme="majorHAnsi" w:cstheme="majorHAnsi"/>
          <w:lang w:val="ro-RO"/>
        </w:rPr>
        <w:t xml:space="preserve"> 59,5%, </w:t>
      </w:r>
      <w:r w:rsidR="00D01939">
        <w:rPr>
          <w:rFonts w:asciiTheme="majorHAnsi" w:hAnsiTheme="majorHAnsi" w:cstheme="majorHAnsi"/>
          <w:lang w:val="ro-RO"/>
        </w:rPr>
        <w:t xml:space="preserve">pe care </w:t>
      </w:r>
      <w:r w:rsidRPr="00E82CC1">
        <w:rPr>
          <w:rFonts w:asciiTheme="majorHAnsi" w:hAnsiTheme="majorHAnsi" w:cstheme="majorHAnsi"/>
          <w:lang w:val="ro-RO"/>
        </w:rPr>
        <w:t>o dețin contribuțiile și primele de asigurări sociale de stat obligatorii în valoare de 16 223,9 mil. lei, sau cu 1 928,5 mil. lei mai mult</w:t>
      </w:r>
      <w:r w:rsidR="00D01939">
        <w:rPr>
          <w:rFonts w:asciiTheme="majorHAnsi" w:hAnsiTheme="majorHAnsi" w:cstheme="majorHAnsi"/>
          <w:lang w:val="ro-RO"/>
        </w:rPr>
        <w:t>,</w:t>
      </w:r>
      <w:r w:rsidRPr="00E82CC1">
        <w:rPr>
          <w:rFonts w:asciiTheme="majorHAnsi" w:hAnsiTheme="majorHAnsi" w:cstheme="majorHAnsi"/>
          <w:lang w:val="ro-RO"/>
        </w:rPr>
        <w:t xml:space="preserve"> comparativ cu anul precedent.</w:t>
      </w:r>
    </w:p>
    <w:p w14:paraId="187BF0B5" w14:textId="668F0FB9" w:rsidR="00814A01" w:rsidRPr="00E82CC1" w:rsidRDefault="00D420DA" w:rsidP="00D420DA">
      <w:pPr>
        <w:spacing w:after="0" w:line="276" w:lineRule="auto"/>
        <w:jc w:val="both"/>
        <w:rPr>
          <w:rFonts w:asciiTheme="majorHAnsi" w:eastAsia="Times New Roman" w:hAnsiTheme="majorHAnsi" w:cstheme="majorHAnsi"/>
          <w:b/>
          <w:sz w:val="24"/>
          <w:szCs w:val="24"/>
          <w:lang w:val="ro-MD"/>
        </w:rPr>
      </w:pPr>
      <w:r w:rsidRPr="00E82CC1">
        <w:rPr>
          <w:rFonts w:asciiTheme="majorHAnsi" w:eastAsia="Times New Roman" w:hAnsiTheme="majorHAnsi" w:cstheme="majorHAnsi"/>
          <w:iCs/>
          <w:sz w:val="24"/>
          <w:szCs w:val="24"/>
          <w:lang w:val="ro-RO"/>
        </w:rPr>
        <w:t>Realizare</w:t>
      </w:r>
      <w:r w:rsidRPr="00E82CC1">
        <w:rPr>
          <w:rFonts w:asciiTheme="majorHAnsi" w:eastAsia="Times New Roman" w:hAnsiTheme="majorHAnsi" w:cstheme="majorHAnsi"/>
          <w:iCs/>
          <w:sz w:val="24"/>
          <w:szCs w:val="24"/>
          <w:lang w:val="ro-MD"/>
        </w:rPr>
        <w:t>a veniturilor bugetului asigurărilor sociale de stat în anul 2021, în comparație cu anii 2018, 2019 și 2020</w:t>
      </w:r>
      <w:r w:rsidR="009766E3">
        <w:rPr>
          <w:rFonts w:asciiTheme="majorHAnsi" w:eastAsia="Times New Roman" w:hAnsiTheme="majorHAnsi" w:cstheme="majorHAnsi"/>
          <w:iCs/>
          <w:sz w:val="24"/>
          <w:szCs w:val="24"/>
          <w:lang w:val="ro-MD"/>
        </w:rPr>
        <w:t>,</w:t>
      </w:r>
      <w:r w:rsidRPr="00E82CC1">
        <w:rPr>
          <w:rFonts w:asciiTheme="majorHAnsi" w:eastAsia="Times New Roman" w:hAnsiTheme="majorHAnsi" w:cstheme="majorHAnsi"/>
          <w:iCs/>
          <w:sz w:val="24"/>
          <w:szCs w:val="24"/>
          <w:lang w:val="ro-MD"/>
        </w:rPr>
        <w:t xml:space="preserve"> </w:t>
      </w:r>
      <w:r w:rsidR="00814A01" w:rsidRPr="00E82CC1">
        <w:rPr>
          <w:rFonts w:asciiTheme="majorHAnsi" w:eastAsia="Times New Roman" w:hAnsiTheme="majorHAnsi" w:cstheme="majorHAnsi"/>
          <w:iCs/>
          <w:sz w:val="24"/>
          <w:szCs w:val="24"/>
          <w:lang w:val="ro-MD"/>
        </w:rPr>
        <w:t>se prezintă în t</w:t>
      </w:r>
      <w:r w:rsidRPr="00E82CC1">
        <w:rPr>
          <w:rFonts w:asciiTheme="majorHAnsi" w:eastAsia="Times New Roman" w:hAnsiTheme="majorHAnsi" w:cstheme="majorHAnsi"/>
          <w:iCs/>
          <w:sz w:val="24"/>
          <w:szCs w:val="24"/>
          <w:lang w:val="ro-MD"/>
        </w:rPr>
        <w:t>abelul nr.</w:t>
      </w:r>
      <w:r w:rsidR="005F3B9D" w:rsidRPr="00E82CC1">
        <w:rPr>
          <w:rFonts w:asciiTheme="majorHAnsi" w:eastAsia="Times New Roman" w:hAnsiTheme="majorHAnsi" w:cstheme="majorHAnsi"/>
          <w:iCs/>
          <w:sz w:val="24"/>
          <w:szCs w:val="24"/>
          <w:lang w:val="ro-MD"/>
        </w:rPr>
        <w:t>2</w:t>
      </w:r>
      <w:r w:rsidRPr="00E82CC1">
        <w:rPr>
          <w:rFonts w:asciiTheme="majorHAnsi" w:eastAsia="Times New Roman" w:hAnsiTheme="majorHAnsi" w:cstheme="majorHAnsi"/>
          <w:iCs/>
          <w:sz w:val="24"/>
          <w:szCs w:val="24"/>
          <w:lang w:val="ro-MD"/>
        </w:rPr>
        <w:t>.</w:t>
      </w:r>
      <w:r w:rsidR="00814A01" w:rsidRPr="00E82CC1">
        <w:rPr>
          <w:rFonts w:asciiTheme="majorHAnsi" w:eastAsia="Times New Roman" w:hAnsiTheme="majorHAnsi" w:cstheme="majorHAnsi"/>
          <w:b/>
          <w:sz w:val="24"/>
          <w:szCs w:val="24"/>
          <w:lang w:val="ro-MD"/>
        </w:rPr>
        <w:t xml:space="preserve"> </w:t>
      </w:r>
    </w:p>
    <w:p w14:paraId="3EBF2883" w14:textId="77777777" w:rsidR="00D420DA" w:rsidRPr="00E82CC1" w:rsidRDefault="00814A01" w:rsidP="00814A01">
      <w:pPr>
        <w:spacing w:after="0" w:line="276" w:lineRule="auto"/>
        <w:jc w:val="right"/>
        <w:rPr>
          <w:rFonts w:asciiTheme="majorHAnsi" w:eastAsia="Times New Roman" w:hAnsiTheme="majorHAnsi" w:cstheme="majorHAnsi"/>
          <w:iCs/>
          <w:sz w:val="24"/>
          <w:szCs w:val="24"/>
          <w:lang w:val="ro-MD"/>
        </w:rPr>
      </w:pPr>
      <w:r w:rsidRPr="00E82CC1">
        <w:rPr>
          <w:rFonts w:asciiTheme="majorHAnsi" w:eastAsia="Times New Roman" w:hAnsiTheme="majorHAnsi" w:cstheme="majorHAnsi"/>
          <w:b/>
          <w:sz w:val="24"/>
          <w:szCs w:val="24"/>
          <w:lang w:val="ro-MD"/>
        </w:rPr>
        <w:t>Tabelul nr.2</w:t>
      </w:r>
    </w:p>
    <w:p w14:paraId="468204A1" w14:textId="3742DE30" w:rsidR="00D420DA" w:rsidRPr="00E82CC1" w:rsidRDefault="00D420DA" w:rsidP="00814A01">
      <w:pPr>
        <w:spacing w:after="0" w:line="240" w:lineRule="auto"/>
        <w:jc w:val="center"/>
        <w:rPr>
          <w:rFonts w:asciiTheme="majorHAnsi" w:eastAsia="Times New Roman" w:hAnsiTheme="majorHAnsi" w:cstheme="majorHAnsi"/>
          <w:b/>
          <w:sz w:val="24"/>
          <w:szCs w:val="24"/>
        </w:rPr>
      </w:pPr>
      <w:r w:rsidRPr="00E82CC1">
        <w:rPr>
          <w:rFonts w:asciiTheme="majorHAnsi" w:hAnsiTheme="majorHAnsi" w:cstheme="majorHAnsi"/>
          <w:b/>
          <w:sz w:val="24"/>
          <w:szCs w:val="24"/>
          <w:lang w:val="ro-RO"/>
        </w:rPr>
        <w:t>Dinamica veniturilor bugetului asigurărilor sociale de stat în anii 2018-2021</w:t>
      </w:r>
      <w:r w:rsidRPr="00E82CC1">
        <w:rPr>
          <w:rFonts w:asciiTheme="majorHAnsi" w:eastAsia="Times New Roman" w:hAnsiTheme="majorHAnsi" w:cstheme="majorHAnsi"/>
          <w:b/>
          <w:sz w:val="24"/>
          <w:szCs w:val="24"/>
        </w:rPr>
        <w:t> (mil. lei)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020"/>
        <w:gridCol w:w="1028"/>
        <w:gridCol w:w="983"/>
        <w:gridCol w:w="985"/>
        <w:gridCol w:w="898"/>
        <w:gridCol w:w="650"/>
        <w:gridCol w:w="844"/>
        <w:gridCol w:w="705"/>
        <w:gridCol w:w="844"/>
        <w:gridCol w:w="685"/>
      </w:tblGrid>
      <w:tr w:rsidR="00D420DA" w:rsidRPr="00E82CC1" w14:paraId="52C3A054" w14:textId="77777777" w:rsidTr="00CF4F86">
        <w:trPr>
          <w:trHeight w:val="504"/>
        </w:trPr>
        <w:tc>
          <w:tcPr>
            <w:tcW w:w="535" w:type="pct"/>
            <w:vMerge w:val="restart"/>
            <w:shd w:val="clear" w:color="auto" w:fill="auto"/>
            <w:vAlign w:val="center"/>
            <w:hideMark/>
          </w:tcPr>
          <w:p w14:paraId="04F86291"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Indicatori</w:t>
            </w:r>
          </w:p>
        </w:tc>
        <w:tc>
          <w:tcPr>
            <w:tcW w:w="2075" w:type="pct"/>
            <w:gridSpan w:val="4"/>
            <w:shd w:val="clear" w:color="auto" w:fill="auto"/>
            <w:vAlign w:val="center"/>
            <w:hideMark/>
          </w:tcPr>
          <w:p w14:paraId="47EA127E"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Anii</w:t>
            </w:r>
          </w:p>
        </w:tc>
        <w:tc>
          <w:tcPr>
            <w:tcW w:w="800" w:type="pct"/>
            <w:gridSpan w:val="2"/>
            <w:shd w:val="clear" w:color="auto" w:fill="auto"/>
            <w:vAlign w:val="center"/>
            <w:hideMark/>
          </w:tcPr>
          <w:p w14:paraId="44B81778" w14:textId="77777777" w:rsidR="009766E3" w:rsidRDefault="00D420DA" w:rsidP="009766E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Devieri</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 xml:space="preserve"> </w:t>
            </w:r>
          </w:p>
          <w:p w14:paraId="79D43FFD" w14:textId="1B52A0A5" w:rsidR="00D420DA" w:rsidRPr="00E82CC1" w:rsidRDefault="00D420DA" w:rsidP="009766E3">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2021</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2020</w:t>
            </w:r>
          </w:p>
        </w:tc>
        <w:tc>
          <w:tcPr>
            <w:tcW w:w="800" w:type="pct"/>
            <w:gridSpan w:val="2"/>
            <w:shd w:val="clear" w:color="auto" w:fill="auto"/>
            <w:vAlign w:val="center"/>
            <w:hideMark/>
          </w:tcPr>
          <w:p w14:paraId="10BE97C3" w14:textId="77777777" w:rsidR="009766E3" w:rsidRDefault="00D420DA" w:rsidP="009766E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Devieri</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 xml:space="preserve"> </w:t>
            </w:r>
          </w:p>
          <w:p w14:paraId="5EA7D368" w14:textId="4BE99F2D" w:rsidR="00D420DA" w:rsidRPr="00E82CC1" w:rsidRDefault="00D420DA" w:rsidP="009766E3">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2021</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2019</w:t>
            </w:r>
          </w:p>
        </w:tc>
        <w:tc>
          <w:tcPr>
            <w:tcW w:w="790" w:type="pct"/>
            <w:gridSpan w:val="2"/>
            <w:shd w:val="clear" w:color="auto" w:fill="auto"/>
            <w:vAlign w:val="center"/>
            <w:hideMark/>
          </w:tcPr>
          <w:p w14:paraId="765F4753" w14:textId="77777777" w:rsidR="009766E3" w:rsidRDefault="00D420DA" w:rsidP="009766E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Devieri</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 xml:space="preserve"> </w:t>
            </w:r>
          </w:p>
          <w:p w14:paraId="6766186B" w14:textId="5C8C54E4" w:rsidR="00D420DA" w:rsidRPr="00E82CC1" w:rsidRDefault="00D420DA" w:rsidP="009766E3">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2021</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2018</w:t>
            </w:r>
          </w:p>
        </w:tc>
      </w:tr>
      <w:tr w:rsidR="00D420DA" w:rsidRPr="00E82CC1" w14:paraId="4DFBE05F" w14:textId="77777777" w:rsidTr="00CF4F86">
        <w:trPr>
          <w:trHeight w:val="456"/>
        </w:trPr>
        <w:tc>
          <w:tcPr>
            <w:tcW w:w="535" w:type="pct"/>
            <w:vMerge/>
            <w:shd w:val="clear" w:color="auto" w:fill="auto"/>
            <w:vAlign w:val="center"/>
            <w:hideMark/>
          </w:tcPr>
          <w:p w14:paraId="35EAA017" w14:textId="77777777" w:rsidR="00D420DA" w:rsidRPr="00E82CC1" w:rsidRDefault="00D420DA" w:rsidP="00EF53D8">
            <w:pPr>
              <w:spacing w:after="0" w:line="240" w:lineRule="auto"/>
              <w:rPr>
                <w:rFonts w:ascii="Calibri Light" w:eastAsia="Times New Roman" w:hAnsi="Calibri Light" w:cs="Calibri Light"/>
                <w:b/>
                <w:bCs/>
                <w:color w:val="000000"/>
                <w:sz w:val="18"/>
                <w:szCs w:val="18"/>
              </w:rPr>
            </w:pPr>
          </w:p>
        </w:tc>
        <w:tc>
          <w:tcPr>
            <w:tcW w:w="527" w:type="pct"/>
            <w:shd w:val="clear" w:color="auto" w:fill="auto"/>
            <w:vAlign w:val="center"/>
            <w:hideMark/>
          </w:tcPr>
          <w:p w14:paraId="050C6993"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2018</w:t>
            </w:r>
          </w:p>
        </w:tc>
        <w:tc>
          <w:tcPr>
            <w:tcW w:w="531" w:type="pct"/>
            <w:shd w:val="clear" w:color="auto" w:fill="auto"/>
            <w:vAlign w:val="center"/>
            <w:hideMark/>
          </w:tcPr>
          <w:p w14:paraId="483AF05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2019</w:t>
            </w:r>
          </w:p>
        </w:tc>
        <w:tc>
          <w:tcPr>
            <w:tcW w:w="508" w:type="pct"/>
            <w:shd w:val="clear" w:color="auto" w:fill="auto"/>
            <w:vAlign w:val="center"/>
            <w:hideMark/>
          </w:tcPr>
          <w:p w14:paraId="1823EFF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2020</w:t>
            </w:r>
          </w:p>
        </w:tc>
        <w:tc>
          <w:tcPr>
            <w:tcW w:w="509" w:type="pct"/>
            <w:shd w:val="clear" w:color="auto" w:fill="auto"/>
            <w:vAlign w:val="center"/>
            <w:hideMark/>
          </w:tcPr>
          <w:p w14:paraId="35B9717B"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2021</w:t>
            </w:r>
          </w:p>
        </w:tc>
        <w:tc>
          <w:tcPr>
            <w:tcW w:w="464" w:type="pct"/>
            <w:shd w:val="clear" w:color="auto" w:fill="auto"/>
            <w:vAlign w:val="center"/>
            <w:hideMark/>
          </w:tcPr>
          <w:p w14:paraId="26434F9B"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336" w:type="pct"/>
            <w:shd w:val="clear" w:color="auto" w:fill="auto"/>
            <w:vAlign w:val="center"/>
            <w:hideMark/>
          </w:tcPr>
          <w:p w14:paraId="7F51B191"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436" w:type="pct"/>
            <w:shd w:val="clear" w:color="auto" w:fill="auto"/>
            <w:vAlign w:val="center"/>
            <w:hideMark/>
          </w:tcPr>
          <w:p w14:paraId="7C15F3B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364" w:type="pct"/>
            <w:shd w:val="clear" w:color="auto" w:fill="auto"/>
            <w:vAlign w:val="center"/>
            <w:hideMark/>
          </w:tcPr>
          <w:p w14:paraId="7133D75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436" w:type="pct"/>
            <w:shd w:val="clear" w:color="auto" w:fill="auto"/>
            <w:vAlign w:val="center"/>
            <w:hideMark/>
          </w:tcPr>
          <w:p w14:paraId="6CD954C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354" w:type="pct"/>
            <w:shd w:val="clear" w:color="auto" w:fill="auto"/>
            <w:vAlign w:val="center"/>
            <w:hideMark/>
          </w:tcPr>
          <w:p w14:paraId="6895982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r>
      <w:tr w:rsidR="00D420DA" w:rsidRPr="00E82CC1" w14:paraId="2FAF3ADA" w14:textId="77777777" w:rsidTr="00CF4F86">
        <w:trPr>
          <w:trHeight w:val="420"/>
        </w:trPr>
        <w:tc>
          <w:tcPr>
            <w:tcW w:w="535" w:type="pct"/>
            <w:shd w:val="clear" w:color="auto" w:fill="auto"/>
            <w:vAlign w:val="center"/>
            <w:hideMark/>
          </w:tcPr>
          <w:p w14:paraId="52DB772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w:t>
            </w:r>
          </w:p>
        </w:tc>
        <w:tc>
          <w:tcPr>
            <w:tcW w:w="527" w:type="pct"/>
            <w:shd w:val="clear" w:color="auto" w:fill="auto"/>
            <w:vAlign w:val="center"/>
            <w:hideMark/>
          </w:tcPr>
          <w:p w14:paraId="4877CAF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w:t>
            </w:r>
          </w:p>
        </w:tc>
        <w:tc>
          <w:tcPr>
            <w:tcW w:w="531" w:type="pct"/>
            <w:shd w:val="clear" w:color="auto" w:fill="auto"/>
            <w:vAlign w:val="center"/>
            <w:hideMark/>
          </w:tcPr>
          <w:p w14:paraId="36B1785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3</w:t>
            </w:r>
          </w:p>
        </w:tc>
        <w:tc>
          <w:tcPr>
            <w:tcW w:w="508" w:type="pct"/>
            <w:shd w:val="clear" w:color="auto" w:fill="auto"/>
            <w:vAlign w:val="center"/>
            <w:hideMark/>
          </w:tcPr>
          <w:p w14:paraId="51624D9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4</w:t>
            </w:r>
          </w:p>
        </w:tc>
        <w:tc>
          <w:tcPr>
            <w:tcW w:w="509" w:type="pct"/>
            <w:shd w:val="clear" w:color="auto" w:fill="auto"/>
            <w:vAlign w:val="center"/>
            <w:hideMark/>
          </w:tcPr>
          <w:p w14:paraId="4347653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5</w:t>
            </w:r>
          </w:p>
        </w:tc>
        <w:tc>
          <w:tcPr>
            <w:tcW w:w="464" w:type="pct"/>
            <w:shd w:val="clear" w:color="auto" w:fill="auto"/>
            <w:vAlign w:val="center"/>
            <w:hideMark/>
          </w:tcPr>
          <w:p w14:paraId="25037E4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6=5-4</w:t>
            </w:r>
          </w:p>
        </w:tc>
        <w:tc>
          <w:tcPr>
            <w:tcW w:w="336" w:type="pct"/>
            <w:shd w:val="clear" w:color="auto" w:fill="auto"/>
            <w:vAlign w:val="center"/>
            <w:hideMark/>
          </w:tcPr>
          <w:p w14:paraId="1210F8B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7=5*100/4</w:t>
            </w:r>
          </w:p>
        </w:tc>
        <w:tc>
          <w:tcPr>
            <w:tcW w:w="436" w:type="pct"/>
            <w:shd w:val="clear" w:color="auto" w:fill="auto"/>
            <w:vAlign w:val="center"/>
            <w:hideMark/>
          </w:tcPr>
          <w:p w14:paraId="302316F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8=5-3</w:t>
            </w:r>
          </w:p>
        </w:tc>
        <w:tc>
          <w:tcPr>
            <w:tcW w:w="364" w:type="pct"/>
            <w:shd w:val="clear" w:color="auto" w:fill="auto"/>
            <w:vAlign w:val="center"/>
            <w:hideMark/>
          </w:tcPr>
          <w:p w14:paraId="4D3402C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9=5*100/3</w:t>
            </w:r>
          </w:p>
        </w:tc>
        <w:tc>
          <w:tcPr>
            <w:tcW w:w="436" w:type="pct"/>
            <w:shd w:val="clear" w:color="auto" w:fill="auto"/>
            <w:vAlign w:val="center"/>
            <w:hideMark/>
          </w:tcPr>
          <w:p w14:paraId="5F5C57D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10=5-2</w:t>
            </w:r>
          </w:p>
        </w:tc>
        <w:tc>
          <w:tcPr>
            <w:tcW w:w="354" w:type="pct"/>
            <w:shd w:val="clear" w:color="auto" w:fill="auto"/>
            <w:vAlign w:val="center"/>
            <w:hideMark/>
          </w:tcPr>
          <w:p w14:paraId="74A316D1"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11=5*100/2</w:t>
            </w:r>
          </w:p>
        </w:tc>
      </w:tr>
      <w:tr w:rsidR="00D420DA" w:rsidRPr="00E82CC1" w14:paraId="622C3C67" w14:textId="77777777" w:rsidTr="00CF4F86">
        <w:trPr>
          <w:trHeight w:val="300"/>
        </w:trPr>
        <w:tc>
          <w:tcPr>
            <w:tcW w:w="535" w:type="pct"/>
            <w:shd w:val="clear" w:color="auto" w:fill="auto"/>
            <w:vAlign w:val="center"/>
            <w:hideMark/>
          </w:tcPr>
          <w:p w14:paraId="7071787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Venituri precizate</w:t>
            </w:r>
          </w:p>
        </w:tc>
        <w:tc>
          <w:tcPr>
            <w:tcW w:w="527" w:type="pct"/>
            <w:shd w:val="clear" w:color="auto" w:fill="auto"/>
            <w:vAlign w:val="center"/>
            <w:hideMark/>
          </w:tcPr>
          <w:p w14:paraId="4C273AB5"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19 628,90</w:t>
            </w:r>
          </w:p>
        </w:tc>
        <w:tc>
          <w:tcPr>
            <w:tcW w:w="531" w:type="pct"/>
            <w:shd w:val="clear" w:color="auto" w:fill="auto"/>
            <w:vAlign w:val="center"/>
            <w:hideMark/>
          </w:tcPr>
          <w:p w14:paraId="180404B4"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21 869,90</w:t>
            </w:r>
          </w:p>
        </w:tc>
        <w:tc>
          <w:tcPr>
            <w:tcW w:w="508" w:type="pct"/>
            <w:shd w:val="clear" w:color="auto" w:fill="auto"/>
            <w:vAlign w:val="center"/>
            <w:hideMark/>
          </w:tcPr>
          <w:p w14:paraId="6D3523C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24 572,10</w:t>
            </w:r>
          </w:p>
        </w:tc>
        <w:tc>
          <w:tcPr>
            <w:tcW w:w="509" w:type="pct"/>
            <w:shd w:val="clear" w:color="auto" w:fill="auto"/>
            <w:vAlign w:val="center"/>
            <w:hideMark/>
          </w:tcPr>
          <w:p w14:paraId="2AAAD147"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27 629,04</w:t>
            </w:r>
          </w:p>
        </w:tc>
        <w:tc>
          <w:tcPr>
            <w:tcW w:w="464" w:type="pct"/>
            <w:shd w:val="clear" w:color="auto" w:fill="auto"/>
            <w:vAlign w:val="center"/>
            <w:hideMark/>
          </w:tcPr>
          <w:p w14:paraId="762B62F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3 056,94</w:t>
            </w:r>
          </w:p>
        </w:tc>
        <w:tc>
          <w:tcPr>
            <w:tcW w:w="336" w:type="pct"/>
            <w:shd w:val="clear" w:color="auto" w:fill="auto"/>
            <w:vAlign w:val="center"/>
            <w:hideMark/>
          </w:tcPr>
          <w:p w14:paraId="798167B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112,4</w:t>
            </w:r>
          </w:p>
        </w:tc>
        <w:tc>
          <w:tcPr>
            <w:tcW w:w="436" w:type="pct"/>
            <w:shd w:val="clear" w:color="auto" w:fill="auto"/>
            <w:vAlign w:val="center"/>
            <w:hideMark/>
          </w:tcPr>
          <w:p w14:paraId="7474AF3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5 759,14</w:t>
            </w:r>
          </w:p>
        </w:tc>
        <w:tc>
          <w:tcPr>
            <w:tcW w:w="364" w:type="pct"/>
            <w:shd w:val="clear" w:color="auto" w:fill="auto"/>
            <w:vAlign w:val="center"/>
            <w:hideMark/>
          </w:tcPr>
          <w:p w14:paraId="3B72EC2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126,3</w:t>
            </w:r>
          </w:p>
        </w:tc>
        <w:tc>
          <w:tcPr>
            <w:tcW w:w="436" w:type="pct"/>
            <w:shd w:val="clear" w:color="auto" w:fill="auto"/>
            <w:vAlign w:val="center"/>
            <w:hideMark/>
          </w:tcPr>
          <w:p w14:paraId="42DA9B44"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8000,14</w:t>
            </w:r>
          </w:p>
        </w:tc>
        <w:tc>
          <w:tcPr>
            <w:tcW w:w="354" w:type="pct"/>
            <w:shd w:val="clear" w:color="auto" w:fill="auto"/>
            <w:vAlign w:val="center"/>
            <w:hideMark/>
          </w:tcPr>
          <w:p w14:paraId="5783464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140,8</w:t>
            </w:r>
          </w:p>
        </w:tc>
      </w:tr>
      <w:tr w:rsidR="00D420DA" w:rsidRPr="00E82CC1" w14:paraId="6AC9CDA8" w14:textId="77777777" w:rsidTr="00CF4F86">
        <w:trPr>
          <w:trHeight w:val="492"/>
        </w:trPr>
        <w:tc>
          <w:tcPr>
            <w:tcW w:w="535" w:type="pct"/>
            <w:shd w:val="clear" w:color="auto" w:fill="auto"/>
            <w:vAlign w:val="center"/>
            <w:hideMark/>
          </w:tcPr>
          <w:p w14:paraId="56162C1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Venituri executate, inclusiv:</w:t>
            </w:r>
          </w:p>
        </w:tc>
        <w:tc>
          <w:tcPr>
            <w:tcW w:w="527" w:type="pct"/>
            <w:shd w:val="clear" w:color="auto" w:fill="auto"/>
            <w:vAlign w:val="center"/>
            <w:hideMark/>
          </w:tcPr>
          <w:p w14:paraId="2BA70F35"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19 790,30</w:t>
            </w:r>
          </w:p>
        </w:tc>
        <w:tc>
          <w:tcPr>
            <w:tcW w:w="531" w:type="pct"/>
            <w:shd w:val="clear" w:color="auto" w:fill="auto"/>
            <w:vAlign w:val="center"/>
            <w:hideMark/>
          </w:tcPr>
          <w:p w14:paraId="42FF205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21 748,40</w:t>
            </w:r>
          </w:p>
        </w:tc>
        <w:tc>
          <w:tcPr>
            <w:tcW w:w="508" w:type="pct"/>
            <w:shd w:val="clear" w:color="auto" w:fill="auto"/>
            <w:vAlign w:val="center"/>
            <w:hideMark/>
          </w:tcPr>
          <w:p w14:paraId="5088C3BB"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24 285,50</w:t>
            </w:r>
          </w:p>
        </w:tc>
        <w:tc>
          <w:tcPr>
            <w:tcW w:w="509" w:type="pct"/>
            <w:shd w:val="clear" w:color="auto" w:fill="auto"/>
            <w:vAlign w:val="center"/>
            <w:hideMark/>
          </w:tcPr>
          <w:p w14:paraId="29C9CF20"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27 246,80</w:t>
            </w:r>
          </w:p>
        </w:tc>
        <w:tc>
          <w:tcPr>
            <w:tcW w:w="464" w:type="pct"/>
            <w:shd w:val="clear" w:color="auto" w:fill="auto"/>
            <w:vAlign w:val="center"/>
            <w:hideMark/>
          </w:tcPr>
          <w:p w14:paraId="3E1BD19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2 961,30</w:t>
            </w:r>
          </w:p>
        </w:tc>
        <w:tc>
          <w:tcPr>
            <w:tcW w:w="336" w:type="pct"/>
            <w:shd w:val="clear" w:color="auto" w:fill="auto"/>
            <w:vAlign w:val="center"/>
            <w:hideMark/>
          </w:tcPr>
          <w:p w14:paraId="4C43AAC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112,2</w:t>
            </w:r>
          </w:p>
        </w:tc>
        <w:tc>
          <w:tcPr>
            <w:tcW w:w="436" w:type="pct"/>
            <w:shd w:val="clear" w:color="auto" w:fill="auto"/>
            <w:vAlign w:val="center"/>
            <w:hideMark/>
          </w:tcPr>
          <w:p w14:paraId="5AFC4F5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5 498,40</w:t>
            </w:r>
          </w:p>
        </w:tc>
        <w:tc>
          <w:tcPr>
            <w:tcW w:w="364" w:type="pct"/>
            <w:shd w:val="clear" w:color="auto" w:fill="auto"/>
            <w:vAlign w:val="center"/>
            <w:hideMark/>
          </w:tcPr>
          <w:p w14:paraId="1C7D9B4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125,3</w:t>
            </w:r>
          </w:p>
        </w:tc>
        <w:tc>
          <w:tcPr>
            <w:tcW w:w="436" w:type="pct"/>
            <w:shd w:val="clear" w:color="auto" w:fill="auto"/>
            <w:vAlign w:val="center"/>
            <w:hideMark/>
          </w:tcPr>
          <w:p w14:paraId="19BA82E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7456,50</w:t>
            </w:r>
          </w:p>
        </w:tc>
        <w:tc>
          <w:tcPr>
            <w:tcW w:w="354" w:type="pct"/>
            <w:shd w:val="clear" w:color="auto" w:fill="auto"/>
            <w:vAlign w:val="center"/>
            <w:hideMark/>
          </w:tcPr>
          <w:p w14:paraId="233CB3C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137,7</w:t>
            </w:r>
          </w:p>
        </w:tc>
      </w:tr>
      <w:tr w:rsidR="00D420DA" w:rsidRPr="00E82CC1" w14:paraId="62DC7702" w14:textId="77777777" w:rsidTr="00CF4F86">
        <w:trPr>
          <w:trHeight w:val="732"/>
        </w:trPr>
        <w:tc>
          <w:tcPr>
            <w:tcW w:w="535" w:type="pct"/>
            <w:shd w:val="clear" w:color="auto" w:fill="auto"/>
            <w:vAlign w:val="center"/>
            <w:hideMark/>
          </w:tcPr>
          <w:p w14:paraId="5AE3833E" w14:textId="77777777" w:rsidR="00D420DA" w:rsidRPr="00E82CC1" w:rsidRDefault="00D420DA" w:rsidP="00046B6A">
            <w:pPr>
              <w:spacing w:after="0" w:line="240" w:lineRule="auto"/>
              <w:jc w:val="both"/>
              <w:rPr>
                <w:rFonts w:ascii="Calibri Light" w:eastAsia="Times New Roman" w:hAnsi="Calibri Light" w:cs="Calibri Light"/>
                <w:b/>
                <w:bCs/>
                <w:i/>
                <w:iCs/>
                <w:color w:val="000000"/>
                <w:sz w:val="18"/>
                <w:szCs w:val="18"/>
              </w:rPr>
            </w:pPr>
            <w:r w:rsidRPr="00E82CC1">
              <w:rPr>
                <w:rFonts w:ascii="Calibri Light" w:eastAsia="Times New Roman" w:hAnsi="Calibri Light" w:cs="Calibri Light"/>
                <w:b/>
                <w:bCs/>
                <w:i/>
                <w:iCs/>
                <w:color w:val="000000"/>
                <w:sz w:val="18"/>
                <w:szCs w:val="18"/>
                <w:lang w:val="ro-RO"/>
              </w:rPr>
              <w:t>Contribuții şi prime de asigurări sociale de stat obligatorii</w:t>
            </w:r>
          </w:p>
        </w:tc>
        <w:tc>
          <w:tcPr>
            <w:tcW w:w="527" w:type="pct"/>
            <w:shd w:val="clear" w:color="auto" w:fill="auto"/>
            <w:vAlign w:val="center"/>
            <w:hideMark/>
          </w:tcPr>
          <w:p w14:paraId="652EB9D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13 037,90</w:t>
            </w:r>
          </w:p>
        </w:tc>
        <w:tc>
          <w:tcPr>
            <w:tcW w:w="531" w:type="pct"/>
            <w:shd w:val="clear" w:color="auto" w:fill="auto"/>
            <w:vAlign w:val="center"/>
            <w:hideMark/>
          </w:tcPr>
          <w:p w14:paraId="4C9D330B"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13 635,60</w:t>
            </w:r>
          </w:p>
        </w:tc>
        <w:tc>
          <w:tcPr>
            <w:tcW w:w="508" w:type="pct"/>
            <w:shd w:val="clear" w:color="auto" w:fill="auto"/>
            <w:vAlign w:val="center"/>
            <w:hideMark/>
          </w:tcPr>
          <w:p w14:paraId="45BC0C1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14295,4</w:t>
            </w:r>
          </w:p>
        </w:tc>
        <w:tc>
          <w:tcPr>
            <w:tcW w:w="509" w:type="pct"/>
            <w:shd w:val="clear" w:color="auto" w:fill="auto"/>
            <w:vAlign w:val="center"/>
            <w:hideMark/>
          </w:tcPr>
          <w:p w14:paraId="5A28485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16223,9</w:t>
            </w:r>
          </w:p>
        </w:tc>
        <w:tc>
          <w:tcPr>
            <w:tcW w:w="464" w:type="pct"/>
            <w:shd w:val="clear" w:color="auto" w:fill="auto"/>
            <w:vAlign w:val="center"/>
            <w:hideMark/>
          </w:tcPr>
          <w:p w14:paraId="566CDD3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1 928,50</w:t>
            </w:r>
          </w:p>
        </w:tc>
        <w:tc>
          <w:tcPr>
            <w:tcW w:w="336" w:type="pct"/>
            <w:shd w:val="clear" w:color="auto" w:fill="auto"/>
            <w:vAlign w:val="center"/>
            <w:hideMark/>
          </w:tcPr>
          <w:p w14:paraId="29707BFA"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113,5</w:t>
            </w:r>
          </w:p>
        </w:tc>
        <w:tc>
          <w:tcPr>
            <w:tcW w:w="436" w:type="pct"/>
            <w:shd w:val="clear" w:color="auto" w:fill="auto"/>
            <w:vAlign w:val="center"/>
            <w:hideMark/>
          </w:tcPr>
          <w:p w14:paraId="5B50E13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2 588,30</w:t>
            </w:r>
          </w:p>
        </w:tc>
        <w:tc>
          <w:tcPr>
            <w:tcW w:w="364" w:type="pct"/>
            <w:shd w:val="clear" w:color="auto" w:fill="auto"/>
            <w:vAlign w:val="center"/>
            <w:hideMark/>
          </w:tcPr>
          <w:p w14:paraId="48DDBC9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119,0</w:t>
            </w:r>
          </w:p>
        </w:tc>
        <w:tc>
          <w:tcPr>
            <w:tcW w:w="436" w:type="pct"/>
            <w:shd w:val="clear" w:color="auto" w:fill="auto"/>
            <w:vAlign w:val="center"/>
            <w:hideMark/>
          </w:tcPr>
          <w:p w14:paraId="7D981DF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3186,00</w:t>
            </w:r>
          </w:p>
        </w:tc>
        <w:tc>
          <w:tcPr>
            <w:tcW w:w="354" w:type="pct"/>
            <w:shd w:val="clear" w:color="auto" w:fill="auto"/>
            <w:vAlign w:val="center"/>
            <w:hideMark/>
          </w:tcPr>
          <w:p w14:paraId="4FC20F9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124,4</w:t>
            </w:r>
          </w:p>
        </w:tc>
      </w:tr>
      <w:tr w:rsidR="00D420DA" w:rsidRPr="00E82CC1" w14:paraId="43B9FEDF" w14:textId="77777777" w:rsidTr="00CF4F86">
        <w:trPr>
          <w:trHeight w:val="300"/>
        </w:trPr>
        <w:tc>
          <w:tcPr>
            <w:tcW w:w="535" w:type="pct"/>
            <w:shd w:val="clear" w:color="auto" w:fill="auto"/>
            <w:vAlign w:val="center"/>
            <w:hideMark/>
          </w:tcPr>
          <w:p w14:paraId="3ECE6430" w14:textId="77777777" w:rsidR="00D420DA" w:rsidRPr="00E82CC1" w:rsidRDefault="00D420DA" w:rsidP="00046B6A">
            <w:pPr>
              <w:spacing w:after="0" w:line="240" w:lineRule="auto"/>
              <w:jc w:val="both"/>
              <w:rPr>
                <w:rFonts w:ascii="Calibri Light" w:eastAsia="Times New Roman" w:hAnsi="Calibri Light" w:cs="Calibri Light"/>
                <w:b/>
                <w:bCs/>
                <w:i/>
                <w:iCs/>
                <w:color w:val="000000"/>
                <w:sz w:val="18"/>
                <w:szCs w:val="18"/>
              </w:rPr>
            </w:pPr>
            <w:r w:rsidRPr="00E82CC1">
              <w:rPr>
                <w:rFonts w:ascii="Calibri Light" w:eastAsia="Times New Roman" w:hAnsi="Calibri Light" w:cs="Calibri Light"/>
                <w:b/>
                <w:bCs/>
                <w:i/>
                <w:iCs/>
                <w:color w:val="000000"/>
                <w:sz w:val="18"/>
                <w:szCs w:val="18"/>
                <w:lang w:val="ro-RO"/>
              </w:rPr>
              <w:t>Alte venituri</w:t>
            </w:r>
          </w:p>
        </w:tc>
        <w:tc>
          <w:tcPr>
            <w:tcW w:w="527" w:type="pct"/>
            <w:shd w:val="clear" w:color="auto" w:fill="auto"/>
            <w:vAlign w:val="center"/>
            <w:hideMark/>
          </w:tcPr>
          <w:p w14:paraId="0EE664D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82,1</w:t>
            </w:r>
          </w:p>
        </w:tc>
        <w:tc>
          <w:tcPr>
            <w:tcW w:w="531" w:type="pct"/>
            <w:shd w:val="clear" w:color="auto" w:fill="auto"/>
            <w:vAlign w:val="center"/>
            <w:hideMark/>
          </w:tcPr>
          <w:p w14:paraId="37B6AEE5"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155,6</w:t>
            </w:r>
          </w:p>
        </w:tc>
        <w:tc>
          <w:tcPr>
            <w:tcW w:w="508" w:type="pct"/>
            <w:shd w:val="clear" w:color="auto" w:fill="auto"/>
            <w:vAlign w:val="center"/>
            <w:hideMark/>
          </w:tcPr>
          <w:p w14:paraId="76606287"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220,8</w:t>
            </w:r>
          </w:p>
        </w:tc>
        <w:tc>
          <w:tcPr>
            <w:tcW w:w="509" w:type="pct"/>
            <w:shd w:val="clear" w:color="auto" w:fill="auto"/>
            <w:vAlign w:val="center"/>
            <w:hideMark/>
          </w:tcPr>
          <w:p w14:paraId="6AB0BEF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298,3</w:t>
            </w:r>
          </w:p>
        </w:tc>
        <w:tc>
          <w:tcPr>
            <w:tcW w:w="464" w:type="pct"/>
            <w:shd w:val="clear" w:color="auto" w:fill="auto"/>
            <w:vAlign w:val="center"/>
            <w:hideMark/>
          </w:tcPr>
          <w:p w14:paraId="199BEA1F"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77,50</w:t>
            </w:r>
          </w:p>
        </w:tc>
        <w:tc>
          <w:tcPr>
            <w:tcW w:w="336" w:type="pct"/>
            <w:shd w:val="clear" w:color="auto" w:fill="auto"/>
            <w:vAlign w:val="center"/>
            <w:hideMark/>
          </w:tcPr>
          <w:p w14:paraId="0D71648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135,1</w:t>
            </w:r>
          </w:p>
        </w:tc>
        <w:tc>
          <w:tcPr>
            <w:tcW w:w="436" w:type="pct"/>
            <w:shd w:val="clear" w:color="auto" w:fill="auto"/>
            <w:vAlign w:val="center"/>
            <w:hideMark/>
          </w:tcPr>
          <w:p w14:paraId="522B656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142,70</w:t>
            </w:r>
          </w:p>
        </w:tc>
        <w:tc>
          <w:tcPr>
            <w:tcW w:w="364" w:type="pct"/>
            <w:shd w:val="clear" w:color="auto" w:fill="auto"/>
            <w:vAlign w:val="center"/>
            <w:hideMark/>
          </w:tcPr>
          <w:p w14:paraId="65DD83F1"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191,7</w:t>
            </w:r>
          </w:p>
        </w:tc>
        <w:tc>
          <w:tcPr>
            <w:tcW w:w="436" w:type="pct"/>
            <w:shd w:val="clear" w:color="auto" w:fill="auto"/>
            <w:vAlign w:val="center"/>
            <w:hideMark/>
          </w:tcPr>
          <w:p w14:paraId="7E1BB3DA"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216,20</w:t>
            </w:r>
          </w:p>
        </w:tc>
        <w:tc>
          <w:tcPr>
            <w:tcW w:w="354" w:type="pct"/>
            <w:shd w:val="clear" w:color="auto" w:fill="auto"/>
            <w:vAlign w:val="center"/>
            <w:hideMark/>
          </w:tcPr>
          <w:p w14:paraId="07CFA357"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363,3</w:t>
            </w:r>
          </w:p>
        </w:tc>
      </w:tr>
      <w:tr w:rsidR="00D420DA" w:rsidRPr="00E82CC1" w14:paraId="486D69E3" w14:textId="77777777" w:rsidTr="00CF4F86">
        <w:trPr>
          <w:trHeight w:val="1452"/>
        </w:trPr>
        <w:tc>
          <w:tcPr>
            <w:tcW w:w="535" w:type="pct"/>
            <w:shd w:val="clear" w:color="auto" w:fill="auto"/>
            <w:vAlign w:val="center"/>
            <w:hideMark/>
          </w:tcPr>
          <w:p w14:paraId="517388AD" w14:textId="77777777" w:rsidR="00D420DA" w:rsidRPr="00E82CC1" w:rsidRDefault="00D420DA" w:rsidP="00046B6A">
            <w:pPr>
              <w:spacing w:after="0" w:line="240" w:lineRule="auto"/>
              <w:jc w:val="both"/>
              <w:rPr>
                <w:rFonts w:ascii="Calibri Light" w:eastAsia="Times New Roman" w:hAnsi="Calibri Light" w:cs="Calibri Light"/>
                <w:b/>
                <w:bCs/>
                <w:i/>
                <w:iCs/>
                <w:color w:val="000000"/>
                <w:sz w:val="18"/>
                <w:szCs w:val="18"/>
              </w:rPr>
            </w:pPr>
            <w:r w:rsidRPr="00E82CC1">
              <w:rPr>
                <w:rFonts w:ascii="Calibri Light" w:eastAsia="Times New Roman" w:hAnsi="Calibri Light" w:cs="Calibri Light"/>
                <w:b/>
                <w:bCs/>
                <w:i/>
                <w:iCs/>
                <w:color w:val="000000"/>
                <w:sz w:val="18"/>
                <w:szCs w:val="18"/>
                <w:lang w:val="ro-RO"/>
              </w:rPr>
              <w:t>Transferuri curente primite cu destinație specială între bugetul de stat şi bugetul asigurărilor sociale de stat</w:t>
            </w:r>
          </w:p>
        </w:tc>
        <w:tc>
          <w:tcPr>
            <w:tcW w:w="527" w:type="pct"/>
            <w:shd w:val="clear" w:color="auto" w:fill="auto"/>
            <w:vAlign w:val="center"/>
            <w:hideMark/>
          </w:tcPr>
          <w:p w14:paraId="584F429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5 556,40</w:t>
            </w:r>
          </w:p>
        </w:tc>
        <w:tc>
          <w:tcPr>
            <w:tcW w:w="531" w:type="pct"/>
            <w:shd w:val="clear" w:color="auto" w:fill="auto"/>
            <w:vAlign w:val="center"/>
            <w:hideMark/>
          </w:tcPr>
          <w:p w14:paraId="73BB8535"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5 969,30</w:t>
            </w:r>
          </w:p>
        </w:tc>
        <w:tc>
          <w:tcPr>
            <w:tcW w:w="508" w:type="pct"/>
            <w:shd w:val="clear" w:color="auto" w:fill="auto"/>
            <w:vAlign w:val="center"/>
            <w:hideMark/>
          </w:tcPr>
          <w:p w14:paraId="7BF22BF9"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7 214,80</w:t>
            </w:r>
          </w:p>
        </w:tc>
        <w:tc>
          <w:tcPr>
            <w:tcW w:w="509" w:type="pct"/>
            <w:shd w:val="clear" w:color="auto" w:fill="auto"/>
            <w:vAlign w:val="center"/>
            <w:hideMark/>
          </w:tcPr>
          <w:p w14:paraId="148DFB0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7 884,60</w:t>
            </w:r>
          </w:p>
        </w:tc>
        <w:tc>
          <w:tcPr>
            <w:tcW w:w="464" w:type="pct"/>
            <w:shd w:val="clear" w:color="auto" w:fill="auto"/>
            <w:vAlign w:val="center"/>
            <w:hideMark/>
          </w:tcPr>
          <w:p w14:paraId="25E4E47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669,80</w:t>
            </w:r>
          </w:p>
        </w:tc>
        <w:tc>
          <w:tcPr>
            <w:tcW w:w="336" w:type="pct"/>
            <w:shd w:val="clear" w:color="auto" w:fill="auto"/>
            <w:vAlign w:val="center"/>
            <w:hideMark/>
          </w:tcPr>
          <w:p w14:paraId="591E3CD1"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109,3</w:t>
            </w:r>
          </w:p>
        </w:tc>
        <w:tc>
          <w:tcPr>
            <w:tcW w:w="436" w:type="pct"/>
            <w:shd w:val="clear" w:color="auto" w:fill="auto"/>
            <w:vAlign w:val="center"/>
            <w:hideMark/>
          </w:tcPr>
          <w:p w14:paraId="780FFA9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1 915,30</w:t>
            </w:r>
          </w:p>
        </w:tc>
        <w:tc>
          <w:tcPr>
            <w:tcW w:w="364" w:type="pct"/>
            <w:shd w:val="clear" w:color="auto" w:fill="auto"/>
            <w:vAlign w:val="center"/>
            <w:hideMark/>
          </w:tcPr>
          <w:p w14:paraId="180E26F7"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132,1</w:t>
            </w:r>
          </w:p>
        </w:tc>
        <w:tc>
          <w:tcPr>
            <w:tcW w:w="436" w:type="pct"/>
            <w:shd w:val="clear" w:color="auto" w:fill="auto"/>
            <w:vAlign w:val="center"/>
            <w:hideMark/>
          </w:tcPr>
          <w:p w14:paraId="71F9819B"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2328,20</w:t>
            </w:r>
          </w:p>
        </w:tc>
        <w:tc>
          <w:tcPr>
            <w:tcW w:w="354" w:type="pct"/>
            <w:shd w:val="clear" w:color="auto" w:fill="auto"/>
            <w:vAlign w:val="center"/>
            <w:hideMark/>
          </w:tcPr>
          <w:p w14:paraId="0BEE1A2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141,9</w:t>
            </w:r>
          </w:p>
        </w:tc>
      </w:tr>
      <w:tr w:rsidR="00D420DA" w:rsidRPr="00E82CC1" w14:paraId="6C1B149F" w14:textId="77777777" w:rsidTr="00CF4F86">
        <w:trPr>
          <w:trHeight w:val="1452"/>
        </w:trPr>
        <w:tc>
          <w:tcPr>
            <w:tcW w:w="535" w:type="pct"/>
            <w:shd w:val="clear" w:color="auto" w:fill="auto"/>
            <w:vAlign w:val="center"/>
            <w:hideMark/>
          </w:tcPr>
          <w:p w14:paraId="2883F3A5" w14:textId="77777777" w:rsidR="00D420DA" w:rsidRPr="00E82CC1" w:rsidRDefault="00D420DA" w:rsidP="00046B6A">
            <w:pPr>
              <w:spacing w:after="0" w:line="240" w:lineRule="auto"/>
              <w:jc w:val="both"/>
              <w:rPr>
                <w:rFonts w:ascii="Calibri Light" w:eastAsia="Times New Roman" w:hAnsi="Calibri Light" w:cs="Calibri Light"/>
                <w:b/>
                <w:bCs/>
                <w:i/>
                <w:iCs/>
                <w:color w:val="000000"/>
                <w:sz w:val="18"/>
                <w:szCs w:val="18"/>
              </w:rPr>
            </w:pPr>
            <w:r w:rsidRPr="00E82CC1">
              <w:rPr>
                <w:rFonts w:ascii="Calibri Light" w:eastAsia="Times New Roman" w:hAnsi="Calibri Light" w:cs="Calibri Light"/>
                <w:b/>
                <w:bCs/>
                <w:i/>
                <w:iCs/>
                <w:color w:val="000000"/>
                <w:sz w:val="18"/>
                <w:szCs w:val="18"/>
                <w:lang w:val="ro-RO"/>
              </w:rPr>
              <w:t>Transferuri curente primite cu destinație generală între bugetul de stat şi bugetul asigurărilor sociale de stat</w:t>
            </w:r>
          </w:p>
        </w:tc>
        <w:tc>
          <w:tcPr>
            <w:tcW w:w="527" w:type="pct"/>
            <w:shd w:val="clear" w:color="auto" w:fill="auto"/>
            <w:vAlign w:val="center"/>
            <w:hideMark/>
          </w:tcPr>
          <w:p w14:paraId="6926D409"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1 113,90</w:t>
            </w:r>
          </w:p>
        </w:tc>
        <w:tc>
          <w:tcPr>
            <w:tcW w:w="531" w:type="pct"/>
            <w:shd w:val="clear" w:color="auto" w:fill="auto"/>
            <w:vAlign w:val="center"/>
            <w:hideMark/>
          </w:tcPr>
          <w:p w14:paraId="11A147F8"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1 987,70</w:t>
            </w:r>
          </w:p>
        </w:tc>
        <w:tc>
          <w:tcPr>
            <w:tcW w:w="508" w:type="pct"/>
            <w:shd w:val="clear" w:color="auto" w:fill="auto"/>
            <w:vAlign w:val="center"/>
            <w:hideMark/>
          </w:tcPr>
          <w:p w14:paraId="7352C1B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2 554,60</w:t>
            </w:r>
          </w:p>
        </w:tc>
        <w:tc>
          <w:tcPr>
            <w:tcW w:w="509" w:type="pct"/>
            <w:shd w:val="clear" w:color="auto" w:fill="auto"/>
            <w:vAlign w:val="center"/>
            <w:hideMark/>
          </w:tcPr>
          <w:p w14:paraId="48DF8F42"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2 840,00</w:t>
            </w:r>
          </w:p>
        </w:tc>
        <w:tc>
          <w:tcPr>
            <w:tcW w:w="464" w:type="pct"/>
            <w:shd w:val="clear" w:color="auto" w:fill="auto"/>
            <w:vAlign w:val="center"/>
            <w:hideMark/>
          </w:tcPr>
          <w:p w14:paraId="4387ACEB"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285,40</w:t>
            </w:r>
          </w:p>
        </w:tc>
        <w:tc>
          <w:tcPr>
            <w:tcW w:w="336" w:type="pct"/>
            <w:shd w:val="clear" w:color="auto" w:fill="auto"/>
            <w:vAlign w:val="center"/>
            <w:hideMark/>
          </w:tcPr>
          <w:p w14:paraId="47019A5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111,2</w:t>
            </w:r>
          </w:p>
        </w:tc>
        <w:tc>
          <w:tcPr>
            <w:tcW w:w="436" w:type="pct"/>
            <w:shd w:val="clear" w:color="auto" w:fill="auto"/>
            <w:vAlign w:val="center"/>
            <w:hideMark/>
          </w:tcPr>
          <w:p w14:paraId="238A2BA9"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852,30</w:t>
            </w:r>
          </w:p>
        </w:tc>
        <w:tc>
          <w:tcPr>
            <w:tcW w:w="364" w:type="pct"/>
            <w:shd w:val="clear" w:color="auto" w:fill="auto"/>
            <w:vAlign w:val="center"/>
            <w:hideMark/>
          </w:tcPr>
          <w:p w14:paraId="06B9AD2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142,9</w:t>
            </w:r>
          </w:p>
        </w:tc>
        <w:tc>
          <w:tcPr>
            <w:tcW w:w="436" w:type="pct"/>
            <w:shd w:val="clear" w:color="auto" w:fill="auto"/>
            <w:vAlign w:val="center"/>
            <w:hideMark/>
          </w:tcPr>
          <w:p w14:paraId="1C34012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1726,10</w:t>
            </w:r>
          </w:p>
        </w:tc>
        <w:tc>
          <w:tcPr>
            <w:tcW w:w="354" w:type="pct"/>
            <w:shd w:val="clear" w:color="auto" w:fill="auto"/>
            <w:vAlign w:val="center"/>
            <w:hideMark/>
          </w:tcPr>
          <w:p w14:paraId="121C8B5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255,0</w:t>
            </w:r>
          </w:p>
        </w:tc>
      </w:tr>
    </w:tbl>
    <w:p w14:paraId="65F30D8C" w14:textId="77777777" w:rsidR="00D420DA" w:rsidRPr="00E82CC1" w:rsidRDefault="00D420DA" w:rsidP="00D420DA">
      <w:pPr>
        <w:spacing w:line="240" w:lineRule="auto"/>
        <w:jc w:val="both"/>
        <w:rPr>
          <w:rFonts w:asciiTheme="majorHAnsi" w:eastAsia="Times New Roman" w:hAnsiTheme="majorHAnsi" w:cstheme="majorHAnsi"/>
          <w:bCs/>
          <w:i/>
          <w:sz w:val="20"/>
          <w:szCs w:val="20"/>
          <w:lang w:val="ro-MD"/>
        </w:rPr>
      </w:pPr>
      <w:r w:rsidRPr="00E82CC1">
        <w:rPr>
          <w:rFonts w:asciiTheme="majorHAnsi" w:eastAsia="Times New Roman" w:hAnsiTheme="majorHAnsi" w:cstheme="majorHAnsi"/>
          <w:b/>
          <w:bCs/>
          <w:i/>
          <w:sz w:val="20"/>
          <w:szCs w:val="20"/>
          <w:lang w:val="ro-MD"/>
        </w:rPr>
        <w:t>Sursă:</w:t>
      </w:r>
      <w:r w:rsidRPr="00E82CC1">
        <w:rPr>
          <w:rFonts w:asciiTheme="majorHAnsi" w:eastAsia="Times New Roman" w:hAnsiTheme="majorHAnsi" w:cstheme="majorHAnsi"/>
          <w:bCs/>
          <w:i/>
          <w:sz w:val="20"/>
          <w:szCs w:val="20"/>
          <w:lang w:val="ro-MD"/>
        </w:rPr>
        <w:t xml:space="preserve"> Informații generalizate de echipa de audit din Rapoartele privind executarea bugetului asigurărilor sociale de stat pe anii 2018 – 2021.</w:t>
      </w:r>
    </w:p>
    <w:p w14:paraId="385BA261" w14:textId="690FD6BE" w:rsidR="00D420DA" w:rsidRPr="00E82CC1" w:rsidRDefault="00D420DA" w:rsidP="00D420DA">
      <w:pPr>
        <w:pStyle w:val="Default"/>
        <w:spacing w:after="240" w:line="276" w:lineRule="auto"/>
        <w:jc w:val="both"/>
        <w:rPr>
          <w:rFonts w:asciiTheme="majorHAnsi" w:hAnsiTheme="majorHAnsi" w:cstheme="majorHAnsi"/>
          <w:lang w:val="ro-MD"/>
        </w:rPr>
      </w:pPr>
      <w:r w:rsidRPr="00E82CC1">
        <w:rPr>
          <w:rFonts w:asciiTheme="majorHAnsi" w:hAnsiTheme="majorHAnsi" w:cstheme="majorHAnsi"/>
          <w:lang w:val="ro-MD"/>
        </w:rPr>
        <w:t>Astfel, pe parcursul a 4 ani consecutivi (2018–2021)</w:t>
      </w:r>
      <w:r w:rsidR="009766E3">
        <w:rPr>
          <w:rFonts w:asciiTheme="majorHAnsi" w:hAnsiTheme="majorHAnsi" w:cstheme="majorHAnsi"/>
          <w:lang w:val="ro-MD"/>
        </w:rPr>
        <w:t>,</w:t>
      </w:r>
      <w:r w:rsidRPr="00E82CC1">
        <w:rPr>
          <w:rFonts w:asciiTheme="majorHAnsi" w:hAnsiTheme="majorHAnsi" w:cstheme="majorHAnsi"/>
          <w:lang w:val="ro-MD"/>
        </w:rPr>
        <w:t xml:space="preserve"> se atestă o creștere constantă a tuturor veniturilor la bugetul asigurărilor sociale de stat, mai cu seamă a transferurilor curente cu destinație generală între bugetul de stat și bugetul asigurărilor sociale de stat.</w:t>
      </w:r>
    </w:p>
    <w:p w14:paraId="2E713A02" w14:textId="1FAE3282" w:rsidR="00D420DA" w:rsidRPr="00E82CC1" w:rsidRDefault="00D420DA" w:rsidP="00D420DA">
      <w:pPr>
        <w:pStyle w:val="Default"/>
        <w:spacing w:after="240" w:line="276" w:lineRule="auto"/>
        <w:jc w:val="both"/>
        <w:rPr>
          <w:rFonts w:asciiTheme="majorHAnsi" w:hAnsiTheme="majorHAnsi" w:cstheme="majorHAnsi"/>
          <w:lang w:val="ro-MD"/>
        </w:rPr>
      </w:pPr>
      <w:r w:rsidRPr="00E82CC1">
        <w:rPr>
          <w:rFonts w:asciiTheme="majorHAnsi" w:hAnsiTheme="majorHAnsi" w:cstheme="majorHAnsi"/>
          <w:b/>
          <w:lang w:val="ro-MD"/>
        </w:rPr>
        <w:t>Contribuțiile de asigurări sociale de stat</w:t>
      </w:r>
      <w:r w:rsidRPr="00E82CC1">
        <w:rPr>
          <w:rFonts w:asciiTheme="majorHAnsi" w:hAnsiTheme="majorHAnsi" w:cstheme="majorHAnsi"/>
          <w:lang w:val="ro-MD"/>
        </w:rPr>
        <w:t xml:space="preserve"> în anul 2021 au fost calculate și achitate conform tarifelor</w:t>
      </w:r>
      <w:r w:rsidRPr="00E82CC1">
        <w:rPr>
          <w:rStyle w:val="a5"/>
          <w:rFonts w:cstheme="majorHAnsi"/>
        </w:rPr>
        <w:footnoteReference w:id="6"/>
      </w:r>
      <w:r w:rsidRPr="00E82CC1">
        <w:rPr>
          <w:rFonts w:asciiTheme="majorHAnsi" w:hAnsiTheme="majorHAnsi" w:cstheme="majorHAnsi"/>
          <w:lang w:val="ro-MD"/>
        </w:rPr>
        <w:t>, inclusiv ținând cont de unele particularități noi implementate în anul 2021, cum ar fi</w:t>
      </w:r>
      <w:r w:rsidR="009766E3">
        <w:rPr>
          <w:rFonts w:asciiTheme="majorHAnsi" w:hAnsiTheme="majorHAnsi" w:cstheme="majorHAnsi"/>
          <w:lang w:val="ro-MD"/>
        </w:rPr>
        <w:t>:</w:t>
      </w:r>
      <w:r w:rsidRPr="00E82CC1">
        <w:rPr>
          <w:rFonts w:asciiTheme="majorHAnsi" w:hAnsiTheme="majorHAnsi" w:cstheme="majorHAnsi"/>
          <w:lang w:val="ro-MD"/>
        </w:rPr>
        <w:t xml:space="preserve"> comasarea la nivel de angajator a contribuțiilor de asigurări sociale datorate de angajator și datorate de angajați, modificarea modalității de asigurare socială a liber profesioniștilor ce practică activitatea în sectorul justiției, prin stabilirea taxei fixe în cuantum de 24 255 lei, c</w:t>
      </w:r>
      <w:r w:rsidR="00FE6977">
        <w:rPr>
          <w:rFonts w:asciiTheme="majorHAnsi" w:hAnsiTheme="majorHAnsi" w:cstheme="majorHAnsi"/>
          <w:lang w:val="ro-MD"/>
        </w:rPr>
        <w:t>eea ce</w:t>
      </w:r>
      <w:r w:rsidRPr="00E82CC1">
        <w:rPr>
          <w:rFonts w:asciiTheme="majorHAnsi" w:hAnsiTheme="majorHAnsi" w:cstheme="majorHAnsi"/>
          <w:lang w:val="ro-MD"/>
        </w:rPr>
        <w:t xml:space="preserve"> </w:t>
      </w:r>
      <w:r w:rsidR="009766E3">
        <w:rPr>
          <w:rFonts w:asciiTheme="majorHAnsi" w:hAnsiTheme="majorHAnsi" w:cstheme="majorHAnsi"/>
          <w:lang w:val="ro-MD"/>
        </w:rPr>
        <w:t xml:space="preserve">le </w:t>
      </w:r>
      <w:r w:rsidRPr="00E82CC1">
        <w:rPr>
          <w:rFonts w:asciiTheme="majorHAnsi" w:hAnsiTheme="majorHAnsi" w:cstheme="majorHAnsi"/>
          <w:lang w:val="ro-MD"/>
        </w:rPr>
        <w:t xml:space="preserve">acordă dreptul de a beneficia de toate tipurile de prestații de asigurări sociale de stat. </w:t>
      </w:r>
    </w:p>
    <w:p w14:paraId="48CB1F3D" w14:textId="0755AC4E" w:rsidR="00D420DA" w:rsidRPr="00E82CC1" w:rsidRDefault="00D420DA" w:rsidP="00D420DA">
      <w:pPr>
        <w:pStyle w:val="Default"/>
        <w:spacing w:after="240" w:line="276" w:lineRule="auto"/>
        <w:jc w:val="both"/>
        <w:rPr>
          <w:sz w:val="28"/>
          <w:szCs w:val="28"/>
        </w:rPr>
      </w:pPr>
      <w:r w:rsidRPr="00E82CC1">
        <w:rPr>
          <w:rFonts w:asciiTheme="majorHAnsi" w:hAnsiTheme="majorHAnsi" w:cstheme="majorHAnsi"/>
          <w:lang w:val="ro-MD"/>
        </w:rPr>
        <w:t>Taxa fixă anuală a contribuțiilor de asigurări sociale obligatorii în anul 2021 a constituit 11 331 lei</w:t>
      </w:r>
      <w:r w:rsidRPr="00E82CC1">
        <w:rPr>
          <w:rStyle w:val="a5"/>
          <w:rFonts w:asciiTheme="majorHAnsi" w:hAnsiTheme="majorHAnsi" w:cstheme="majorHAnsi"/>
        </w:rPr>
        <w:footnoteReference w:id="7"/>
      </w:r>
      <w:r w:rsidRPr="00E82CC1">
        <w:rPr>
          <w:rFonts w:asciiTheme="majorHAnsi" w:hAnsiTheme="majorHAnsi" w:cstheme="majorHAnsi"/>
          <w:lang w:val="ro-MD"/>
        </w:rPr>
        <w:t>,  pentru proprietarii sau arendașii de terenuri agricole ce prelucrează terenurile în mod individual – de 2 886 lei</w:t>
      </w:r>
      <w:r w:rsidRPr="00E82CC1">
        <w:rPr>
          <w:rStyle w:val="a5"/>
          <w:rFonts w:asciiTheme="majorHAnsi" w:hAnsiTheme="majorHAnsi" w:cstheme="majorHAnsi"/>
        </w:rPr>
        <w:footnoteReference w:id="8"/>
      </w:r>
      <w:r w:rsidRPr="00E82CC1">
        <w:rPr>
          <w:rFonts w:asciiTheme="majorHAnsi" w:hAnsiTheme="majorHAnsi" w:cstheme="majorHAnsi"/>
          <w:lang w:val="ro-MD"/>
        </w:rPr>
        <w:t xml:space="preserve">, sumă </w:t>
      </w:r>
      <w:r w:rsidRPr="00E82CC1">
        <w:rPr>
          <w:rFonts w:asciiTheme="majorHAnsi" w:hAnsiTheme="majorHAnsi" w:cstheme="majorHAnsi"/>
          <w:color w:val="auto"/>
          <w:lang w:val="ro-MD"/>
        </w:rPr>
        <w:t>plătită și de persoanele fizice care exercită activități în calitate de zilieri</w:t>
      </w:r>
      <w:r w:rsidRPr="00E82CC1">
        <w:rPr>
          <w:rStyle w:val="a5"/>
          <w:rFonts w:asciiTheme="majorHAnsi" w:hAnsiTheme="majorHAnsi" w:cstheme="majorHAnsi"/>
          <w:color w:val="auto"/>
        </w:rPr>
        <w:footnoteReference w:id="9"/>
      </w:r>
      <w:r w:rsidRPr="00E82CC1">
        <w:rPr>
          <w:rFonts w:asciiTheme="majorHAnsi" w:hAnsiTheme="majorHAnsi" w:cstheme="majorHAnsi"/>
          <w:color w:val="auto"/>
          <w:lang w:val="ro-MD"/>
        </w:rPr>
        <w:t xml:space="preserve">. </w:t>
      </w:r>
    </w:p>
    <w:p w14:paraId="337A5010" w14:textId="7CBFE31B" w:rsidR="00D420DA" w:rsidRPr="00E82CC1" w:rsidRDefault="00D420DA" w:rsidP="00D420DA">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Se </w:t>
      </w:r>
      <w:r w:rsidRPr="0085337E">
        <w:rPr>
          <w:rFonts w:asciiTheme="majorHAnsi" w:hAnsiTheme="majorHAnsi" w:cstheme="majorHAnsi"/>
          <w:sz w:val="24"/>
          <w:szCs w:val="24"/>
          <w:lang w:val="ro-MD"/>
        </w:rPr>
        <w:t>atestă că</w:t>
      </w:r>
      <w:r w:rsidR="0085337E" w:rsidRPr="0085337E">
        <w:rPr>
          <w:rFonts w:asciiTheme="majorHAnsi" w:hAnsiTheme="majorHAnsi" w:cstheme="majorHAnsi"/>
          <w:sz w:val="24"/>
          <w:szCs w:val="24"/>
          <w:lang w:val="ro-MD"/>
        </w:rPr>
        <w:t>,</w:t>
      </w:r>
      <w:r w:rsidRPr="0085337E">
        <w:rPr>
          <w:rFonts w:asciiTheme="majorHAnsi" w:hAnsiTheme="majorHAnsi" w:cstheme="majorHAnsi"/>
          <w:sz w:val="24"/>
          <w:szCs w:val="24"/>
          <w:lang w:val="ro-MD"/>
        </w:rPr>
        <w:t xml:space="preserve"> contribuțiile de asigurări sociale de stat în 2021 au fost acumulate în sumă de 16 223,9 mil. lei</w:t>
      </w:r>
      <w:r w:rsidRPr="00617E4A">
        <w:rPr>
          <w:rStyle w:val="a5"/>
          <w:rFonts w:asciiTheme="majorHAnsi" w:hAnsiTheme="majorHAnsi" w:cstheme="majorHAnsi"/>
          <w:sz w:val="24"/>
          <w:szCs w:val="24"/>
        </w:rPr>
        <w:footnoteReference w:id="10"/>
      </w:r>
      <w:r w:rsidRPr="0085337E">
        <w:rPr>
          <w:rFonts w:asciiTheme="majorHAnsi" w:hAnsiTheme="majorHAnsi" w:cstheme="majorHAnsi"/>
          <w:sz w:val="24"/>
          <w:szCs w:val="24"/>
          <w:lang w:val="ro-MD"/>
        </w:rPr>
        <w:t>, indicatorul</w:t>
      </w:r>
      <w:r w:rsidRPr="00E82CC1">
        <w:rPr>
          <w:rFonts w:asciiTheme="majorHAnsi" w:hAnsiTheme="majorHAnsi" w:cstheme="majorHAnsi"/>
          <w:sz w:val="24"/>
          <w:szCs w:val="24"/>
          <w:lang w:val="ro-MD"/>
        </w:rPr>
        <w:t xml:space="preserve"> planificat fiind executat la nivel de 99,6%, iar față de anul 2020 încasările au crescut cu 1 928,5 mil. lei</w:t>
      </w:r>
      <w:r w:rsidR="0085337E">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sau cu 13,5%. De asemenea, în suma totală a contribuțiilor acumulate, 40,8 mil. lei au constituit majorările de întârziere pentru neplata în termen a contribuțiilor.</w:t>
      </w:r>
    </w:p>
    <w:p w14:paraId="765E34AD" w14:textId="765AA353" w:rsidR="00D420DA" w:rsidRPr="00E82CC1" w:rsidRDefault="0085337E" w:rsidP="00D420DA">
      <w:pPr>
        <w:spacing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Astfel</w:t>
      </w:r>
      <w:r w:rsidR="00D420DA" w:rsidRPr="00E82CC1">
        <w:rPr>
          <w:rFonts w:asciiTheme="majorHAnsi" w:eastAsia="Times New Roman" w:hAnsiTheme="majorHAnsi" w:cstheme="majorHAnsi"/>
          <w:sz w:val="24"/>
          <w:szCs w:val="24"/>
          <w:lang w:val="ro-MD"/>
        </w:rPr>
        <w:t xml:space="preserve">, în anul 2021 s-au înregistrat contribuții de asigurări sociale de stat obligatorii plătite în avans/în surplus în sumă de 14,2 mil. lei, din care 2,3 mil. lei </w:t>
      </w:r>
      <w:r>
        <w:rPr>
          <w:rFonts w:asciiTheme="majorHAnsi" w:eastAsia="Times New Roman" w:hAnsiTheme="majorHAnsi" w:cstheme="majorHAnsi"/>
          <w:sz w:val="24"/>
          <w:szCs w:val="24"/>
          <w:lang w:val="ro-MD"/>
        </w:rPr>
        <w:t>–</w:t>
      </w:r>
      <w:r w:rsidR="00D420DA" w:rsidRPr="00E82CC1">
        <w:rPr>
          <w:rFonts w:asciiTheme="majorHAnsi" w:eastAsia="Times New Roman" w:hAnsiTheme="majorHAnsi" w:cstheme="majorHAnsi"/>
          <w:sz w:val="24"/>
          <w:szCs w:val="24"/>
          <w:lang w:val="ro-MD"/>
        </w:rPr>
        <w:t xml:space="preserve"> la plata majorărilor de întârziere (penalitate).</w:t>
      </w:r>
    </w:p>
    <w:p w14:paraId="1717B9E6" w14:textId="0E388FAE" w:rsidR="00D420DA" w:rsidRPr="00E82CC1" w:rsidRDefault="00D420DA" w:rsidP="00D420DA">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b/>
          <w:sz w:val="24"/>
          <w:szCs w:val="24"/>
          <w:lang w:val="ro-MD"/>
        </w:rPr>
        <w:t xml:space="preserve">„Alte venituri” </w:t>
      </w:r>
      <w:r w:rsidRPr="00E82CC1">
        <w:rPr>
          <w:rFonts w:asciiTheme="majorHAnsi" w:hAnsiTheme="majorHAnsi" w:cstheme="majorHAnsi"/>
          <w:sz w:val="24"/>
          <w:szCs w:val="24"/>
          <w:lang w:val="ro-MD"/>
        </w:rPr>
        <w:t>au fost acumulate în sumă totală de 298,3 mil. lei, cu 22,1 mil. lei, sau cu 8%</w:t>
      </w:r>
      <w:r w:rsidR="0085337E">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mai mult față de planul stabilit, iar suma efectivă a altor venituri a constituit 314,0 mil. lei</w:t>
      </w:r>
      <w:r w:rsidRPr="00E82CC1">
        <w:rPr>
          <w:sz w:val="24"/>
          <w:szCs w:val="24"/>
        </w:rPr>
        <w:t>.</w:t>
      </w:r>
      <w:r w:rsidRPr="00E82CC1">
        <w:t xml:space="preserve"> </w:t>
      </w:r>
      <w:r w:rsidRPr="00E82CC1">
        <w:rPr>
          <w:rFonts w:asciiTheme="majorHAnsi" w:hAnsiTheme="majorHAnsi" w:cstheme="majorHAnsi"/>
          <w:sz w:val="24"/>
          <w:szCs w:val="24"/>
          <w:lang w:val="ro-MD"/>
        </w:rPr>
        <w:t>Față de anul 2020, încasările din alte venituri au fost în creștere cu 77,5 mil. lei</w:t>
      </w:r>
      <w:r w:rsidR="0085337E">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sau cu 35,1%, creșterea datorându-se sumei încasate din impozitul unic perceput de la rezidenții parcurilor pentru tehnologia informațională</w:t>
      </w:r>
      <w:r w:rsidR="0085337E">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de 292,7 mil. lei, care a fost cu 80,8 mil. lei</w:t>
      </w:r>
      <w:r w:rsidR="0085337E">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sau cu 38,1%</w:t>
      </w:r>
      <w:r w:rsidR="0085337E">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mai mare față de anul precedent.</w:t>
      </w:r>
    </w:p>
    <w:p w14:paraId="04437983" w14:textId="2AECC8AD" w:rsidR="00D420DA" w:rsidRPr="00E82CC1" w:rsidRDefault="00D420DA" w:rsidP="00D420DA">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Astfel, veniturile în bugetul asigurărilor sociale de stat sunt reflectate cu sumel</w:t>
      </w:r>
      <w:r w:rsidRPr="00EA5FC8">
        <w:rPr>
          <w:rFonts w:asciiTheme="majorHAnsi" w:hAnsiTheme="majorHAnsi" w:cstheme="majorHAnsi"/>
          <w:sz w:val="24"/>
          <w:szCs w:val="24"/>
          <w:lang w:val="ro-MD"/>
        </w:rPr>
        <w:t>e</w:t>
      </w:r>
      <w:r w:rsidRPr="00617E4A">
        <w:rPr>
          <w:rStyle w:val="a5"/>
          <w:rFonts w:asciiTheme="majorHAnsi" w:hAnsiTheme="majorHAnsi" w:cstheme="majorHAnsi"/>
          <w:sz w:val="24"/>
          <w:szCs w:val="24"/>
        </w:rPr>
        <w:footnoteReference w:id="11"/>
      </w:r>
      <w:r w:rsidRPr="00EA5FC8">
        <w:rPr>
          <w:rFonts w:asciiTheme="majorHAnsi" w:hAnsiTheme="majorHAnsi" w:cstheme="majorHAnsi"/>
          <w:sz w:val="24"/>
          <w:szCs w:val="24"/>
          <w:lang w:val="ro-MD"/>
        </w:rPr>
        <w:t>:</w:t>
      </w:r>
    </w:p>
    <w:p w14:paraId="2B99389C" w14:textId="77777777" w:rsidR="00D420DA" w:rsidRPr="00E82CC1" w:rsidRDefault="00D420DA" w:rsidP="00D420DA">
      <w:pPr>
        <w:pStyle w:val="a9"/>
        <w:numPr>
          <w:ilvl w:val="0"/>
          <w:numId w:val="27"/>
        </w:numPr>
        <w:spacing w:after="0" w:line="276" w:lineRule="auto"/>
        <w:jc w:val="both"/>
        <w:rPr>
          <w:rFonts w:asciiTheme="majorHAnsi" w:hAnsiTheme="majorHAnsi" w:cstheme="majorHAnsi"/>
          <w:sz w:val="24"/>
          <w:szCs w:val="24"/>
          <w:lang w:val="ro-MD"/>
        </w:rPr>
      </w:pPr>
      <w:r w:rsidRPr="00E82CC1">
        <w:t xml:space="preserve"> </w:t>
      </w:r>
      <w:r w:rsidRPr="00E82CC1">
        <w:rPr>
          <w:rFonts w:asciiTheme="majorHAnsi" w:hAnsiTheme="majorHAnsi" w:cstheme="majorHAnsi"/>
          <w:sz w:val="24"/>
          <w:szCs w:val="24"/>
          <w:lang w:val="ro-MD"/>
        </w:rPr>
        <w:t>2,4 mil. lei, cu executarea de 80,9%, cele din proprietate, care reprezintă dobânzile încasate la soldurile mijloacelor bănești la conturile bancare ale bugetului asigurărilor sociale de stat;</w:t>
      </w:r>
    </w:p>
    <w:p w14:paraId="301D7DFB" w14:textId="500B0018" w:rsidR="00D420DA" w:rsidRPr="00E82CC1" w:rsidRDefault="00D420DA" w:rsidP="00D420DA">
      <w:pPr>
        <w:pStyle w:val="a9"/>
        <w:numPr>
          <w:ilvl w:val="0"/>
          <w:numId w:val="27"/>
        </w:num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8,1 mil.lei, sau 36,8%</w:t>
      </w:r>
      <w:r w:rsidR="00EA5FC8">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sunt din vânzarea mărfurilor și serviciilor, care reprezintă mijloacele încasate în bugetul asigurărilor sociale de stat conform documentelor executorii privind răspunderea subsidiară;</w:t>
      </w:r>
    </w:p>
    <w:p w14:paraId="7676E0B2" w14:textId="77777777" w:rsidR="00D420DA" w:rsidRPr="00E82CC1" w:rsidRDefault="00D420DA" w:rsidP="00D420DA">
      <w:pPr>
        <w:pStyle w:val="a9"/>
        <w:numPr>
          <w:ilvl w:val="0"/>
          <w:numId w:val="27"/>
        </w:num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2,1 mil.lei, ce reprezintă 73,6%</w:t>
      </w:r>
      <w:r w:rsidRPr="00E82CC1">
        <w:t xml:space="preserve"> </w:t>
      </w:r>
      <w:r w:rsidRPr="00E82CC1">
        <w:rPr>
          <w:rFonts w:asciiTheme="majorHAnsi" w:hAnsiTheme="majorHAnsi" w:cstheme="majorHAnsi"/>
          <w:sz w:val="24"/>
          <w:szCs w:val="24"/>
          <w:lang w:val="ro-MD"/>
        </w:rPr>
        <w:t>față de prevederile anuale, sunt amenzile, din care 0,1 mil.lei  sunt amenzi și sancțiuni contravenționale încasate în bugetul asigurărilor sociale de stat şi 2,0  mil. lei – amenzi aferente plăților la bugetul asigurărilor sociale de stat. Suma efectivă a amenzilor în anul 2021 a fost de 4,4 mil. lei.</w:t>
      </w:r>
    </w:p>
    <w:p w14:paraId="4996F6B0" w14:textId="00EF38D4" w:rsidR="00D420DA" w:rsidRPr="00E82CC1" w:rsidRDefault="00D420DA" w:rsidP="00D420DA">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b/>
          <w:sz w:val="24"/>
          <w:szCs w:val="24"/>
          <w:lang w:val="ro-MD"/>
        </w:rPr>
        <w:t>Alte venituri și venituri neidentificate</w:t>
      </w:r>
      <w:r w:rsidRPr="00E82CC1">
        <w:rPr>
          <w:rFonts w:asciiTheme="majorHAnsi" w:hAnsiTheme="majorHAnsi" w:cstheme="majorHAnsi"/>
          <w:sz w:val="24"/>
          <w:szCs w:val="24"/>
          <w:lang w:val="ro-MD"/>
        </w:rPr>
        <w:t xml:space="preserve"> au fost executate în sumă de 29,4 mil. lei</w:t>
      </w:r>
      <w:r w:rsidR="008427C8">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sau la nivel de 108,6% față de planul anual stabilit, iar conform indicatorului efectiv acestea au constituit 29,9</w:t>
      </w:r>
      <w:r w:rsidR="008427C8">
        <w:rPr>
          <w:rFonts w:asciiTheme="majorHAnsi" w:hAnsiTheme="majorHAnsi" w:cstheme="majorHAnsi"/>
          <w:sz w:val="24"/>
          <w:szCs w:val="24"/>
          <w:lang w:val="ro-MD"/>
        </w:rPr>
        <w:t xml:space="preserve"> </w:t>
      </w:r>
      <w:r w:rsidRPr="00E82CC1">
        <w:rPr>
          <w:rFonts w:asciiTheme="majorHAnsi" w:hAnsiTheme="majorHAnsi" w:cstheme="majorHAnsi"/>
          <w:sz w:val="24"/>
          <w:szCs w:val="24"/>
          <w:lang w:val="ro-MD"/>
        </w:rPr>
        <w:t>mil. lei.</w:t>
      </w:r>
    </w:p>
    <w:p w14:paraId="3F8298AD" w14:textId="77777777" w:rsidR="00D420DA" w:rsidRPr="00E82CC1" w:rsidRDefault="00D420DA" w:rsidP="00D420DA">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Totodată, suma </w:t>
      </w:r>
      <w:r w:rsidRPr="00617E4A">
        <w:rPr>
          <w:rFonts w:asciiTheme="majorHAnsi" w:hAnsiTheme="majorHAnsi" w:cstheme="majorHAnsi"/>
          <w:b/>
          <w:sz w:val="24"/>
          <w:szCs w:val="24"/>
          <w:lang w:val="ro-MD"/>
        </w:rPr>
        <w:t>„Altor venituri”</w:t>
      </w:r>
      <w:r w:rsidRPr="00E82CC1">
        <w:rPr>
          <w:rFonts w:asciiTheme="majorHAnsi" w:hAnsiTheme="majorHAnsi" w:cstheme="majorHAnsi"/>
          <w:sz w:val="24"/>
          <w:szCs w:val="24"/>
          <w:lang w:val="ro-MD"/>
        </w:rPr>
        <w:t xml:space="preserve"> plătite în avans/în surplus a constituit circa 7 mil. lei, din care 6,4 mil. lei constituie plata impozitului unic perceput de la rezidenții parcurilor pentru tehnologii informaționale.</w:t>
      </w:r>
    </w:p>
    <w:p w14:paraId="1027FD6B" w14:textId="77777777" w:rsidR="003235A9" w:rsidRPr="00E82CC1" w:rsidRDefault="003235A9" w:rsidP="003235A9">
      <w:pPr>
        <w:pStyle w:val="a9"/>
        <w:spacing w:after="0" w:line="276" w:lineRule="auto"/>
        <w:ind w:left="0"/>
        <w:jc w:val="both"/>
        <w:rPr>
          <w:rFonts w:asciiTheme="majorHAnsi" w:eastAsia="Times New Roman" w:hAnsiTheme="majorHAnsi" w:cstheme="majorHAnsi"/>
          <w:b/>
          <w:sz w:val="24"/>
          <w:szCs w:val="24"/>
          <w:lang w:val="ro-MD"/>
        </w:rPr>
      </w:pPr>
    </w:p>
    <w:p w14:paraId="693199CE" w14:textId="77777777" w:rsidR="00D91126" w:rsidRPr="00E82CC1" w:rsidRDefault="00D91126" w:rsidP="00D91126">
      <w:pPr>
        <w:pStyle w:val="a9"/>
        <w:numPr>
          <w:ilvl w:val="1"/>
          <w:numId w:val="15"/>
        </w:numPr>
        <w:spacing w:after="0" w:line="276" w:lineRule="auto"/>
        <w:ind w:left="0" w:firstLine="0"/>
        <w:jc w:val="both"/>
        <w:outlineLvl w:val="1"/>
        <w:rPr>
          <w:lang w:val="ro-RO"/>
        </w:rPr>
      </w:pPr>
      <w:r w:rsidRPr="00E82CC1">
        <w:rPr>
          <w:rFonts w:asciiTheme="majorHAnsi" w:eastAsia="Times New Roman" w:hAnsiTheme="majorHAnsi" w:cstheme="majorHAnsi"/>
          <w:b/>
          <w:sz w:val="24"/>
          <w:szCs w:val="24"/>
          <w:lang w:val="ro-RO"/>
        </w:rPr>
        <w:t>Cheltuielile bugetului asigurărilor sociale de stat executate în anul 2021 au fost la nivelul de 98,4% față de planul anual.</w:t>
      </w:r>
    </w:p>
    <w:p w14:paraId="2EE66CEC" w14:textId="77777777" w:rsidR="00D91126" w:rsidRPr="00E82CC1" w:rsidRDefault="00D91126" w:rsidP="00D91126">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Conform Raportului privind executarea bugetului asigurărilor sociale de stat pe anul 2021, cheltuielile bugetului asigurărilor sociale de stat au fost executate în sumă de </w:t>
      </w:r>
      <w:r w:rsidR="00614DB2" w:rsidRPr="00E82CC1">
        <w:rPr>
          <w:rFonts w:asciiTheme="majorHAnsi" w:hAnsiTheme="majorHAnsi" w:cstheme="majorHAnsi"/>
          <w:sz w:val="24"/>
          <w:szCs w:val="24"/>
          <w:lang w:val="ro-RO"/>
        </w:rPr>
        <w:t>27 172,</w:t>
      </w:r>
      <w:r w:rsidRPr="00E82CC1">
        <w:rPr>
          <w:rFonts w:asciiTheme="majorHAnsi" w:hAnsiTheme="majorHAnsi" w:cstheme="majorHAnsi"/>
          <w:sz w:val="24"/>
          <w:szCs w:val="24"/>
          <w:lang w:val="ro-RO"/>
        </w:rPr>
        <w:t xml:space="preserve">1 mil. lei, cu </w:t>
      </w:r>
      <w:r w:rsidR="00614DB2" w:rsidRPr="00E82CC1">
        <w:rPr>
          <w:rFonts w:asciiTheme="majorHAnsi" w:hAnsiTheme="majorHAnsi" w:cstheme="majorHAnsi"/>
          <w:sz w:val="24"/>
          <w:szCs w:val="24"/>
          <w:lang w:val="ro-RO"/>
        </w:rPr>
        <w:t>434,</w:t>
      </w:r>
      <w:r w:rsidRPr="00E82CC1">
        <w:rPr>
          <w:rFonts w:asciiTheme="majorHAnsi" w:hAnsiTheme="majorHAnsi" w:cstheme="majorHAnsi"/>
          <w:sz w:val="24"/>
          <w:szCs w:val="24"/>
          <w:lang w:val="ro-RO"/>
        </w:rPr>
        <w:t>3 mil. lei mai puțin decât nivelul planificat. Comparativ cu anul precedent, cheltuielile bugetului asigurărilor sociale de stat executate au crescut cu 2 941,3 mil. lei, sau cu 12,1%.</w:t>
      </w:r>
    </w:p>
    <w:p w14:paraId="58ED6197" w14:textId="532919C2" w:rsidR="00D91126" w:rsidRPr="00E82CC1" w:rsidRDefault="00D91126" w:rsidP="00D91126">
      <w:pPr>
        <w:spacing w:after="0" w:line="276" w:lineRule="auto"/>
        <w:jc w:val="both"/>
        <w:rPr>
          <w:rFonts w:asciiTheme="majorHAnsi" w:eastAsia="Times New Roman" w:hAnsiTheme="majorHAnsi" w:cstheme="majorHAnsi"/>
          <w:i/>
          <w:iCs/>
          <w:sz w:val="24"/>
          <w:szCs w:val="24"/>
          <w:lang w:val="ro-RO"/>
        </w:rPr>
      </w:pPr>
      <w:r w:rsidRPr="00E82CC1">
        <w:rPr>
          <w:rFonts w:asciiTheme="majorHAnsi" w:eastAsia="Times New Roman" w:hAnsiTheme="majorHAnsi" w:cstheme="majorHAnsi"/>
          <w:i/>
          <w:iCs/>
          <w:sz w:val="24"/>
          <w:szCs w:val="24"/>
          <w:lang w:val="ro-RO"/>
        </w:rPr>
        <w:t>Realizarea cheltuielilor bugetului asigurărilor sociale de stat în anul 2021</w:t>
      </w:r>
      <w:r w:rsidRPr="00046B6A">
        <w:rPr>
          <w:rFonts w:asciiTheme="majorHAnsi" w:eastAsia="Times New Roman" w:hAnsiTheme="majorHAnsi" w:cstheme="majorHAnsi"/>
          <w:i/>
          <w:iCs/>
          <w:sz w:val="24"/>
          <w:szCs w:val="24"/>
          <w:lang w:val="ro-RO"/>
        </w:rPr>
        <w:t>, în comparație cu anii 201</w:t>
      </w:r>
      <w:r w:rsidR="00AE4DDB" w:rsidRPr="00046B6A">
        <w:rPr>
          <w:rFonts w:asciiTheme="majorHAnsi" w:eastAsia="Times New Roman" w:hAnsiTheme="majorHAnsi" w:cstheme="majorHAnsi"/>
          <w:i/>
          <w:iCs/>
          <w:sz w:val="24"/>
          <w:szCs w:val="24"/>
          <w:lang w:val="ro-RO"/>
        </w:rPr>
        <w:t>8, 2019</w:t>
      </w:r>
      <w:r w:rsidRPr="00046B6A">
        <w:rPr>
          <w:rFonts w:asciiTheme="majorHAnsi" w:eastAsia="Times New Roman" w:hAnsiTheme="majorHAnsi" w:cstheme="majorHAnsi"/>
          <w:i/>
          <w:iCs/>
          <w:sz w:val="24"/>
          <w:szCs w:val="24"/>
          <w:lang w:val="ro-RO"/>
        </w:rPr>
        <w:t xml:space="preserve"> și 2</w:t>
      </w:r>
      <w:r w:rsidR="00814A01" w:rsidRPr="00046B6A">
        <w:rPr>
          <w:rFonts w:asciiTheme="majorHAnsi" w:eastAsia="Times New Roman" w:hAnsiTheme="majorHAnsi" w:cstheme="majorHAnsi"/>
          <w:i/>
          <w:iCs/>
          <w:sz w:val="24"/>
          <w:szCs w:val="24"/>
          <w:lang w:val="ro-RO"/>
        </w:rPr>
        <w:t>020, se prezintă în t</w:t>
      </w:r>
      <w:r w:rsidRPr="00046B6A">
        <w:rPr>
          <w:rFonts w:asciiTheme="majorHAnsi" w:eastAsia="Times New Roman" w:hAnsiTheme="majorHAnsi" w:cstheme="majorHAnsi"/>
          <w:i/>
          <w:iCs/>
          <w:sz w:val="24"/>
          <w:szCs w:val="24"/>
          <w:lang w:val="ro-RO"/>
        </w:rPr>
        <w:t>abelul ce urmează</w:t>
      </w:r>
      <w:r w:rsidR="00FA7524" w:rsidRPr="00046B6A">
        <w:rPr>
          <w:rFonts w:asciiTheme="majorHAnsi" w:eastAsia="Times New Roman" w:hAnsiTheme="majorHAnsi" w:cstheme="majorHAnsi"/>
          <w:i/>
          <w:iCs/>
          <w:sz w:val="24"/>
          <w:szCs w:val="24"/>
          <w:lang w:val="ro-RO"/>
        </w:rPr>
        <w:t>.</w:t>
      </w:r>
    </w:p>
    <w:p w14:paraId="25C5BF1D" w14:textId="77777777" w:rsidR="00814A01" w:rsidRPr="00E82CC1" w:rsidRDefault="00814A01" w:rsidP="00814A01">
      <w:pPr>
        <w:spacing w:after="0" w:line="276" w:lineRule="auto"/>
        <w:jc w:val="right"/>
        <w:rPr>
          <w:rFonts w:asciiTheme="majorHAnsi" w:eastAsia="Times New Roman" w:hAnsiTheme="majorHAnsi" w:cstheme="majorHAnsi"/>
          <w:b/>
          <w:sz w:val="24"/>
          <w:szCs w:val="24"/>
          <w:lang w:val="ro-RO"/>
        </w:rPr>
      </w:pPr>
      <w:r w:rsidRPr="00E82CC1">
        <w:rPr>
          <w:rFonts w:asciiTheme="majorHAnsi" w:eastAsia="Times New Roman" w:hAnsiTheme="majorHAnsi" w:cstheme="majorHAnsi"/>
          <w:b/>
          <w:sz w:val="24"/>
          <w:szCs w:val="24"/>
          <w:lang w:val="ro-RO"/>
        </w:rPr>
        <w:t>Tabelul nr.3</w:t>
      </w:r>
    </w:p>
    <w:p w14:paraId="2E418C89" w14:textId="5C840AB6" w:rsidR="00D91126" w:rsidRPr="00E82CC1" w:rsidRDefault="00D91126" w:rsidP="00814A01">
      <w:pPr>
        <w:spacing w:after="0" w:line="276" w:lineRule="auto"/>
        <w:jc w:val="right"/>
        <w:rPr>
          <w:rFonts w:asciiTheme="majorHAnsi" w:eastAsia="Times New Roman" w:hAnsiTheme="majorHAnsi" w:cstheme="majorHAnsi"/>
          <w:b/>
          <w:sz w:val="24"/>
          <w:szCs w:val="24"/>
          <w:lang w:val="ro-RO"/>
        </w:rPr>
      </w:pPr>
      <w:r w:rsidRPr="00E82CC1">
        <w:rPr>
          <w:rFonts w:asciiTheme="majorHAnsi" w:hAnsiTheme="majorHAnsi" w:cstheme="majorHAnsi"/>
          <w:b/>
          <w:sz w:val="24"/>
          <w:szCs w:val="24"/>
          <w:lang w:val="ro-RO"/>
        </w:rPr>
        <w:t>Dinamica cheltuielilor bugetului asigurărilor sociale de stat în anii 201</w:t>
      </w:r>
      <w:r w:rsidR="00AE4DDB">
        <w:rPr>
          <w:rFonts w:asciiTheme="majorHAnsi" w:hAnsiTheme="majorHAnsi" w:cstheme="majorHAnsi"/>
          <w:b/>
          <w:sz w:val="24"/>
          <w:szCs w:val="24"/>
          <w:lang w:val="ro-RO"/>
        </w:rPr>
        <w:t>8</w:t>
      </w:r>
      <w:r w:rsidRPr="00E82CC1">
        <w:rPr>
          <w:rFonts w:asciiTheme="majorHAnsi" w:hAnsiTheme="majorHAnsi" w:cstheme="majorHAnsi"/>
          <w:b/>
          <w:sz w:val="24"/>
          <w:szCs w:val="24"/>
          <w:lang w:val="ro-RO"/>
        </w:rPr>
        <w:t>-2021 (mil. lei)</w:t>
      </w:r>
      <w:r w:rsidR="00814A01" w:rsidRPr="00E82CC1">
        <w:rPr>
          <w:rFonts w:asciiTheme="majorHAnsi" w:eastAsia="Times New Roman" w:hAnsiTheme="majorHAnsi" w:cstheme="majorHAnsi"/>
          <w:b/>
          <w:sz w:val="24"/>
          <w:szCs w:val="24"/>
          <w:lang w:val="ro-RO"/>
        </w:rPr>
        <w:t xml:space="preserve"> </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00"/>
        <w:gridCol w:w="900"/>
        <w:gridCol w:w="990"/>
        <w:gridCol w:w="990"/>
        <w:gridCol w:w="900"/>
        <w:gridCol w:w="810"/>
        <w:gridCol w:w="810"/>
        <w:gridCol w:w="810"/>
        <w:gridCol w:w="900"/>
        <w:gridCol w:w="797"/>
      </w:tblGrid>
      <w:tr w:rsidR="001C7155" w:rsidRPr="00E82CC1" w14:paraId="3B3E0E4E" w14:textId="77777777" w:rsidTr="0012160B">
        <w:trPr>
          <w:trHeight w:val="269"/>
        </w:trPr>
        <w:tc>
          <w:tcPr>
            <w:tcW w:w="1165" w:type="dxa"/>
            <w:vMerge w:val="restart"/>
            <w:shd w:val="clear" w:color="auto" w:fill="auto"/>
            <w:hideMark/>
          </w:tcPr>
          <w:p w14:paraId="770C1308"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Indicatori</w:t>
            </w:r>
          </w:p>
        </w:tc>
        <w:tc>
          <w:tcPr>
            <w:tcW w:w="3780" w:type="dxa"/>
            <w:gridSpan w:val="4"/>
          </w:tcPr>
          <w:p w14:paraId="25431DA2"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 </w:t>
            </w:r>
          </w:p>
        </w:tc>
        <w:tc>
          <w:tcPr>
            <w:tcW w:w="1710" w:type="dxa"/>
            <w:gridSpan w:val="2"/>
            <w:shd w:val="clear" w:color="auto" w:fill="auto"/>
            <w:hideMark/>
          </w:tcPr>
          <w:p w14:paraId="01D834A1" w14:textId="77777777" w:rsidR="00FA7524" w:rsidRDefault="001C7155" w:rsidP="00FA752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Devieri</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 xml:space="preserve"> </w:t>
            </w:r>
          </w:p>
          <w:p w14:paraId="1AD48FEB" w14:textId="7D8D0496" w:rsidR="001C7155" w:rsidRPr="00E82CC1" w:rsidRDefault="001C7155" w:rsidP="00FA7524">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2021</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2020</w:t>
            </w:r>
          </w:p>
        </w:tc>
        <w:tc>
          <w:tcPr>
            <w:tcW w:w="1620" w:type="dxa"/>
            <w:gridSpan w:val="2"/>
            <w:shd w:val="clear" w:color="auto" w:fill="auto"/>
            <w:hideMark/>
          </w:tcPr>
          <w:p w14:paraId="0578B700" w14:textId="77777777" w:rsidR="00FA7524" w:rsidRDefault="001C7155" w:rsidP="00FA752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Devieri</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 xml:space="preserve"> </w:t>
            </w:r>
          </w:p>
          <w:p w14:paraId="67A1E975" w14:textId="25F5F930" w:rsidR="001C7155" w:rsidRPr="00E82CC1" w:rsidRDefault="001C7155" w:rsidP="00FA7524">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2021</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2019</w:t>
            </w:r>
          </w:p>
        </w:tc>
        <w:tc>
          <w:tcPr>
            <w:tcW w:w="1697" w:type="dxa"/>
            <w:gridSpan w:val="2"/>
          </w:tcPr>
          <w:p w14:paraId="0E0DAD7D" w14:textId="77777777" w:rsidR="00FA7524" w:rsidRDefault="001C7155" w:rsidP="00FA752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Devieri</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 xml:space="preserve"> </w:t>
            </w:r>
          </w:p>
          <w:p w14:paraId="49862B75" w14:textId="6865624E" w:rsidR="001C7155" w:rsidRPr="00E82CC1" w:rsidRDefault="001C7155" w:rsidP="00FA752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2021</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2018</w:t>
            </w:r>
          </w:p>
        </w:tc>
      </w:tr>
      <w:tr w:rsidR="001C7155" w:rsidRPr="00E82CC1" w14:paraId="44B70E0B" w14:textId="77777777" w:rsidTr="0012160B">
        <w:trPr>
          <w:trHeight w:val="269"/>
        </w:trPr>
        <w:tc>
          <w:tcPr>
            <w:tcW w:w="1165" w:type="dxa"/>
            <w:vMerge/>
            <w:shd w:val="clear" w:color="auto" w:fill="auto"/>
            <w:vAlign w:val="center"/>
            <w:hideMark/>
          </w:tcPr>
          <w:p w14:paraId="56B7A844" w14:textId="77777777" w:rsidR="001C7155" w:rsidRPr="00E82CC1" w:rsidRDefault="001C7155" w:rsidP="0012160B">
            <w:pPr>
              <w:spacing w:after="0" w:line="240" w:lineRule="auto"/>
              <w:rPr>
                <w:rFonts w:ascii="Calibri Light" w:eastAsia="Times New Roman" w:hAnsi="Calibri Light" w:cs="Calibri Light"/>
                <w:b/>
                <w:bCs/>
                <w:color w:val="000000"/>
                <w:sz w:val="20"/>
                <w:szCs w:val="20"/>
              </w:rPr>
            </w:pPr>
          </w:p>
        </w:tc>
        <w:tc>
          <w:tcPr>
            <w:tcW w:w="900" w:type="dxa"/>
          </w:tcPr>
          <w:p w14:paraId="5EBF220D"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2018</w:t>
            </w:r>
          </w:p>
        </w:tc>
        <w:tc>
          <w:tcPr>
            <w:tcW w:w="900" w:type="dxa"/>
            <w:shd w:val="clear" w:color="auto" w:fill="auto"/>
            <w:hideMark/>
          </w:tcPr>
          <w:p w14:paraId="658A3565"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2019</w:t>
            </w:r>
          </w:p>
        </w:tc>
        <w:tc>
          <w:tcPr>
            <w:tcW w:w="990" w:type="dxa"/>
            <w:shd w:val="clear" w:color="auto" w:fill="auto"/>
            <w:hideMark/>
          </w:tcPr>
          <w:p w14:paraId="022F5A62"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2020</w:t>
            </w:r>
          </w:p>
        </w:tc>
        <w:tc>
          <w:tcPr>
            <w:tcW w:w="990" w:type="dxa"/>
            <w:shd w:val="clear" w:color="auto" w:fill="auto"/>
            <w:hideMark/>
          </w:tcPr>
          <w:p w14:paraId="6DAB0A49"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2021</w:t>
            </w:r>
          </w:p>
        </w:tc>
        <w:tc>
          <w:tcPr>
            <w:tcW w:w="900" w:type="dxa"/>
            <w:shd w:val="clear" w:color="auto" w:fill="auto"/>
            <w:hideMark/>
          </w:tcPr>
          <w:p w14:paraId="55B68490"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810" w:type="dxa"/>
            <w:shd w:val="clear" w:color="auto" w:fill="auto"/>
            <w:hideMark/>
          </w:tcPr>
          <w:p w14:paraId="56086466"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810" w:type="dxa"/>
            <w:shd w:val="clear" w:color="auto" w:fill="auto"/>
            <w:hideMark/>
          </w:tcPr>
          <w:p w14:paraId="1B007FF6"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810" w:type="dxa"/>
            <w:shd w:val="clear" w:color="auto" w:fill="auto"/>
            <w:hideMark/>
          </w:tcPr>
          <w:p w14:paraId="7D39D136"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900" w:type="dxa"/>
          </w:tcPr>
          <w:p w14:paraId="2E1C0472"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w:t>
            </w:r>
          </w:p>
        </w:tc>
        <w:tc>
          <w:tcPr>
            <w:tcW w:w="797" w:type="dxa"/>
          </w:tcPr>
          <w:p w14:paraId="03E35EC3"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w:t>
            </w:r>
          </w:p>
        </w:tc>
      </w:tr>
      <w:tr w:rsidR="001C7155" w:rsidRPr="00E82CC1" w14:paraId="45C0C1DE" w14:textId="77777777" w:rsidTr="0012160B">
        <w:trPr>
          <w:trHeight w:val="269"/>
        </w:trPr>
        <w:tc>
          <w:tcPr>
            <w:tcW w:w="1165" w:type="dxa"/>
            <w:shd w:val="clear" w:color="auto" w:fill="auto"/>
            <w:hideMark/>
          </w:tcPr>
          <w:p w14:paraId="3DA2A678"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1</w:t>
            </w:r>
          </w:p>
        </w:tc>
        <w:tc>
          <w:tcPr>
            <w:tcW w:w="900" w:type="dxa"/>
          </w:tcPr>
          <w:p w14:paraId="23D927B5"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lang w:val="ro-RO"/>
              </w:rPr>
            </w:pPr>
            <w:r w:rsidRPr="00E82CC1">
              <w:rPr>
                <w:rFonts w:ascii="Calibri Light" w:eastAsia="Times New Roman" w:hAnsi="Calibri Light" w:cs="Calibri Light"/>
                <w:b/>
                <w:bCs/>
                <w:color w:val="000000"/>
                <w:sz w:val="16"/>
                <w:szCs w:val="16"/>
                <w:lang w:val="ro-RO"/>
              </w:rPr>
              <w:t>2</w:t>
            </w:r>
          </w:p>
        </w:tc>
        <w:tc>
          <w:tcPr>
            <w:tcW w:w="900" w:type="dxa"/>
            <w:shd w:val="clear" w:color="auto" w:fill="auto"/>
            <w:hideMark/>
          </w:tcPr>
          <w:p w14:paraId="5CD503A0"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3</w:t>
            </w:r>
          </w:p>
        </w:tc>
        <w:tc>
          <w:tcPr>
            <w:tcW w:w="990" w:type="dxa"/>
            <w:shd w:val="clear" w:color="auto" w:fill="auto"/>
            <w:hideMark/>
          </w:tcPr>
          <w:p w14:paraId="72F8E5CB"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4</w:t>
            </w:r>
          </w:p>
        </w:tc>
        <w:tc>
          <w:tcPr>
            <w:tcW w:w="990" w:type="dxa"/>
            <w:shd w:val="clear" w:color="auto" w:fill="auto"/>
            <w:hideMark/>
          </w:tcPr>
          <w:p w14:paraId="51948053"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rPr>
              <w:t>5</w:t>
            </w:r>
          </w:p>
        </w:tc>
        <w:tc>
          <w:tcPr>
            <w:tcW w:w="900" w:type="dxa"/>
            <w:shd w:val="clear" w:color="auto" w:fill="auto"/>
            <w:hideMark/>
          </w:tcPr>
          <w:p w14:paraId="490BD96D"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6=5-4</w:t>
            </w:r>
          </w:p>
        </w:tc>
        <w:tc>
          <w:tcPr>
            <w:tcW w:w="810" w:type="dxa"/>
            <w:shd w:val="clear" w:color="auto" w:fill="auto"/>
            <w:hideMark/>
          </w:tcPr>
          <w:p w14:paraId="66A10C4D"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 7=5*100/4</w:t>
            </w:r>
          </w:p>
        </w:tc>
        <w:tc>
          <w:tcPr>
            <w:tcW w:w="810" w:type="dxa"/>
            <w:shd w:val="clear" w:color="auto" w:fill="auto"/>
            <w:hideMark/>
          </w:tcPr>
          <w:p w14:paraId="4B61E0C8"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8=5-3</w:t>
            </w:r>
          </w:p>
        </w:tc>
        <w:tc>
          <w:tcPr>
            <w:tcW w:w="810" w:type="dxa"/>
            <w:shd w:val="clear" w:color="auto" w:fill="auto"/>
            <w:hideMark/>
          </w:tcPr>
          <w:p w14:paraId="04F92756"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9=5*100/3</w:t>
            </w:r>
          </w:p>
        </w:tc>
        <w:tc>
          <w:tcPr>
            <w:tcW w:w="900" w:type="dxa"/>
          </w:tcPr>
          <w:p w14:paraId="6566B713"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lang w:val="ro-RO"/>
              </w:rPr>
            </w:pPr>
            <w:r w:rsidRPr="00E82CC1">
              <w:rPr>
                <w:rFonts w:ascii="Calibri Light" w:eastAsia="Times New Roman" w:hAnsi="Calibri Light" w:cs="Calibri Light"/>
                <w:b/>
                <w:bCs/>
                <w:color w:val="000000"/>
                <w:sz w:val="16"/>
                <w:szCs w:val="16"/>
                <w:lang w:val="ro-RO"/>
              </w:rPr>
              <w:t>10=5-2</w:t>
            </w:r>
          </w:p>
        </w:tc>
        <w:tc>
          <w:tcPr>
            <w:tcW w:w="797" w:type="dxa"/>
          </w:tcPr>
          <w:p w14:paraId="308A53E2"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lang w:val="ro-RO"/>
              </w:rPr>
            </w:pPr>
            <w:r w:rsidRPr="00E82CC1">
              <w:rPr>
                <w:rFonts w:ascii="Calibri Light" w:eastAsia="Times New Roman" w:hAnsi="Calibri Light" w:cs="Calibri Light"/>
                <w:b/>
                <w:bCs/>
                <w:color w:val="000000"/>
                <w:sz w:val="16"/>
                <w:szCs w:val="16"/>
                <w:lang w:val="ro-RO"/>
              </w:rPr>
              <w:t>11=5*100/2</w:t>
            </w:r>
          </w:p>
        </w:tc>
      </w:tr>
      <w:tr w:rsidR="001C7155" w:rsidRPr="00E82CC1" w14:paraId="574ED1C9" w14:textId="77777777" w:rsidTr="0012160B">
        <w:trPr>
          <w:trHeight w:val="269"/>
        </w:trPr>
        <w:tc>
          <w:tcPr>
            <w:tcW w:w="1165" w:type="dxa"/>
            <w:shd w:val="clear" w:color="auto" w:fill="auto"/>
            <w:hideMark/>
          </w:tcPr>
          <w:p w14:paraId="0EDA4768" w14:textId="77777777" w:rsidR="001C7155" w:rsidRPr="00E82CC1" w:rsidRDefault="001C7155" w:rsidP="0012160B">
            <w:pPr>
              <w:spacing w:after="0" w:line="240" w:lineRule="auto"/>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Cheltuieli precizate</w:t>
            </w:r>
          </w:p>
        </w:tc>
        <w:tc>
          <w:tcPr>
            <w:tcW w:w="900" w:type="dxa"/>
            <w:vAlign w:val="bottom"/>
          </w:tcPr>
          <w:p w14:paraId="66F20784" w14:textId="77777777" w:rsidR="001C7155" w:rsidRPr="00E82CC1" w:rsidRDefault="001C7155" w:rsidP="0012160B">
            <w:pPr>
              <w:spacing w:after="0"/>
              <w:jc w:val="right"/>
              <w:rPr>
                <w:rFonts w:asciiTheme="majorHAnsi" w:hAnsiTheme="majorHAnsi" w:cstheme="majorHAnsi"/>
                <w:b/>
                <w:bCs/>
                <w:iCs/>
                <w:color w:val="000000"/>
                <w:sz w:val="20"/>
                <w:szCs w:val="20"/>
                <w:lang w:val="ro-RO"/>
              </w:rPr>
            </w:pPr>
            <w:r w:rsidRPr="00E82CC1">
              <w:rPr>
                <w:rFonts w:asciiTheme="majorHAnsi" w:hAnsiTheme="majorHAnsi" w:cstheme="majorHAnsi"/>
                <w:b/>
                <w:bCs/>
                <w:iCs/>
                <w:color w:val="000000"/>
                <w:sz w:val="20"/>
                <w:szCs w:val="20"/>
                <w:lang w:val="ro-RO"/>
              </w:rPr>
              <w:t>19605.4</w:t>
            </w:r>
          </w:p>
        </w:tc>
        <w:tc>
          <w:tcPr>
            <w:tcW w:w="900" w:type="dxa"/>
            <w:shd w:val="clear" w:color="auto" w:fill="auto"/>
            <w:vAlign w:val="bottom"/>
            <w:hideMark/>
          </w:tcPr>
          <w:p w14:paraId="6E174FA2"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21866.5</w:t>
            </w:r>
          </w:p>
        </w:tc>
        <w:tc>
          <w:tcPr>
            <w:tcW w:w="990" w:type="dxa"/>
            <w:shd w:val="clear" w:color="auto" w:fill="auto"/>
            <w:vAlign w:val="bottom"/>
            <w:hideMark/>
          </w:tcPr>
          <w:p w14:paraId="0F56DD49"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24549.9</w:t>
            </w:r>
          </w:p>
        </w:tc>
        <w:tc>
          <w:tcPr>
            <w:tcW w:w="990" w:type="dxa"/>
            <w:shd w:val="clear" w:color="auto" w:fill="auto"/>
            <w:vAlign w:val="bottom"/>
            <w:hideMark/>
          </w:tcPr>
          <w:p w14:paraId="1273EE7F"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27606.4</w:t>
            </w:r>
          </w:p>
        </w:tc>
        <w:tc>
          <w:tcPr>
            <w:tcW w:w="900" w:type="dxa"/>
            <w:shd w:val="clear" w:color="auto" w:fill="auto"/>
            <w:vAlign w:val="bottom"/>
            <w:hideMark/>
          </w:tcPr>
          <w:p w14:paraId="049141BA"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3056.5</w:t>
            </w:r>
          </w:p>
        </w:tc>
        <w:tc>
          <w:tcPr>
            <w:tcW w:w="810" w:type="dxa"/>
            <w:shd w:val="clear" w:color="auto" w:fill="auto"/>
            <w:vAlign w:val="bottom"/>
            <w:hideMark/>
          </w:tcPr>
          <w:p w14:paraId="539329E7"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112.45</w:t>
            </w:r>
          </w:p>
        </w:tc>
        <w:tc>
          <w:tcPr>
            <w:tcW w:w="810" w:type="dxa"/>
            <w:shd w:val="clear" w:color="auto" w:fill="auto"/>
            <w:vAlign w:val="bottom"/>
            <w:hideMark/>
          </w:tcPr>
          <w:p w14:paraId="4FBB58A3"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5739.9</w:t>
            </w:r>
          </w:p>
        </w:tc>
        <w:tc>
          <w:tcPr>
            <w:tcW w:w="810" w:type="dxa"/>
            <w:shd w:val="clear" w:color="auto" w:fill="auto"/>
            <w:vAlign w:val="bottom"/>
            <w:hideMark/>
          </w:tcPr>
          <w:p w14:paraId="61443742"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126.25</w:t>
            </w:r>
          </w:p>
        </w:tc>
        <w:tc>
          <w:tcPr>
            <w:tcW w:w="900" w:type="dxa"/>
            <w:vAlign w:val="bottom"/>
          </w:tcPr>
          <w:p w14:paraId="1108DB36"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8 001</w:t>
            </w:r>
          </w:p>
        </w:tc>
        <w:tc>
          <w:tcPr>
            <w:tcW w:w="797" w:type="dxa"/>
            <w:vAlign w:val="bottom"/>
          </w:tcPr>
          <w:p w14:paraId="1BCE603D"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140.8</w:t>
            </w:r>
          </w:p>
        </w:tc>
      </w:tr>
      <w:tr w:rsidR="001C7155" w:rsidRPr="00E82CC1" w14:paraId="2A3FD957" w14:textId="77777777" w:rsidTr="0012160B">
        <w:trPr>
          <w:trHeight w:val="507"/>
        </w:trPr>
        <w:tc>
          <w:tcPr>
            <w:tcW w:w="1165" w:type="dxa"/>
            <w:shd w:val="clear" w:color="auto" w:fill="D9D9D9" w:themeFill="background1" w:themeFillShade="D9"/>
            <w:hideMark/>
          </w:tcPr>
          <w:p w14:paraId="05D2ECC1" w14:textId="77777777" w:rsidR="001C7155" w:rsidRPr="00E82CC1" w:rsidRDefault="001C7155" w:rsidP="0012160B">
            <w:pPr>
              <w:spacing w:after="0" w:line="240" w:lineRule="auto"/>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 xml:space="preserve">Cheltuieli executate, </w:t>
            </w:r>
            <w:r w:rsidRPr="00E82CC1">
              <w:rPr>
                <w:rFonts w:ascii="Calibri Light" w:eastAsia="Times New Roman" w:hAnsi="Calibri Light" w:cs="Calibri Light"/>
                <w:b/>
                <w:bCs/>
                <w:color w:val="000000"/>
                <w:sz w:val="18"/>
                <w:szCs w:val="18"/>
                <w:lang w:val="ro-RO"/>
              </w:rPr>
              <w:t>inclusiv</w:t>
            </w:r>
            <w:r w:rsidRPr="00E82CC1">
              <w:rPr>
                <w:rFonts w:ascii="Calibri Light" w:eastAsia="Times New Roman" w:hAnsi="Calibri Light" w:cs="Calibri Light"/>
                <w:b/>
                <w:bCs/>
                <w:color w:val="000000"/>
                <w:sz w:val="20"/>
                <w:szCs w:val="20"/>
                <w:lang w:val="ro-RO"/>
              </w:rPr>
              <w:t>:</w:t>
            </w:r>
          </w:p>
        </w:tc>
        <w:tc>
          <w:tcPr>
            <w:tcW w:w="900" w:type="dxa"/>
            <w:shd w:val="clear" w:color="auto" w:fill="D9D9D9" w:themeFill="background1" w:themeFillShade="D9"/>
            <w:vAlign w:val="bottom"/>
          </w:tcPr>
          <w:p w14:paraId="07D16EB3" w14:textId="77777777" w:rsidR="001C7155" w:rsidRPr="00E82CC1" w:rsidRDefault="001C7155" w:rsidP="0012160B">
            <w:pPr>
              <w:spacing w:after="0"/>
              <w:jc w:val="right"/>
              <w:rPr>
                <w:rFonts w:asciiTheme="majorHAnsi" w:hAnsiTheme="majorHAnsi" w:cstheme="majorHAnsi"/>
                <w:bCs/>
                <w:iCs/>
                <w:color w:val="000000"/>
                <w:sz w:val="20"/>
                <w:szCs w:val="20"/>
                <w:lang w:val="ro-RO"/>
              </w:rPr>
            </w:pPr>
            <w:r w:rsidRPr="00E82CC1">
              <w:rPr>
                <w:rFonts w:asciiTheme="majorHAnsi" w:hAnsiTheme="majorHAnsi" w:cstheme="majorHAnsi"/>
                <w:bCs/>
                <w:iCs/>
                <w:color w:val="000000"/>
                <w:sz w:val="20"/>
                <w:szCs w:val="20"/>
                <w:lang w:val="ro-RO"/>
              </w:rPr>
              <w:t>19410.8</w:t>
            </w:r>
          </w:p>
        </w:tc>
        <w:tc>
          <w:tcPr>
            <w:tcW w:w="900" w:type="dxa"/>
            <w:shd w:val="clear" w:color="auto" w:fill="D9D9D9" w:themeFill="background1" w:themeFillShade="D9"/>
            <w:vAlign w:val="bottom"/>
            <w:hideMark/>
          </w:tcPr>
          <w:p w14:paraId="0890808E"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21589.8</w:t>
            </w:r>
          </w:p>
        </w:tc>
        <w:tc>
          <w:tcPr>
            <w:tcW w:w="990" w:type="dxa"/>
            <w:shd w:val="clear" w:color="auto" w:fill="D9D9D9" w:themeFill="background1" w:themeFillShade="D9"/>
            <w:vAlign w:val="bottom"/>
            <w:hideMark/>
          </w:tcPr>
          <w:p w14:paraId="2AA06B8E"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24230.7</w:t>
            </w:r>
          </w:p>
        </w:tc>
        <w:tc>
          <w:tcPr>
            <w:tcW w:w="990" w:type="dxa"/>
            <w:shd w:val="clear" w:color="auto" w:fill="D9D9D9" w:themeFill="background1" w:themeFillShade="D9"/>
            <w:vAlign w:val="bottom"/>
            <w:hideMark/>
          </w:tcPr>
          <w:p w14:paraId="674AE141"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rPr>
              <w:t>27172.1</w:t>
            </w:r>
          </w:p>
        </w:tc>
        <w:tc>
          <w:tcPr>
            <w:tcW w:w="900" w:type="dxa"/>
            <w:shd w:val="clear" w:color="auto" w:fill="D9D9D9" w:themeFill="background1" w:themeFillShade="D9"/>
            <w:vAlign w:val="bottom"/>
            <w:hideMark/>
          </w:tcPr>
          <w:p w14:paraId="3EB05D12"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2941.4</w:t>
            </w:r>
          </w:p>
        </w:tc>
        <w:tc>
          <w:tcPr>
            <w:tcW w:w="810" w:type="dxa"/>
            <w:shd w:val="clear" w:color="auto" w:fill="D9D9D9" w:themeFill="background1" w:themeFillShade="D9"/>
            <w:vAlign w:val="bottom"/>
            <w:hideMark/>
          </w:tcPr>
          <w:p w14:paraId="0EEF48F1"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112.14</w:t>
            </w:r>
          </w:p>
        </w:tc>
        <w:tc>
          <w:tcPr>
            <w:tcW w:w="810" w:type="dxa"/>
            <w:shd w:val="clear" w:color="auto" w:fill="D9D9D9" w:themeFill="background1" w:themeFillShade="D9"/>
            <w:vAlign w:val="bottom"/>
            <w:hideMark/>
          </w:tcPr>
          <w:p w14:paraId="0CCE1162"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5582.3</w:t>
            </w:r>
          </w:p>
        </w:tc>
        <w:tc>
          <w:tcPr>
            <w:tcW w:w="810" w:type="dxa"/>
            <w:shd w:val="clear" w:color="auto" w:fill="D9D9D9" w:themeFill="background1" w:themeFillShade="D9"/>
            <w:vAlign w:val="bottom"/>
            <w:hideMark/>
          </w:tcPr>
          <w:p w14:paraId="587D892F"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125.86</w:t>
            </w:r>
          </w:p>
        </w:tc>
        <w:tc>
          <w:tcPr>
            <w:tcW w:w="900" w:type="dxa"/>
            <w:shd w:val="clear" w:color="auto" w:fill="D9D9D9" w:themeFill="background1" w:themeFillShade="D9"/>
            <w:vAlign w:val="bottom"/>
          </w:tcPr>
          <w:p w14:paraId="6304ACD5"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7 761.3</w:t>
            </w:r>
          </w:p>
        </w:tc>
        <w:tc>
          <w:tcPr>
            <w:tcW w:w="797" w:type="dxa"/>
            <w:shd w:val="clear" w:color="auto" w:fill="D9D9D9" w:themeFill="background1" w:themeFillShade="D9"/>
            <w:vAlign w:val="bottom"/>
          </w:tcPr>
          <w:p w14:paraId="456762A3"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139.9</w:t>
            </w:r>
          </w:p>
        </w:tc>
      </w:tr>
      <w:tr w:rsidR="001C7155" w:rsidRPr="00E82CC1" w14:paraId="51384524" w14:textId="77777777" w:rsidTr="0012160B">
        <w:trPr>
          <w:trHeight w:val="269"/>
        </w:trPr>
        <w:tc>
          <w:tcPr>
            <w:tcW w:w="1165" w:type="dxa"/>
            <w:shd w:val="clear" w:color="auto" w:fill="auto"/>
          </w:tcPr>
          <w:p w14:paraId="15520F8D" w14:textId="006A5F88" w:rsidR="001C7155" w:rsidRPr="00E82CC1" w:rsidRDefault="001C7155" w:rsidP="001C7155">
            <w:pPr>
              <w:spacing w:after="0" w:line="240" w:lineRule="auto"/>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Prestaţii sociale</w:t>
            </w:r>
          </w:p>
        </w:tc>
        <w:tc>
          <w:tcPr>
            <w:tcW w:w="900" w:type="dxa"/>
            <w:vAlign w:val="bottom"/>
          </w:tcPr>
          <w:p w14:paraId="082B53B1" w14:textId="0BDF859A"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19110.7</w:t>
            </w:r>
          </w:p>
        </w:tc>
        <w:tc>
          <w:tcPr>
            <w:tcW w:w="900" w:type="dxa"/>
            <w:shd w:val="clear" w:color="auto" w:fill="auto"/>
            <w:vAlign w:val="bottom"/>
          </w:tcPr>
          <w:p w14:paraId="01365B03" w14:textId="19152A55"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21206.2</w:t>
            </w:r>
          </w:p>
        </w:tc>
        <w:tc>
          <w:tcPr>
            <w:tcW w:w="990" w:type="dxa"/>
            <w:shd w:val="clear" w:color="auto" w:fill="auto"/>
            <w:vAlign w:val="bottom"/>
          </w:tcPr>
          <w:p w14:paraId="1D4E2DED" w14:textId="5C05C57F"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23837.8</w:t>
            </w:r>
          </w:p>
        </w:tc>
        <w:tc>
          <w:tcPr>
            <w:tcW w:w="990" w:type="dxa"/>
            <w:shd w:val="clear" w:color="auto" w:fill="auto"/>
            <w:vAlign w:val="bottom"/>
          </w:tcPr>
          <w:p w14:paraId="5B449A8A" w14:textId="64768DB0"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26756.3</w:t>
            </w:r>
          </w:p>
        </w:tc>
        <w:tc>
          <w:tcPr>
            <w:tcW w:w="900" w:type="dxa"/>
            <w:shd w:val="clear" w:color="auto" w:fill="auto"/>
            <w:vAlign w:val="bottom"/>
          </w:tcPr>
          <w:p w14:paraId="71E9835F" w14:textId="3326745A"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2918.5</w:t>
            </w:r>
          </w:p>
        </w:tc>
        <w:tc>
          <w:tcPr>
            <w:tcW w:w="810" w:type="dxa"/>
            <w:shd w:val="clear" w:color="auto" w:fill="auto"/>
            <w:vAlign w:val="bottom"/>
          </w:tcPr>
          <w:p w14:paraId="2661D6F0" w14:textId="654A6B3F"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112.24</w:t>
            </w:r>
          </w:p>
        </w:tc>
        <w:tc>
          <w:tcPr>
            <w:tcW w:w="810" w:type="dxa"/>
            <w:shd w:val="clear" w:color="auto" w:fill="auto"/>
            <w:vAlign w:val="bottom"/>
          </w:tcPr>
          <w:p w14:paraId="127F7FBF" w14:textId="730145D2"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5550.1</w:t>
            </w:r>
          </w:p>
        </w:tc>
        <w:tc>
          <w:tcPr>
            <w:tcW w:w="810" w:type="dxa"/>
            <w:shd w:val="clear" w:color="auto" w:fill="auto"/>
            <w:vAlign w:val="bottom"/>
          </w:tcPr>
          <w:p w14:paraId="40546B99" w14:textId="12E085BF"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126.17</w:t>
            </w:r>
          </w:p>
        </w:tc>
        <w:tc>
          <w:tcPr>
            <w:tcW w:w="900" w:type="dxa"/>
            <w:vAlign w:val="bottom"/>
          </w:tcPr>
          <w:p w14:paraId="01B0A2AE" w14:textId="4A77BEFC"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7645.6</w:t>
            </w:r>
          </w:p>
        </w:tc>
        <w:tc>
          <w:tcPr>
            <w:tcW w:w="797" w:type="dxa"/>
            <w:vAlign w:val="bottom"/>
          </w:tcPr>
          <w:p w14:paraId="705D955F" w14:textId="6EE6B823"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140.0</w:t>
            </w:r>
          </w:p>
        </w:tc>
      </w:tr>
      <w:tr w:rsidR="001C7155" w:rsidRPr="00E82CC1" w14:paraId="4D214827" w14:textId="77777777" w:rsidTr="0012160B">
        <w:trPr>
          <w:trHeight w:val="269"/>
        </w:trPr>
        <w:tc>
          <w:tcPr>
            <w:tcW w:w="1165" w:type="dxa"/>
            <w:shd w:val="clear" w:color="auto" w:fill="auto"/>
          </w:tcPr>
          <w:p w14:paraId="45097BC3" w14:textId="011A47ED" w:rsidR="001C7155" w:rsidRPr="00E82CC1" w:rsidRDefault="001C7155" w:rsidP="001C7155">
            <w:pPr>
              <w:spacing w:after="0" w:line="240" w:lineRule="auto"/>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Bunuri şi servicii</w:t>
            </w:r>
          </w:p>
        </w:tc>
        <w:tc>
          <w:tcPr>
            <w:tcW w:w="900" w:type="dxa"/>
            <w:vAlign w:val="bottom"/>
          </w:tcPr>
          <w:p w14:paraId="17DDB265" w14:textId="6845F5C2"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183.6</w:t>
            </w:r>
          </w:p>
        </w:tc>
        <w:tc>
          <w:tcPr>
            <w:tcW w:w="900" w:type="dxa"/>
            <w:shd w:val="clear" w:color="auto" w:fill="auto"/>
            <w:vAlign w:val="bottom"/>
          </w:tcPr>
          <w:p w14:paraId="2F119C44" w14:textId="5EF20930"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235.8</w:t>
            </w:r>
          </w:p>
        </w:tc>
        <w:tc>
          <w:tcPr>
            <w:tcW w:w="990" w:type="dxa"/>
            <w:shd w:val="clear" w:color="auto" w:fill="auto"/>
            <w:vAlign w:val="bottom"/>
          </w:tcPr>
          <w:p w14:paraId="51A4B2CC" w14:textId="06576975"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230.3</w:t>
            </w:r>
          </w:p>
        </w:tc>
        <w:tc>
          <w:tcPr>
            <w:tcW w:w="990" w:type="dxa"/>
            <w:shd w:val="clear" w:color="auto" w:fill="auto"/>
            <w:vAlign w:val="bottom"/>
          </w:tcPr>
          <w:p w14:paraId="366C0AA3" w14:textId="62755A02"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235.4</w:t>
            </w:r>
          </w:p>
        </w:tc>
        <w:tc>
          <w:tcPr>
            <w:tcW w:w="900" w:type="dxa"/>
            <w:shd w:val="clear" w:color="auto" w:fill="auto"/>
            <w:vAlign w:val="bottom"/>
          </w:tcPr>
          <w:p w14:paraId="69E0D07A" w14:textId="4B0AFAE2"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5.1</w:t>
            </w:r>
          </w:p>
        </w:tc>
        <w:tc>
          <w:tcPr>
            <w:tcW w:w="810" w:type="dxa"/>
            <w:shd w:val="clear" w:color="auto" w:fill="auto"/>
            <w:vAlign w:val="bottom"/>
          </w:tcPr>
          <w:p w14:paraId="70AABA2D" w14:textId="7F47891D"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102.21</w:t>
            </w:r>
          </w:p>
        </w:tc>
        <w:tc>
          <w:tcPr>
            <w:tcW w:w="810" w:type="dxa"/>
            <w:shd w:val="clear" w:color="auto" w:fill="auto"/>
            <w:vAlign w:val="bottom"/>
          </w:tcPr>
          <w:p w14:paraId="60B532BA" w14:textId="766415A4"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-0.4</w:t>
            </w:r>
          </w:p>
        </w:tc>
        <w:tc>
          <w:tcPr>
            <w:tcW w:w="810" w:type="dxa"/>
            <w:shd w:val="clear" w:color="auto" w:fill="auto"/>
            <w:vAlign w:val="bottom"/>
          </w:tcPr>
          <w:p w14:paraId="2267F671" w14:textId="789F3B5F"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99.83</w:t>
            </w:r>
          </w:p>
        </w:tc>
        <w:tc>
          <w:tcPr>
            <w:tcW w:w="900" w:type="dxa"/>
            <w:vAlign w:val="bottom"/>
          </w:tcPr>
          <w:p w14:paraId="096623F9" w14:textId="0FB5A30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51.8</w:t>
            </w:r>
          </w:p>
        </w:tc>
        <w:tc>
          <w:tcPr>
            <w:tcW w:w="797" w:type="dxa"/>
            <w:vAlign w:val="bottom"/>
          </w:tcPr>
          <w:p w14:paraId="2E7EAF8C" w14:textId="463BEC3B"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128.2</w:t>
            </w:r>
          </w:p>
        </w:tc>
      </w:tr>
      <w:tr w:rsidR="001C7155" w:rsidRPr="00E82CC1" w14:paraId="503862D3" w14:textId="77777777" w:rsidTr="0012160B">
        <w:trPr>
          <w:trHeight w:val="269"/>
        </w:trPr>
        <w:tc>
          <w:tcPr>
            <w:tcW w:w="1165" w:type="dxa"/>
            <w:shd w:val="clear" w:color="auto" w:fill="auto"/>
            <w:hideMark/>
          </w:tcPr>
          <w:p w14:paraId="6E819513" w14:textId="77777777" w:rsidR="001C7155" w:rsidRPr="00E82CC1" w:rsidRDefault="001C7155" w:rsidP="001C7155">
            <w:pPr>
              <w:spacing w:after="0" w:line="240" w:lineRule="auto"/>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Cheltuieli de personal</w:t>
            </w:r>
          </w:p>
        </w:tc>
        <w:tc>
          <w:tcPr>
            <w:tcW w:w="900" w:type="dxa"/>
            <w:vAlign w:val="bottom"/>
          </w:tcPr>
          <w:p w14:paraId="7C40FC20" w14:textId="77777777"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113.1</w:t>
            </w:r>
          </w:p>
        </w:tc>
        <w:tc>
          <w:tcPr>
            <w:tcW w:w="900" w:type="dxa"/>
            <w:shd w:val="clear" w:color="auto" w:fill="auto"/>
            <w:vAlign w:val="bottom"/>
            <w:hideMark/>
          </w:tcPr>
          <w:p w14:paraId="64154C23" w14:textId="77777777"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142.9</w:t>
            </w:r>
          </w:p>
        </w:tc>
        <w:tc>
          <w:tcPr>
            <w:tcW w:w="990" w:type="dxa"/>
            <w:shd w:val="clear" w:color="auto" w:fill="auto"/>
            <w:vAlign w:val="bottom"/>
            <w:hideMark/>
          </w:tcPr>
          <w:p w14:paraId="2016C5F1" w14:textId="77777777"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158</w:t>
            </w:r>
          </w:p>
        </w:tc>
        <w:tc>
          <w:tcPr>
            <w:tcW w:w="990" w:type="dxa"/>
            <w:shd w:val="clear" w:color="auto" w:fill="auto"/>
            <w:vAlign w:val="bottom"/>
            <w:hideMark/>
          </w:tcPr>
          <w:p w14:paraId="24B45F42" w14:textId="77777777"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175.4</w:t>
            </w:r>
          </w:p>
        </w:tc>
        <w:tc>
          <w:tcPr>
            <w:tcW w:w="900" w:type="dxa"/>
            <w:shd w:val="clear" w:color="auto" w:fill="auto"/>
            <w:vAlign w:val="bottom"/>
            <w:hideMark/>
          </w:tcPr>
          <w:p w14:paraId="36B71D00"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17.4</w:t>
            </w:r>
          </w:p>
        </w:tc>
        <w:tc>
          <w:tcPr>
            <w:tcW w:w="810" w:type="dxa"/>
            <w:shd w:val="clear" w:color="auto" w:fill="auto"/>
            <w:vAlign w:val="bottom"/>
            <w:hideMark/>
          </w:tcPr>
          <w:p w14:paraId="29E0616B"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111.01</w:t>
            </w:r>
          </w:p>
        </w:tc>
        <w:tc>
          <w:tcPr>
            <w:tcW w:w="810" w:type="dxa"/>
            <w:shd w:val="clear" w:color="auto" w:fill="auto"/>
            <w:vAlign w:val="bottom"/>
            <w:hideMark/>
          </w:tcPr>
          <w:p w14:paraId="2006063D"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32.5</w:t>
            </w:r>
          </w:p>
        </w:tc>
        <w:tc>
          <w:tcPr>
            <w:tcW w:w="810" w:type="dxa"/>
            <w:shd w:val="clear" w:color="auto" w:fill="auto"/>
            <w:vAlign w:val="bottom"/>
            <w:hideMark/>
          </w:tcPr>
          <w:p w14:paraId="222A06C3"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122.74</w:t>
            </w:r>
          </w:p>
        </w:tc>
        <w:tc>
          <w:tcPr>
            <w:tcW w:w="900" w:type="dxa"/>
            <w:vAlign w:val="bottom"/>
          </w:tcPr>
          <w:p w14:paraId="41522DF2"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62.3</w:t>
            </w:r>
          </w:p>
        </w:tc>
        <w:tc>
          <w:tcPr>
            <w:tcW w:w="797" w:type="dxa"/>
            <w:vAlign w:val="bottom"/>
          </w:tcPr>
          <w:p w14:paraId="08B98538"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155.08</w:t>
            </w:r>
          </w:p>
        </w:tc>
      </w:tr>
      <w:tr w:rsidR="001C7155" w:rsidRPr="00E82CC1" w14:paraId="5364798F" w14:textId="77777777" w:rsidTr="001C7155">
        <w:trPr>
          <w:trHeight w:val="269"/>
        </w:trPr>
        <w:tc>
          <w:tcPr>
            <w:tcW w:w="1165" w:type="dxa"/>
            <w:shd w:val="clear" w:color="auto" w:fill="auto"/>
          </w:tcPr>
          <w:p w14:paraId="1E341C4F" w14:textId="5F61FB04" w:rsidR="001C7155" w:rsidRPr="00E82CC1" w:rsidRDefault="001C7155" w:rsidP="001C7155">
            <w:pPr>
              <w:spacing w:after="0" w:line="240" w:lineRule="auto"/>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Alte cheltuieli</w:t>
            </w:r>
          </w:p>
        </w:tc>
        <w:tc>
          <w:tcPr>
            <w:tcW w:w="900" w:type="dxa"/>
            <w:vAlign w:val="bottom"/>
          </w:tcPr>
          <w:p w14:paraId="502ECC81" w14:textId="4CE7B9D2"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3.4</w:t>
            </w:r>
          </w:p>
        </w:tc>
        <w:tc>
          <w:tcPr>
            <w:tcW w:w="900" w:type="dxa"/>
            <w:shd w:val="clear" w:color="auto" w:fill="auto"/>
            <w:vAlign w:val="bottom"/>
          </w:tcPr>
          <w:p w14:paraId="2E68477B" w14:textId="70D0804F"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4.9</w:t>
            </w:r>
          </w:p>
        </w:tc>
        <w:tc>
          <w:tcPr>
            <w:tcW w:w="990" w:type="dxa"/>
            <w:shd w:val="clear" w:color="auto" w:fill="auto"/>
            <w:vAlign w:val="bottom"/>
          </w:tcPr>
          <w:p w14:paraId="718B129F" w14:textId="09D73A6F"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4 6</w:t>
            </w:r>
          </w:p>
        </w:tc>
        <w:tc>
          <w:tcPr>
            <w:tcW w:w="990" w:type="dxa"/>
            <w:shd w:val="clear" w:color="auto" w:fill="auto"/>
            <w:vAlign w:val="bottom"/>
          </w:tcPr>
          <w:p w14:paraId="7F564EE6" w14:textId="20E95ED0"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4.9</w:t>
            </w:r>
          </w:p>
        </w:tc>
        <w:tc>
          <w:tcPr>
            <w:tcW w:w="900" w:type="dxa"/>
            <w:shd w:val="clear" w:color="auto" w:fill="auto"/>
            <w:vAlign w:val="bottom"/>
          </w:tcPr>
          <w:p w14:paraId="2D1DD88C" w14:textId="33E704AA"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0.3</w:t>
            </w:r>
          </w:p>
        </w:tc>
        <w:tc>
          <w:tcPr>
            <w:tcW w:w="810" w:type="dxa"/>
            <w:shd w:val="clear" w:color="auto" w:fill="auto"/>
            <w:vAlign w:val="bottom"/>
          </w:tcPr>
          <w:p w14:paraId="6D094A99" w14:textId="40AAC2F4"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106.50</w:t>
            </w:r>
          </w:p>
        </w:tc>
        <w:tc>
          <w:tcPr>
            <w:tcW w:w="810" w:type="dxa"/>
            <w:shd w:val="clear" w:color="auto" w:fill="auto"/>
            <w:vAlign w:val="bottom"/>
          </w:tcPr>
          <w:p w14:paraId="187FC453" w14:textId="7205D245"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0</w:t>
            </w:r>
          </w:p>
        </w:tc>
        <w:tc>
          <w:tcPr>
            <w:tcW w:w="810" w:type="dxa"/>
            <w:shd w:val="clear" w:color="auto" w:fill="auto"/>
            <w:vAlign w:val="bottom"/>
          </w:tcPr>
          <w:p w14:paraId="789B57A0" w14:textId="646093C8"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100.00</w:t>
            </w:r>
          </w:p>
        </w:tc>
        <w:tc>
          <w:tcPr>
            <w:tcW w:w="900" w:type="dxa"/>
            <w:vAlign w:val="bottom"/>
          </w:tcPr>
          <w:p w14:paraId="7A7D8D28" w14:textId="68123D1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1.5</w:t>
            </w:r>
          </w:p>
        </w:tc>
        <w:tc>
          <w:tcPr>
            <w:tcW w:w="797" w:type="dxa"/>
            <w:vAlign w:val="bottom"/>
          </w:tcPr>
          <w:p w14:paraId="3D9D376F" w14:textId="1EBE889A"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144.11</w:t>
            </w:r>
          </w:p>
        </w:tc>
      </w:tr>
    </w:tbl>
    <w:p w14:paraId="423B3444" w14:textId="0B4E611B" w:rsidR="00E95BC8" w:rsidRPr="00E82CC1" w:rsidRDefault="00D91126" w:rsidP="00E95BC8">
      <w:pPr>
        <w:spacing w:line="276" w:lineRule="auto"/>
        <w:jc w:val="both"/>
        <w:rPr>
          <w:rFonts w:asciiTheme="majorHAnsi" w:hAnsiTheme="majorHAnsi" w:cstheme="majorHAnsi"/>
          <w:sz w:val="24"/>
          <w:szCs w:val="24"/>
          <w:lang w:val="ro-RO"/>
        </w:rPr>
      </w:pPr>
      <w:r w:rsidRPr="00E82CC1">
        <w:rPr>
          <w:rFonts w:asciiTheme="majorHAnsi" w:hAnsiTheme="majorHAnsi" w:cstheme="majorHAnsi"/>
          <w:b/>
          <w:i/>
          <w:sz w:val="20"/>
          <w:szCs w:val="24"/>
          <w:lang w:val="ro-RO"/>
        </w:rPr>
        <w:t>Sursa:</w:t>
      </w:r>
      <w:r w:rsidRPr="00E82CC1">
        <w:rPr>
          <w:rFonts w:asciiTheme="majorHAnsi" w:hAnsiTheme="majorHAnsi" w:cstheme="majorHAnsi"/>
          <w:sz w:val="18"/>
          <w:lang w:val="ro-RO"/>
        </w:rPr>
        <w:t xml:space="preserve"> </w:t>
      </w:r>
      <w:r w:rsidRPr="00E82CC1">
        <w:rPr>
          <w:rFonts w:asciiTheme="majorHAnsi" w:hAnsiTheme="majorHAnsi" w:cstheme="majorHAnsi"/>
          <w:i/>
          <w:sz w:val="20"/>
          <w:lang w:val="ro-RO"/>
        </w:rPr>
        <w:t>Informații generalizate de echipa de audit din Rapoartele privind executarea bugetului asigurărilor sociale de stat pe anii 2019-2021.</w:t>
      </w:r>
    </w:p>
    <w:p w14:paraId="7786B69E" w14:textId="3EAA3CA6" w:rsidR="00E95BC8" w:rsidRPr="00E82CC1" w:rsidRDefault="00E95BC8" w:rsidP="00E95BC8">
      <w:pPr>
        <w:spacing w:after="0" w:line="276" w:lineRule="auto"/>
        <w:jc w:val="both"/>
        <w:rPr>
          <w:rFonts w:asciiTheme="majorHAnsi" w:eastAsia="Times New Roman" w:hAnsiTheme="majorHAnsi" w:cstheme="majorHAnsi"/>
          <w:sz w:val="24"/>
          <w:szCs w:val="24"/>
          <w:lang w:val="ro-RO"/>
        </w:rPr>
      </w:pPr>
      <w:r w:rsidRPr="00E82CC1">
        <w:rPr>
          <w:rFonts w:asciiTheme="majorHAnsi" w:hAnsiTheme="majorHAnsi" w:cstheme="majorHAnsi"/>
          <w:sz w:val="24"/>
          <w:szCs w:val="24"/>
          <w:lang w:val="ro-RO"/>
        </w:rPr>
        <w:t xml:space="preserve">Cea mai mare pondere în structura cheltuielilor </w:t>
      </w:r>
      <w:r w:rsidRPr="00E82CC1">
        <w:rPr>
          <w:rFonts w:asciiTheme="majorHAnsi" w:eastAsia="Times New Roman" w:hAnsiTheme="majorHAnsi" w:cstheme="majorHAnsi"/>
          <w:sz w:val="24"/>
          <w:szCs w:val="24"/>
          <w:lang w:val="ro-RO"/>
        </w:rPr>
        <w:t xml:space="preserve">bugetului asigurărilor sociale de stat o dețin </w:t>
      </w:r>
      <w:r w:rsidRPr="00E82CC1">
        <w:rPr>
          <w:rFonts w:asciiTheme="majorHAnsi" w:eastAsia="Times New Roman" w:hAnsiTheme="majorHAnsi" w:cstheme="majorHAnsi"/>
          <w:b/>
          <w:sz w:val="24"/>
          <w:szCs w:val="24"/>
          <w:lang w:val="ro-RO"/>
        </w:rPr>
        <w:t>prestațiile sociale</w:t>
      </w:r>
      <w:r w:rsidRPr="00E82CC1">
        <w:rPr>
          <w:rFonts w:asciiTheme="majorHAnsi" w:eastAsia="Times New Roman" w:hAnsiTheme="majorHAnsi" w:cstheme="majorHAnsi"/>
          <w:sz w:val="24"/>
          <w:szCs w:val="24"/>
          <w:lang w:val="ro-RO"/>
        </w:rPr>
        <w:t>, de 98,4%, fiind înregistrate în anul 2021 cheltuieli în sumă de 26</w:t>
      </w:r>
      <w:r w:rsidR="00FA7524">
        <w:rPr>
          <w:rFonts w:asciiTheme="majorHAnsi" w:eastAsia="Times New Roman" w:hAnsiTheme="majorHAnsi" w:cstheme="majorHAnsi"/>
          <w:sz w:val="24"/>
          <w:szCs w:val="24"/>
          <w:lang w:val="ro-RO"/>
        </w:rPr>
        <w:t xml:space="preserve"> </w:t>
      </w:r>
      <w:r w:rsidRPr="00E82CC1">
        <w:rPr>
          <w:rFonts w:asciiTheme="majorHAnsi" w:eastAsia="Times New Roman" w:hAnsiTheme="majorHAnsi" w:cstheme="majorHAnsi"/>
          <w:sz w:val="24"/>
          <w:szCs w:val="24"/>
          <w:lang w:val="ro-RO"/>
        </w:rPr>
        <w:t>756,3 mil. lei. Comparativ cu anul 2020, cheltuielile executate au crescut cu 2</w:t>
      </w:r>
      <w:r w:rsidR="00FA7524">
        <w:rPr>
          <w:rFonts w:asciiTheme="majorHAnsi" w:eastAsia="Times New Roman" w:hAnsiTheme="majorHAnsi" w:cstheme="majorHAnsi"/>
          <w:sz w:val="24"/>
          <w:szCs w:val="24"/>
          <w:lang w:val="ro-RO"/>
        </w:rPr>
        <w:t xml:space="preserve"> </w:t>
      </w:r>
      <w:r w:rsidRPr="00E82CC1">
        <w:rPr>
          <w:rFonts w:asciiTheme="majorHAnsi" w:eastAsia="Times New Roman" w:hAnsiTheme="majorHAnsi" w:cstheme="majorHAnsi"/>
          <w:sz w:val="24"/>
          <w:szCs w:val="24"/>
          <w:lang w:val="ro-RO"/>
        </w:rPr>
        <w:t>918,4,6 mil. lei, sau cu 12,2%. Asupra creșterii cheltuielilor a influențat creșterea mărimii medii a pensiei, ca urmare a unui șir de măsuri noi prevăzute de legislație în domeniul pensiilor publice și implementate pe parcursul anului 2021</w:t>
      </w:r>
      <w:r w:rsidR="00FA7524">
        <w:rPr>
          <w:rFonts w:asciiTheme="majorHAnsi" w:eastAsia="Times New Roman" w:hAnsiTheme="majorHAnsi" w:cstheme="majorHAnsi"/>
          <w:sz w:val="24"/>
          <w:szCs w:val="24"/>
          <w:lang w:val="ro-RO"/>
        </w:rPr>
        <w:t>,</w:t>
      </w:r>
      <w:r w:rsidRPr="00E82CC1">
        <w:rPr>
          <w:rFonts w:asciiTheme="majorHAnsi" w:eastAsia="Times New Roman" w:hAnsiTheme="majorHAnsi" w:cstheme="majorHAnsi"/>
          <w:sz w:val="24"/>
          <w:szCs w:val="24"/>
          <w:lang w:val="ro-RO"/>
        </w:rPr>
        <w:t xml:space="preserve"> precum</w:t>
      </w:r>
      <w:r w:rsidR="00FA7524">
        <w:rPr>
          <w:rFonts w:asciiTheme="majorHAnsi" w:eastAsia="Times New Roman" w:hAnsiTheme="majorHAnsi" w:cstheme="majorHAnsi"/>
          <w:sz w:val="24"/>
          <w:szCs w:val="24"/>
          <w:lang w:val="ro-RO"/>
        </w:rPr>
        <w:t>:</w:t>
      </w:r>
      <w:r w:rsidRPr="00E82CC1">
        <w:rPr>
          <w:rFonts w:asciiTheme="majorHAnsi" w:eastAsia="Times New Roman" w:hAnsiTheme="majorHAnsi" w:cstheme="majorHAnsi"/>
          <w:sz w:val="24"/>
          <w:szCs w:val="24"/>
          <w:lang w:val="ro-RO"/>
        </w:rPr>
        <w:t xml:space="preserve"> </w:t>
      </w:r>
      <w:r w:rsidRPr="00E82CC1">
        <w:rPr>
          <w:rFonts w:asciiTheme="majorHAnsi" w:hAnsiTheme="majorHAnsi" w:cstheme="majorHAnsi"/>
          <w:sz w:val="24"/>
          <w:szCs w:val="24"/>
          <w:lang w:val="ro-RO"/>
        </w:rPr>
        <w:t>indexarea pensiilor reieşind din media creşterii anuale a indicilor preţurilor de consum pentru ultimii 3 ani și reieşind din rata inflaţiei înregistrată în primul semestru al anului în curs;</w:t>
      </w:r>
      <w:r w:rsidRPr="00E82CC1">
        <w:rPr>
          <w:rFonts w:asciiTheme="majorHAnsi" w:eastAsia="Times New Roman" w:hAnsiTheme="majorHAnsi" w:cstheme="majorHAnsi"/>
          <w:sz w:val="24"/>
          <w:szCs w:val="24"/>
          <w:lang w:val="ro-RO"/>
        </w:rPr>
        <w:t xml:space="preserve"> </w:t>
      </w:r>
      <w:r w:rsidRPr="00E82CC1">
        <w:rPr>
          <w:rFonts w:asciiTheme="majorHAnsi" w:hAnsiTheme="majorHAnsi" w:cstheme="majorHAnsi"/>
          <w:sz w:val="24"/>
          <w:szCs w:val="24"/>
          <w:lang w:val="ro-RO"/>
        </w:rPr>
        <w:t>efectuarea următoarei etape de reexaminare a pensiilor pentru limită de vârstă pentru pensionarii care au activat după realizarea dreptului la pensie şi au acumulat un stagiu de cotizare mai mare de 7 ani (în cazul stabilirii dreptului la pensie după 01.01.1999), precum și majorarea cuantumului pensiei minime pentru limită de vârstă până la 2 000 lei, care a influenţat creşterea mărimii medii totale a pensiilor.</w:t>
      </w:r>
    </w:p>
    <w:p w14:paraId="0618CCF4" w14:textId="14792933" w:rsidR="00E95BC8" w:rsidRPr="00E82CC1" w:rsidRDefault="00E95BC8" w:rsidP="00E95BC8">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De asemenea, cu </w:t>
      </w:r>
      <w:r w:rsidR="00FA7524">
        <w:rPr>
          <w:rFonts w:asciiTheme="majorHAnsi" w:hAnsiTheme="majorHAnsi" w:cstheme="majorHAnsi"/>
          <w:sz w:val="24"/>
          <w:szCs w:val="24"/>
          <w:lang w:val="ro-RO"/>
        </w:rPr>
        <w:t>referire</w:t>
      </w:r>
      <w:r w:rsidRPr="00E82CC1">
        <w:rPr>
          <w:rFonts w:asciiTheme="majorHAnsi" w:hAnsiTheme="majorHAnsi" w:cstheme="majorHAnsi"/>
          <w:sz w:val="24"/>
          <w:szCs w:val="24"/>
          <w:lang w:val="ro-RO"/>
        </w:rPr>
        <w:t xml:space="preserve"> la indemnizațiile de asigurări sociale s-a înregistrat o creștere determinată de majorarea cuantumului indemnizației unice la nașterea copilului, până la 9</w:t>
      </w:r>
      <w:r w:rsidR="00FA7524">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 xml:space="preserve">459 </w:t>
      </w:r>
      <w:r w:rsidRPr="009E223F">
        <w:rPr>
          <w:rFonts w:asciiTheme="majorHAnsi" w:hAnsiTheme="majorHAnsi" w:cstheme="majorHAnsi"/>
          <w:sz w:val="24"/>
          <w:szCs w:val="24"/>
          <w:lang w:val="ro-RO"/>
        </w:rPr>
        <w:t>lei</w:t>
      </w:r>
      <w:r w:rsidRPr="00617E4A">
        <w:rPr>
          <w:rStyle w:val="a5"/>
          <w:rFonts w:asciiTheme="majorHAnsi" w:hAnsiTheme="majorHAnsi" w:cstheme="majorHAnsi"/>
          <w:sz w:val="24"/>
          <w:szCs w:val="24"/>
          <w:lang w:val="ro-RO"/>
        </w:rPr>
        <w:footnoteReference w:id="12"/>
      </w:r>
      <w:r w:rsidRPr="009E223F">
        <w:rPr>
          <w:rFonts w:asciiTheme="majorHAnsi" w:hAnsiTheme="majorHAnsi" w:cstheme="majorHAnsi"/>
          <w:sz w:val="24"/>
          <w:szCs w:val="24"/>
          <w:lang w:val="ro-RO"/>
        </w:rPr>
        <w:t>.</w:t>
      </w:r>
    </w:p>
    <w:p w14:paraId="2672A3C7" w14:textId="77777777" w:rsidR="00D91126" w:rsidRPr="00E82CC1" w:rsidRDefault="00D91126" w:rsidP="00D91126">
      <w:pPr>
        <w:spacing w:after="0" w:line="276" w:lineRule="auto"/>
        <w:jc w:val="both"/>
        <w:rPr>
          <w:rFonts w:asciiTheme="majorHAnsi" w:hAnsiTheme="majorHAnsi" w:cstheme="majorHAnsi"/>
          <w:sz w:val="12"/>
          <w:szCs w:val="12"/>
          <w:lang w:val="ro-RO"/>
        </w:rPr>
      </w:pPr>
    </w:p>
    <w:p w14:paraId="1701C90F" w14:textId="25015029" w:rsidR="00D91126" w:rsidRPr="00E82CC1" w:rsidRDefault="00D91126" w:rsidP="00D91126">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Cheltuielile executate pentru </w:t>
      </w:r>
      <w:r w:rsidRPr="00E82CC1">
        <w:rPr>
          <w:rFonts w:asciiTheme="majorHAnsi" w:hAnsiTheme="majorHAnsi" w:cstheme="majorHAnsi"/>
          <w:b/>
          <w:sz w:val="24"/>
          <w:szCs w:val="24"/>
          <w:lang w:val="ro-RO"/>
        </w:rPr>
        <w:t>bunuri și servicii</w:t>
      </w:r>
      <w:r w:rsidRPr="00E82CC1">
        <w:rPr>
          <w:rFonts w:asciiTheme="majorHAnsi" w:hAnsiTheme="majorHAnsi" w:cstheme="majorHAnsi"/>
          <w:sz w:val="24"/>
          <w:szCs w:val="24"/>
          <w:lang w:val="ro-RO"/>
        </w:rPr>
        <w:t xml:space="preserve"> au constituit 235,4 mil. lei, sau la nivel de 79,8%, mai mari cu 5</w:t>
      </w:r>
      <w:r w:rsidR="004A35A3" w:rsidRPr="00E82CC1">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112,9 mii lei</w:t>
      </w:r>
      <w:r w:rsidR="00FA7524">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sau cu 2,2 la sută, față de anul precedent. La categoria dată se atribuie cheltuielile destinate întreținerii CNAS și a sistemelor informaționale ale CNAS. Nivelul executării acestor cheltuieli a fost influențat de instituirea stărilor de urgență în sănătate publică, inclusiv stările de carantină anunțate în unele localități ale ţării, care au influenţat deplasările de serviciu, accesul în blocurile administrative, întreprinderea măsurilor </w:t>
      </w:r>
      <w:r w:rsidR="009E223F">
        <w:rPr>
          <w:rFonts w:asciiTheme="majorHAnsi" w:hAnsiTheme="majorHAnsi" w:cstheme="majorHAnsi"/>
          <w:sz w:val="24"/>
          <w:szCs w:val="24"/>
          <w:lang w:val="ro-RO"/>
        </w:rPr>
        <w:t>de</w:t>
      </w:r>
      <w:r w:rsidRPr="00E82CC1">
        <w:rPr>
          <w:rFonts w:asciiTheme="majorHAnsi" w:hAnsiTheme="majorHAnsi" w:cstheme="majorHAnsi"/>
          <w:sz w:val="24"/>
          <w:szCs w:val="24"/>
          <w:lang w:val="ro-RO"/>
        </w:rPr>
        <w:t xml:space="preserve"> neadmitere</w:t>
      </w:r>
      <w:r w:rsidR="009E223F">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a răspândirii infecției COVID-19, precum și incertitudinea dinamicii de răspândire a infecției și de determinare a necesităților de resurse financiare sau de bunuri speciale și sanitare şi necesitatea prioritizării de inițiere a achizițiilor în anul de gestiune, fapt ce a condus la optimizarea cheltuielilor aferente asigurării activității CNAS etc.</w:t>
      </w:r>
    </w:p>
    <w:p w14:paraId="1FC819B0" w14:textId="1FA27BCF" w:rsidR="00E95BC8" w:rsidRPr="00E82CC1" w:rsidRDefault="00E95BC8" w:rsidP="00E95BC8">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Mijloacele aprobate pentru cheltuielile de personal au fost utilizate în baza actelor normative ce reglementează salarizarea în sectorul bugetar. Pentru </w:t>
      </w:r>
      <w:r w:rsidRPr="00E82CC1">
        <w:rPr>
          <w:rFonts w:asciiTheme="majorHAnsi" w:hAnsiTheme="majorHAnsi" w:cstheme="majorHAnsi"/>
          <w:b/>
          <w:sz w:val="24"/>
          <w:szCs w:val="24"/>
          <w:lang w:val="ro-RO"/>
        </w:rPr>
        <w:t>cheltuielile de personal</w:t>
      </w:r>
      <w:r w:rsidRPr="00E82CC1">
        <w:rPr>
          <w:rFonts w:asciiTheme="majorHAnsi" w:hAnsiTheme="majorHAnsi" w:cstheme="majorHAnsi"/>
          <w:sz w:val="24"/>
          <w:szCs w:val="24"/>
          <w:lang w:val="ro-RO"/>
        </w:rPr>
        <w:t xml:space="preserve"> au fost prevăzute 176,4 mil. lei, care au fost executate în sumă de 175,4 mil. lei, ceea ce constituie 99,4% din suma planificată.</w:t>
      </w:r>
    </w:p>
    <w:p w14:paraId="4A2FA988" w14:textId="3AF8AE60" w:rsidR="00B61DF4" w:rsidRPr="00E82CC1" w:rsidRDefault="00E95BC8" w:rsidP="00E95BC8">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Prin executarea cheltuielilor BASS în anul 2021, politicile statului au asigurat </w:t>
      </w:r>
      <w:r w:rsidR="00B61DF4" w:rsidRPr="00E82CC1">
        <w:rPr>
          <w:rFonts w:asciiTheme="majorHAnsi" w:hAnsiTheme="majorHAnsi" w:cstheme="majorHAnsi"/>
          <w:sz w:val="24"/>
          <w:szCs w:val="24"/>
          <w:lang w:val="ro-RO"/>
        </w:rPr>
        <w:t xml:space="preserve">stabilirea și plata prestațiilor sociale, pentru 2 376 185 </w:t>
      </w:r>
      <w:r w:rsidR="009E223F">
        <w:rPr>
          <w:rFonts w:asciiTheme="majorHAnsi" w:hAnsiTheme="majorHAnsi" w:cstheme="majorHAnsi"/>
          <w:sz w:val="24"/>
          <w:szCs w:val="24"/>
          <w:lang w:val="ro-RO"/>
        </w:rPr>
        <w:t xml:space="preserve">de </w:t>
      </w:r>
      <w:r w:rsidR="00B61DF4" w:rsidRPr="00E82CC1">
        <w:rPr>
          <w:rFonts w:asciiTheme="majorHAnsi" w:hAnsiTheme="majorHAnsi" w:cstheme="majorHAnsi"/>
          <w:sz w:val="24"/>
          <w:szCs w:val="24"/>
          <w:lang w:val="ro-RO"/>
        </w:rPr>
        <w:t>beneficiari, în sumă de 27</w:t>
      </w:r>
      <w:r w:rsidR="009E223F">
        <w:rPr>
          <w:rFonts w:asciiTheme="majorHAnsi" w:hAnsiTheme="majorHAnsi" w:cstheme="majorHAnsi"/>
          <w:sz w:val="24"/>
          <w:szCs w:val="24"/>
          <w:lang w:val="ro-RO"/>
        </w:rPr>
        <w:t xml:space="preserve"> </w:t>
      </w:r>
      <w:r w:rsidR="009A66FB">
        <w:rPr>
          <w:rFonts w:asciiTheme="majorHAnsi" w:hAnsiTheme="majorHAnsi" w:cstheme="majorHAnsi"/>
          <w:sz w:val="24"/>
          <w:szCs w:val="24"/>
          <w:lang w:val="ro-RO"/>
        </w:rPr>
        <w:t>172,1 mil.</w:t>
      </w:r>
      <w:r w:rsidR="00B61DF4" w:rsidRPr="00E82CC1">
        <w:rPr>
          <w:rFonts w:asciiTheme="majorHAnsi" w:hAnsiTheme="majorHAnsi" w:cstheme="majorHAnsi"/>
          <w:sz w:val="24"/>
          <w:szCs w:val="24"/>
          <w:lang w:val="ro-RO"/>
        </w:rPr>
        <w:t xml:space="preserve"> lei, inclusiv fiind realizate </w:t>
      </w:r>
      <w:r w:rsidR="009E223F">
        <w:rPr>
          <w:rFonts w:asciiTheme="majorHAnsi" w:hAnsiTheme="majorHAnsi" w:cstheme="majorHAnsi"/>
          <w:sz w:val="24"/>
          <w:szCs w:val="24"/>
          <w:lang w:val="ro-RO"/>
        </w:rPr>
        <w:t xml:space="preserve">noi </w:t>
      </w:r>
      <w:r w:rsidR="00B61DF4" w:rsidRPr="00E82CC1">
        <w:rPr>
          <w:rFonts w:asciiTheme="majorHAnsi" w:hAnsiTheme="majorHAnsi" w:cstheme="majorHAnsi"/>
          <w:sz w:val="24"/>
          <w:szCs w:val="24"/>
          <w:lang w:val="ro-RO"/>
        </w:rPr>
        <w:t>procese complexe.</w:t>
      </w:r>
    </w:p>
    <w:p w14:paraId="4641FC73" w14:textId="77777777" w:rsidR="00B61DF4" w:rsidRPr="00E82CC1" w:rsidRDefault="00B61DF4" w:rsidP="00E95BC8">
      <w:pPr>
        <w:spacing w:after="0" w:line="276" w:lineRule="auto"/>
        <w:jc w:val="both"/>
        <w:rPr>
          <w:rFonts w:asciiTheme="majorHAnsi" w:hAnsiTheme="majorHAnsi" w:cstheme="majorHAnsi"/>
          <w:sz w:val="24"/>
          <w:szCs w:val="24"/>
          <w:lang w:val="ro-RO"/>
        </w:rPr>
      </w:pPr>
    </w:p>
    <w:p w14:paraId="44E1A331" w14:textId="6440230F" w:rsidR="00B61DF4" w:rsidRPr="00E82CC1" w:rsidRDefault="00B61DF4" w:rsidP="00BD0264">
      <w:pPr>
        <w:pStyle w:val="a9"/>
        <w:numPr>
          <w:ilvl w:val="0"/>
          <w:numId w:val="15"/>
        </w:numPr>
        <w:spacing w:after="0" w:line="276" w:lineRule="auto"/>
        <w:ind w:hanging="1080"/>
        <w:jc w:val="both"/>
        <w:outlineLvl w:val="0"/>
        <w:rPr>
          <w:rFonts w:asciiTheme="majorHAnsi" w:hAnsiTheme="majorHAnsi" w:cstheme="majorHAnsi"/>
          <w:b/>
          <w:sz w:val="28"/>
          <w:szCs w:val="24"/>
          <w:lang w:val="ro-RO"/>
        </w:rPr>
      </w:pPr>
      <w:r w:rsidRPr="00E82CC1">
        <w:rPr>
          <w:rFonts w:asciiTheme="majorHAnsi" w:hAnsiTheme="majorHAnsi" w:cstheme="majorHAnsi"/>
          <w:b/>
          <w:sz w:val="28"/>
          <w:szCs w:val="24"/>
          <w:lang w:val="ro-RO"/>
        </w:rPr>
        <w:t>ALTE INFORMAȚII</w:t>
      </w:r>
    </w:p>
    <w:p w14:paraId="2F23DE2C" w14:textId="5939F97E" w:rsidR="00ED691E" w:rsidRPr="00E82CC1" w:rsidRDefault="00ED691E" w:rsidP="00ED691E">
      <w:pPr>
        <w:pStyle w:val="a9"/>
        <w:numPr>
          <w:ilvl w:val="1"/>
          <w:numId w:val="15"/>
        </w:numPr>
        <w:spacing w:line="276" w:lineRule="auto"/>
        <w:ind w:left="0" w:firstLine="0"/>
        <w:jc w:val="both"/>
        <w:outlineLvl w:val="1"/>
        <w:rPr>
          <w:rFonts w:asciiTheme="majorHAnsi" w:hAnsiTheme="majorHAnsi" w:cstheme="majorHAnsi"/>
          <w:b/>
          <w:sz w:val="24"/>
          <w:szCs w:val="24"/>
          <w:lang w:val="ro-RO"/>
        </w:rPr>
      </w:pPr>
      <w:bookmarkStart w:id="4" w:name="_Toc35000686"/>
      <w:r w:rsidRPr="00E82CC1">
        <w:rPr>
          <w:rFonts w:asciiTheme="majorHAnsi" w:hAnsiTheme="majorHAnsi" w:cstheme="majorHAnsi"/>
          <w:b/>
          <w:sz w:val="24"/>
          <w:szCs w:val="24"/>
          <w:lang w:val="ro-RO"/>
        </w:rPr>
        <w:t>Procesul fragmentat de acordare, verifica</w:t>
      </w:r>
      <w:r w:rsidR="00B30B96">
        <w:rPr>
          <w:rFonts w:asciiTheme="majorHAnsi" w:hAnsiTheme="majorHAnsi" w:cstheme="majorHAnsi"/>
          <w:b/>
          <w:sz w:val="24"/>
          <w:szCs w:val="24"/>
          <w:lang w:val="ro-RO"/>
        </w:rPr>
        <w:t>re și plată a ajutorului social</w:t>
      </w:r>
      <w:r w:rsidRPr="00E82CC1">
        <w:rPr>
          <w:rFonts w:asciiTheme="majorHAnsi" w:hAnsiTheme="majorHAnsi" w:cstheme="majorHAnsi"/>
          <w:b/>
          <w:sz w:val="24"/>
          <w:szCs w:val="24"/>
          <w:lang w:val="ro-RO"/>
        </w:rPr>
        <w:t xml:space="preserve"> și a </w:t>
      </w:r>
      <w:r w:rsidR="00B30B96">
        <w:rPr>
          <w:rFonts w:asciiTheme="majorHAnsi" w:hAnsiTheme="majorHAnsi" w:cstheme="majorHAnsi"/>
          <w:b/>
          <w:sz w:val="24"/>
          <w:szCs w:val="24"/>
          <w:lang w:val="ro-RO"/>
        </w:rPr>
        <w:t>ajutorului</w:t>
      </w:r>
      <w:r w:rsidRPr="00E82CC1">
        <w:rPr>
          <w:rFonts w:asciiTheme="majorHAnsi" w:hAnsiTheme="majorHAnsi" w:cstheme="majorHAnsi"/>
          <w:b/>
          <w:sz w:val="24"/>
          <w:szCs w:val="24"/>
          <w:lang w:val="ro-RO"/>
        </w:rPr>
        <w:t xml:space="preserve"> pentru perioada rece a anului determină incoerența datelor la toate etapele și nivel</w:t>
      </w:r>
      <w:r w:rsidR="009E223F">
        <w:rPr>
          <w:rFonts w:asciiTheme="majorHAnsi" w:hAnsiTheme="majorHAnsi" w:cstheme="majorHAnsi"/>
          <w:b/>
          <w:sz w:val="24"/>
          <w:szCs w:val="24"/>
          <w:lang w:val="ro-RO"/>
        </w:rPr>
        <w:t>urile</w:t>
      </w:r>
      <w:r w:rsidRPr="00E82CC1">
        <w:rPr>
          <w:rFonts w:asciiTheme="majorHAnsi" w:hAnsiTheme="majorHAnsi" w:cstheme="majorHAnsi"/>
          <w:b/>
          <w:sz w:val="24"/>
          <w:szCs w:val="24"/>
          <w:lang w:val="ro-RO"/>
        </w:rPr>
        <w:t xml:space="preserve"> ce influențează </w:t>
      </w:r>
      <w:r w:rsidRPr="00046B6A">
        <w:rPr>
          <w:rFonts w:asciiTheme="majorHAnsi" w:hAnsiTheme="majorHAnsi" w:cstheme="majorHAnsi"/>
          <w:b/>
          <w:sz w:val="24"/>
          <w:szCs w:val="24"/>
          <w:lang w:val="ro-RO"/>
        </w:rPr>
        <w:t>direct indicatorii BASS</w:t>
      </w:r>
      <w:r w:rsidR="00393165" w:rsidRPr="00046B6A">
        <w:rPr>
          <w:rFonts w:asciiTheme="majorHAnsi" w:hAnsiTheme="majorHAnsi" w:cstheme="majorHAnsi"/>
          <w:b/>
          <w:sz w:val="24"/>
          <w:szCs w:val="24"/>
          <w:lang w:val="ro-RO"/>
        </w:rPr>
        <w:t>,</w:t>
      </w:r>
      <w:r w:rsidRPr="00046B6A">
        <w:rPr>
          <w:rFonts w:asciiTheme="majorHAnsi" w:hAnsiTheme="majorHAnsi" w:cstheme="majorHAnsi"/>
          <w:b/>
          <w:sz w:val="24"/>
          <w:szCs w:val="24"/>
          <w:lang w:val="ro-RO"/>
        </w:rPr>
        <w:t xml:space="preserve"> </w:t>
      </w:r>
      <w:r w:rsidR="00393165" w:rsidRPr="00046B6A">
        <w:rPr>
          <w:rFonts w:asciiTheme="majorHAnsi" w:hAnsiTheme="majorHAnsi" w:cstheme="majorHAnsi"/>
          <w:b/>
          <w:sz w:val="24"/>
          <w:szCs w:val="24"/>
          <w:lang w:val="ro-RO"/>
        </w:rPr>
        <w:t xml:space="preserve">generați de </w:t>
      </w:r>
      <w:r w:rsidR="00962592" w:rsidRPr="00046B6A">
        <w:rPr>
          <w:rFonts w:asciiTheme="majorHAnsi" w:hAnsiTheme="majorHAnsi" w:cstheme="majorHAnsi"/>
          <w:b/>
          <w:sz w:val="24"/>
          <w:szCs w:val="24"/>
          <w:lang w:val="ro-MD"/>
        </w:rPr>
        <w:t>achitarea neregulamentară și</w:t>
      </w:r>
      <w:r w:rsidR="00962592" w:rsidRPr="00046B6A">
        <w:rPr>
          <w:rFonts w:asciiTheme="majorHAnsi" w:hAnsiTheme="majorHAnsi" w:cstheme="majorHAnsi"/>
          <w:b/>
          <w:sz w:val="24"/>
          <w:szCs w:val="24"/>
          <w:lang w:val="ro-RO"/>
        </w:rPr>
        <w:t xml:space="preserve"> </w:t>
      </w:r>
      <w:r w:rsidR="00561466" w:rsidRPr="00046B6A">
        <w:rPr>
          <w:rFonts w:asciiTheme="majorHAnsi" w:hAnsiTheme="majorHAnsi" w:cstheme="majorHAnsi"/>
          <w:b/>
          <w:sz w:val="24"/>
          <w:szCs w:val="24"/>
          <w:lang w:val="ro-RO"/>
        </w:rPr>
        <w:t xml:space="preserve">de </w:t>
      </w:r>
      <w:r w:rsidR="00393165" w:rsidRPr="00046B6A">
        <w:rPr>
          <w:rFonts w:asciiTheme="majorHAnsi" w:hAnsiTheme="majorHAnsi" w:cstheme="majorHAnsi"/>
          <w:b/>
          <w:sz w:val="24"/>
          <w:szCs w:val="24"/>
          <w:lang w:val="ro-RO"/>
        </w:rPr>
        <w:t>nerest</w:t>
      </w:r>
      <w:r w:rsidR="00393165" w:rsidRPr="00046B6A">
        <w:rPr>
          <w:rFonts w:asciiTheme="majorHAnsi" w:hAnsiTheme="majorHAnsi" w:cstheme="majorHAnsi"/>
          <w:b/>
          <w:sz w:val="24"/>
          <w:szCs w:val="24"/>
          <w:lang w:val="ro-MD"/>
        </w:rPr>
        <w:t>itu</w:t>
      </w:r>
      <w:r w:rsidR="00AE4DDB" w:rsidRPr="00046B6A">
        <w:rPr>
          <w:rFonts w:asciiTheme="majorHAnsi" w:hAnsiTheme="majorHAnsi" w:cstheme="majorHAnsi"/>
          <w:b/>
          <w:sz w:val="24"/>
          <w:szCs w:val="24"/>
          <w:lang w:val="ro-MD"/>
        </w:rPr>
        <w:t xml:space="preserve">irea </w:t>
      </w:r>
      <w:r w:rsidR="00962592" w:rsidRPr="00046B6A">
        <w:rPr>
          <w:rFonts w:asciiTheme="majorHAnsi" w:hAnsiTheme="majorHAnsi" w:cstheme="majorHAnsi"/>
          <w:b/>
          <w:sz w:val="24"/>
          <w:szCs w:val="24"/>
          <w:lang w:val="ro-MD"/>
        </w:rPr>
        <w:t>integrală a acestor sume</w:t>
      </w:r>
      <w:r w:rsidR="00AE4DDB" w:rsidRPr="00046B6A">
        <w:rPr>
          <w:rFonts w:asciiTheme="majorHAnsi" w:hAnsiTheme="majorHAnsi" w:cstheme="majorHAnsi"/>
          <w:b/>
          <w:sz w:val="24"/>
          <w:szCs w:val="24"/>
          <w:lang w:val="ro-MD"/>
        </w:rPr>
        <w:t>.</w:t>
      </w:r>
    </w:p>
    <w:p w14:paraId="0E0F0492" w14:textId="77777777" w:rsidR="00ED691E" w:rsidRPr="00E82CC1" w:rsidRDefault="00ED691E" w:rsidP="00ED691E">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Dreptul la ajutor social și/sau ajutor pentru perioada rece a anului se acordă de către structurile teritoriale de asistență socială, iar asigurarea evidenței plății, de către Casa Națională prin intermediul MPay, verificarea modului de aplicare corectă şi unitară a cadrului regulamentar fiind efectuată de Inspecția Socială</w:t>
      </w:r>
      <w:r w:rsidRPr="00617E4A">
        <w:rPr>
          <w:rStyle w:val="a5"/>
          <w:rFonts w:asciiTheme="majorHAnsi" w:hAnsiTheme="majorHAnsi" w:cstheme="majorHAnsi"/>
          <w:sz w:val="24"/>
          <w:szCs w:val="24"/>
          <w:lang w:val="ro-RO"/>
        </w:rPr>
        <w:footnoteReference w:id="13"/>
      </w:r>
      <w:r w:rsidRPr="00E82CC1">
        <w:rPr>
          <w:rFonts w:asciiTheme="majorHAnsi" w:hAnsiTheme="majorHAnsi" w:cstheme="majorHAnsi"/>
          <w:sz w:val="24"/>
          <w:szCs w:val="24"/>
          <w:lang w:val="ro-RO"/>
        </w:rPr>
        <w:t>.</w:t>
      </w:r>
    </w:p>
    <w:p w14:paraId="712F0C8F" w14:textId="77777777" w:rsidR="00ED691E" w:rsidRPr="00E82CC1" w:rsidRDefault="00ED691E" w:rsidP="00ED691E">
      <w:pPr>
        <w:spacing w:line="276" w:lineRule="auto"/>
        <w:jc w:val="both"/>
        <w:rPr>
          <w:rFonts w:asciiTheme="majorHAnsi" w:hAnsiTheme="majorHAnsi" w:cstheme="majorHAnsi"/>
          <w:sz w:val="24"/>
          <w:szCs w:val="24"/>
          <w:lang w:val="ro-RO"/>
        </w:rPr>
      </w:pPr>
      <w:r w:rsidRPr="00E82CC1">
        <w:rPr>
          <w:noProof/>
          <w:lang w:val="ru-RU" w:eastAsia="ru-RU"/>
        </w:rPr>
        <w:drawing>
          <wp:inline distT="0" distB="0" distL="0" distR="0" wp14:anchorId="64CB5CE8" wp14:editId="7062D77F">
            <wp:extent cx="6313336" cy="3522345"/>
            <wp:effectExtent l="0" t="0" r="0" b="19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01BAA4" w14:textId="5AA449F2" w:rsidR="00ED691E" w:rsidRPr="00E82CC1" w:rsidRDefault="00ED691E" w:rsidP="00ED691E">
      <w:pPr>
        <w:spacing w:line="276" w:lineRule="auto"/>
        <w:jc w:val="both"/>
        <w:rPr>
          <w:rFonts w:asciiTheme="majorHAnsi" w:hAnsiTheme="majorHAnsi" w:cstheme="majorHAnsi"/>
          <w:i/>
          <w:sz w:val="20"/>
          <w:szCs w:val="20"/>
          <w:lang w:val="ro-RO"/>
        </w:rPr>
      </w:pPr>
      <w:r w:rsidRPr="00E82CC1">
        <w:rPr>
          <w:rFonts w:asciiTheme="majorHAnsi" w:hAnsiTheme="majorHAnsi" w:cstheme="majorHAnsi"/>
          <w:i/>
          <w:sz w:val="20"/>
          <w:szCs w:val="20"/>
          <w:lang w:val="ro-RO"/>
        </w:rPr>
        <w:t>Figura nr.2. Procesul de acordare, verificare și plată a ajutorului social și ajutorului pentru perioada rece a anului</w:t>
      </w:r>
    </w:p>
    <w:p w14:paraId="1E62069D" w14:textId="16188DC0" w:rsidR="00ED691E" w:rsidRPr="00E82CC1" w:rsidRDefault="00ED691E" w:rsidP="00ED691E">
      <w:pPr>
        <w:spacing w:before="240"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 ultimii patru ani (2018-2021) se menține o tendință majoră a ponderii mijloacelor calculate și achitate neregulamentar, situație reflectată în tabelul următor</w:t>
      </w:r>
      <w:r w:rsidR="007F338C">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w:t>
      </w:r>
    </w:p>
    <w:p w14:paraId="31A47121" w14:textId="77777777" w:rsidR="00ED691E" w:rsidRPr="00E82CC1" w:rsidRDefault="00ED691E" w:rsidP="00ED691E">
      <w:pPr>
        <w:spacing w:after="0" w:line="276" w:lineRule="auto"/>
        <w:ind w:firstLine="720"/>
        <w:jc w:val="right"/>
        <w:rPr>
          <w:rFonts w:asciiTheme="majorHAnsi" w:hAnsiTheme="majorHAnsi" w:cstheme="majorHAnsi"/>
          <w:b/>
          <w:sz w:val="24"/>
          <w:szCs w:val="24"/>
          <w:lang w:val="ro-RO"/>
        </w:rPr>
      </w:pPr>
      <w:r w:rsidRPr="00E82CC1">
        <w:rPr>
          <w:rFonts w:asciiTheme="majorHAnsi" w:hAnsiTheme="majorHAnsi" w:cstheme="majorHAnsi"/>
          <w:b/>
          <w:sz w:val="24"/>
          <w:szCs w:val="24"/>
          <w:lang w:val="ro-RO"/>
        </w:rPr>
        <w:t>Tabelul nr.4</w:t>
      </w:r>
    </w:p>
    <w:p w14:paraId="0C94CC65" w14:textId="77777777" w:rsidR="00ED691E" w:rsidRPr="00E82CC1" w:rsidRDefault="00ED691E" w:rsidP="00ED691E">
      <w:pPr>
        <w:spacing w:after="0" w:line="276" w:lineRule="auto"/>
        <w:ind w:firstLine="720"/>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 xml:space="preserve">Analiza iregularităților identificate de Inspecția Socială la acordarea AS și APRA (mii lei) </w:t>
      </w:r>
    </w:p>
    <w:tbl>
      <w:tblPr>
        <w:tblStyle w:val="af0"/>
        <w:tblW w:w="0" w:type="auto"/>
        <w:jc w:val="center"/>
        <w:tblLook w:val="04A0" w:firstRow="1" w:lastRow="0" w:firstColumn="1" w:lastColumn="0" w:noHBand="0" w:noVBand="1"/>
      </w:tblPr>
      <w:tblGrid>
        <w:gridCol w:w="1623"/>
        <w:gridCol w:w="2329"/>
        <w:gridCol w:w="2796"/>
        <w:gridCol w:w="2787"/>
      </w:tblGrid>
      <w:tr w:rsidR="00ED691E" w:rsidRPr="00E82CC1" w14:paraId="142D15CF" w14:textId="77777777" w:rsidTr="00B9300C">
        <w:trPr>
          <w:trHeight w:val="547"/>
          <w:jc w:val="center"/>
        </w:trPr>
        <w:tc>
          <w:tcPr>
            <w:tcW w:w="1623" w:type="dxa"/>
            <w:shd w:val="clear" w:color="auto" w:fill="auto"/>
            <w:vAlign w:val="center"/>
          </w:tcPr>
          <w:p w14:paraId="4371E428"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Anul</w:t>
            </w:r>
          </w:p>
        </w:tc>
        <w:tc>
          <w:tcPr>
            <w:tcW w:w="2329" w:type="dxa"/>
            <w:shd w:val="clear" w:color="auto" w:fill="auto"/>
            <w:vAlign w:val="center"/>
          </w:tcPr>
          <w:p w14:paraId="034AA57B"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Suma verificată</w:t>
            </w:r>
          </w:p>
        </w:tc>
        <w:tc>
          <w:tcPr>
            <w:tcW w:w="2796" w:type="dxa"/>
            <w:shd w:val="clear" w:color="auto" w:fill="auto"/>
            <w:vAlign w:val="center"/>
          </w:tcPr>
          <w:p w14:paraId="61BB1614"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Suma depistată cu iregularități</w:t>
            </w:r>
          </w:p>
        </w:tc>
        <w:tc>
          <w:tcPr>
            <w:tcW w:w="2787" w:type="dxa"/>
            <w:shd w:val="clear" w:color="auto" w:fill="auto"/>
            <w:vAlign w:val="center"/>
          </w:tcPr>
          <w:p w14:paraId="614AF886"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Ponderea (%)</w:t>
            </w:r>
          </w:p>
        </w:tc>
      </w:tr>
      <w:tr w:rsidR="00ED691E" w:rsidRPr="00E82CC1" w14:paraId="00B7FB0D" w14:textId="77777777" w:rsidTr="00B9300C">
        <w:trPr>
          <w:trHeight w:val="179"/>
          <w:jc w:val="center"/>
        </w:trPr>
        <w:tc>
          <w:tcPr>
            <w:tcW w:w="1623" w:type="dxa"/>
          </w:tcPr>
          <w:p w14:paraId="20AA539C"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2018</w:t>
            </w:r>
          </w:p>
        </w:tc>
        <w:tc>
          <w:tcPr>
            <w:tcW w:w="2329" w:type="dxa"/>
          </w:tcPr>
          <w:p w14:paraId="41563DFF"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8 803,09</w:t>
            </w:r>
          </w:p>
        </w:tc>
        <w:tc>
          <w:tcPr>
            <w:tcW w:w="2796" w:type="dxa"/>
          </w:tcPr>
          <w:p w14:paraId="24952D90"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1 426,1</w:t>
            </w:r>
          </w:p>
        </w:tc>
        <w:tc>
          <w:tcPr>
            <w:tcW w:w="2787" w:type="dxa"/>
          </w:tcPr>
          <w:p w14:paraId="0A01C38F"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16,2</w:t>
            </w:r>
          </w:p>
        </w:tc>
      </w:tr>
      <w:tr w:rsidR="00ED691E" w:rsidRPr="00E82CC1" w14:paraId="2E6811CB" w14:textId="77777777" w:rsidTr="00B9300C">
        <w:trPr>
          <w:trHeight w:val="187"/>
          <w:jc w:val="center"/>
        </w:trPr>
        <w:tc>
          <w:tcPr>
            <w:tcW w:w="1623" w:type="dxa"/>
          </w:tcPr>
          <w:p w14:paraId="2D26DABF"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2019</w:t>
            </w:r>
          </w:p>
        </w:tc>
        <w:tc>
          <w:tcPr>
            <w:tcW w:w="2329" w:type="dxa"/>
          </w:tcPr>
          <w:p w14:paraId="46A28DA1"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6 934,1</w:t>
            </w:r>
          </w:p>
        </w:tc>
        <w:tc>
          <w:tcPr>
            <w:tcW w:w="2796" w:type="dxa"/>
          </w:tcPr>
          <w:p w14:paraId="65204053"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2 198,9</w:t>
            </w:r>
          </w:p>
        </w:tc>
        <w:tc>
          <w:tcPr>
            <w:tcW w:w="2787" w:type="dxa"/>
          </w:tcPr>
          <w:p w14:paraId="2150A8CA"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37,1</w:t>
            </w:r>
          </w:p>
        </w:tc>
      </w:tr>
      <w:tr w:rsidR="00ED691E" w:rsidRPr="00E82CC1" w14:paraId="1015619C" w14:textId="77777777" w:rsidTr="00B9300C">
        <w:trPr>
          <w:trHeight w:val="179"/>
          <w:jc w:val="center"/>
        </w:trPr>
        <w:tc>
          <w:tcPr>
            <w:tcW w:w="1623" w:type="dxa"/>
          </w:tcPr>
          <w:p w14:paraId="697F6C5D"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2020</w:t>
            </w:r>
          </w:p>
        </w:tc>
        <w:tc>
          <w:tcPr>
            <w:tcW w:w="2329" w:type="dxa"/>
          </w:tcPr>
          <w:p w14:paraId="586D20E6"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8 304,7</w:t>
            </w:r>
          </w:p>
        </w:tc>
        <w:tc>
          <w:tcPr>
            <w:tcW w:w="2796" w:type="dxa"/>
          </w:tcPr>
          <w:p w14:paraId="6D93EDB8"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2 437,4</w:t>
            </w:r>
          </w:p>
        </w:tc>
        <w:tc>
          <w:tcPr>
            <w:tcW w:w="2787" w:type="dxa"/>
          </w:tcPr>
          <w:p w14:paraId="5F13A7B3"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29,4</w:t>
            </w:r>
          </w:p>
        </w:tc>
      </w:tr>
      <w:tr w:rsidR="00ED691E" w:rsidRPr="00E82CC1" w14:paraId="48774F5D" w14:textId="77777777" w:rsidTr="00B9300C">
        <w:trPr>
          <w:trHeight w:val="179"/>
          <w:jc w:val="center"/>
        </w:trPr>
        <w:tc>
          <w:tcPr>
            <w:tcW w:w="1623" w:type="dxa"/>
          </w:tcPr>
          <w:p w14:paraId="1F4E6083" w14:textId="77777777" w:rsidR="00ED691E" w:rsidRPr="00E82CC1" w:rsidRDefault="00ED691E" w:rsidP="00B9300C">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2021</w:t>
            </w:r>
          </w:p>
        </w:tc>
        <w:tc>
          <w:tcPr>
            <w:tcW w:w="2329" w:type="dxa"/>
            <w:shd w:val="clear" w:color="auto" w:fill="FFFFFF" w:themeFill="background1"/>
          </w:tcPr>
          <w:p w14:paraId="1CD935F8"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10 173,2</w:t>
            </w:r>
          </w:p>
        </w:tc>
        <w:tc>
          <w:tcPr>
            <w:tcW w:w="2796" w:type="dxa"/>
            <w:shd w:val="clear" w:color="auto" w:fill="FFFFFF" w:themeFill="background1"/>
          </w:tcPr>
          <w:p w14:paraId="53F81D4B"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2 826,5</w:t>
            </w:r>
          </w:p>
        </w:tc>
        <w:tc>
          <w:tcPr>
            <w:tcW w:w="2787" w:type="dxa"/>
            <w:shd w:val="clear" w:color="auto" w:fill="FFFFFF" w:themeFill="background1"/>
          </w:tcPr>
          <w:p w14:paraId="7088BAE8" w14:textId="77777777" w:rsidR="00ED691E" w:rsidRPr="00E82CC1" w:rsidRDefault="00ED691E" w:rsidP="00B9300C">
            <w:pPr>
              <w:jc w:val="right"/>
              <w:rPr>
                <w:rFonts w:asciiTheme="majorHAnsi" w:hAnsiTheme="majorHAnsi" w:cstheme="majorHAnsi"/>
                <w:sz w:val="24"/>
                <w:szCs w:val="24"/>
                <w:lang w:val="ro-RO"/>
              </w:rPr>
            </w:pPr>
            <w:r w:rsidRPr="00E82CC1">
              <w:rPr>
                <w:rFonts w:asciiTheme="majorHAnsi" w:hAnsiTheme="majorHAnsi" w:cstheme="majorHAnsi"/>
                <w:sz w:val="24"/>
                <w:szCs w:val="24"/>
                <w:lang w:val="ro-RO"/>
              </w:rPr>
              <w:t>27,8</w:t>
            </w:r>
          </w:p>
        </w:tc>
      </w:tr>
    </w:tbl>
    <w:p w14:paraId="242C9102" w14:textId="77777777" w:rsidR="00ED691E" w:rsidRPr="00E82CC1" w:rsidRDefault="00ED691E" w:rsidP="00ED691E">
      <w:pPr>
        <w:spacing w:line="276" w:lineRule="auto"/>
        <w:jc w:val="both"/>
        <w:rPr>
          <w:rFonts w:asciiTheme="majorHAnsi" w:hAnsiTheme="majorHAnsi" w:cstheme="majorHAnsi"/>
          <w:i/>
          <w:sz w:val="20"/>
          <w:szCs w:val="20"/>
          <w:lang w:val="ro-RO"/>
        </w:rPr>
      </w:pPr>
      <w:r w:rsidRPr="00E82CC1">
        <w:rPr>
          <w:rFonts w:asciiTheme="majorHAnsi" w:hAnsiTheme="majorHAnsi" w:cstheme="majorHAnsi"/>
          <w:i/>
          <w:sz w:val="20"/>
          <w:szCs w:val="20"/>
          <w:lang w:val="ro-RO"/>
        </w:rPr>
        <w:t>Sursă: Scrisorile Inspecției Sociale cu informațiile privind misiunile de inspectări pentru anii 2018-2021</w:t>
      </w:r>
    </w:p>
    <w:p w14:paraId="5CC3B49E" w14:textId="620FB07F" w:rsidR="00ED691E" w:rsidRPr="00E82CC1" w:rsidRDefault="00ED691E" w:rsidP="00ED691E">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Analizând datele Inspecției Sociale, s-a constatat că structurilor teritoriale de asistență socială li s-a recomandat întreprinderea măsurilor necesare în vederea restituirii sumei de 2 387,2 mii lei, ceea ce constituie 84,5% din suma constatată ca fiind acordată nejustificat. În funcție de factorii responsabili de comitere</w:t>
      </w:r>
      <w:r w:rsidR="007F338C">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a iregularităților</w:t>
      </w:r>
      <w:r w:rsidR="007F338C">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se constată că din valoarea totală de 2 603,1 mii lei a sumei achitate necuvenit, 84,7% au fost comise din vina beneficiarilor, iar 15,3% sunt iregularități de tip administrativ,  dintre care  majoritatea sunt comise de factorii responsabili din cadrul Direcțiilor asistență socială și protecție a familiei în procesul de acordare și plată a AS și APRA </w:t>
      </w:r>
      <w:r w:rsidRPr="00E82CC1">
        <w:rPr>
          <w:rFonts w:asciiTheme="majorHAnsi" w:hAnsiTheme="majorHAnsi" w:cstheme="majorHAnsi"/>
          <w:sz w:val="24"/>
          <w:szCs w:val="24"/>
          <w:lang w:val="ro-MD"/>
        </w:rPr>
        <w:t xml:space="preserve">și </w:t>
      </w:r>
      <w:r w:rsidRPr="00E82CC1">
        <w:rPr>
          <w:rFonts w:asciiTheme="majorHAnsi" w:hAnsiTheme="majorHAnsi" w:cstheme="majorHAnsi"/>
          <w:sz w:val="24"/>
          <w:szCs w:val="24"/>
          <w:lang w:val="ro-RO"/>
        </w:rPr>
        <w:t>mai puțin comise de către autoritățile publice locale care le-au acordat.</w:t>
      </w:r>
    </w:p>
    <w:p w14:paraId="5AF508C2" w14:textId="6BB21F64" w:rsidR="00ED691E" w:rsidRPr="00E82CC1" w:rsidRDefault="00ED691E" w:rsidP="00ED691E">
      <w:pPr>
        <w:spacing w:after="0" w:line="276" w:lineRule="auto"/>
        <w:jc w:val="both"/>
        <w:rPr>
          <w:rFonts w:asciiTheme="majorHAnsi" w:hAnsiTheme="majorHAnsi" w:cstheme="majorHAnsi"/>
          <w:sz w:val="24"/>
          <w:szCs w:val="24"/>
          <w:lang w:val="ro-RO"/>
        </w:rPr>
      </w:pPr>
      <w:r w:rsidRPr="00046B6A">
        <w:rPr>
          <w:rFonts w:asciiTheme="majorHAnsi" w:hAnsiTheme="majorHAnsi" w:cstheme="majorHAnsi"/>
          <w:sz w:val="24"/>
          <w:szCs w:val="24"/>
          <w:lang w:val="ro-RO"/>
        </w:rPr>
        <w:t xml:space="preserve">Totodată, cu privire la restituirea sumelor încasate necuvenit pentru aceste prestații, se înregistrează un nivel redus de rambursare. </w:t>
      </w:r>
      <w:r w:rsidR="00F50730" w:rsidRPr="00046B6A">
        <w:rPr>
          <w:rFonts w:asciiTheme="majorHAnsi" w:hAnsiTheme="majorHAnsi" w:cstheme="majorHAnsi"/>
          <w:sz w:val="24"/>
          <w:szCs w:val="24"/>
          <w:lang w:val="ro-RO"/>
        </w:rPr>
        <w:t>Astfel, din suma totală înaintată spre restituire în anul 2021</w:t>
      </w:r>
      <w:r w:rsidR="00561466" w:rsidRPr="00046B6A">
        <w:rPr>
          <w:rFonts w:asciiTheme="majorHAnsi" w:hAnsiTheme="majorHAnsi" w:cstheme="majorHAnsi"/>
          <w:sz w:val="24"/>
          <w:szCs w:val="24"/>
          <w:lang w:val="ro-RO"/>
        </w:rPr>
        <w:t>,</w:t>
      </w:r>
      <w:r w:rsidR="00F50730" w:rsidRPr="00046B6A">
        <w:rPr>
          <w:rFonts w:asciiTheme="majorHAnsi" w:hAnsiTheme="majorHAnsi" w:cstheme="majorHAnsi"/>
          <w:sz w:val="24"/>
          <w:szCs w:val="24"/>
          <w:lang w:val="ro-RO"/>
        </w:rPr>
        <w:t xml:space="preserve"> au fost restituite 660,6 mii lei, ceea ce constituie 27,67%. </w:t>
      </w:r>
      <w:r w:rsidR="00561466" w:rsidRPr="00046B6A">
        <w:rPr>
          <w:rFonts w:asciiTheme="majorHAnsi" w:hAnsiTheme="majorHAnsi" w:cstheme="majorHAnsi"/>
          <w:sz w:val="24"/>
          <w:szCs w:val="24"/>
          <w:lang w:val="ro-RO"/>
        </w:rPr>
        <w:t>P</w:t>
      </w:r>
      <w:r w:rsidR="00F50730" w:rsidRPr="00046B6A">
        <w:rPr>
          <w:rFonts w:asciiTheme="majorHAnsi" w:hAnsiTheme="majorHAnsi" w:cstheme="majorHAnsi"/>
          <w:sz w:val="24"/>
          <w:szCs w:val="24"/>
          <w:lang w:val="ro-RO"/>
        </w:rPr>
        <w:t>e parcursul anului 2021, au fost restituite mijloace financiare în sumă totală de 1</w:t>
      </w:r>
      <w:r w:rsidR="00561466" w:rsidRPr="00046B6A">
        <w:rPr>
          <w:rFonts w:asciiTheme="majorHAnsi" w:hAnsiTheme="majorHAnsi" w:cstheme="majorHAnsi"/>
          <w:sz w:val="24"/>
          <w:szCs w:val="24"/>
          <w:lang w:val="ro-RO"/>
        </w:rPr>
        <w:t xml:space="preserve"> </w:t>
      </w:r>
      <w:r w:rsidR="00F50730" w:rsidRPr="00046B6A">
        <w:rPr>
          <w:rFonts w:asciiTheme="majorHAnsi" w:hAnsiTheme="majorHAnsi" w:cstheme="majorHAnsi"/>
          <w:sz w:val="24"/>
          <w:szCs w:val="24"/>
          <w:lang w:val="ro-RO"/>
        </w:rPr>
        <w:t>264,6 mii lei în temeiul recomandărilor înaintate în anii precedenți (2015-2020). Prin urmare</w:t>
      </w:r>
      <w:r w:rsidRPr="00046B6A">
        <w:rPr>
          <w:rFonts w:asciiTheme="majorHAnsi" w:hAnsiTheme="majorHAnsi" w:cstheme="majorHAnsi"/>
          <w:sz w:val="24"/>
          <w:szCs w:val="24"/>
          <w:lang w:val="ro-RO"/>
        </w:rPr>
        <w:t>,</w:t>
      </w:r>
      <w:r w:rsidR="00962592" w:rsidRPr="00046B6A">
        <w:rPr>
          <w:rFonts w:asciiTheme="majorHAnsi" w:hAnsiTheme="majorHAnsi" w:cstheme="majorHAnsi"/>
          <w:sz w:val="24"/>
          <w:szCs w:val="24"/>
          <w:lang w:val="ro-RO"/>
        </w:rPr>
        <w:t xml:space="preserve"> în anul 2021</w:t>
      </w:r>
      <w:r w:rsidRPr="00046B6A">
        <w:rPr>
          <w:rFonts w:asciiTheme="majorHAnsi" w:hAnsiTheme="majorHAnsi" w:cstheme="majorHAnsi"/>
          <w:sz w:val="24"/>
          <w:szCs w:val="24"/>
          <w:lang w:val="ro-RO"/>
        </w:rPr>
        <w:t xml:space="preserve"> a fost restituită suma de 1 925,3 mii lei din totalul de 11 200,7 mii lei</w:t>
      </w:r>
      <w:r w:rsidR="00962592" w:rsidRPr="00046B6A">
        <w:rPr>
          <w:rFonts w:asciiTheme="majorHAnsi" w:hAnsiTheme="majorHAnsi" w:cstheme="majorHAnsi"/>
          <w:sz w:val="24"/>
          <w:szCs w:val="24"/>
          <w:lang w:val="ro-RO"/>
        </w:rPr>
        <w:t xml:space="preserve"> </w:t>
      </w:r>
      <w:r w:rsidR="003B45E7" w:rsidRPr="00046B6A">
        <w:rPr>
          <w:rFonts w:asciiTheme="majorHAnsi" w:hAnsiTheme="majorHAnsi" w:cstheme="majorHAnsi"/>
          <w:sz w:val="24"/>
          <w:szCs w:val="24"/>
          <w:lang w:val="ro-RO"/>
        </w:rPr>
        <w:t xml:space="preserve">propus spre restituire în </w:t>
      </w:r>
      <w:r w:rsidR="00962592" w:rsidRPr="00046B6A">
        <w:rPr>
          <w:rFonts w:asciiTheme="majorHAnsi" w:hAnsiTheme="majorHAnsi" w:cstheme="majorHAnsi"/>
          <w:sz w:val="24"/>
          <w:szCs w:val="24"/>
          <w:lang w:val="ro-RO"/>
        </w:rPr>
        <w:t>anii 2015-2021</w:t>
      </w:r>
      <w:r w:rsidRPr="00046B6A">
        <w:rPr>
          <w:rFonts w:asciiTheme="majorHAnsi" w:hAnsiTheme="majorHAnsi" w:cstheme="majorHAnsi"/>
          <w:sz w:val="24"/>
          <w:szCs w:val="24"/>
          <w:lang w:val="ro-RO"/>
        </w:rPr>
        <w:t xml:space="preserve">, </w:t>
      </w:r>
      <w:r w:rsidR="00E74FB3" w:rsidRPr="00046B6A">
        <w:rPr>
          <w:rFonts w:asciiTheme="majorHAnsi" w:hAnsiTheme="majorHAnsi" w:cstheme="majorHAnsi"/>
          <w:sz w:val="24"/>
          <w:szCs w:val="24"/>
          <w:lang w:val="ro-RO"/>
        </w:rPr>
        <w:t xml:space="preserve">ceea </w:t>
      </w:r>
      <w:r w:rsidRPr="00046B6A">
        <w:rPr>
          <w:rFonts w:asciiTheme="majorHAnsi" w:hAnsiTheme="majorHAnsi" w:cstheme="majorHAnsi"/>
          <w:sz w:val="24"/>
          <w:szCs w:val="24"/>
          <w:lang w:val="ro-RO"/>
        </w:rPr>
        <w:t>ce constituie 17,2%, situație redată în tabelul de mai jos.</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p>
    <w:p w14:paraId="055DE1E2" w14:textId="6E00E76F" w:rsidR="00ED691E" w:rsidRPr="00E82CC1" w:rsidRDefault="00ED691E" w:rsidP="00ED691E">
      <w:pPr>
        <w:spacing w:after="0" w:line="276" w:lineRule="auto"/>
        <w:jc w:val="right"/>
        <w:rPr>
          <w:rFonts w:asciiTheme="majorHAnsi" w:hAnsiTheme="majorHAnsi" w:cstheme="majorHAnsi"/>
          <w:b/>
          <w:sz w:val="24"/>
          <w:szCs w:val="24"/>
          <w:lang w:val="ro-RO"/>
        </w:rPr>
      </w:pPr>
      <w:r w:rsidRPr="00E82CC1">
        <w:rPr>
          <w:rFonts w:asciiTheme="majorHAnsi" w:hAnsiTheme="majorHAnsi" w:cstheme="majorHAnsi"/>
          <w:b/>
          <w:sz w:val="24"/>
          <w:szCs w:val="24"/>
          <w:lang w:val="ro-RO"/>
        </w:rPr>
        <w:t>Tabel</w:t>
      </w:r>
      <w:r w:rsidR="00E74FB3">
        <w:rPr>
          <w:rFonts w:asciiTheme="majorHAnsi" w:hAnsiTheme="majorHAnsi" w:cstheme="majorHAnsi"/>
          <w:b/>
          <w:sz w:val="24"/>
          <w:szCs w:val="24"/>
          <w:lang w:val="ro-RO"/>
        </w:rPr>
        <w:t>ul</w:t>
      </w:r>
      <w:r w:rsidRPr="00E82CC1">
        <w:rPr>
          <w:rFonts w:asciiTheme="majorHAnsi" w:hAnsiTheme="majorHAnsi" w:cstheme="majorHAnsi"/>
          <w:b/>
          <w:sz w:val="24"/>
          <w:szCs w:val="24"/>
          <w:lang w:val="ro-RO"/>
        </w:rPr>
        <w:t xml:space="preserve"> nr.5</w:t>
      </w:r>
    </w:p>
    <w:p w14:paraId="7DAF41B0" w14:textId="77777777" w:rsidR="00ED691E" w:rsidRPr="00E82CC1" w:rsidRDefault="00ED691E" w:rsidP="00ED691E">
      <w:pPr>
        <w:spacing w:after="0" w:line="276" w:lineRule="auto"/>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 xml:space="preserve">Analiza sumelor restituite în anul 2021 a ajutoarelor sociale și ajutoarelor pentru perioada rece a anului, care au fost achitate necuvenit în perioada anilor 2015-2021 (lei) </w:t>
      </w:r>
    </w:p>
    <w:tbl>
      <w:tblPr>
        <w:tblStyle w:val="af0"/>
        <w:tblW w:w="9720" w:type="dxa"/>
        <w:tblInd w:w="-5" w:type="dxa"/>
        <w:tblLook w:val="04A0" w:firstRow="1" w:lastRow="0" w:firstColumn="1" w:lastColumn="0" w:noHBand="0" w:noVBand="1"/>
      </w:tblPr>
      <w:tblGrid>
        <w:gridCol w:w="2424"/>
        <w:gridCol w:w="2420"/>
        <w:gridCol w:w="2626"/>
        <w:gridCol w:w="2250"/>
      </w:tblGrid>
      <w:tr w:rsidR="00ED691E" w:rsidRPr="00E82CC1" w14:paraId="7FFE88DE" w14:textId="77777777" w:rsidTr="00B9300C">
        <w:tc>
          <w:tcPr>
            <w:tcW w:w="2424" w:type="dxa"/>
            <w:vAlign w:val="center"/>
          </w:tcPr>
          <w:p w14:paraId="4777EBAE"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Anul</w:t>
            </w:r>
          </w:p>
        </w:tc>
        <w:tc>
          <w:tcPr>
            <w:tcW w:w="2420" w:type="dxa"/>
            <w:vAlign w:val="center"/>
          </w:tcPr>
          <w:p w14:paraId="5E995E08"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Suma propusă spre restituire</w:t>
            </w:r>
          </w:p>
        </w:tc>
        <w:tc>
          <w:tcPr>
            <w:tcW w:w="2626" w:type="dxa"/>
            <w:vAlign w:val="center"/>
          </w:tcPr>
          <w:p w14:paraId="3CB9415B"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Suma restituită</w:t>
            </w:r>
          </w:p>
          <w:p w14:paraId="2A0D21D7" w14:textId="77777777" w:rsidR="00ED691E" w:rsidRPr="00E82CC1" w:rsidRDefault="00ED691E" w:rsidP="00B9300C">
            <w:pPr>
              <w:pStyle w:val="Default"/>
              <w:jc w:val="center"/>
              <w:rPr>
                <w:rFonts w:asciiTheme="majorHAnsi" w:hAnsiTheme="majorHAnsi" w:cstheme="majorHAnsi"/>
                <w:b/>
                <w:lang w:val="ro-RO"/>
              </w:rPr>
            </w:pPr>
            <w:r w:rsidRPr="00E82CC1">
              <w:rPr>
                <w:rFonts w:asciiTheme="majorHAnsi" w:hAnsiTheme="majorHAnsi" w:cstheme="majorHAnsi"/>
                <w:b/>
                <w:lang w:val="ro-RO"/>
              </w:rPr>
              <w:t>în anul 2021</w:t>
            </w:r>
          </w:p>
        </w:tc>
        <w:tc>
          <w:tcPr>
            <w:tcW w:w="2250" w:type="dxa"/>
            <w:vAlign w:val="center"/>
          </w:tcPr>
          <w:p w14:paraId="54D81084" w14:textId="38C14D92"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Ponderea</w:t>
            </w:r>
            <w:r w:rsidR="00E74FB3">
              <w:rPr>
                <w:rFonts w:asciiTheme="majorHAnsi" w:hAnsiTheme="majorHAnsi" w:cstheme="majorHAnsi"/>
                <w:b/>
                <w:bCs/>
                <w:lang w:val="ro-RO"/>
              </w:rPr>
              <w:t>, %</w:t>
            </w:r>
          </w:p>
        </w:tc>
      </w:tr>
      <w:tr w:rsidR="00ED691E" w:rsidRPr="00E82CC1" w14:paraId="3C178187" w14:textId="77777777" w:rsidTr="00B9300C">
        <w:tc>
          <w:tcPr>
            <w:tcW w:w="2424" w:type="dxa"/>
          </w:tcPr>
          <w:p w14:paraId="62D5A295"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2015</w:t>
            </w:r>
          </w:p>
        </w:tc>
        <w:tc>
          <w:tcPr>
            <w:tcW w:w="2420" w:type="dxa"/>
          </w:tcPr>
          <w:p w14:paraId="38CB2ABC"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561 246 </w:t>
            </w:r>
          </w:p>
        </w:tc>
        <w:tc>
          <w:tcPr>
            <w:tcW w:w="2626" w:type="dxa"/>
          </w:tcPr>
          <w:p w14:paraId="65334AC2"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1 660 </w:t>
            </w:r>
          </w:p>
        </w:tc>
        <w:tc>
          <w:tcPr>
            <w:tcW w:w="2250" w:type="dxa"/>
          </w:tcPr>
          <w:p w14:paraId="7BC7D3DB"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0,30% </w:t>
            </w:r>
          </w:p>
        </w:tc>
      </w:tr>
      <w:tr w:rsidR="00ED691E" w:rsidRPr="00E82CC1" w14:paraId="46995D5E" w14:textId="77777777" w:rsidTr="00B9300C">
        <w:tc>
          <w:tcPr>
            <w:tcW w:w="2424" w:type="dxa"/>
          </w:tcPr>
          <w:p w14:paraId="6CD0F361"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2016</w:t>
            </w:r>
          </w:p>
        </w:tc>
        <w:tc>
          <w:tcPr>
            <w:tcW w:w="2420" w:type="dxa"/>
          </w:tcPr>
          <w:p w14:paraId="2715BA30"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1 378 201 </w:t>
            </w:r>
          </w:p>
        </w:tc>
        <w:tc>
          <w:tcPr>
            <w:tcW w:w="2626" w:type="dxa"/>
          </w:tcPr>
          <w:p w14:paraId="07949749"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208 </w:t>
            </w:r>
          </w:p>
        </w:tc>
        <w:tc>
          <w:tcPr>
            <w:tcW w:w="2250" w:type="dxa"/>
          </w:tcPr>
          <w:p w14:paraId="6A7C88C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0,02% </w:t>
            </w:r>
          </w:p>
        </w:tc>
      </w:tr>
      <w:tr w:rsidR="00ED691E" w:rsidRPr="00E82CC1" w14:paraId="6349B31F" w14:textId="77777777" w:rsidTr="00B9300C">
        <w:tc>
          <w:tcPr>
            <w:tcW w:w="2424" w:type="dxa"/>
          </w:tcPr>
          <w:p w14:paraId="049FB5C5"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2017</w:t>
            </w:r>
          </w:p>
        </w:tc>
        <w:tc>
          <w:tcPr>
            <w:tcW w:w="2420" w:type="dxa"/>
          </w:tcPr>
          <w:p w14:paraId="7E0CF924"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1 448 744 </w:t>
            </w:r>
          </w:p>
        </w:tc>
        <w:tc>
          <w:tcPr>
            <w:tcW w:w="2626" w:type="dxa"/>
          </w:tcPr>
          <w:p w14:paraId="52BECB38"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48 525 </w:t>
            </w:r>
          </w:p>
        </w:tc>
        <w:tc>
          <w:tcPr>
            <w:tcW w:w="2250" w:type="dxa"/>
          </w:tcPr>
          <w:p w14:paraId="7C8707F8"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3,35% </w:t>
            </w:r>
          </w:p>
        </w:tc>
      </w:tr>
      <w:tr w:rsidR="00ED691E" w:rsidRPr="00E82CC1" w14:paraId="491396B0" w14:textId="77777777" w:rsidTr="00B9300C">
        <w:tc>
          <w:tcPr>
            <w:tcW w:w="2424" w:type="dxa"/>
          </w:tcPr>
          <w:p w14:paraId="1D699A2F"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2018</w:t>
            </w:r>
          </w:p>
        </w:tc>
        <w:tc>
          <w:tcPr>
            <w:tcW w:w="2420" w:type="dxa"/>
          </w:tcPr>
          <w:p w14:paraId="774CC274"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1 239 797 </w:t>
            </w:r>
          </w:p>
        </w:tc>
        <w:tc>
          <w:tcPr>
            <w:tcW w:w="2626" w:type="dxa"/>
          </w:tcPr>
          <w:p w14:paraId="56CCE3FC"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92 761 </w:t>
            </w:r>
          </w:p>
        </w:tc>
        <w:tc>
          <w:tcPr>
            <w:tcW w:w="2250" w:type="dxa"/>
          </w:tcPr>
          <w:p w14:paraId="0D532087"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7,48% </w:t>
            </w:r>
          </w:p>
        </w:tc>
      </w:tr>
      <w:tr w:rsidR="00ED691E" w:rsidRPr="00E82CC1" w14:paraId="58110EEF" w14:textId="77777777" w:rsidTr="00B9300C">
        <w:tc>
          <w:tcPr>
            <w:tcW w:w="2424" w:type="dxa"/>
          </w:tcPr>
          <w:p w14:paraId="0F88A7E5"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2019</w:t>
            </w:r>
          </w:p>
        </w:tc>
        <w:tc>
          <w:tcPr>
            <w:tcW w:w="2420" w:type="dxa"/>
          </w:tcPr>
          <w:p w14:paraId="089DBA63"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1 985 979 </w:t>
            </w:r>
          </w:p>
        </w:tc>
        <w:tc>
          <w:tcPr>
            <w:tcW w:w="2626" w:type="dxa"/>
          </w:tcPr>
          <w:p w14:paraId="2604124D"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113 014 </w:t>
            </w:r>
          </w:p>
        </w:tc>
        <w:tc>
          <w:tcPr>
            <w:tcW w:w="2250" w:type="dxa"/>
          </w:tcPr>
          <w:p w14:paraId="053EDF81"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5,69% </w:t>
            </w:r>
          </w:p>
        </w:tc>
      </w:tr>
      <w:tr w:rsidR="00ED691E" w:rsidRPr="00E82CC1" w14:paraId="48C5E40E" w14:textId="77777777" w:rsidTr="00B9300C">
        <w:tc>
          <w:tcPr>
            <w:tcW w:w="2424" w:type="dxa"/>
          </w:tcPr>
          <w:p w14:paraId="2176D412"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2020</w:t>
            </w:r>
          </w:p>
        </w:tc>
        <w:tc>
          <w:tcPr>
            <w:tcW w:w="2420" w:type="dxa"/>
          </w:tcPr>
          <w:p w14:paraId="66B289E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2 199 596 </w:t>
            </w:r>
          </w:p>
        </w:tc>
        <w:tc>
          <w:tcPr>
            <w:tcW w:w="2626" w:type="dxa"/>
          </w:tcPr>
          <w:p w14:paraId="6A627608"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1 008 436 </w:t>
            </w:r>
          </w:p>
        </w:tc>
        <w:tc>
          <w:tcPr>
            <w:tcW w:w="2250" w:type="dxa"/>
          </w:tcPr>
          <w:p w14:paraId="5E56F36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45,85% </w:t>
            </w:r>
          </w:p>
        </w:tc>
      </w:tr>
      <w:tr w:rsidR="00ED691E" w:rsidRPr="00E82CC1" w14:paraId="6FAD4DD1" w14:textId="77777777" w:rsidTr="00B9300C">
        <w:tc>
          <w:tcPr>
            <w:tcW w:w="2424" w:type="dxa"/>
          </w:tcPr>
          <w:p w14:paraId="6ACADB27"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2021</w:t>
            </w:r>
          </w:p>
        </w:tc>
        <w:tc>
          <w:tcPr>
            <w:tcW w:w="2420" w:type="dxa"/>
          </w:tcPr>
          <w:p w14:paraId="034660DB"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2 387 172 </w:t>
            </w:r>
          </w:p>
        </w:tc>
        <w:tc>
          <w:tcPr>
            <w:tcW w:w="2626" w:type="dxa"/>
          </w:tcPr>
          <w:p w14:paraId="3DFE646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660 696 </w:t>
            </w:r>
          </w:p>
        </w:tc>
        <w:tc>
          <w:tcPr>
            <w:tcW w:w="2250" w:type="dxa"/>
          </w:tcPr>
          <w:p w14:paraId="635FDCFA"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27,67% </w:t>
            </w:r>
          </w:p>
        </w:tc>
      </w:tr>
      <w:tr w:rsidR="00ED691E" w:rsidRPr="00E82CC1" w14:paraId="63ED633D" w14:textId="77777777" w:rsidTr="00B9300C">
        <w:tc>
          <w:tcPr>
            <w:tcW w:w="2424" w:type="dxa"/>
          </w:tcPr>
          <w:p w14:paraId="668F3373"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Total</w:t>
            </w:r>
          </w:p>
        </w:tc>
        <w:tc>
          <w:tcPr>
            <w:tcW w:w="2420" w:type="dxa"/>
          </w:tcPr>
          <w:p w14:paraId="1EB5AB9B"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11 200 735 </w:t>
            </w:r>
          </w:p>
        </w:tc>
        <w:tc>
          <w:tcPr>
            <w:tcW w:w="2626" w:type="dxa"/>
          </w:tcPr>
          <w:p w14:paraId="3A851135"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1 925 300 </w:t>
            </w:r>
          </w:p>
        </w:tc>
        <w:tc>
          <w:tcPr>
            <w:tcW w:w="2250" w:type="dxa"/>
          </w:tcPr>
          <w:p w14:paraId="1DF1E510"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17,18% </w:t>
            </w:r>
          </w:p>
        </w:tc>
      </w:tr>
    </w:tbl>
    <w:p w14:paraId="2504FF7E" w14:textId="77777777" w:rsidR="00ED691E" w:rsidRPr="00E82CC1" w:rsidRDefault="00ED691E" w:rsidP="00ED691E">
      <w:pPr>
        <w:shd w:val="clear" w:color="auto" w:fill="FFFFFF"/>
        <w:spacing w:after="0" w:line="276" w:lineRule="auto"/>
        <w:jc w:val="both"/>
        <w:rPr>
          <w:rFonts w:asciiTheme="majorHAnsi" w:hAnsiTheme="majorHAnsi" w:cstheme="majorHAnsi"/>
          <w:i/>
          <w:sz w:val="24"/>
          <w:szCs w:val="24"/>
          <w:lang w:val="ro-RO"/>
        </w:rPr>
      </w:pPr>
      <w:r w:rsidRPr="00E82CC1">
        <w:rPr>
          <w:rFonts w:asciiTheme="majorHAnsi" w:hAnsiTheme="majorHAnsi" w:cstheme="majorHAnsi"/>
          <w:i/>
          <w:sz w:val="24"/>
          <w:szCs w:val="24"/>
          <w:lang w:val="ro-RO"/>
        </w:rPr>
        <w:t>Sursa: Elaborat în baza informației furnizate de Inspecția Socială</w:t>
      </w:r>
    </w:p>
    <w:p w14:paraId="4BCA4091" w14:textId="77777777" w:rsidR="00ED691E" w:rsidRPr="00E82CC1" w:rsidRDefault="00ED691E" w:rsidP="00ED691E">
      <w:pPr>
        <w:shd w:val="clear" w:color="auto" w:fill="FFFFFF"/>
        <w:spacing w:after="0" w:line="276" w:lineRule="auto"/>
        <w:jc w:val="both"/>
        <w:rPr>
          <w:rFonts w:asciiTheme="majorHAnsi" w:hAnsiTheme="majorHAnsi" w:cstheme="majorHAnsi"/>
          <w:sz w:val="24"/>
          <w:szCs w:val="24"/>
          <w:lang w:val="ro-MD"/>
        </w:rPr>
      </w:pPr>
    </w:p>
    <w:p w14:paraId="291BD292" w14:textId="4CB5D5AA" w:rsidR="00ED691E" w:rsidRPr="00E82CC1" w:rsidRDefault="00ED691E" w:rsidP="00ED691E">
      <w:pPr>
        <w:shd w:val="clear" w:color="auto" w:fill="FFFFFF"/>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Auditul menționează că</w:t>
      </w:r>
      <w:r w:rsidR="00E74FB3">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începând cu anul 2021</w:t>
      </w:r>
      <w:r w:rsidR="00E74FB3">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la restituirea sumelor primite necuvenit, structura teritorială de asistență socială întocmește și prezintă Casei Naționale de Asigurări Sociale un demers privind restituirea sumelor, iar CNAS întocmește și transmite prestatorului de servicii de plată prin intermediul serviciului guvernamental de plăți electronice (MPay) decizia privind restituirea sumelor. În cazul în care sumele plăților necuvenite nu pot fi restituite de către prestatorul de servicii de plată, CNAS notifică despre această structură teritorială de asistență socială, care întreprinde măsurile ce se impun, conform legislației, pentru recuperarea sumei de la persoana care le-a primit.</w:t>
      </w:r>
    </w:p>
    <w:p w14:paraId="7EDC6C1C" w14:textId="6F9C6406" w:rsidR="006B205A" w:rsidRPr="00FF1AF1" w:rsidRDefault="00ED691E" w:rsidP="00FF1AF1">
      <w:pPr>
        <w:shd w:val="clear" w:color="auto" w:fill="FFFFFF"/>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E de menționat</w:t>
      </w:r>
      <w:r w:rsidR="00DF73E9">
        <w:rPr>
          <w:rFonts w:asciiTheme="majorHAnsi" w:hAnsiTheme="majorHAnsi" w:cstheme="majorHAnsi"/>
          <w:sz w:val="24"/>
          <w:szCs w:val="24"/>
          <w:lang w:val="ro-RO"/>
        </w:rPr>
        <w:t xml:space="preserve"> că</w:t>
      </w:r>
      <w:r w:rsidRPr="00E82CC1">
        <w:rPr>
          <w:rFonts w:asciiTheme="majorHAnsi" w:hAnsiTheme="majorHAnsi" w:cstheme="majorHAnsi"/>
          <w:sz w:val="24"/>
          <w:szCs w:val="24"/>
          <w:lang w:val="ro-RO"/>
        </w:rPr>
        <w:t xml:space="preserve">, </w:t>
      </w:r>
      <w:r w:rsidR="006B205A">
        <w:rPr>
          <w:rFonts w:asciiTheme="majorHAnsi" w:hAnsiTheme="majorHAnsi" w:cstheme="majorHAnsi"/>
          <w:sz w:val="24"/>
          <w:szCs w:val="24"/>
          <w:lang w:val="ro-MD"/>
        </w:rPr>
        <w:t xml:space="preserve">în </w:t>
      </w:r>
      <w:r w:rsidR="006B205A" w:rsidRPr="005A4B4F">
        <w:rPr>
          <w:rFonts w:asciiTheme="majorHAnsi" w:hAnsiTheme="majorHAnsi" w:cstheme="majorHAnsi"/>
          <w:sz w:val="24"/>
          <w:szCs w:val="24"/>
          <w:lang w:val="ro-MD"/>
        </w:rPr>
        <w:t>scop</w:t>
      </w:r>
      <w:r w:rsidR="006B205A">
        <w:rPr>
          <w:rFonts w:asciiTheme="majorHAnsi" w:hAnsiTheme="majorHAnsi" w:cstheme="majorHAnsi"/>
          <w:sz w:val="24"/>
          <w:szCs w:val="24"/>
          <w:lang w:val="ro-MD"/>
        </w:rPr>
        <w:t>ul</w:t>
      </w:r>
      <w:r w:rsidR="006B205A" w:rsidRPr="005A4B4F">
        <w:rPr>
          <w:rFonts w:asciiTheme="majorHAnsi" w:hAnsiTheme="majorHAnsi" w:cstheme="majorHAnsi"/>
          <w:sz w:val="24"/>
          <w:szCs w:val="24"/>
          <w:lang w:val="ro-MD"/>
        </w:rPr>
        <w:t xml:space="preserve"> eficientiz</w:t>
      </w:r>
      <w:r w:rsidR="006B205A">
        <w:rPr>
          <w:rFonts w:asciiTheme="majorHAnsi" w:hAnsiTheme="majorHAnsi" w:cstheme="majorHAnsi"/>
          <w:sz w:val="24"/>
          <w:szCs w:val="24"/>
          <w:lang w:val="ro-MD"/>
        </w:rPr>
        <w:t xml:space="preserve">ării </w:t>
      </w:r>
      <w:r w:rsidR="006B205A" w:rsidRPr="005A4B4F">
        <w:rPr>
          <w:rFonts w:asciiTheme="majorHAnsi" w:hAnsiTheme="majorHAnsi" w:cstheme="majorHAnsi"/>
          <w:sz w:val="24"/>
          <w:szCs w:val="24"/>
          <w:lang w:val="ro-MD"/>
        </w:rPr>
        <w:t>mecanismului de inspecție și control de stat în domeniul asistenței sociale,</w:t>
      </w:r>
      <w:r w:rsidR="006B205A">
        <w:rPr>
          <w:rFonts w:asciiTheme="majorHAnsi" w:hAnsiTheme="majorHAnsi" w:cstheme="majorHAnsi"/>
          <w:sz w:val="24"/>
          <w:szCs w:val="24"/>
          <w:lang w:val="ro-MD"/>
        </w:rPr>
        <w:t xml:space="preserve"> precum și</w:t>
      </w:r>
      <w:r w:rsidR="006B205A" w:rsidRPr="005A4B4F">
        <w:rPr>
          <w:rFonts w:asciiTheme="majorHAnsi" w:hAnsiTheme="majorHAnsi" w:cstheme="majorHAnsi"/>
          <w:sz w:val="24"/>
          <w:szCs w:val="24"/>
          <w:lang w:val="ro-MD"/>
        </w:rPr>
        <w:t xml:space="preserve"> consolid</w:t>
      </w:r>
      <w:r w:rsidR="006B205A">
        <w:rPr>
          <w:rFonts w:asciiTheme="majorHAnsi" w:hAnsiTheme="majorHAnsi" w:cstheme="majorHAnsi"/>
          <w:sz w:val="24"/>
          <w:szCs w:val="24"/>
          <w:lang w:val="ro-MD"/>
        </w:rPr>
        <w:t xml:space="preserve">ării </w:t>
      </w:r>
      <w:r w:rsidR="006B205A" w:rsidRPr="005A4B4F">
        <w:rPr>
          <w:rFonts w:asciiTheme="majorHAnsi" w:hAnsiTheme="majorHAnsi" w:cstheme="majorHAnsi"/>
          <w:sz w:val="24"/>
          <w:szCs w:val="24"/>
          <w:lang w:val="ro-MD"/>
        </w:rPr>
        <w:t>statutului</w:t>
      </w:r>
      <w:r w:rsidR="006B205A">
        <w:rPr>
          <w:rFonts w:asciiTheme="majorHAnsi" w:hAnsiTheme="majorHAnsi" w:cstheme="majorHAnsi"/>
          <w:sz w:val="24"/>
          <w:szCs w:val="24"/>
          <w:lang w:val="ro-MD"/>
        </w:rPr>
        <w:t xml:space="preserve"> Inspecției Sociale</w:t>
      </w:r>
      <w:r w:rsidR="006B205A">
        <w:rPr>
          <w:rFonts w:asciiTheme="majorHAnsi" w:hAnsiTheme="majorHAnsi" w:cstheme="majorHAnsi"/>
          <w:sz w:val="24"/>
          <w:szCs w:val="24"/>
          <w:lang w:val="ro-RO"/>
        </w:rPr>
        <w:t xml:space="preserve">, au fost operate modificări ale </w:t>
      </w:r>
      <w:r w:rsidR="006B205A" w:rsidRPr="00E82CC1">
        <w:rPr>
          <w:rFonts w:asciiTheme="majorHAnsi" w:hAnsiTheme="majorHAnsi" w:cstheme="majorHAnsi"/>
          <w:sz w:val="24"/>
          <w:szCs w:val="24"/>
          <w:lang w:val="ro-MD"/>
        </w:rPr>
        <w:t xml:space="preserve">unor acte normative </w:t>
      </w:r>
      <w:r w:rsidR="00FF1AF1">
        <w:rPr>
          <w:rFonts w:asciiTheme="majorHAnsi" w:hAnsiTheme="majorHAnsi" w:cstheme="majorHAnsi"/>
          <w:sz w:val="24"/>
          <w:szCs w:val="24"/>
          <w:lang w:val="ro-RO"/>
        </w:rPr>
        <w:t xml:space="preserve">ce se referă la: </w:t>
      </w:r>
      <w:r w:rsidR="006B205A" w:rsidRPr="00FF1AF1">
        <w:rPr>
          <w:rFonts w:asciiTheme="majorHAnsi" w:hAnsiTheme="majorHAnsi" w:cstheme="majorHAnsi"/>
          <w:sz w:val="24"/>
          <w:szCs w:val="24"/>
          <w:lang w:val="ro-MD"/>
        </w:rPr>
        <w:t>introducerea competenței de a constata contravenții și de a avea calitate procesuală activă în domeniul asistenței sociale;</w:t>
      </w:r>
      <w:r w:rsidR="00FF1AF1">
        <w:rPr>
          <w:rFonts w:asciiTheme="majorHAnsi" w:hAnsiTheme="majorHAnsi" w:cstheme="majorHAnsi"/>
          <w:sz w:val="24"/>
          <w:szCs w:val="24"/>
          <w:lang w:val="ro-RO"/>
        </w:rPr>
        <w:t xml:space="preserve"> </w:t>
      </w:r>
      <w:r w:rsidR="006B205A" w:rsidRPr="00FF1AF1">
        <w:rPr>
          <w:rFonts w:asciiTheme="majorHAnsi" w:hAnsiTheme="majorHAnsi" w:cstheme="majorHAnsi"/>
          <w:sz w:val="24"/>
          <w:szCs w:val="24"/>
          <w:lang w:val="ro-MD"/>
        </w:rPr>
        <w:t>introducerea competenței de a constata încălcările efectuate de către structura teritorială de asistență socială a procedurilor în procesul acordării prestațiilor și serviciilor sociale;</w:t>
      </w:r>
      <w:r w:rsidR="00FF1AF1">
        <w:rPr>
          <w:rFonts w:asciiTheme="majorHAnsi" w:hAnsiTheme="majorHAnsi" w:cstheme="majorHAnsi"/>
          <w:sz w:val="24"/>
          <w:szCs w:val="24"/>
          <w:lang w:val="ro-RO"/>
        </w:rPr>
        <w:t xml:space="preserve"> </w:t>
      </w:r>
      <w:r w:rsidR="006B205A" w:rsidRPr="00FF1AF1">
        <w:rPr>
          <w:rFonts w:asciiTheme="majorHAnsi" w:hAnsiTheme="majorHAnsi" w:cstheme="majorHAnsi"/>
          <w:sz w:val="24"/>
          <w:szCs w:val="24"/>
          <w:lang w:val="ro-MD"/>
        </w:rPr>
        <w:t>măsuri de responsabilizare a autorităților administrației publice, prestatorilor de servicii sociale, indiferent de tipul de proprietate și de forma juridică de organizare</w:t>
      </w:r>
      <w:r w:rsidR="00DF73E9">
        <w:rPr>
          <w:rFonts w:asciiTheme="majorHAnsi" w:hAnsiTheme="majorHAnsi" w:cstheme="majorHAnsi"/>
          <w:sz w:val="24"/>
          <w:szCs w:val="24"/>
          <w:lang w:val="ro-MD"/>
        </w:rPr>
        <w:t>,</w:t>
      </w:r>
      <w:r w:rsidR="00FF1AF1">
        <w:rPr>
          <w:rFonts w:asciiTheme="majorHAnsi" w:hAnsiTheme="majorHAnsi" w:cstheme="majorHAnsi"/>
          <w:sz w:val="24"/>
          <w:szCs w:val="24"/>
          <w:lang w:val="ro-MD"/>
        </w:rPr>
        <w:t xml:space="preserve"> precum și </w:t>
      </w:r>
      <w:r w:rsidR="006B205A" w:rsidRPr="00FF1AF1">
        <w:rPr>
          <w:rFonts w:asciiTheme="majorHAnsi" w:hAnsiTheme="majorHAnsi" w:cstheme="majorHAnsi"/>
          <w:sz w:val="24"/>
          <w:szCs w:val="24"/>
          <w:lang w:val="ro-MD"/>
        </w:rPr>
        <w:t>măsuri de responsabilizare a beneficiarilor în vederea declarării corecte a informațiilor privind situația de dificultate care poate duce la stabilirea dreptul</w:t>
      </w:r>
      <w:r w:rsidR="00FF1AF1">
        <w:rPr>
          <w:rFonts w:asciiTheme="majorHAnsi" w:hAnsiTheme="majorHAnsi" w:cstheme="majorHAnsi"/>
          <w:sz w:val="24"/>
          <w:szCs w:val="24"/>
          <w:lang w:val="ro-MD"/>
        </w:rPr>
        <w:t>ui de asistență socială etc</w:t>
      </w:r>
      <w:r w:rsidR="006B205A" w:rsidRPr="00FF1AF1">
        <w:rPr>
          <w:rFonts w:asciiTheme="majorHAnsi" w:hAnsiTheme="majorHAnsi" w:cstheme="majorHAnsi"/>
          <w:sz w:val="24"/>
          <w:szCs w:val="24"/>
          <w:lang w:val="ro-MD"/>
        </w:rPr>
        <w:t>.</w:t>
      </w:r>
    </w:p>
    <w:p w14:paraId="2B69E0FD" w14:textId="2E2B72D3" w:rsidR="00ED691E" w:rsidRDefault="00ED691E" w:rsidP="00ED691E">
      <w:pPr>
        <w:shd w:val="clear" w:color="auto" w:fill="FFFFFF"/>
        <w:spacing w:line="276" w:lineRule="auto"/>
        <w:jc w:val="both"/>
        <w:rPr>
          <w:rFonts w:asciiTheme="majorHAnsi" w:hAnsiTheme="majorHAnsi" w:cstheme="majorHAnsi"/>
          <w:b/>
          <w:sz w:val="24"/>
          <w:szCs w:val="24"/>
          <w:lang w:val="ro-RO"/>
        </w:rPr>
      </w:pPr>
      <w:r w:rsidRPr="00E82CC1">
        <w:rPr>
          <w:rFonts w:asciiTheme="majorHAnsi" w:hAnsiTheme="majorHAnsi" w:cstheme="majorHAnsi"/>
          <w:sz w:val="24"/>
          <w:szCs w:val="24"/>
          <w:lang w:val="ro-MD"/>
        </w:rPr>
        <w:t xml:space="preserve">Deși a fost inițiat procesul de elaborare a proiectului de hotărâre de modificare a cadrului </w:t>
      </w:r>
      <w:r w:rsidRPr="00DF73E9">
        <w:rPr>
          <w:rFonts w:asciiTheme="majorHAnsi" w:hAnsiTheme="majorHAnsi" w:cstheme="majorHAnsi"/>
          <w:sz w:val="24"/>
          <w:szCs w:val="24"/>
          <w:lang w:val="ro-MD"/>
        </w:rPr>
        <w:t>normativ</w:t>
      </w:r>
      <w:r w:rsidRPr="00617E4A">
        <w:rPr>
          <w:rFonts w:asciiTheme="majorHAnsi" w:hAnsiTheme="majorHAnsi" w:cstheme="majorHAnsi"/>
          <w:sz w:val="24"/>
          <w:szCs w:val="24"/>
          <w:vertAlign w:val="superscript"/>
        </w:rPr>
        <w:footnoteReference w:id="14"/>
      </w:r>
      <w:r w:rsidRPr="00DF73E9">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până la momentul actual nu au fost </w:t>
      </w:r>
      <w:r w:rsidR="00DF73E9">
        <w:rPr>
          <w:rFonts w:asciiTheme="majorHAnsi" w:hAnsiTheme="majorHAnsi" w:cstheme="majorHAnsi"/>
          <w:sz w:val="24"/>
          <w:szCs w:val="24"/>
          <w:lang w:val="ro-MD"/>
        </w:rPr>
        <w:t xml:space="preserve">obținute </w:t>
      </w:r>
      <w:r w:rsidRPr="00E82CC1">
        <w:rPr>
          <w:rFonts w:asciiTheme="majorHAnsi" w:hAnsiTheme="majorHAnsi" w:cstheme="majorHAnsi"/>
          <w:sz w:val="24"/>
          <w:szCs w:val="24"/>
          <w:lang w:val="ro-MD"/>
        </w:rPr>
        <w:t>anumite rezultate, proiectul nefiind aprobat.</w:t>
      </w:r>
      <w:r w:rsidRPr="00E82CC1">
        <w:rPr>
          <w:rFonts w:asciiTheme="majorHAnsi" w:hAnsiTheme="majorHAnsi" w:cstheme="majorHAnsi"/>
          <w:b/>
          <w:sz w:val="24"/>
          <w:szCs w:val="24"/>
          <w:lang w:val="ro-RO"/>
        </w:rPr>
        <w:t xml:space="preserve"> </w:t>
      </w:r>
    </w:p>
    <w:p w14:paraId="71D8EA9F" w14:textId="45CB83FD" w:rsidR="00ED691E" w:rsidRPr="00E82CC1" w:rsidRDefault="00ED691E" w:rsidP="00ED691E">
      <w:pPr>
        <w:shd w:val="clear" w:color="auto" w:fill="FFFFFF"/>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 aceste condiții auditul denotă că</w:t>
      </w:r>
      <w:r w:rsidR="00DF73E9">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deși mijloacele privind cheltuielile pentru AS și ASPRA sunt transferate Casei Naționale de la BS, procesul fragmentat de acordare, verificare și plată a AS și ASPRA, corelat cu nivelul mic de restituire a plăț</w:t>
      </w:r>
      <w:r w:rsidR="00F832E9">
        <w:rPr>
          <w:rFonts w:asciiTheme="majorHAnsi" w:hAnsiTheme="majorHAnsi" w:cstheme="majorHAnsi"/>
          <w:sz w:val="24"/>
          <w:szCs w:val="24"/>
          <w:lang w:val="ro-RO"/>
        </w:rPr>
        <w:t>ilor achitate necuvenit</w:t>
      </w:r>
      <w:r w:rsidR="00D516CB">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influențează direct indicatorii BASS. </w:t>
      </w:r>
    </w:p>
    <w:p w14:paraId="7765BBCB" w14:textId="57D3995E" w:rsidR="00822C3C" w:rsidRPr="00E82CC1" w:rsidRDefault="00822C3C" w:rsidP="00D470AF">
      <w:pPr>
        <w:pStyle w:val="a9"/>
        <w:numPr>
          <w:ilvl w:val="1"/>
          <w:numId w:val="15"/>
        </w:numPr>
        <w:spacing w:after="0" w:line="276" w:lineRule="auto"/>
        <w:ind w:left="0" w:firstLine="0"/>
        <w:jc w:val="both"/>
        <w:outlineLvl w:val="1"/>
        <w:rPr>
          <w:rFonts w:asciiTheme="majorHAnsi" w:hAnsiTheme="majorHAnsi" w:cstheme="majorHAnsi"/>
          <w:b/>
          <w:bCs/>
          <w:iCs/>
          <w:sz w:val="24"/>
          <w:szCs w:val="24"/>
          <w:lang w:val="ro-RO"/>
        </w:rPr>
      </w:pPr>
      <w:r w:rsidRPr="00E82CC1">
        <w:rPr>
          <w:rFonts w:asciiTheme="majorHAnsi" w:hAnsiTheme="majorHAnsi" w:cstheme="majorHAnsi"/>
          <w:b/>
          <w:bCs/>
          <w:iCs/>
          <w:sz w:val="24"/>
          <w:szCs w:val="24"/>
          <w:lang w:val="ro-RO"/>
        </w:rPr>
        <w:t>Indemnizațiile de maternitate au fost stabilite, calculate și achitate regulamentar</w:t>
      </w:r>
      <w:r w:rsidR="00D516CB">
        <w:rPr>
          <w:rFonts w:asciiTheme="majorHAnsi" w:hAnsiTheme="majorHAnsi" w:cstheme="majorHAnsi"/>
          <w:b/>
          <w:bCs/>
          <w:iCs/>
          <w:sz w:val="24"/>
          <w:szCs w:val="24"/>
          <w:lang w:val="ro-RO"/>
        </w:rPr>
        <w:t>,</w:t>
      </w:r>
      <w:r w:rsidRPr="00E82CC1">
        <w:rPr>
          <w:rFonts w:asciiTheme="majorHAnsi" w:hAnsiTheme="majorHAnsi" w:cstheme="majorHAnsi"/>
          <w:b/>
          <w:bCs/>
          <w:iCs/>
          <w:sz w:val="24"/>
          <w:szCs w:val="24"/>
          <w:lang w:val="ro-RO"/>
        </w:rPr>
        <w:t xml:space="preserve"> cu reflectarea acestora la p</w:t>
      </w:r>
      <w:r w:rsidR="008735DE" w:rsidRPr="00E82CC1">
        <w:rPr>
          <w:rFonts w:asciiTheme="majorHAnsi" w:hAnsiTheme="majorHAnsi" w:cstheme="majorHAnsi"/>
          <w:b/>
          <w:bCs/>
          <w:iCs/>
          <w:sz w:val="24"/>
          <w:szCs w:val="24"/>
          <w:lang w:val="ro-RO"/>
        </w:rPr>
        <w:t>erioadele la care se referă</w:t>
      </w:r>
      <w:r w:rsidR="007D4C32" w:rsidRPr="00E82CC1">
        <w:rPr>
          <w:rFonts w:asciiTheme="majorHAnsi" w:hAnsiTheme="majorHAnsi" w:cstheme="majorHAnsi"/>
          <w:b/>
          <w:bCs/>
          <w:iCs/>
          <w:sz w:val="24"/>
          <w:szCs w:val="24"/>
          <w:lang w:val="ro-RO"/>
        </w:rPr>
        <w:t>,</w:t>
      </w:r>
      <w:r w:rsidR="008735DE" w:rsidRPr="00E82CC1">
        <w:rPr>
          <w:rFonts w:asciiTheme="majorHAnsi" w:hAnsiTheme="majorHAnsi" w:cstheme="majorHAnsi"/>
          <w:b/>
          <w:bCs/>
          <w:iCs/>
          <w:sz w:val="24"/>
          <w:szCs w:val="24"/>
          <w:lang w:val="ro-RO"/>
        </w:rPr>
        <w:t xml:space="preserve"> în timp ce</w:t>
      </w:r>
      <w:r w:rsidR="007D4C32" w:rsidRPr="00E82CC1">
        <w:rPr>
          <w:rFonts w:asciiTheme="majorHAnsi" w:hAnsiTheme="majorHAnsi" w:cstheme="majorHAnsi"/>
          <w:b/>
          <w:bCs/>
          <w:iCs/>
          <w:sz w:val="24"/>
          <w:szCs w:val="24"/>
          <w:lang w:val="ro-RO"/>
        </w:rPr>
        <w:t xml:space="preserve"> </w:t>
      </w:r>
      <w:r w:rsidR="002F4DB1" w:rsidRPr="00E82CC1">
        <w:rPr>
          <w:rFonts w:asciiTheme="majorHAnsi" w:hAnsiTheme="majorHAnsi" w:cstheme="majorHAnsi"/>
          <w:b/>
          <w:bCs/>
          <w:sz w:val="24"/>
          <w:szCs w:val="24"/>
          <w:lang w:val="ro-RO"/>
        </w:rPr>
        <w:t xml:space="preserve">indicatorul de executare BASS la partea de datorii a acestei prestații </w:t>
      </w:r>
      <w:r w:rsidR="008735DE" w:rsidRPr="00E82CC1">
        <w:rPr>
          <w:rFonts w:asciiTheme="majorHAnsi" w:hAnsiTheme="majorHAnsi" w:cstheme="majorHAnsi"/>
          <w:b/>
          <w:bCs/>
          <w:sz w:val="24"/>
          <w:szCs w:val="24"/>
          <w:lang w:val="ro-RO"/>
        </w:rPr>
        <w:t xml:space="preserve">a fost </w:t>
      </w:r>
      <w:r w:rsidR="0012160B" w:rsidRPr="00E82CC1">
        <w:rPr>
          <w:rFonts w:asciiTheme="majorHAnsi" w:hAnsiTheme="majorHAnsi" w:cstheme="majorHAnsi"/>
          <w:b/>
          <w:bCs/>
          <w:sz w:val="24"/>
          <w:szCs w:val="24"/>
          <w:lang w:val="ro-RO"/>
        </w:rPr>
        <w:t>supraevaluat</w:t>
      </w:r>
      <w:r w:rsidR="002F4DB1" w:rsidRPr="00E82CC1">
        <w:rPr>
          <w:rFonts w:asciiTheme="majorHAnsi" w:hAnsiTheme="majorHAnsi" w:cstheme="majorHAnsi"/>
          <w:b/>
          <w:bCs/>
          <w:sz w:val="24"/>
          <w:szCs w:val="24"/>
          <w:lang w:val="ro-RO"/>
        </w:rPr>
        <w:t xml:space="preserve"> </w:t>
      </w:r>
      <w:r w:rsidR="002F4DB1" w:rsidRPr="00E82CC1">
        <w:rPr>
          <w:rFonts w:asciiTheme="majorHAnsi" w:hAnsiTheme="majorHAnsi" w:cstheme="majorHAnsi"/>
          <w:b/>
          <w:bCs/>
          <w:iCs/>
          <w:sz w:val="24"/>
          <w:szCs w:val="24"/>
          <w:lang w:val="ro-RO"/>
        </w:rPr>
        <w:t>cu 2,9 mil.lei</w:t>
      </w:r>
      <w:r w:rsidR="00D21915" w:rsidRPr="00E82CC1">
        <w:rPr>
          <w:rFonts w:asciiTheme="majorHAnsi" w:hAnsiTheme="majorHAnsi" w:cstheme="majorHAnsi"/>
          <w:b/>
          <w:bCs/>
          <w:iCs/>
          <w:sz w:val="24"/>
          <w:szCs w:val="24"/>
          <w:lang w:val="ro-RO"/>
        </w:rPr>
        <w:t xml:space="preserve">, rezultat al corectărilor efectuate de contribuabili </w:t>
      </w:r>
      <w:r w:rsidR="00D21915" w:rsidRPr="00E82CC1">
        <w:rPr>
          <w:rFonts w:asciiTheme="majorHAnsi" w:hAnsiTheme="majorHAnsi" w:cstheme="majorHAnsi"/>
          <w:b/>
          <w:sz w:val="24"/>
          <w:szCs w:val="24"/>
          <w:lang w:val="ro-RO"/>
        </w:rPr>
        <w:t>pentru perioadele 2012-2014.</w:t>
      </w:r>
    </w:p>
    <w:p w14:paraId="14E242AD" w14:textId="4EE19217" w:rsidR="00822C3C" w:rsidRPr="00E82CC1" w:rsidRDefault="008D692F" w:rsidP="002F4DB1">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Asiguratele, s</w:t>
      </w:r>
      <w:r w:rsidR="00822C3C" w:rsidRPr="00E82CC1">
        <w:rPr>
          <w:rFonts w:asciiTheme="majorHAnsi" w:hAnsiTheme="majorHAnsi" w:cstheme="majorHAnsi"/>
          <w:sz w:val="24"/>
          <w:szCs w:val="24"/>
          <w:lang w:val="ro-RO"/>
        </w:rPr>
        <w:t>oțiile aflate la întreținerea soților asigurați și șomerele care s-au aflat la evidență în instituțiile medico-sanitare din RM, care au dreptul la concediu de maternitate, ce include concediul prenatal și concediul postnatal, beneficiază</w:t>
      </w:r>
      <w:r w:rsidRPr="00E82CC1">
        <w:rPr>
          <w:rFonts w:asciiTheme="majorHAnsi" w:hAnsiTheme="majorHAnsi" w:cstheme="majorHAnsi"/>
          <w:sz w:val="24"/>
          <w:szCs w:val="24"/>
          <w:lang w:val="ro-RO"/>
        </w:rPr>
        <w:t xml:space="preserve"> de indemnizație de maternitate</w:t>
      </w:r>
      <w:r w:rsidRPr="00E82CC1">
        <w:rPr>
          <w:rStyle w:val="a5"/>
          <w:rFonts w:asciiTheme="majorHAnsi" w:hAnsiTheme="majorHAnsi" w:cstheme="majorHAnsi"/>
          <w:sz w:val="24"/>
          <w:szCs w:val="24"/>
          <w:lang w:val="ro-RO"/>
        </w:rPr>
        <w:footnoteReference w:id="15"/>
      </w:r>
      <w:r w:rsidRPr="00E82CC1">
        <w:rPr>
          <w:rFonts w:asciiTheme="majorHAnsi" w:hAnsiTheme="majorHAnsi" w:cstheme="majorHAnsi"/>
          <w:sz w:val="24"/>
          <w:szCs w:val="24"/>
          <w:lang w:val="ro-RO"/>
        </w:rPr>
        <w:t xml:space="preserve">. </w:t>
      </w:r>
      <w:r w:rsidR="00822C3C" w:rsidRPr="00E82CC1">
        <w:rPr>
          <w:rFonts w:asciiTheme="majorHAnsi" w:hAnsiTheme="majorHAnsi" w:cstheme="majorHAnsi"/>
          <w:sz w:val="24"/>
          <w:szCs w:val="24"/>
          <w:lang w:val="ro-RO"/>
        </w:rPr>
        <w:t xml:space="preserve">În anul 2021, cheltuielile efective ale indemnizațiilor de maternitate au constituit 626,2 mil. </w:t>
      </w:r>
      <w:r w:rsidRPr="00E82CC1">
        <w:rPr>
          <w:rFonts w:asciiTheme="majorHAnsi" w:hAnsiTheme="majorHAnsi" w:cstheme="majorHAnsi"/>
          <w:sz w:val="24"/>
          <w:szCs w:val="24"/>
          <w:lang w:val="ro-RO"/>
        </w:rPr>
        <w:t>lei</w:t>
      </w:r>
      <w:r w:rsidR="00822C3C" w:rsidRPr="00E82CC1">
        <w:rPr>
          <w:rFonts w:asciiTheme="majorHAnsi" w:hAnsiTheme="majorHAnsi" w:cstheme="majorHAnsi"/>
          <w:sz w:val="24"/>
          <w:szCs w:val="24"/>
          <w:lang w:val="ro-RO"/>
        </w:rPr>
        <w:t>, cu 64,1 mil</w:t>
      </w:r>
      <w:r w:rsidR="00D516CB">
        <w:rPr>
          <w:rFonts w:asciiTheme="majorHAnsi" w:hAnsiTheme="majorHAnsi" w:cstheme="majorHAnsi"/>
          <w:sz w:val="24"/>
          <w:szCs w:val="24"/>
          <w:lang w:val="ro-RO"/>
        </w:rPr>
        <w:t>.</w:t>
      </w:r>
      <w:r w:rsidR="00D516CB" w:rsidRPr="00E82CC1">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lei</w:t>
      </w:r>
      <w:r w:rsidR="00822C3C" w:rsidRPr="00E82CC1">
        <w:rPr>
          <w:rFonts w:asciiTheme="majorHAnsi" w:hAnsiTheme="majorHAnsi" w:cstheme="majorHAnsi"/>
          <w:sz w:val="24"/>
          <w:szCs w:val="24"/>
          <w:lang w:val="ro-RO"/>
        </w:rPr>
        <w:t xml:space="preserve"> mai mult față de anul precedent, fiind executate la nivel de 99,6%.</w:t>
      </w:r>
    </w:p>
    <w:p w14:paraId="472497ED" w14:textId="120D91AF" w:rsidR="00822C3C" w:rsidRPr="00E82CC1" w:rsidRDefault="00822C3C" w:rsidP="008D692F">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La verificarea regularităţii stabilirii indemnizațiilor de maternitate, precum şi înregistrării/raportării cheltuielilor aferente n</w:t>
      </w:r>
      <w:r w:rsidR="008D692F" w:rsidRPr="00E82CC1">
        <w:rPr>
          <w:rFonts w:asciiTheme="majorHAnsi" w:hAnsiTheme="majorHAnsi" w:cstheme="majorHAnsi"/>
          <w:sz w:val="24"/>
          <w:szCs w:val="24"/>
          <w:lang w:val="ro-RO"/>
        </w:rPr>
        <w:t xml:space="preserve">u s-au stabilit erori, mărimea indemnizației </w:t>
      </w:r>
      <w:r w:rsidRPr="00E82CC1">
        <w:rPr>
          <w:rFonts w:asciiTheme="majorHAnsi" w:hAnsiTheme="majorHAnsi" w:cstheme="majorHAnsi"/>
          <w:sz w:val="24"/>
          <w:szCs w:val="24"/>
          <w:lang w:val="ro-RO"/>
        </w:rPr>
        <w:t>fiind înregistrat</w:t>
      </w:r>
      <w:r w:rsidR="008D692F" w:rsidRPr="00E82CC1">
        <w:rPr>
          <w:rFonts w:asciiTheme="majorHAnsi" w:hAnsiTheme="majorHAnsi" w:cstheme="majorHAnsi"/>
          <w:sz w:val="24"/>
          <w:szCs w:val="24"/>
          <w:lang w:val="ro-RO"/>
        </w:rPr>
        <w:t>ă</w:t>
      </w:r>
      <w:r w:rsidRPr="00E82CC1">
        <w:rPr>
          <w:rFonts w:asciiTheme="majorHAnsi" w:hAnsiTheme="majorHAnsi" w:cstheme="majorHAnsi"/>
          <w:sz w:val="24"/>
          <w:szCs w:val="24"/>
          <w:lang w:val="ro-RO"/>
        </w:rPr>
        <w:t xml:space="preserve"> în co</w:t>
      </w:r>
      <w:r w:rsidR="00A466D9" w:rsidRPr="00E82CC1">
        <w:rPr>
          <w:rFonts w:asciiTheme="majorHAnsi" w:hAnsiTheme="majorHAnsi" w:cstheme="majorHAnsi"/>
          <w:sz w:val="24"/>
          <w:szCs w:val="24"/>
          <w:lang w:val="ro-RO"/>
        </w:rPr>
        <w:t>nturile prevăzute în acest sens</w:t>
      </w:r>
      <w:r w:rsidRPr="00E82CC1">
        <w:rPr>
          <w:rFonts w:asciiTheme="majorHAnsi" w:hAnsiTheme="majorHAnsi" w:cstheme="majorHAnsi"/>
          <w:sz w:val="24"/>
          <w:szCs w:val="24"/>
          <w:lang w:val="ro-RO"/>
        </w:rPr>
        <w:t xml:space="preserve"> cu reflectare în perioadele la care se referă. Totodată, s-a confirmat corectitudinea </w:t>
      </w:r>
      <w:r w:rsidR="00A466D9" w:rsidRPr="00E82CC1">
        <w:rPr>
          <w:rFonts w:asciiTheme="majorHAnsi" w:hAnsiTheme="majorHAnsi" w:cstheme="majorHAnsi"/>
          <w:sz w:val="24"/>
          <w:szCs w:val="24"/>
          <w:lang w:val="ro-RO"/>
        </w:rPr>
        <w:t xml:space="preserve">calculării </w:t>
      </w:r>
      <w:r w:rsidRPr="00E82CC1">
        <w:rPr>
          <w:rFonts w:asciiTheme="majorHAnsi" w:hAnsiTheme="majorHAnsi" w:cstheme="majorHAnsi"/>
          <w:sz w:val="24"/>
          <w:szCs w:val="24"/>
          <w:lang w:val="ro-RO"/>
        </w:rPr>
        <w:t>datelor în SI „Protecţia S</w:t>
      </w:r>
      <w:r w:rsidR="00A466D9" w:rsidRPr="00E82CC1">
        <w:rPr>
          <w:rFonts w:asciiTheme="majorHAnsi" w:hAnsiTheme="majorHAnsi" w:cstheme="majorHAnsi"/>
          <w:sz w:val="24"/>
          <w:szCs w:val="24"/>
          <w:lang w:val="ro-RO"/>
        </w:rPr>
        <w:t xml:space="preserve">ocială”, </w:t>
      </w:r>
      <w:r w:rsidR="00D516CB">
        <w:rPr>
          <w:rFonts w:asciiTheme="majorHAnsi" w:hAnsiTheme="majorHAnsi" w:cstheme="majorHAnsi"/>
          <w:sz w:val="24"/>
          <w:szCs w:val="24"/>
          <w:lang w:val="ro-RO"/>
        </w:rPr>
        <w:t xml:space="preserve">ca </w:t>
      </w:r>
      <w:r w:rsidR="00A466D9" w:rsidRPr="00E82CC1">
        <w:rPr>
          <w:rFonts w:asciiTheme="majorHAnsi" w:hAnsiTheme="majorHAnsi" w:cstheme="majorHAnsi"/>
          <w:sz w:val="24"/>
          <w:szCs w:val="24"/>
          <w:lang w:val="ro-RO"/>
        </w:rPr>
        <w:t xml:space="preserve">urmare a contrapunerii </w:t>
      </w:r>
      <w:r w:rsidRPr="00E82CC1">
        <w:rPr>
          <w:rFonts w:asciiTheme="majorHAnsi" w:hAnsiTheme="majorHAnsi" w:cstheme="majorHAnsi"/>
          <w:sz w:val="24"/>
          <w:szCs w:val="24"/>
          <w:lang w:val="ro-RO"/>
        </w:rPr>
        <w:t>cu documentele anexate la dosarul beneficiarului.</w:t>
      </w:r>
    </w:p>
    <w:p w14:paraId="61E537F6" w14:textId="1808527B" w:rsidR="006C4AA5" w:rsidRPr="00617E4A" w:rsidRDefault="008D692F" w:rsidP="00B263EC">
      <w:pPr>
        <w:spacing w:after="0" w:line="276" w:lineRule="auto"/>
        <w:jc w:val="both"/>
        <w:rPr>
          <w:rFonts w:asciiTheme="majorHAnsi" w:hAnsiTheme="majorHAnsi" w:cstheme="majorHAnsi"/>
          <w:bCs/>
          <w:sz w:val="24"/>
          <w:szCs w:val="24"/>
          <w:lang w:val="ro-MD"/>
        </w:rPr>
      </w:pPr>
      <w:r w:rsidRPr="00617E4A">
        <w:rPr>
          <w:rFonts w:asciiTheme="majorHAnsi" w:hAnsiTheme="majorHAnsi" w:cstheme="majorHAnsi"/>
          <w:sz w:val="24"/>
          <w:szCs w:val="24"/>
          <w:lang w:val="ro-MD"/>
        </w:rPr>
        <w:t xml:space="preserve">Atenția auditului a fost atrasă de </w:t>
      </w:r>
      <w:r w:rsidR="00CB0E9B" w:rsidRPr="00617E4A">
        <w:rPr>
          <w:rFonts w:asciiTheme="majorHAnsi" w:hAnsiTheme="majorHAnsi" w:cstheme="majorHAnsi"/>
          <w:sz w:val="24"/>
          <w:szCs w:val="24"/>
          <w:lang w:val="ro-MD"/>
        </w:rPr>
        <w:t xml:space="preserve">reflectarea </w:t>
      </w:r>
      <w:r w:rsidRPr="00617E4A">
        <w:rPr>
          <w:rFonts w:asciiTheme="majorHAnsi" w:hAnsiTheme="majorHAnsi" w:cstheme="majorHAnsi"/>
          <w:sz w:val="24"/>
          <w:szCs w:val="24"/>
          <w:lang w:val="ro-MD"/>
        </w:rPr>
        <w:t>sum</w:t>
      </w:r>
      <w:r w:rsidR="00CB0E9B" w:rsidRPr="00617E4A">
        <w:rPr>
          <w:rFonts w:asciiTheme="majorHAnsi" w:hAnsiTheme="majorHAnsi" w:cstheme="majorHAnsi"/>
          <w:sz w:val="24"/>
          <w:szCs w:val="24"/>
          <w:lang w:val="ro-MD"/>
        </w:rPr>
        <w:t>ei</w:t>
      </w:r>
      <w:r w:rsidRPr="00617E4A">
        <w:rPr>
          <w:rFonts w:asciiTheme="majorHAnsi" w:hAnsiTheme="majorHAnsi" w:cstheme="majorHAnsi"/>
          <w:sz w:val="24"/>
          <w:szCs w:val="24"/>
          <w:lang w:val="ro-MD"/>
        </w:rPr>
        <w:t xml:space="preserve"> </w:t>
      </w:r>
      <w:r w:rsidR="00A466D9" w:rsidRPr="00617E4A">
        <w:rPr>
          <w:rFonts w:asciiTheme="majorHAnsi" w:hAnsiTheme="majorHAnsi" w:cstheme="majorHAnsi"/>
          <w:sz w:val="24"/>
          <w:szCs w:val="24"/>
          <w:lang w:val="ro-MD"/>
        </w:rPr>
        <w:t xml:space="preserve">datoriei </w:t>
      </w:r>
      <w:r w:rsidRPr="00617E4A">
        <w:rPr>
          <w:rFonts w:asciiTheme="majorHAnsi" w:hAnsiTheme="majorHAnsi" w:cstheme="majorHAnsi"/>
          <w:sz w:val="24"/>
          <w:szCs w:val="24"/>
          <w:lang w:val="ro-MD"/>
        </w:rPr>
        <w:t xml:space="preserve">de 2,9 mil. lei </w:t>
      </w:r>
      <w:r w:rsidR="006C4AA5" w:rsidRPr="00617E4A">
        <w:rPr>
          <w:rFonts w:asciiTheme="majorHAnsi" w:hAnsiTheme="majorHAnsi" w:cstheme="majorHAnsi"/>
          <w:sz w:val="24"/>
          <w:szCs w:val="24"/>
          <w:lang w:val="ro-MD"/>
        </w:rPr>
        <w:t xml:space="preserve">aferente indemnizaţiei de maternitate. Datoria menţionată a fost formată </w:t>
      </w:r>
      <w:r w:rsidR="00D21915" w:rsidRPr="00617E4A">
        <w:rPr>
          <w:rFonts w:asciiTheme="majorHAnsi" w:hAnsiTheme="majorHAnsi" w:cstheme="majorHAnsi"/>
          <w:sz w:val="24"/>
          <w:szCs w:val="24"/>
          <w:lang w:val="ro-MD"/>
        </w:rPr>
        <w:t>în perioada 2012-</w:t>
      </w:r>
      <w:r w:rsidRPr="00617E4A">
        <w:rPr>
          <w:rFonts w:asciiTheme="majorHAnsi" w:hAnsiTheme="majorHAnsi" w:cstheme="majorHAnsi"/>
          <w:sz w:val="24"/>
          <w:szCs w:val="24"/>
          <w:lang w:val="ro-MD"/>
        </w:rPr>
        <w:t xml:space="preserve">2014, când </w:t>
      </w:r>
      <w:r w:rsidR="006C4AA5" w:rsidRPr="00617E4A">
        <w:rPr>
          <w:rFonts w:asciiTheme="majorHAnsi" w:hAnsiTheme="majorHAnsi" w:cstheme="majorHAnsi"/>
          <w:sz w:val="24"/>
          <w:szCs w:val="24"/>
          <w:lang w:val="ro-MD"/>
        </w:rPr>
        <w:t xml:space="preserve">obligaţia stabilirii şi plăţii </w:t>
      </w:r>
      <w:r w:rsidRPr="00617E4A">
        <w:rPr>
          <w:rFonts w:asciiTheme="majorHAnsi" w:hAnsiTheme="majorHAnsi" w:cstheme="majorHAnsi"/>
          <w:sz w:val="24"/>
          <w:szCs w:val="24"/>
          <w:lang w:val="ro-MD"/>
        </w:rPr>
        <w:t>indemnizațiilor</w:t>
      </w:r>
      <w:r w:rsidR="006C4AA5" w:rsidRPr="00617E4A">
        <w:rPr>
          <w:rFonts w:asciiTheme="majorHAnsi" w:hAnsiTheme="majorHAnsi" w:cstheme="majorHAnsi"/>
          <w:sz w:val="24"/>
          <w:szCs w:val="24"/>
          <w:lang w:val="ro-MD"/>
        </w:rPr>
        <w:t xml:space="preserve"> de maternitate din contul bugetului asigurărilor sociale de stat er</w:t>
      </w:r>
      <w:r w:rsidRPr="00617E4A">
        <w:rPr>
          <w:rFonts w:asciiTheme="majorHAnsi" w:hAnsiTheme="majorHAnsi" w:cstheme="majorHAnsi"/>
          <w:sz w:val="24"/>
          <w:szCs w:val="24"/>
          <w:lang w:val="ro-MD"/>
        </w:rPr>
        <w:t>a</w:t>
      </w:r>
      <w:r w:rsidR="006C4AA5" w:rsidRPr="00617E4A">
        <w:rPr>
          <w:rFonts w:asciiTheme="majorHAnsi" w:hAnsiTheme="majorHAnsi" w:cstheme="majorHAnsi"/>
          <w:sz w:val="24"/>
          <w:szCs w:val="24"/>
          <w:lang w:val="ro-MD"/>
        </w:rPr>
        <w:t xml:space="preserve"> pusă în obligaţia </w:t>
      </w:r>
      <w:r w:rsidR="006C4AA5" w:rsidRPr="00D516CB">
        <w:rPr>
          <w:rFonts w:asciiTheme="majorHAnsi" w:hAnsiTheme="majorHAnsi" w:cstheme="majorHAnsi"/>
          <w:sz w:val="24"/>
          <w:szCs w:val="24"/>
          <w:lang w:val="ro-MD"/>
        </w:rPr>
        <w:t xml:space="preserve">plătitorilor de </w:t>
      </w:r>
      <w:r w:rsidRPr="00D516CB">
        <w:rPr>
          <w:rFonts w:asciiTheme="majorHAnsi" w:hAnsiTheme="majorHAnsi" w:cstheme="majorHAnsi"/>
          <w:sz w:val="24"/>
          <w:szCs w:val="24"/>
          <w:lang w:val="ro-MD"/>
        </w:rPr>
        <w:t>contribuții</w:t>
      </w:r>
      <w:r w:rsidR="006C4AA5" w:rsidRPr="00D516CB">
        <w:rPr>
          <w:rFonts w:asciiTheme="majorHAnsi" w:hAnsiTheme="majorHAnsi" w:cstheme="majorHAnsi"/>
          <w:sz w:val="24"/>
          <w:szCs w:val="24"/>
          <w:lang w:val="ro-MD"/>
        </w:rPr>
        <w:t xml:space="preserve"> la bugetul asigurărilor sociale de stat şi se declarau prin </w:t>
      </w:r>
      <w:r w:rsidR="006C4AA5" w:rsidRPr="00D516CB">
        <w:rPr>
          <w:rFonts w:asciiTheme="majorHAnsi" w:hAnsiTheme="majorHAnsi" w:cstheme="majorHAnsi"/>
          <w:bCs/>
          <w:sz w:val="24"/>
          <w:szCs w:val="24"/>
          <w:lang w:val="ro-MD"/>
        </w:rPr>
        <w:t>Declaraţiile privind calculul şi utilizarea contribuţiilor de asigurări sociale de stat obligatorii (FORMA 4-BASS). Suma decl</w:t>
      </w:r>
      <w:r w:rsidR="006C4AA5" w:rsidRPr="00390909">
        <w:rPr>
          <w:rFonts w:asciiTheme="majorHAnsi" w:hAnsiTheme="majorHAnsi" w:cstheme="majorHAnsi"/>
          <w:bCs/>
          <w:sz w:val="24"/>
          <w:szCs w:val="24"/>
          <w:lang w:val="ro-MD"/>
        </w:rPr>
        <w:t>arată a indemnizaţiilor plătite de angajator diminua suma contribuţiilor de asigurări sociale de</w:t>
      </w:r>
      <w:r w:rsidRPr="001A3801">
        <w:rPr>
          <w:rFonts w:asciiTheme="majorHAnsi" w:hAnsiTheme="majorHAnsi" w:cstheme="majorHAnsi"/>
          <w:bCs/>
          <w:sz w:val="24"/>
          <w:szCs w:val="24"/>
          <w:lang w:val="ro-MD"/>
        </w:rPr>
        <w:t xml:space="preserve"> stat în perioada de gestiune, iar e</w:t>
      </w:r>
      <w:r w:rsidR="006C4AA5" w:rsidRPr="000A687C">
        <w:rPr>
          <w:rFonts w:asciiTheme="majorHAnsi" w:hAnsiTheme="majorHAnsi" w:cstheme="majorHAnsi"/>
          <w:bCs/>
          <w:sz w:val="24"/>
          <w:szCs w:val="24"/>
          <w:lang w:val="ro-MD"/>
        </w:rPr>
        <w:t>videnţa indemnizaţiilor de maternitate calculate şi plătite în perioada menţionată se ţinea de plătitorii de contribuţii.</w:t>
      </w:r>
      <w:r w:rsidR="007013C7" w:rsidRPr="00617E4A">
        <w:rPr>
          <w:rFonts w:asciiTheme="majorHAnsi" w:hAnsiTheme="majorHAnsi" w:cstheme="majorHAnsi"/>
          <w:bCs/>
          <w:sz w:val="24"/>
          <w:szCs w:val="24"/>
          <w:lang w:val="ro-MD"/>
        </w:rPr>
        <w:t xml:space="preserve"> </w:t>
      </w:r>
      <w:r w:rsidR="006C4AA5" w:rsidRPr="00617E4A">
        <w:rPr>
          <w:rFonts w:asciiTheme="majorHAnsi" w:hAnsiTheme="majorHAnsi" w:cstheme="majorHAnsi"/>
          <w:bCs/>
          <w:sz w:val="24"/>
          <w:szCs w:val="24"/>
          <w:lang w:val="ro-MD"/>
        </w:rPr>
        <w:t>În cazul corectărilor efectuate în anul următor</w:t>
      </w:r>
      <w:r w:rsidR="00B263EC" w:rsidRPr="00617E4A">
        <w:rPr>
          <w:rFonts w:asciiTheme="majorHAnsi" w:hAnsiTheme="majorHAnsi" w:cstheme="majorHAnsi"/>
          <w:bCs/>
          <w:sz w:val="24"/>
          <w:szCs w:val="24"/>
          <w:lang w:val="ro-MD"/>
        </w:rPr>
        <w:t xml:space="preserve">, </w:t>
      </w:r>
      <w:r w:rsidR="006C4AA5" w:rsidRPr="00617E4A">
        <w:rPr>
          <w:rFonts w:asciiTheme="majorHAnsi" w:hAnsiTheme="majorHAnsi" w:cstheme="majorHAnsi"/>
          <w:bCs/>
          <w:sz w:val="24"/>
          <w:szCs w:val="24"/>
          <w:lang w:val="ro-MD"/>
        </w:rPr>
        <w:t>se reflecta</w:t>
      </w:r>
      <w:r w:rsidR="00D516CB" w:rsidRPr="00617E4A">
        <w:rPr>
          <w:rFonts w:asciiTheme="majorHAnsi" w:hAnsiTheme="majorHAnsi" w:cstheme="majorHAnsi"/>
          <w:bCs/>
          <w:sz w:val="24"/>
          <w:szCs w:val="24"/>
          <w:lang w:val="ro-MD"/>
        </w:rPr>
        <w:t>u</w:t>
      </w:r>
      <w:r w:rsidR="006C4AA5" w:rsidRPr="00617E4A">
        <w:rPr>
          <w:rFonts w:asciiTheme="majorHAnsi" w:hAnsiTheme="majorHAnsi" w:cstheme="majorHAnsi"/>
          <w:bCs/>
          <w:sz w:val="24"/>
          <w:szCs w:val="24"/>
          <w:lang w:val="ro-MD"/>
        </w:rPr>
        <w:t xml:space="preserve"> datele aferente contribuţiilor de asigurări sociale de stat recalculate </w:t>
      </w:r>
      <w:r w:rsidR="00D516CB" w:rsidRPr="00617E4A">
        <w:rPr>
          <w:rFonts w:asciiTheme="majorHAnsi" w:hAnsiTheme="majorHAnsi" w:cstheme="majorHAnsi"/>
          <w:bCs/>
          <w:sz w:val="24"/>
          <w:szCs w:val="24"/>
          <w:lang w:val="ro-MD"/>
        </w:rPr>
        <w:t xml:space="preserve">ca </w:t>
      </w:r>
      <w:r w:rsidR="006C4AA5" w:rsidRPr="00617E4A">
        <w:rPr>
          <w:rFonts w:asciiTheme="majorHAnsi" w:hAnsiTheme="majorHAnsi" w:cstheme="majorHAnsi"/>
          <w:bCs/>
          <w:sz w:val="24"/>
          <w:szCs w:val="24"/>
          <w:lang w:val="ro-MD"/>
        </w:rPr>
        <w:t xml:space="preserve">urmare a corectării indemnizaţiilor de maternitate plătite </w:t>
      </w:r>
      <w:r w:rsidR="00D516CB" w:rsidRPr="00617E4A">
        <w:rPr>
          <w:rFonts w:asciiTheme="majorHAnsi" w:hAnsiTheme="majorHAnsi" w:cstheme="majorHAnsi"/>
          <w:bCs/>
          <w:sz w:val="24"/>
          <w:szCs w:val="24"/>
          <w:lang w:val="ro-MD"/>
        </w:rPr>
        <w:t xml:space="preserve">și </w:t>
      </w:r>
      <w:r w:rsidR="006C4AA5" w:rsidRPr="00617E4A">
        <w:rPr>
          <w:rFonts w:asciiTheme="majorHAnsi" w:hAnsiTheme="majorHAnsi" w:cstheme="majorHAnsi"/>
          <w:bCs/>
          <w:sz w:val="24"/>
          <w:szCs w:val="24"/>
          <w:lang w:val="ro-MD"/>
        </w:rPr>
        <w:t xml:space="preserve">declarate de plătitori </w:t>
      </w:r>
      <w:r w:rsidR="00B263EC" w:rsidRPr="00617E4A">
        <w:rPr>
          <w:rFonts w:asciiTheme="majorHAnsi" w:hAnsiTheme="majorHAnsi" w:cstheme="majorHAnsi"/>
          <w:bCs/>
          <w:sz w:val="24"/>
          <w:szCs w:val="24"/>
          <w:lang w:val="ro-MD"/>
        </w:rPr>
        <w:t>anterior. Astfel</w:t>
      </w:r>
      <w:r w:rsidR="006C4AA5" w:rsidRPr="00617E4A">
        <w:rPr>
          <w:rFonts w:asciiTheme="majorHAnsi" w:hAnsiTheme="majorHAnsi" w:cstheme="majorHAnsi"/>
          <w:bCs/>
          <w:sz w:val="24"/>
          <w:szCs w:val="24"/>
          <w:lang w:val="ro-MD"/>
        </w:rPr>
        <w:t xml:space="preserve">, </w:t>
      </w:r>
      <w:r w:rsidR="007013C7" w:rsidRPr="00617E4A">
        <w:rPr>
          <w:rFonts w:asciiTheme="majorHAnsi" w:hAnsiTheme="majorHAnsi" w:cstheme="majorHAnsi"/>
          <w:bCs/>
          <w:sz w:val="24"/>
          <w:szCs w:val="24"/>
          <w:lang w:val="ro-MD"/>
        </w:rPr>
        <w:t>în anul 2014,  structurile CNAS a</w:t>
      </w:r>
      <w:r w:rsidR="00D516CB" w:rsidRPr="00617E4A">
        <w:rPr>
          <w:rFonts w:asciiTheme="majorHAnsi" w:hAnsiTheme="majorHAnsi" w:cstheme="majorHAnsi"/>
          <w:bCs/>
          <w:sz w:val="24"/>
          <w:szCs w:val="24"/>
          <w:lang w:val="ro-MD"/>
        </w:rPr>
        <w:t>u</w:t>
      </w:r>
      <w:r w:rsidR="007013C7" w:rsidRPr="00617E4A">
        <w:rPr>
          <w:rFonts w:asciiTheme="majorHAnsi" w:hAnsiTheme="majorHAnsi" w:cstheme="majorHAnsi"/>
          <w:bCs/>
          <w:sz w:val="24"/>
          <w:szCs w:val="24"/>
          <w:lang w:val="ro-MD"/>
        </w:rPr>
        <w:t xml:space="preserve"> </w:t>
      </w:r>
      <w:r w:rsidR="006C4AA5" w:rsidRPr="00617E4A">
        <w:rPr>
          <w:rFonts w:asciiTheme="majorHAnsi" w:hAnsiTheme="majorHAnsi" w:cstheme="majorHAnsi"/>
          <w:bCs/>
          <w:sz w:val="24"/>
          <w:szCs w:val="24"/>
          <w:lang w:val="ro-MD"/>
        </w:rPr>
        <w:t>prelua</w:t>
      </w:r>
      <w:r w:rsidR="007013C7" w:rsidRPr="00617E4A">
        <w:rPr>
          <w:rFonts w:asciiTheme="majorHAnsi" w:hAnsiTheme="majorHAnsi" w:cstheme="majorHAnsi"/>
          <w:bCs/>
          <w:sz w:val="24"/>
          <w:szCs w:val="24"/>
          <w:lang w:val="ro-MD"/>
        </w:rPr>
        <w:t>t</w:t>
      </w:r>
      <w:r w:rsidR="006C4AA5" w:rsidRPr="00617E4A">
        <w:rPr>
          <w:rFonts w:asciiTheme="majorHAnsi" w:hAnsiTheme="majorHAnsi" w:cstheme="majorHAnsi"/>
          <w:bCs/>
          <w:sz w:val="24"/>
          <w:szCs w:val="24"/>
          <w:lang w:val="ro-MD"/>
        </w:rPr>
        <w:t xml:space="preserve"> procesul de stabilire a indemnizaţiei de maternitate</w:t>
      </w:r>
      <w:r w:rsidR="007013C7" w:rsidRPr="00617E4A">
        <w:rPr>
          <w:rStyle w:val="a5"/>
          <w:rFonts w:asciiTheme="majorHAnsi" w:hAnsiTheme="majorHAnsi" w:cstheme="majorHAnsi"/>
          <w:bCs/>
          <w:sz w:val="24"/>
          <w:szCs w:val="24"/>
          <w:lang w:val="ro-MD"/>
        </w:rPr>
        <w:footnoteReference w:id="16"/>
      </w:r>
      <w:r w:rsidR="007013C7" w:rsidRPr="00617E4A">
        <w:rPr>
          <w:rFonts w:asciiTheme="majorHAnsi" w:hAnsiTheme="majorHAnsi" w:cstheme="majorHAnsi"/>
          <w:bCs/>
          <w:sz w:val="24"/>
          <w:szCs w:val="24"/>
          <w:lang w:val="ro-MD"/>
        </w:rPr>
        <w:t>,</w:t>
      </w:r>
      <w:r w:rsidR="006C4AA5" w:rsidRPr="00617E4A">
        <w:rPr>
          <w:rFonts w:asciiTheme="majorHAnsi" w:hAnsiTheme="majorHAnsi" w:cstheme="majorHAnsi"/>
          <w:bCs/>
          <w:sz w:val="24"/>
          <w:szCs w:val="24"/>
          <w:lang w:val="ro-MD"/>
        </w:rPr>
        <w:t xml:space="preserve"> </w:t>
      </w:r>
      <w:r w:rsidR="007013C7" w:rsidRPr="00617E4A">
        <w:rPr>
          <w:rFonts w:asciiTheme="majorHAnsi" w:hAnsiTheme="majorHAnsi" w:cstheme="majorHAnsi"/>
          <w:bCs/>
          <w:sz w:val="24"/>
          <w:szCs w:val="24"/>
          <w:lang w:val="ro-MD"/>
        </w:rPr>
        <w:t xml:space="preserve">iar unii plătitori de contribuţii </w:t>
      </w:r>
      <w:r w:rsidR="006C4AA5" w:rsidRPr="00617E4A">
        <w:rPr>
          <w:rFonts w:asciiTheme="majorHAnsi" w:hAnsiTheme="majorHAnsi" w:cstheme="majorHAnsi"/>
          <w:bCs/>
          <w:sz w:val="24"/>
          <w:szCs w:val="24"/>
          <w:lang w:val="ro-MD"/>
        </w:rPr>
        <w:t>au efectuat corectări ale sumelor indemnizaţiilor de maternitate calculate în an</w:t>
      </w:r>
      <w:r w:rsidR="00F54B01" w:rsidRPr="00617E4A">
        <w:rPr>
          <w:rFonts w:asciiTheme="majorHAnsi" w:hAnsiTheme="majorHAnsi" w:cstheme="majorHAnsi"/>
          <w:bCs/>
          <w:sz w:val="24"/>
          <w:szCs w:val="24"/>
          <w:lang w:val="ro-MD"/>
        </w:rPr>
        <w:t xml:space="preserve">ii următori anului de gestiune. Prin urmare, deși </w:t>
      </w:r>
      <w:r w:rsidR="00B6239C" w:rsidRPr="00617E4A">
        <w:rPr>
          <w:rFonts w:asciiTheme="majorHAnsi" w:hAnsiTheme="majorHAnsi" w:cstheme="majorHAnsi"/>
          <w:bCs/>
          <w:sz w:val="24"/>
          <w:szCs w:val="24"/>
          <w:lang w:val="ro-MD"/>
        </w:rPr>
        <w:t xml:space="preserve">unii </w:t>
      </w:r>
      <w:r w:rsidR="00F54B01" w:rsidRPr="00617E4A">
        <w:rPr>
          <w:rFonts w:asciiTheme="majorHAnsi" w:hAnsiTheme="majorHAnsi" w:cstheme="majorHAnsi"/>
          <w:bCs/>
          <w:sz w:val="24"/>
          <w:szCs w:val="24"/>
          <w:lang w:val="ro-MD"/>
        </w:rPr>
        <w:t>agenții economici au efectuat corectări</w:t>
      </w:r>
      <w:r w:rsidR="00B6239C" w:rsidRPr="00617E4A">
        <w:rPr>
          <w:rFonts w:asciiTheme="majorHAnsi" w:hAnsiTheme="majorHAnsi" w:cstheme="majorHAnsi"/>
          <w:bCs/>
          <w:sz w:val="24"/>
          <w:szCs w:val="24"/>
          <w:lang w:val="ro-MD"/>
        </w:rPr>
        <w:t xml:space="preserve"> încă </w:t>
      </w:r>
      <w:r w:rsidR="00D516CB" w:rsidRPr="00617E4A">
        <w:rPr>
          <w:rFonts w:asciiTheme="majorHAnsi" w:hAnsiTheme="majorHAnsi" w:cstheme="majorHAnsi"/>
          <w:bCs/>
          <w:sz w:val="24"/>
          <w:szCs w:val="24"/>
          <w:lang w:val="ro-MD"/>
        </w:rPr>
        <w:t xml:space="preserve">în </w:t>
      </w:r>
      <w:r w:rsidR="00B6239C" w:rsidRPr="00617E4A">
        <w:rPr>
          <w:rFonts w:asciiTheme="majorHAnsi" w:hAnsiTheme="majorHAnsi" w:cstheme="majorHAnsi"/>
          <w:bCs/>
          <w:sz w:val="24"/>
          <w:szCs w:val="24"/>
          <w:lang w:val="ro-MD"/>
        </w:rPr>
        <w:t>anul 2013</w:t>
      </w:r>
      <w:r w:rsidR="00F54B01" w:rsidRPr="00617E4A">
        <w:rPr>
          <w:rFonts w:asciiTheme="majorHAnsi" w:hAnsiTheme="majorHAnsi" w:cstheme="majorHAnsi"/>
          <w:bCs/>
          <w:sz w:val="24"/>
          <w:szCs w:val="24"/>
          <w:lang w:val="ro-MD"/>
        </w:rPr>
        <w:t xml:space="preserve">, CNAS nu a diminuat </w:t>
      </w:r>
      <w:r w:rsidR="007E7362">
        <w:rPr>
          <w:rFonts w:asciiTheme="majorHAnsi" w:hAnsiTheme="majorHAnsi" w:cstheme="majorHAnsi"/>
          <w:bCs/>
          <w:sz w:val="24"/>
          <w:szCs w:val="24"/>
          <w:lang w:val="ro-MD"/>
        </w:rPr>
        <w:t>di</w:t>
      </w:r>
      <w:r w:rsidR="00F54B01" w:rsidRPr="00617E4A">
        <w:rPr>
          <w:rFonts w:asciiTheme="majorHAnsi" w:hAnsiTheme="majorHAnsi" w:cstheme="majorHAnsi"/>
          <w:bCs/>
          <w:sz w:val="24"/>
          <w:szCs w:val="24"/>
          <w:lang w:val="ro-MD"/>
        </w:rPr>
        <w:t>n evidenț</w:t>
      </w:r>
      <w:r w:rsidR="00B6239C" w:rsidRPr="00617E4A">
        <w:rPr>
          <w:rFonts w:asciiTheme="majorHAnsi" w:hAnsiTheme="majorHAnsi" w:cstheme="majorHAnsi"/>
          <w:bCs/>
          <w:sz w:val="24"/>
          <w:szCs w:val="24"/>
          <w:lang w:val="ro-MD"/>
        </w:rPr>
        <w:t>a contabilă</w:t>
      </w:r>
      <w:r w:rsidR="00F54B01" w:rsidRPr="00617E4A">
        <w:rPr>
          <w:rFonts w:asciiTheme="majorHAnsi" w:hAnsiTheme="majorHAnsi" w:cstheme="majorHAnsi"/>
          <w:bCs/>
          <w:sz w:val="24"/>
          <w:szCs w:val="24"/>
          <w:lang w:val="ro-MD"/>
        </w:rPr>
        <w:t xml:space="preserve"> suma datoriilor c</w:t>
      </w:r>
      <w:r w:rsidR="00B6239C" w:rsidRPr="00617E4A">
        <w:rPr>
          <w:rFonts w:asciiTheme="majorHAnsi" w:hAnsiTheme="majorHAnsi" w:cstheme="majorHAnsi"/>
          <w:bCs/>
          <w:sz w:val="24"/>
          <w:szCs w:val="24"/>
          <w:lang w:val="ro-MD"/>
        </w:rPr>
        <w:t xml:space="preserve">orectate, </w:t>
      </w:r>
      <w:r w:rsidR="00D516CB" w:rsidRPr="00617E4A">
        <w:rPr>
          <w:rFonts w:asciiTheme="majorHAnsi" w:hAnsiTheme="majorHAnsi" w:cstheme="majorHAnsi"/>
          <w:bCs/>
          <w:sz w:val="24"/>
          <w:szCs w:val="24"/>
          <w:lang w:val="ro-MD"/>
        </w:rPr>
        <w:t xml:space="preserve">astfel </w:t>
      </w:r>
      <w:r w:rsidR="00B6239C" w:rsidRPr="00617E4A">
        <w:rPr>
          <w:rFonts w:asciiTheme="majorHAnsi" w:hAnsiTheme="majorHAnsi" w:cstheme="majorHAnsi"/>
          <w:bCs/>
          <w:sz w:val="24"/>
          <w:szCs w:val="24"/>
          <w:lang w:val="ro-MD"/>
        </w:rPr>
        <w:t xml:space="preserve">menținând </w:t>
      </w:r>
      <w:r w:rsidR="00F54B01" w:rsidRPr="00617E4A">
        <w:rPr>
          <w:rFonts w:asciiTheme="majorHAnsi" w:hAnsiTheme="majorHAnsi" w:cstheme="majorHAnsi"/>
          <w:bCs/>
          <w:sz w:val="24"/>
          <w:szCs w:val="24"/>
          <w:lang w:val="ro-MD"/>
        </w:rPr>
        <w:t xml:space="preserve">nejustificat mai bine de </w:t>
      </w:r>
      <w:r w:rsidR="00B6239C" w:rsidRPr="00617E4A">
        <w:rPr>
          <w:rFonts w:asciiTheme="majorHAnsi" w:hAnsiTheme="majorHAnsi" w:cstheme="majorHAnsi"/>
          <w:bCs/>
          <w:sz w:val="24"/>
          <w:szCs w:val="24"/>
          <w:lang w:val="ro-MD"/>
        </w:rPr>
        <w:t>8</w:t>
      </w:r>
      <w:r w:rsidR="00F54B01" w:rsidRPr="00617E4A">
        <w:rPr>
          <w:rFonts w:asciiTheme="majorHAnsi" w:hAnsiTheme="majorHAnsi" w:cstheme="majorHAnsi"/>
          <w:bCs/>
          <w:sz w:val="24"/>
          <w:szCs w:val="24"/>
          <w:lang w:val="ro-MD"/>
        </w:rPr>
        <w:t xml:space="preserve"> ani</w:t>
      </w:r>
      <w:r w:rsidR="00D516CB" w:rsidRPr="00617E4A">
        <w:rPr>
          <w:rFonts w:asciiTheme="majorHAnsi" w:hAnsiTheme="majorHAnsi" w:cstheme="majorHAnsi"/>
          <w:bCs/>
          <w:sz w:val="24"/>
          <w:szCs w:val="24"/>
          <w:lang w:val="ro-MD"/>
        </w:rPr>
        <w:t xml:space="preserve"> suma de 2,9 mil. lei</w:t>
      </w:r>
      <w:r w:rsidR="00F54B01" w:rsidRPr="00617E4A">
        <w:rPr>
          <w:rFonts w:asciiTheme="majorHAnsi" w:hAnsiTheme="majorHAnsi" w:cstheme="majorHAnsi"/>
          <w:bCs/>
          <w:sz w:val="24"/>
          <w:szCs w:val="24"/>
          <w:lang w:val="ro-MD"/>
        </w:rPr>
        <w:t>.</w:t>
      </w:r>
    </w:p>
    <w:p w14:paraId="31A0C28B" w14:textId="281950EE" w:rsidR="00F54B01" w:rsidRPr="00E82CC1" w:rsidRDefault="00B6239C" w:rsidP="005F6C7B">
      <w:pPr>
        <w:spacing w:before="240" w:after="0" w:line="276" w:lineRule="auto"/>
        <w:jc w:val="both"/>
        <w:rPr>
          <w:rFonts w:asciiTheme="majorHAnsi" w:hAnsiTheme="majorHAnsi" w:cstheme="majorHAnsi"/>
          <w:bCs/>
          <w:sz w:val="24"/>
          <w:szCs w:val="24"/>
          <w:lang w:val="ro-RO"/>
        </w:rPr>
      </w:pPr>
      <w:r w:rsidRPr="00617E4A">
        <w:rPr>
          <w:rFonts w:asciiTheme="majorHAnsi" w:hAnsiTheme="majorHAnsi" w:cstheme="majorHAnsi"/>
          <w:bCs/>
          <w:sz w:val="24"/>
          <w:szCs w:val="24"/>
          <w:lang w:val="ro-MD"/>
        </w:rPr>
        <w:t>Totodată</w:t>
      </w:r>
      <w:r w:rsidR="0037217C" w:rsidRPr="00617E4A">
        <w:rPr>
          <w:rFonts w:asciiTheme="majorHAnsi" w:hAnsiTheme="majorHAnsi" w:cstheme="majorHAnsi"/>
          <w:bCs/>
          <w:sz w:val="24"/>
          <w:szCs w:val="24"/>
          <w:lang w:val="ro-MD"/>
        </w:rPr>
        <w:t>,</w:t>
      </w:r>
      <w:r w:rsidRPr="00617E4A">
        <w:rPr>
          <w:rFonts w:asciiTheme="majorHAnsi" w:hAnsiTheme="majorHAnsi" w:cstheme="majorHAnsi"/>
          <w:bCs/>
          <w:sz w:val="24"/>
          <w:szCs w:val="24"/>
          <w:lang w:val="ro-MD"/>
        </w:rPr>
        <w:t xml:space="preserve"> auditul </w:t>
      </w:r>
      <w:r w:rsidR="007E7362">
        <w:rPr>
          <w:rFonts w:asciiTheme="majorHAnsi" w:hAnsiTheme="majorHAnsi" w:cstheme="majorHAnsi"/>
          <w:bCs/>
          <w:sz w:val="24"/>
          <w:szCs w:val="24"/>
          <w:lang w:val="ro-MD"/>
        </w:rPr>
        <w:t>relevă</w:t>
      </w:r>
      <w:r w:rsidR="007E7362" w:rsidRPr="00617E4A">
        <w:rPr>
          <w:rFonts w:asciiTheme="majorHAnsi" w:hAnsiTheme="majorHAnsi" w:cstheme="majorHAnsi"/>
          <w:bCs/>
          <w:sz w:val="24"/>
          <w:szCs w:val="24"/>
          <w:lang w:val="ro-MD"/>
        </w:rPr>
        <w:t xml:space="preserve"> </w:t>
      </w:r>
      <w:r w:rsidRPr="00617E4A">
        <w:rPr>
          <w:rFonts w:asciiTheme="majorHAnsi" w:hAnsiTheme="majorHAnsi" w:cstheme="majorHAnsi"/>
          <w:bCs/>
          <w:sz w:val="24"/>
          <w:szCs w:val="24"/>
          <w:lang w:val="ro-MD"/>
        </w:rPr>
        <w:t>că Codul civil al Republicii Moldova</w:t>
      </w:r>
      <w:r w:rsidRPr="00617E4A">
        <w:rPr>
          <w:bCs/>
          <w:vertAlign w:val="superscript"/>
          <w:lang w:val="ro-MD"/>
        </w:rPr>
        <w:footnoteReference w:id="17"/>
      </w:r>
      <w:r w:rsidRPr="00617E4A">
        <w:rPr>
          <w:rFonts w:asciiTheme="majorHAnsi" w:hAnsiTheme="majorHAnsi" w:cstheme="majorHAnsi"/>
          <w:bCs/>
          <w:sz w:val="24"/>
          <w:szCs w:val="24"/>
          <w:vertAlign w:val="superscript"/>
          <w:lang w:val="ro-MD"/>
        </w:rPr>
        <w:t xml:space="preserve"> </w:t>
      </w:r>
      <w:r w:rsidRPr="00617E4A">
        <w:rPr>
          <w:rFonts w:asciiTheme="majorHAnsi" w:hAnsiTheme="majorHAnsi" w:cstheme="majorHAnsi"/>
          <w:bCs/>
          <w:sz w:val="24"/>
          <w:szCs w:val="24"/>
          <w:lang w:val="ro-MD"/>
        </w:rPr>
        <w:t>prevede că termenul</w:t>
      </w:r>
      <w:r w:rsidRPr="00E82CC1">
        <w:rPr>
          <w:rFonts w:asciiTheme="majorHAnsi" w:hAnsiTheme="majorHAnsi" w:cstheme="majorHAnsi"/>
          <w:bCs/>
          <w:sz w:val="24"/>
          <w:szCs w:val="24"/>
          <w:lang w:val="ro-RO"/>
        </w:rPr>
        <w:t xml:space="preserve"> general în interiorul căruia persoana poate să-şi apere, pe calea intentării unei acţiuni în instanţ</w:t>
      </w:r>
      <w:r w:rsidR="00561466">
        <w:rPr>
          <w:rFonts w:asciiTheme="majorHAnsi" w:hAnsiTheme="majorHAnsi" w:cstheme="majorHAnsi"/>
          <w:bCs/>
          <w:sz w:val="24"/>
          <w:szCs w:val="24"/>
          <w:lang w:val="ro-RO"/>
        </w:rPr>
        <w:t>a</w:t>
      </w:r>
      <w:r w:rsidRPr="00E82CC1">
        <w:rPr>
          <w:rFonts w:asciiTheme="majorHAnsi" w:hAnsiTheme="majorHAnsi" w:cstheme="majorHAnsi"/>
          <w:bCs/>
          <w:sz w:val="24"/>
          <w:szCs w:val="24"/>
          <w:lang w:val="ro-RO"/>
        </w:rPr>
        <w:t xml:space="preserve"> de judecată, dreptul încălcat este de 3 ani, iar </w:t>
      </w:r>
      <w:r w:rsidR="0037217C" w:rsidRPr="00E82CC1">
        <w:rPr>
          <w:rFonts w:asciiTheme="majorHAnsi" w:hAnsiTheme="majorHAnsi" w:cstheme="majorHAnsi"/>
          <w:bCs/>
          <w:sz w:val="24"/>
          <w:szCs w:val="24"/>
          <w:lang w:val="ro-RO"/>
        </w:rPr>
        <w:t>în corespundere cu prevederile</w:t>
      </w:r>
      <w:r w:rsidRPr="00E82CC1">
        <w:rPr>
          <w:rFonts w:asciiTheme="majorHAnsi" w:hAnsiTheme="majorHAnsi" w:cstheme="majorHAnsi"/>
          <w:bCs/>
          <w:sz w:val="24"/>
          <w:szCs w:val="24"/>
          <w:lang w:val="ro-RO"/>
        </w:rPr>
        <w:t xml:space="preserve"> </w:t>
      </w:r>
      <w:r w:rsidR="0037217C" w:rsidRPr="00E82CC1">
        <w:rPr>
          <w:rFonts w:asciiTheme="majorHAnsi" w:hAnsiTheme="majorHAnsi" w:cstheme="majorHAnsi"/>
          <w:bCs/>
          <w:sz w:val="24"/>
          <w:szCs w:val="24"/>
          <w:lang w:val="ro-RO"/>
        </w:rPr>
        <w:t>legale,</w:t>
      </w:r>
      <w:r w:rsidRPr="00E82CC1">
        <w:rPr>
          <w:rFonts w:asciiTheme="majorHAnsi" w:hAnsiTheme="majorHAnsi" w:cstheme="majorHAnsi"/>
          <w:bCs/>
          <w:sz w:val="24"/>
          <w:szCs w:val="24"/>
          <w:lang w:val="ro-RO"/>
        </w:rPr>
        <w:t xml:space="preserve"> termenul de prescripţie pentru plata indemnizaţiilor stabilite, dar neîncasate la timp se plăteşte retroactiv pe o perioadă de cel mult 3 ani anteriori datei solicitării</w:t>
      </w:r>
      <w:r w:rsidRPr="00E82CC1">
        <w:rPr>
          <w:rFonts w:asciiTheme="majorHAnsi" w:hAnsiTheme="majorHAnsi" w:cstheme="majorHAnsi"/>
          <w:sz w:val="24"/>
          <w:szCs w:val="24"/>
          <w:vertAlign w:val="superscript"/>
          <w:lang w:val="ro-RO"/>
        </w:rPr>
        <w:footnoteReference w:id="18"/>
      </w:r>
      <w:r w:rsidRPr="00E82CC1">
        <w:rPr>
          <w:rFonts w:asciiTheme="majorHAnsi" w:hAnsiTheme="majorHAnsi" w:cstheme="majorHAnsi"/>
          <w:bCs/>
          <w:sz w:val="24"/>
          <w:szCs w:val="24"/>
          <w:lang w:val="ro-RO"/>
        </w:rPr>
        <w:t>.</w:t>
      </w:r>
      <w:r w:rsidR="0037217C" w:rsidRPr="00E82CC1">
        <w:rPr>
          <w:rFonts w:asciiTheme="majorHAnsi" w:hAnsiTheme="majorHAnsi" w:cstheme="majorHAnsi"/>
          <w:bCs/>
          <w:sz w:val="24"/>
          <w:szCs w:val="24"/>
          <w:lang w:val="ro-RO"/>
        </w:rPr>
        <w:t xml:space="preserve"> În aceste condiții,</w:t>
      </w:r>
      <w:r w:rsidR="00DE11F2" w:rsidRPr="00E82CC1">
        <w:rPr>
          <w:rFonts w:asciiTheme="majorHAnsi" w:hAnsiTheme="majorHAnsi" w:cstheme="majorHAnsi"/>
          <w:bCs/>
          <w:sz w:val="24"/>
          <w:szCs w:val="24"/>
          <w:lang w:val="ro-RO"/>
        </w:rPr>
        <w:t xml:space="preserve"> datoria indemnizației de maternitate este supraevaluată cu 2,9 mil. lei, ceea ce indică necesitatea realizării </w:t>
      </w:r>
      <w:r w:rsidR="0037217C" w:rsidRPr="00E82CC1">
        <w:rPr>
          <w:rFonts w:asciiTheme="majorHAnsi" w:hAnsiTheme="majorHAnsi" w:cstheme="majorHAnsi"/>
          <w:bCs/>
          <w:sz w:val="24"/>
          <w:szCs w:val="24"/>
          <w:lang w:val="ro-RO"/>
        </w:rPr>
        <w:t xml:space="preserve">acțiunilor CNAS de  remediere/corectare </w:t>
      </w:r>
      <w:r w:rsidR="00DE11F2" w:rsidRPr="00E82CC1">
        <w:rPr>
          <w:rFonts w:asciiTheme="majorHAnsi" w:hAnsiTheme="majorHAnsi" w:cstheme="majorHAnsi"/>
          <w:bCs/>
          <w:sz w:val="24"/>
          <w:szCs w:val="24"/>
          <w:lang w:val="ro-RO"/>
        </w:rPr>
        <w:t>a</w:t>
      </w:r>
      <w:r w:rsidR="0037217C" w:rsidRPr="00E82CC1">
        <w:rPr>
          <w:rFonts w:asciiTheme="majorHAnsi" w:hAnsiTheme="majorHAnsi" w:cstheme="majorHAnsi"/>
          <w:bCs/>
          <w:sz w:val="24"/>
          <w:szCs w:val="24"/>
          <w:lang w:val="ro-RO"/>
        </w:rPr>
        <w:t xml:space="preserve"> datoriei </w:t>
      </w:r>
      <w:r w:rsidR="00DE11F2" w:rsidRPr="00E82CC1">
        <w:rPr>
          <w:rFonts w:asciiTheme="majorHAnsi" w:hAnsiTheme="majorHAnsi" w:cstheme="majorHAnsi"/>
          <w:bCs/>
          <w:sz w:val="24"/>
          <w:szCs w:val="24"/>
          <w:lang w:val="ro-RO"/>
        </w:rPr>
        <w:t xml:space="preserve">respective, care depășește termenul de prescripție și </w:t>
      </w:r>
      <w:r w:rsidR="0037217C" w:rsidRPr="00E82CC1">
        <w:rPr>
          <w:rFonts w:asciiTheme="majorHAnsi" w:hAnsiTheme="majorHAnsi" w:cstheme="majorHAnsi"/>
          <w:bCs/>
          <w:sz w:val="24"/>
          <w:szCs w:val="24"/>
          <w:lang w:val="ro-RO"/>
        </w:rPr>
        <w:t xml:space="preserve">afectează indicatorul de raportare </w:t>
      </w:r>
      <w:r w:rsidR="00E7491A">
        <w:rPr>
          <w:rFonts w:asciiTheme="majorHAnsi" w:hAnsiTheme="majorHAnsi" w:cstheme="majorHAnsi"/>
          <w:bCs/>
          <w:sz w:val="24"/>
          <w:szCs w:val="24"/>
          <w:lang w:val="ro-RO"/>
        </w:rPr>
        <w:t xml:space="preserve">a </w:t>
      </w:r>
      <w:r w:rsidR="0037217C" w:rsidRPr="00E82CC1">
        <w:rPr>
          <w:rFonts w:asciiTheme="majorHAnsi" w:hAnsiTheme="majorHAnsi" w:cstheme="majorHAnsi"/>
          <w:bCs/>
          <w:sz w:val="24"/>
          <w:szCs w:val="24"/>
          <w:lang w:val="ro-RO"/>
        </w:rPr>
        <w:t>BASS</w:t>
      </w:r>
      <w:r w:rsidR="00DE11F2" w:rsidRPr="00E82CC1">
        <w:rPr>
          <w:rFonts w:asciiTheme="majorHAnsi" w:hAnsiTheme="majorHAnsi" w:cstheme="majorHAnsi"/>
          <w:bCs/>
          <w:sz w:val="24"/>
          <w:szCs w:val="24"/>
          <w:lang w:val="ro-RO"/>
        </w:rPr>
        <w:t>.</w:t>
      </w:r>
    </w:p>
    <w:p w14:paraId="7F5410BB" w14:textId="77777777" w:rsidR="00036355" w:rsidRPr="00E82CC1" w:rsidRDefault="00036355" w:rsidP="00036355">
      <w:pPr>
        <w:spacing w:after="0" w:line="276" w:lineRule="auto"/>
        <w:jc w:val="both"/>
        <w:rPr>
          <w:rFonts w:asciiTheme="majorHAnsi" w:hAnsiTheme="majorHAnsi" w:cstheme="majorHAnsi"/>
          <w:bCs/>
          <w:sz w:val="24"/>
          <w:szCs w:val="24"/>
          <w:lang w:val="ro-RO"/>
        </w:rPr>
      </w:pPr>
    </w:p>
    <w:p w14:paraId="377C5031" w14:textId="26ECF30A" w:rsidR="00ED691E" w:rsidRPr="002A0CF0" w:rsidRDefault="002A0CF0" w:rsidP="002A0CF0">
      <w:pPr>
        <w:pStyle w:val="2"/>
        <w:numPr>
          <w:ilvl w:val="1"/>
          <w:numId w:val="15"/>
        </w:numPr>
        <w:ind w:left="0" w:firstLine="0"/>
        <w:jc w:val="both"/>
        <w:rPr>
          <w:rFonts w:cstheme="majorHAnsi"/>
          <w:b/>
          <w:bCs/>
          <w:iCs/>
          <w:color w:val="000000" w:themeColor="text1"/>
          <w:sz w:val="24"/>
          <w:szCs w:val="24"/>
          <w:lang w:val="ro-RO"/>
        </w:rPr>
      </w:pPr>
      <w:r>
        <w:rPr>
          <w:rFonts w:cstheme="majorHAnsi"/>
          <w:b/>
          <w:bCs/>
          <w:iCs/>
          <w:color w:val="000000" w:themeColor="text1"/>
          <w:sz w:val="24"/>
          <w:szCs w:val="24"/>
          <w:lang w:val="ro-RO"/>
        </w:rPr>
        <w:t>S</w:t>
      </w:r>
      <w:r w:rsidRPr="00E82CC1">
        <w:rPr>
          <w:rFonts w:cstheme="majorHAnsi"/>
          <w:b/>
          <w:bCs/>
          <w:iCs/>
          <w:color w:val="000000" w:themeColor="text1"/>
          <w:sz w:val="24"/>
          <w:szCs w:val="24"/>
          <w:lang w:val="ro-RO"/>
        </w:rPr>
        <w:t>tabilirea și plata indemnizațiilor lunare pentru creșterea copilului până la împlinirea vârstei de 3 ani s-a efectuat regulamentar</w:t>
      </w:r>
      <w:r>
        <w:rPr>
          <w:rFonts w:cstheme="majorHAnsi"/>
          <w:b/>
          <w:bCs/>
          <w:iCs/>
          <w:color w:val="000000" w:themeColor="text1"/>
          <w:sz w:val="24"/>
          <w:szCs w:val="24"/>
          <w:lang w:val="ro-RO"/>
        </w:rPr>
        <w:t>. Totodată,</w:t>
      </w:r>
      <w:r w:rsidRPr="00E82CC1">
        <w:rPr>
          <w:rFonts w:cstheme="majorHAnsi"/>
          <w:b/>
          <w:bCs/>
          <w:iCs/>
          <w:color w:val="000000" w:themeColor="text1"/>
          <w:sz w:val="24"/>
          <w:szCs w:val="24"/>
          <w:lang w:val="ro-RO"/>
        </w:rPr>
        <w:t xml:space="preserve"> indemnizațiile pentru creșterea copilului până la împlinirea vârstei de 2 ani și 2 luni nu </w:t>
      </w:r>
      <w:r>
        <w:rPr>
          <w:rFonts w:cstheme="majorHAnsi"/>
          <w:b/>
          <w:bCs/>
          <w:iCs/>
          <w:color w:val="000000" w:themeColor="text1"/>
          <w:sz w:val="24"/>
          <w:szCs w:val="24"/>
          <w:lang w:val="ro-RO"/>
        </w:rPr>
        <w:t xml:space="preserve">sunt </w:t>
      </w:r>
      <w:r w:rsidRPr="00E82CC1">
        <w:rPr>
          <w:rFonts w:cstheme="majorHAnsi"/>
          <w:b/>
          <w:bCs/>
          <w:iCs/>
          <w:color w:val="000000" w:themeColor="text1"/>
          <w:sz w:val="24"/>
          <w:szCs w:val="24"/>
          <w:lang w:val="ro-RO"/>
        </w:rPr>
        <w:t>raporta</w:t>
      </w:r>
      <w:r>
        <w:rPr>
          <w:rFonts w:cstheme="majorHAnsi"/>
          <w:b/>
          <w:bCs/>
          <w:iCs/>
          <w:color w:val="000000" w:themeColor="text1"/>
          <w:sz w:val="24"/>
          <w:szCs w:val="24"/>
          <w:lang w:val="ro-RO"/>
        </w:rPr>
        <w:t>te</w:t>
      </w:r>
      <w:r w:rsidRPr="00E82CC1">
        <w:rPr>
          <w:rFonts w:cstheme="majorHAnsi"/>
          <w:b/>
          <w:bCs/>
          <w:iCs/>
          <w:color w:val="000000" w:themeColor="text1"/>
          <w:sz w:val="24"/>
          <w:szCs w:val="24"/>
          <w:lang w:val="ro-RO"/>
        </w:rPr>
        <w:t xml:space="preserve"> distinct,</w:t>
      </w:r>
      <w:r>
        <w:rPr>
          <w:rFonts w:cstheme="majorHAnsi"/>
          <w:b/>
          <w:bCs/>
          <w:iCs/>
          <w:color w:val="000000" w:themeColor="text1"/>
          <w:sz w:val="24"/>
          <w:szCs w:val="24"/>
          <w:lang w:val="ro-RO"/>
        </w:rPr>
        <w:t xml:space="preserve"> l</w:t>
      </w:r>
      <w:r w:rsidRPr="00E82CC1">
        <w:rPr>
          <w:rFonts w:cstheme="majorHAnsi"/>
          <w:b/>
          <w:bCs/>
          <w:iCs/>
          <w:color w:val="000000" w:themeColor="text1"/>
          <w:sz w:val="24"/>
          <w:szCs w:val="24"/>
          <w:lang w:val="ro-RO"/>
        </w:rPr>
        <w:t>imit</w:t>
      </w:r>
      <w:r>
        <w:rPr>
          <w:rFonts w:cstheme="majorHAnsi"/>
          <w:b/>
          <w:bCs/>
          <w:iCs/>
          <w:color w:val="000000" w:themeColor="text1"/>
          <w:sz w:val="24"/>
          <w:szCs w:val="24"/>
          <w:lang w:val="ro-RO"/>
        </w:rPr>
        <w:t>ând</w:t>
      </w:r>
      <w:r w:rsidRPr="00E82CC1">
        <w:rPr>
          <w:rFonts w:cstheme="majorHAnsi"/>
          <w:b/>
          <w:bCs/>
          <w:iCs/>
          <w:color w:val="000000" w:themeColor="text1"/>
          <w:sz w:val="24"/>
          <w:szCs w:val="24"/>
          <w:lang w:val="ro-RO"/>
        </w:rPr>
        <w:t xml:space="preserve"> auditul în delimitarea </w:t>
      </w:r>
      <w:r>
        <w:rPr>
          <w:rFonts w:cstheme="majorHAnsi"/>
          <w:b/>
          <w:bCs/>
          <w:iCs/>
          <w:color w:val="000000" w:themeColor="text1"/>
          <w:sz w:val="24"/>
          <w:szCs w:val="24"/>
          <w:lang w:val="ro-RO"/>
        </w:rPr>
        <w:t>cheltuielilor aferente</w:t>
      </w:r>
      <w:r w:rsidRPr="008E2616">
        <w:rPr>
          <w:rFonts w:cstheme="majorHAnsi"/>
          <w:b/>
          <w:bCs/>
          <w:iCs/>
          <w:color w:val="000000" w:themeColor="text1"/>
          <w:sz w:val="24"/>
          <w:szCs w:val="24"/>
          <w:lang w:val="ro-RO"/>
        </w:rPr>
        <w:t xml:space="preserve">. </w:t>
      </w:r>
    </w:p>
    <w:p w14:paraId="371D4C0E" w14:textId="6B348AF7" w:rsidR="00ED691E" w:rsidRPr="00E82CC1" w:rsidRDefault="00ED691E" w:rsidP="00ED691E">
      <w:pPr>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Susținerea financiară a familiei ca persoană asigurată pentru îngrijirea copilului până la împlinirea vârstei de 3 ani face parte din categoria indemnizațiilor de asigurări sociale, cu o pondere de 46,8% din acestea. Indemnizațiile pentru creșterea copilului până la împlinirea vârstei de 3 ani au fost executate în sumă de 1 461,7 mil. lei, la un nivel de 99,5%, cu 252,4 mil. lei mai mult față de anul precedent.</w:t>
      </w:r>
    </w:p>
    <w:p w14:paraId="79FB9045" w14:textId="59C418BF" w:rsidR="00ED691E" w:rsidRPr="00E82CC1" w:rsidRDefault="00ED691E" w:rsidP="00ED691E">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Ca urmare a examinării dosarelor în aspectul îndeplinirii de către beneficiar a condițiilor de stabilire a indemnizației pentru creșterea copilului, a componenței dosarului, corectitudinii stabilirii cuantumului indemnizației și justificării perioadei luate în calcul, auditul nu a depistat neconformități.</w:t>
      </w:r>
    </w:p>
    <w:p w14:paraId="42DAA971" w14:textId="77777777" w:rsidR="00ED691E" w:rsidRPr="00E82CC1" w:rsidRDefault="00ED691E" w:rsidP="00ED691E">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Totodată, conform prevederilor</w:t>
      </w:r>
      <w:r w:rsidRPr="00E82CC1">
        <w:rPr>
          <w:rStyle w:val="a5"/>
          <w:rFonts w:asciiTheme="majorHAnsi" w:hAnsiTheme="majorHAnsi" w:cstheme="majorHAnsi"/>
          <w:sz w:val="24"/>
          <w:szCs w:val="24"/>
          <w:lang w:val="ro-RO"/>
        </w:rPr>
        <w:footnoteReference w:id="19"/>
      </w:r>
      <w:r w:rsidRPr="00E82CC1">
        <w:rPr>
          <w:rFonts w:asciiTheme="majorHAnsi" w:hAnsiTheme="majorHAnsi" w:cstheme="majorHAnsi"/>
          <w:sz w:val="24"/>
          <w:szCs w:val="24"/>
          <w:lang w:val="ro-RO"/>
        </w:rPr>
        <w:t xml:space="preserve">, asiguratul care se află în concediul pentru îngrijirea copilului până la împlinirea vârstei de 3 ani la toate unitățile în care desfășoară activități are dreptul la indemnizație lunară pentru creșterea copilului conform următoarelor opțiuni: </w:t>
      </w:r>
    </w:p>
    <w:p w14:paraId="59A32FFD" w14:textId="77777777" w:rsidR="00ED691E" w:rsidRPr="00E82CC1" w:rsidRDefault="00ED691E" w:rsidP="00ED691E">
      <w:pPr>
        <w:pStyle w:val="a9"/>
        <w:numPr>
          <w:ilvl w:val="0"/>
          <w:numId w:val="20"/>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de la data acordării concediului pentru îngrijirea copilului și până la împlinirea vârstei de 3 ani a copilului;</w:t>
      </w:r>
    </w:p>
    <w:p w14:paraId="6474D1E0" w14:textId="77777777" w:rsidR="00ED691E" w:rsidRPr="00E82CC1" w:rsidRDefault="00ED691E" w:rsidP="00ED691E">
      <w:pPr>
        <w:pStyle w:val="a9"/>
        <w:numPr>
          <w:ilvl w:val="0"/>
          <w:numId w:val="20"/>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de la data acordării concediului pentru îngrijirea copilului și până la împlinirea vârstei de 2 ani și 2 luni a copilului.</w:t>
      </w:r>
    </w:p>
    <w:p w14:paraId="70A47DD3" w14:textId="77777777" w:rsidR="00ED691E" w:rsidRPr="00E82CC1" w:rsidRDefault="00ED691E" w:rsidP="00ED691E">
      <w:pPr>
        <w:spacing w:after="0" w:line="276" w:lineRule="auto"/>
        <w:jc w:val="both"/>
        <w:rPr>
          <w:rFonts w:asciiTheme="majorHAnsi" w:hAnsiTheme="majorHAnsi" w:cstheme="majorHAnsi"/>
          <w:sz w:val="24"/>
          <w:szCs w:val="24"/>
          <w:lang w:val="ro-RO"/>
        </w:rPr>
      </w:pPr>
    </w:p>
    <w:p w14:paraId="5C9F64EC" w14:textId="66D2AF14" w:rsidR="002A0CF0" w:rsidRPr="00E82CC1" w:rsidRDefault="002A0CF0" w:rsidP="002A0CF0">
      <w:pPr>
        <w:spacing w:after="0" w:line="276" w:lineRule="auto"/>
        <w:jc w:val="both"/>
        <w:rPr>
          <w:rFonts w:asciiTheme="majorHAnsi" w:hAnsiTheme="majorHAnsi" w:cstheme="majorHAnsi"/>
          <w:sz w:val="24"/>
          <w:szCs w:val="24"/>
          <w:lang w:val="ro-MD"/>
        </w:rPr>
      </w:pPr>
      <w:r w:rsidRPr="002A0CF0">
        <w:rPr>
          <w:rFonts w:asciiTheme="majorHAnsi" w:hAnsiTheme="majorHAnsi" w:cstheme="majorHAnsi"/>
          <w:sz w:val="24"/>
          <w:szCs w:val="24"/>
          <w:lang w:val="ro-RO"/>
        </w:rPr>
        <w:t xml:space="preserve">Astfel, în aspectul raportării, auditul a stabilit că Raportul privind executarea BASS la partea de cheltuieli a prestațiilor sociale (Formularul nr. 7) reflectă cheltuielile ce asigură susținerea financiară a familiei pentru îngrijirea copilului până la împlinirea vârstei de 3 ani, fără a </w:t>
      </w:r>
      <w:r w:rsidR="00E7491A">
        <w:rPr>
          <w:rFonts w:asciiTheme="majorHAnsi" w:hAnsiTheme="majorHAnsi" w:cstheme="majorHAnsi"/>
          <w:sz w:val="24"/>
          <w:szCs w:val="24"/>
          <w:lang w:val="ro-RO"/>
        </w:rPr>
        <w:t>ține</w:t>
      </w:r>
      <w:r w:rsidR="00E7491A" w:rsidRPr="002A0CF0">
        <w:rPr>
          <w:rFonts w:asciiTheme="majorHAnsi" w:hAnsiTheme="majorHAnsi" w:cstheme="majorHAnsi"/>
          <w:sz w:val="24"/>
          <w:szCs w:val="24"/>
          <w:lang w:val="ro-RO"/>
        </w:rPr>
        <w:t xml:space="preserve"> </w:t>
      </w:r>
      <w:r w:rsidRPr="002A0CF0">
        <w:rPr>
          <w:rFonts w:asciiTheme="majorHAnsi" w:hAnsiTheme="majorHAnsi" w:cstheme="majorHAnsi"/>
          <w:sz w:val="24"/>
          <w:szCs w:val="24"/>
          <w:lang w:val="ro-RO"/>
        </w:rPr>
        <w:t>evidența separată a cheltuielilor pentru îngrijirea copilului până la împlinirea vârstei de 2 ani și 2 luni, acestea fiind raportate într-o singură componentă,</w:t>
      </w:r>
      <w:r w:rsidR="00E7491A">
        <w:rPr>
          <w:rFonts w:asciiTheme="majorHAnsi" w:hAnsiTheme="majorHAnsi" w:cstheme="majorHAnsi"/>
          <w:sz w:val="24"/>
          <w:szCs w:val="24"/>
          <w:lang w:val="ro-RO"/>
        </w:rPr>
        <w:t xml:space="preserve"> fapt</w:t>
      </w:r>
      <w:r w:rsidRPr="002A0CF0">
        <w:rPr>
          <w:rFonts w:asciiTheme="majorHAnsi" w:hAnsiTheme="majorHAnsi" w:cstheme="majorHAnsi"/>
          <w:sz w:val="24"/>
          <w:szCs w:val="24"/>
          <w:lang w:val="ro-RO"/>
        </w:rPr>
        <w:t xml:space="preserve"> ce a limitat auditul în delimitarea lor. Considerăm că posibilele denaturări nu vor fi semnificative, opinia de audit nefiind influențată din cauza acestui aspect.</w:t>
      </w:r>
      <w:r w:rsidRPr="002A0CF0">
        <w:rPr>
          <w:rFonts w:cstheme="majorHAnsi"/>
          <w:b/>
          <w:bCs/>
          <w:iCs/>
          <w:color w:val="000000" w:themeColor="text1"/>
          <w:sz w:val="24"/>
          <w:szCs w:val="24"/>
          <w:lang w:val="ro-RO"/>
        </w:rPr>
        <w:t xml:space="preserve"> </w:t>
      </w:r>
    </w:p>
    <w:p w14:paraId="3E1B102C" w14:textId="419862C4" w:rsidR="00ED691E" w:rsidRPr="00E82CC1" w:rsidRDefault="00ED691E" w:rsidP="00ED691E">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Acest aspect derivă din necesitatea prezentării reale a cuantumului cheltuielilor acordate în aceste scopuri</w:t>
      </w:r>
      <w:r w:rsidR="00E7491A">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care diferă prin:</w:t>
      </w:r>
    </w:p>
    <w:p w14:paraId="2F48328A" w14:textId="77777777" w:rsidR="00ED691E" w:rsidRPr="00E82CC1" w:rsidRDefault="00ED691E" w:rsidP="00ED691E">
      <w:pPr>
        <w:pStyle w:val="a9"/>
        <w:numPr>
          <w:ilvl w:val="0"/>
          <w:numId w:val="40"/>
        </w:num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30% din baza de calcul pentru fiecare copil, lunar până la vârsta de 3 ani;</w:t>
      </w:r>
    </w:p>
    <w:p w14:paraId="7FC7A7B4" w14:textId="77777777" w:rsidR="00ED691E" w:rsidRPr="00E82CC1" w:rsidRDefault="00ED691E" w:rsidP="00ED691E">
      <w:pPr>
        <w:pStyle w:val="a9"/>
        <w:numPr>
          <w:ilvl w:val="0"/>
          <w:numId w:val="40"/>
        </w:num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60% din baza de calcul pentru fiecare copil, până la împlinirea vârstei de 1 an a copilului și 30% din baza de calcul, din ziua următoare celei de împlinire a vârstei de 1 an și până la împlinirea vârstei de 2 ani și 2 luni a copilului.</w:t>
      </w:r>
    </w:p>
    <w:p w14:paraId="1344F1EC" w14:textId="3B936F1A" w:rsidR="00ED691E" w:rsidRDefault="00ED691E" w:rsidP="00ED691E">
      <w:pPr>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RO"/>
        </w:rPr>
        <w:t xml:space="preserve">Situația a fost determinată de lipsa unor rapoarte separate pentru acest tip de prestație, ceea ce nu asigură o evidență a persoanelor care au solicitat această opțiune și a valorii cheltuielilor aferente acestei prestații sociale. Totodată, acesta poate afecta transparența indicatorilor de raportare </w:t>
      </w:r>
      <w:r w:rsidR="008431E0">
        <w:rPr>
          <w:rFonts w:asciiTheme="majorHAnsi" w:hAnsiTheme="majorHAnsi" w:cstheme="majorHAnsi"/>
          <w:sz w:val="24"/>
          <w:szCs w:val="24"/>
          <w:lang w:val="ro-RO"/>
        </w:rPr>
        <w:t xml:space="preserve">a </w:t>
      </w:r>
      <w:r w:rsidRPr="00E82CC1">
        <w:rPr>
          <w:rFonts w:asciiTheme="majorHAnsi" w:hAnsiTheme="majorHAnsi" w:cstheme="majorHAnsi"/>
          <w:sz w:val="24"/>
          <w:szCs w:val="24"/>
          <w:lang w:val="ro-RO"/>
        </w:rPr>
        <w:t xml:space="preserve">BASS, precum și nu asigură o imagine de ansamblu </w:t>
      </w:r>
      <w:r w:rsidRPr="00E82CC1">
        <w:rPr>
          <w:rFonts w:asciiTheme="majorHAnsi" w:hAnsiTheme="majorHAnsi" w:cstheme="majorHAnsi"/>
          <w:sz w:val="24"/>
          <w:szCs w:val="24"/>
          <w:lang w:val="ro-MD"/>
        </w:rPr>
        <w:t>cu privire la persoanele care solicită această opțiune.</w:t>
      </w:r>
    </w:p>
    <w:p w14:paraId="6DF81B82" w14:textId="77777777" w:rsidR="008431E0" w:rsidRPr="00E82CC1" w:rsidRDefault="008431E0" w:rsidP="00ED691E">
      <w:pPr>
        <w:spacing w:after="0" w:line="276" w:lineRule="auto"/>
        <w:jc w:val="both"/>
        <w:rPr>
          <w:rFonts w:asciiTheme="majorHAnsi" w:hAnsiTheme="majorHAnsi" w:cstheme="majorHAnsi"/>
          <w:sz w:val="24"/>
          <w:szCs w:val="24"/>
          <w:lang w:val="ro-RO"/>
        </w:rPr>
      </w:pPr>
    </w:p>
    <w:p w14:paraId="5712C5A7" w14:textId="221A144F" w:rsidR="00721B8F" w:rsidRPr="00E82CC1" w:rsidRDefault="0012160B" w:rsidP="006D5E91">
      <w:pPr>
        <w:pStyle w:val="a9"/>
        <w:numPr>
          <w:ilvl w:val="1"/>
          <w:numId w:val="15"/>
        </w:numPr>
        <w:spacing w:after="0" w:line="276" w:lineRule="auto"/>
        <w:ind w:left="0" w:firstLine="0"/>
        <w:jc w:val="both"/>
        <w:outlineLvl w:val="1"/>
        <w:rPr>
          <w:rFonts w:asciiTheme="majorHAnsi" w:hAnsiTheme="majorHAnsi" w:cstheme="majorHAnsi"/>
          <w:b/>
          <w:bCs/>
          <w:iCs/>
          <w:sz w:val="24"/>
          <w:szCs w:val="24"/>
          <w:lang w:val="ro-RO"/>
        </w:rPr>
      </w:pPr>
      <w:r w:rsidRPr="00E82CC1">
        <w:rPr>
          <w:rFonts w:asciiTheme="majorHAnsi" w:hAnsiTheme="majorHAnsi" w:cstheme="majorHAnsi"/>
          <w:b/>
          <w:bCs/>
          <w:iCs/>
          <w:sz w:val="24"/>
          <w:szCs w:val="24"/>
          <w:lang w:val="ro-RO"/>
        </w:rPr>
        <w:t>Termenele restr</w:t>
      </w:r>
      <w:r w:rsidRPr="00E82CC1">
        <w:rPr>
          <w:rFonts w:asciiTheme="majorHAnsi" w:hAnsiTheme="majorHAnsi" w:cstheme="majorHAnsi"/>
          <w:b/>
          <w:bCs/>
          <w:iCs/>
          <w:sz w:val="24"/>
          <w:szCs w:val="24"/>
          <w:lang w:val="ro-MD"/>
        </w:rPr>
        <w:t xml:space="preserve">ânse </w:t>
      </w:r>
      <w:r w:rsidR="00721B8F" w:rsidRPr="00E82CC1">
        <w:rPr>
          <w:rFonts w:asciiTheme="majorHAnsi" w:hAnsiTheme="majorHAnsi" w:cstheme="majorHAnsi"/>
          <w:b/>
          <w:bCs/>
          <w:iCs/>
          <w:sz w:val="24"/>
          <w:szCs w:val="24"/>
          <w:lang w:val="ro-RO"/>
        </w:rPr>
        <w:t xml:space="preserve"> privind </w:t>
      </w:r>
      <w:r w:rsidRPr="00E82CC1">
        <w:rPr>
          <w:rFonts w:asciiTheme="majorHAnsi" w:hAnsiTheme="majorHAnsi" w:cstheme="majorHAnsi"/>
          <w:b/>
          <w:bCs/>
          <w:iCs/>
          <w:sz w:val="24"/>
          <w:szCs w:val="24"/>
          <w:lang w:val="ro-RO"/>
        </w:rPr>
        <w:t>acordarea, stabilirea și</w:t>
      </w:r>
      <w:r w:rsidR="00721B8F" w:rsidRPr="00E82CC1">
        <w:rPr>
          <w:rFonts w:asciiTheme="majorHAnsi" w:hAnsiTheme="majorHAnsi" w:cstheme="majorHAnsi"/>
          <w:b/>
          <w:bCs/>
          <w:iCs/>
          <w:sz w:val="24"/>
          <w:szCs w:val="24"/>
          <w:lang w:val="ro-RO"/>
        </w:rPr>
        <w:t xml:space="preserve"> calcularea indemni</w:t>
      </w:r>
      <w:r w:rsidR="00C45ABC" w:rsidRPr="00E82CC1">
        <w:rPr>
          <w:rFonts w:asciiTheme="majorHAnsi" w:hAnsiTheme="majorHAnsi" w:cstheme="majorHAnsi"/>
          <w:b/>
          <w:bCs/>
          <w:iCs/>
          <w:sz w:val="24"/>
          <w:szCs w:val="24"/>
          <w:lang w:val="ro-RO"/>
        </w:rPr>
        <w:t>zațiilor paternale pot leza at</w:t>
      </w:r>
      <w:r w:rsidR="00C45ABC" w:rsidRPr="00E82CC1">
        <w:rPr>
          <w:rFonts w:asciiTheme="majorHAnsi" w:hAnsiTheme="majorHAnsi" w:cstheme="majorHAnsi"/>
          <w:b/>
          <w:bCs/>
          <w:iCs/>
          <w:sz w:val="24"/>
          <w:szCs w:val="24"/>
          <w:lang w:val="ro-MD"/>
        </w:rPr>
        <w:t>â</w:t>
      </w:r>
      <w:r w:rsidR="00C45ABC" w:rsidRPr="00E82CC1">
        <w:rPr>
          <w:rFonts w:asciiTheme="majorHAnsi" w:hAnsiTheme="majorHAnsi" w:cstheme="majorHAnsi"/>
          <w:b/>
          <w:bCs/>
          <w:iCs/>
          <w:sz w:val="24"/>
          <w:szCs w:val="24"/>
          <w:lang w:val="ro-RO"/>
        </w:rPr>
        <w:t>t dreptul beneficiarului</w:t>
      </w:r>
      <w:r w:rsidR="00ED691E" w:rsidRPr="00E82CC1">
        <w:rPr>
          <w:rFonts w:asciiTheme="majorHAnsi" w:hAnsiTheme="majorHAnsi" w:cstheme="majorHAnsi"/>
          <w:b/>
          <w:bCs/>
          <w:iCs/>
          <w:sz w:val="24"/>
          <w:szCs w:val="24"/>
          <w:lang w:val="ro-RO"/>
        </w:rPr>
        <w:t xml:space="preserve"> (3,9 mii lei)</w:t>
      </w:r>
      <w:r w:rsidR="00C45ABC" w:rsidRPr="00E82CC1">
        <w:rPr>
          <w:rFonts w:asciiTheme="majorHAnsi" w:hAnsiTheme="majorHAnsi" w:cstheme="majorHAnsi"/>
          <w:b/>
          <w:bCs/>
          <w:iCs/>
          <w:sz w:val="24"/>
          <w:szCs w:val="24"/>
          <w:lang w:val="ro-RO"/>
        </w:rPr>
        <w:t>, cât</w:t>
      </w:r>
      <w:r w:rsidR="00D36F24" w:rsidRPr="00E82CC1">
        <w:rPr>
          <w:rFonts w:asciiTheme="majorHAnsi" w:hAnsiTheme="majorHAnsi" w:cstheme="majorHAnsi"/>
          <w:b/>
          <w:bCs/>
          <w:iCs/>
          <w:sz w:val="24"/>
          <w:szCs w:val="24"/>
          <w:lang w:val="ro-RO"/>
        </w:rPr>
        <w:t xml:space="preserve"> și admiterea cheltuielilor nejustificate </w:t>
      </w:r>
      <w:r w:rsidR="008431E0">
        <w:rPr>
          <w:rFonts w:asciiTheme="majorHAnsi" w:hAnsiTheme="majorHAnsi" w:cstheme="majorHAnsi"/>
          <w:b/>
          <w:bCs/>
          <w:iCs/>
          <w:sz w:val="24"/>
          <w:szCs w:val="24"/>
          <w:lang w:val="ro-RO"/>
        </w:rPr>
        <w:t xml:space="preserve">din </w:t>
      </w:r>
      <w:r w:rsidR="00D36F24" w:rsidRPr="00E82CC1">
        <w:rPr>
          <w:rFonts w:asciiTheme="majorHAnsi" w:hAnsiTheme="majorHAnsi" w:cstheme="majorHAnsi"/>
          <w:b/>
          <w:bCs/>
          <w:iCs/>
          <w:sz w:val="24"/>
          <w:szCs w:val="24"/>
          <w:lang w:val="ro-RO"/>
        </w:rPr>
        <w:t>BASS</w:t>
      </w:r>
      <w:r w:rsidR="00ED691E" w:rsidRPr="00E82CC1">
        <w:rPr>
          <w:rFonts w:asciiTheme="majorHAnsi" w:hAnsiTheme="majorHAnsi" w:cstheme="majorHAnsi"/>
          <w:b/>
          <w:bCs/>
          <w:iCs/>
          <w:sz w:val="24"/>
          <w:szCs w:val="24"/>
          <w:lang w:val="ro-RO"/>
        </w:rPr>
        <w:t xml:space="preserve"> (1,5 mii lei)</w:t>
      </w:r>
      <w:r w:rsidR="008431E0">
        <w:rPr>
          <w:rFonts w:asciiTheme="majorHAnsi" w:hAnsiTheme="majorHAnsi" w:cstheme="majorHAnsi"/>
          <w:b/>
          <w:bCs/>
          <w:iCs/>
          <w:sz w:val="24"/>
          <w:szCs w:val="24"/>
          <w:lang w:val="ro-RO"/>
        </w:rPr>
        <w:t>.</w:t>
      </w:r>
    </w:p>
    <w:p w14:paraId="06356AEB" w14:textId="5D89E8B3" w:rsidR="00721B8F" w:rsidRPr="00E82CC1" w:rsidRDefault="00721B8F" w:rsidP="006D5E91">
      <w:pPr>
        <w:spacing w:after="0" w:line="276" w:lineRule="auto"/>
        <w:jc w:val="both"/>
        <w:rPr>
          <w:rFonts w:asciiTheme="majorHAnsi" w:hAnsiTheme="majorHAnsi" w:cstheme="majorHAnsi"/>
          <w:b/>
          <w:bCs/>
          <w:i/>
          <w:iCs/>
          <w:sz w:val="24"/>
          <w:szCs w:val="24"/>
          <w:lang w:val="ro-RO"/>
        </w:rPr>
      </w:pPr>
      <w:r w:rsidRPr="00E82CC1">
        <w:rPr>
          <w:rFonts w:asciiTheme="majorHAnsi" w:hAnsiTheme="majorHAnsi" w:cstheme="majorHAnsi"/>
          <w:sz w:val="24"/>
          <w:szCs w:val="24"/>
          <w:lang w:val="ro-RO"/>
        </w:rPr>
        <w:t>În anul 2021, cheltuielile efective privind plata indemnizațiilor paternale au constituit 24 265,4 mii lei, cu o executare de 99,4% a prevederilor anuale. Cheltuielile pentru plata acestor prestații au fost cu 3</w:t>
      </w:r>
      <w:r w:rsidR="00CA7E11" w:rsidRPr="00E82CC1">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423,</w:t>
      </w:r>
      <w:r w:rsidR="00C45ABC" w:rsidRPr="00E82CC1">
        <w:rPr>
          <w:rFonts w:asciiTheme="majorHAnsi" w:hAnsiTheme="majorHAnsi" w:cstheme="majorHAnsi"/>
          <w:sz w:val="24"/>
          <w:szCs w:val="24"/>
          <w:lang w:val="ro-RO"/>
        </w:rPr>
        <w:t>1 mii lei</w:t>
      </w:r>
      <w:r w:rsidR="008431E0">
        <w:rPr>
          <w:rFonts w:asciiTheme="majorHAnsi" w:hAnsiTheme="majorHAnsi" w:cstheme="majorHAnsi"/>
          <w:sz w:val="24"/>
          <w:szCs w:val="24"/>
          <w:lang w:val="ro-RO"/>
        </w:rPr>
        <w:t>,</w:t>
      </w:r>
      <w:r w:rsidR="00C45ABC" w:rsidRPr="00E82CC1">
        <w:rPr>
          <w:rFonts w:asciiTheme="majorHAnsi" w:hAnsiTheme="majorHAnsi" w:cstheme="majorHAnsi"/>
          <w:sz w:val="24"/>
          <w:szCs w:val="24"/>
          <w:lang w:val="ro-RO"/>
        </w:rPr>
        <w:t xml:space="preserve"> sau cu 16,4%</w:t>
      </w:r>
      <w:r w:rsidR="008431E0">
        <w:rPr>
          <w:rFonts w:asciiTheme="majorHAnsi" w:hAnsiTheme="majorHAnsi" w:cstheme="majorHAnsi"/>
          <w:sz w:val="24"/>
          <w:szCs w:val="24"/>
          <w:lang w:val="ro-RO"/>
        </w:rPr>
        <w:t>,</w:t>
      </w:r>
      <w:r w:rsidR="00C45ABC" w:rsidRPr="00E82CC1">
        <w:rPr>
          <w:rFonts w:asciiTheme="majorHAnsi" w:hAnsiTheme="majorHAnsi" w:cstheme="majorHAnsi"/>
          <w:sz w:val="24"/>
          <w:szCs w:val="24"/>
          <w:lang w:val="ro-RO"/>
        </w:rPr>
        <w:t xml:space="preserve"> mai mari</w:t>
      </w:r>
      <w:r w:rsidR="00906A56" w:rsidRPr="00E82CC1">
        <w:rPr>
          <w:rFonts w:asciiTheme="majorHAnsi" w:hAnsiTheme="majorHAnsi" w:cstheme="majorHAnsi"/>
          <w:sz w:val="24"/>
          <w:szCs w:val="24"/>
          <w:lang w:val="ro-RO"/>
        </w:rPr>
        <w:t xml:space="preserve"> faț</w:t>
      </w:r>
      <w:r w:rsidRPr="00E82CC1">
        <w:rPr>
          <w:rFonts w:asciiTheme="majorHAnsi" w:hAnsiTheme="majorHAnsi" w:cstheme="majorHAnsi"/>
          <w:sz w:val="24"/>
          <w:szCs w:val="24"/>
          <w:lang w:val="ro-RO"/>
        </w:rPr>
        <w:t>ă de anul prece</w:t>
      </w:r>
      <w:r w:rsidR="00906A56" w:rsidRPr="00E82CC1">
        <w:rPr>
          <w:rFonts w:asciiTheme="majorHAnsi" w:hAnsiTheme="majorHAnsi" w:cstheme="majorHAnsi"/>
          <w:sz w:val="24"/>
          <w:szCs w:val="24"/>
          <w:lang w:val="ro-RO"/>
        </w:rPr>
        <w:t xml:space="preserve">dent, </w:t>
      </w:r>
      <w:r w:rsidR="008431E0">
        <w:rPr>
          <w:rFonts w:asciiTheme="majorHAnsi" w:hAnsiTheme="majorHAnsi" w:cstheme="majorHAnsi"/>
          <w:sz w:val="24"/>
          <w:szCs w:val="24"/>
          <w:lang w:val="ro-RO"/>
        </w:rPr>
        <w:t xml:space="preserve">fiind </w:t>
      </w:r>
      <w:r w:rsidR="00906A56" w:rsidRPr="00E82CC1">
        <w:rPr>
          <w:rFonts w:asciiTheme="majorHAnsi" w:hAnsiTheme="majorHAnsi" w:cstheme="majorHAnsi"/>
          <w:sz w:val="24"/>
          <w:szCs w:val="24"/>
          <w:lang w:val="ro-RO"/>
        </w:rPr>
        <w:t>influenț</w:t>
      </w:r>
      <w:r w:rsidRPr="00E82CC1">
        <w:rPr>
          <w:rFonts w:asciiTheme="majorHAnsi" w:hAnsiTheme="majorHAnsi" w:cstheme="majorHAnsi"/>
          <w:sz w:val="24"/>
          <w:szCs w:val="24"/>
          <w:lang w:val="ro-RO"/>
        </w:rPr>
        <w:t>ate at</w:t>
      </w:r>
      <w:r w:rsidR="00311E1F" w:rsidRPr="00E82CC1">
        <w:rPr>
          <w:rFonts w:asciiTheme="majorHAnsi" w:hAnsiTheme="majorHAnsi" w:cstheme="majorHAnsi"/>
          <w:sz w:val="24"/>
          <w:szCs w:val="24"/>
          <w:lang w:val="ro-RO"/>
        </w:rPr>
        <w:t>â</w:t>
      </w:r>
      <w:r w:rsidR="00906A56" w:rsidRPr="00E82CC1">
        <w:rPr>
          <w:rFonts w:asciiTheme="majorHAnsi" w:hAnsiTheme="majorHAnsi" w:cstheme="majorHAnsi"/>
          <w:sz w:val="24"/>
          <w:szCs w:val="24"/>
          <w:lang w:val="ro-RO"/>
        </w:rPr>
        <w:t>t de creș</w:t>
      </w:r>
      <w:r w:rsidRPr="00E82CC1">
        <w:rPr>
          <w:rFonts w:asciiTheme="majorHAnsi" w:hAnsiTheme="majorHAnsi" w:cstheme="majorHAnsi"/>
          <w:sz w:val="24"/>
          <w:szCs w:val="24"/>
          <w:lang w:val="ro-RO"/>
        </w:rPr>
        <w:t>t</w:t>
      </w:r>
      <w:r w:rsidR="00311E1F" w:rsidRPr="00E82CC1">
        <w:rPr>
          <w:rFonts w:asciiTheme="majorHAnsi" w:hAnsiTheme="majorHAnsi" w:cstheme="majorHAnsi"/>
          <w:sz w:val="24"/>
          <w:szCs w:val="24"/>
          <w:lang w:val="ro-RO"/>
        </w:rPr>
        <w:t>erea numărului beneficiarilor</w:t>
      </w:r>
      <w:r w:rsidR="008431E0">
        <w:rPr>
          <w:rFonts w:asciiTheme="majorHAnsi" w:hAnsiTheme="majorHAnsi" w:cstheme="majorHAnsi"/>
          <w:sz w:val="24"/>
          <w:szCs w:val="24"/>
          <w:lang w:val="ro-RO"/>
        </w:rPr>
        <w:t>,</w:t>
      </w:r>
      <w:r w:rsidR="00311E1F" w:rsidRPr="00E82CC1">
        <w:rPr>
          <w:rFonts w:asciiTheme="majorHAnsi" w:hAnsiTheme="majorHAnsi" w:cstheme="majorHAnsi"/>
          <w:sz w:val="24"/>
          <w:szCs w:val="24"/>
          <w:lang w:val="ro-RO"/>
        </w:rPr>
        <w:t xml:space="preserve"> câ</w:t>
      </w:r>
      <w:r w:rsidRPr="00E82CC1">
        <w:rPr>
          <w:rFonts w:asciiTheme="majorHAnsi" w:hAnsiTheme="majorHAnsi" w:cstheme="majorHAnsi"/>
          <w:sz w:val="24"/>
          <w:szCs w:val="24"/>
          <w:lang w:val="ro-RO"/>
        </w:rPr>
        <w:t>t</w:t>
      </w:r>
      <w:r w:rsidR="00906A56" w:rsidRPr="00E82CC1">
        <w:rPr>
          <w:rFonts w:asciiTheme="majorHAnsi" w:hAnsiTheme="majorHAnsi" w:cstheme="majorHAnsi"/>
          <w:sz w:val="24"/>
          <w:szCs w:val="24"/>
          <w:lang w:val="ro-RO"/>
        </w:rPr>
        <w:t xml:space="preserve"> şi a mărimii medii a indemnizaț</w:t>
      </w:r>
      <w:r w:rsidRPr="00E82CC1">
        <w:rPr>
          <w:rFonts w:asciiTheme="majorHAnsi" w:hAnsiTheme="majorHAnsi" w:cstheme="majorHAnsi"/>
          <w:sz w:val="24"/>
          <w:szCs w:val="24"/>
          <w:lang w:val="ro-RO"/>
        </w:rPr>
        <w:t>iei.</w:t>
      </w:r>
    </w:p>
    <w:p w14:paraId="4A536547" w14:textId="2E538D10" w:rsidR="0026078C" w:rsidRPr="00E82CC1" w:rsidRDefault="00721B8F" w:rsidP="006D5E91">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La calcularea cuantumului indemnizației paternale, baza de calcul constituie 100% din venitul mediu lunar asigurat în ultimele 3 luni premergătoare lunii nașterii copilului, venit din care la data stabilirii indemnizației au fost calculate și achitate contribuții de asigurări sociale</w:t>
      </w:r>
      <w:r w:rsidRPr="00E82CC1">
        <w:rPr>
          <w:rStyle w:val="a5"/>
          <w:rFonts w:asciiTheme="majorHAnsi" w:hAnsiTheme="majorHAnsi" w:cstheme="majorHAnsi"/>
          <w:sz w:val="24"/>
          <w:szCs w:val="24"/>
          <w:lang w:val="ro-RO"/>
        </w:rPr>
        <w:footnoteReference w:id="20"/>
      </w:r>
      <w:r w:rsidR="00311E1F" w:rsidRPr="00E82CC1">
        <w:rPr>
          <w:rFonts w:asciiTheme="majorHAnsi" w:hAnsiTheme="majorHAnsi" w:cstheme="majorHAnsi"/>
          <w:sz w:val="24"/>
          <w:szCs w:val="24"/>
          <w:lang w:val="ro-RO"/>
        </w:rPr>
        <w:t>. Astfel, î</w:t>
      </w:r>
      <w:r w:rsidR="00895753" w:rsidRPr="00E82CC1">
        <w:rPr>
          <w:rFonts w:asciiTheme="majorHAnsi" w:hAnsiTheme="majorHAnsi" w:cstheme="majorHAnsi"/>
          <w:sz w:val="24"/>
          <w:szCs w:val="24"/>
          <w:lang w:val="ro-RO"/>
        </w:rPr>
        <w:t xml:space="preserve">n cazul a </w:t>
      </w:r>
      <w:r w:rsidR="00DA66AD" w:rsidRPr="00E82CC1">
        <w:rPr>
          <w:rFonts w:asciiTheme="majorHAnsi" w:hAnsiTheme="majorHAnsi" w:cstheme="majorHAnsi"/>
          <w:sz w:val="24"/>
          <w:szCs w:val="24"/>
          <w:lang w:val="ro-RO"/>
        </w:rPr>
        <w:t>3</w:t>
      </w:r>
      <w:r w:rsidRPr="00E82CC1">
        <w:rPr>
          <w:rFonts w:asciiTheme="majorHAnsi" w:hAnsiTheme="majorHAnsi" w:cstheme="majorHAnsi"/>
          <w:sz w:val="24"/>
          <w:szCs w:val="24"/>
          <w:lang w:val="ro-RO"/>
        </w:rPr>
        <w:t xml:space="preserve"> decizii</w:t>
      </w:r>
      <w:r w:rsidR="00311E1F" w:rsidRPr="00E82CC1">
        <w:rPr>
          <w:rFonts w:asciiTheme="majorHAnsi" w:hAnsiTheme="majorHAnsi" w:cstheme="majorHAnsi"/>
          <w:sz w:val="24"/>
          <w:szCs w:val="24"/>
          <w:lang w:val="ro-RO"/>
        </w:rPr>
        <w:t xml:space="preserve"> de stabilire a indemnizației de paternitate</w:t>
      </w:r>
      <w:r w:rsidRPr="00E82CC1">
        <w:rPr>
          <w:rFonts w:asciiTheme="majorHAnsi" w:hAnsiTheme="majorHAnsi" w:cstheme="majorHAnsi"/>
          <w:sz w:val="24"/>
          <w:szCs w:val="24"/>
          <w:lang w:val="ro-RO"/>
        </w:rPr>
        <w:t xml:space="preserve"> din 30 verificate, auditul a constatat că, </w:t>
      </w:r>
      <w:r w:rsidR="00311E1F" w:rsidRPr="00E82CC1">
        <w:rPr>
          <w:rFonts w:asciiTheme="majorHAnsi" w:hAnsiTheme="majorHAnsi" w:cstheme="majorHAnsi"/>
          <w:sz w:val="24"/>
          <w:szCs w:val="24"/>
          <w:lang w:val="ro-RO"/>
        </w:rPr>
        <w:t>aceasta</w:t>
      </w:r>
      <w:r w:rsidRPr="00E82CC1">
        <w:rPr>
          <w:rFonts w:asciiTheme="majorHAnsi" w:hAnsiTheme="majorHAnsi" w:cstheme="majorHAnsi"/>
          <w:sz w:val="24"/>
          <w:szCs w:val="24"/>
          <w:lang w:val="ro-RO"/>
        </w:rPr>
        <w:t xml:space="preserve"> s-a efectuat </w:t>
      </w:r>
      <w:r w:rsidR="0012160B" w:rsidRPr="00E82CC1">
        <w:rPr>
          <w:rFonts w:asciiTheme="majorHAnsi" w:hAnsiTheme="majorHAnsi" w:cstheme="majorHAnsi"/>
          <w:sz w:val="24"/>
          <w:szCs w:val="24"/>
          <w:lang w:val="ro-RO"/>
        </w:rPr>
        <w:t xml:space="preserve"> în lipsa informațiilor</w:t>
      </w:r>
      <w:r w:rsidR="003B42BE">
        <w:rPr>
          <w:rFonts w:asciiTheme="majorHAnsi" w:hAnsiTheme="majorHAnsi" w:cstheme="majorHAnsi"/>
          <w:sz w:val="24"/>
          <w:szCs w:val="24"/>
          <w:lang w:val="ro-RO"/>
        </w:rPr>
        <w:t xml:space="preserve"> </w:t>
      </w:r>
      <w:r w:rsidR="0026078C" w:rsidRPr="00E82CC1">
        <w:rPr>
          <w:rFonts w:asciiTheme="majorHAnsi" w:hAnsiTheme="majorHAnsi" w:cstheme="majorHAnsi"/>
          <w:sz w:val="24"/>
          <w:szCs w:val="24"/>
          <w:lang w:val="ro-RO"/>
        </w:rPr>
        <w:t>complete în extrasul de cont al asigura</w:t>
      </w:r>
      <w:r w:rsidR="00895753" w:rsidRPr="00E82CC1">
        <w:rPr>
          <w:rFonts w:asciiTheme="majorHAnsi" w:hAnsiTheme="majorHAnsi" w:cstheme="majorHAnsi"/>
          <w:sz w:val="24"/>
          <w:szCs w:val="24"/>
          <w:lang w:val="ro-RO"/>
        </w:rPr>
        <w:t xml:space="preserve">tului. Prin urmare, în cazul a </w:t>
      </w:r>
      <w:r w:rsidR="00DA66AD" w:rsidRPr="00E82CC1">
        <w:rPr>
          <w:rFonts w:asciiTheme="majorHAnsi" w:hAnsiTheme="majorHAnsi" w:cstheme="majorHAnsi"/>
          <w:sz w:val="24"/>
          <w:szCs w:val="24"/>
          <w:lang w:val="ro-RO"/>
        </w:rPr>
        <w:t>2</w:t>
      </w:r>
      <w:r w:rsidR="0026078C" w:rsidRPr="00E82CC1">
        <w:rPr>
          <w:rFonts w:asciiTheme="majorHAnsi" w:hAnsiTheme="majorHAnsi" w:cstheme="majorHAnsi"/>
          <w:sz w:val="24"/>
          <w:szCs w:val="24"/>
          <w:lang w:val="ro-RO"/>
        </w:rPr>
        <w:t xml:space="preserve"> beneficiari li s-au acordat mai puțin cu </w:t>
      </w:r>
      <w:r w:rsidR="00895753" w:rsidRPr="00E82CC1">
        <w:rPr>
          <w:rFonts w:asciiTheme="majorHAnsi" w:hAnsiTheme="majorHAnsi" w:cstheme="majorHAnsi"/>
          <w:sz w:val="24"/>
          <w:szCs w:val="24"/>
          <w:lang w:val="ro-RO"/>
        </w:rPr>
        <w:t>1 771,32</w:t>
      </w:r>
      <w:r w:rsidR="0026078C" w:rsidRPr="00E82CC1">
        <w:rPr>
          <w:rFonts w:asciiTheme="majorHAnsi" w:hAnsiTheme="majorHAnsi" w:cstheme="majorHAnsi"/>
          <w:sz w:val="24"/>
          <w:szCs w:val="24"/>
          <w:lang w:val="ro-RO"/>
        </w:rPr>
        <w:t xml:space="preserve"> lei și</w:t>
      </w:r>
      <w:r w:rsidR="008431E0">
        <w:rPr>
          <w:rFonts w:asciiTheme="majorHAnsi" w:hAnsiTheme="majorHAnsi" w:cstheme="majorHAnsi"/>
          <w:sz w:val="24"/>
          <w:szCs w:val="24"/>
          <w:lang w:val="ro-RO"/>
        </w:rPr>
        <w:t>,</w:t>
      </w:r>
      <w:r w:rsidR="0026078C" w:rsidRPr="00E82CC1">
        <w:rPr>
          <w:rFonts w:asciiTheme="majorHAnsi" w:hAnsiTheme="majorHAnsi" w:cstheme="majorHAnsi"/>
          <w:sz w:val="24"/>
          <w:szCs w:val="24"/>
          <w:lang w:val="ro-RO"/>
        </w:rPr>
        <w:t xml:space="preserve"> respectiv</w:t>
      </w:r>
      <w:r w:rsidR="008431E0">
        <w:rPr>
          <w:rFonts w:asciiTheme="majorHAnsi" w:hAnsiTheme="majorHAnsi" w:cstheme="majorHAnsi"/>
          <w:sz w:val="24"/>
          <w:szCs w:val="24"/>
          <w:lang w:val="ro-RO"/>
        </w:rPr>
        <w:t>,</w:t>
      </w:r>
      <w:r w:rsidR="0026078C" w:rsidRPr="00E82CC1">
        <w:rPr>
          <w:rFonts w:asciiTheme="majorHAnsi" w:hAnsiTheme="majorHAnsi" w:cstheme="majorHAnsi"/>
          <w:sz w:val="24"/>
          <w:szCs w:val="24"/>
          <w:lang w:val="ro-RO"/>
        </w:rPr>
        <w:t xml:space="preserve"> </w:t>
      </w:r>
      <w:r w:rsidR="004D11F3" w:rsidRPr="00E82CC1">
        <w:rPr>
          <w:rFonts w:asciiTheme="majorHAnsi" w:hAnsiTheme="majorHAnsi" w:cstheme="majorHAnsi"/>
          <w:sz w:val="24"/>
          <w:szCs w:val="24"/>
          <w:lang w:val="ro-RO"/>
        </w:rPr>
        <w:t>2 139,49</w:t>
      </w:r>
      <w:r w:rsidR="0026078C" w:rsidRPr="00E82CC1">
        <w:rPr>
          <w:rFonts w:asciiTheme="majorHAnsi" w:hAnsiTheme="majorHAnsi" w:cstheme="majorHAnsi"/>
          <w:sz w:val="24"/>
          <w:szCs w:val="24"/>
          <w:lang w:val="ro-RO"/>
        </w:rPr>
        <w:t xml:space="preserve"> lei, iar în cazul celui din urmă, i-a fost calculată indemnizația cu suprapl</w:t>
      </w:r>
      <w:r w:rsidR="009C3E9B" w:rsidRPr="00E82CC1">
        <w:rPr>
          <w:rFonts w:asciiTheme="majorHAnsi" w:hAnsiTheme="majorHAnsi" w:cstheme="majorHAnsi"/>
          <w:sz w:val="24"/>
          <w:szCs w:val="24"/>
          <w:lang w:val="ro-RO"/>
        </w:rPr>
        <w:t>ată de 1</w:t>
      </w:r>
      <w:r w:rsidR="008431E0">
        <w:rPr>
          <w:rFonts w:asciiTheme="majorHAnsi" w:hAnsiTheme="majorHAnsi" w:cstheme="majorHAnsi"/>
          <w:sz w:val="24"/>
          <w:szCs w:val="24"/>
          <w:lang w:val="ro-RO"/>
        </w:rPr>
        <w:t xml:space="preserve"> </w:t>
      </w:r>
      <w:r w:rsidR="009C3E9B" w:rsidRPr="00E82CC1">
        <w:rPr>
          <w:rFonts w:asciiTheme="majorHAnsi" w:hAnsiTheme="majorHAnsi" w:cstheme="majorHAnsi"/>
          <w:sz w:val="24"/>
          <w:szCs w:val="24"/>
          <w:lang w:val="ro-RO"/>
        </w:rPr>
        <w:t>532,</w:t>
      </w:r>
      <w:r w:rsidR="008803A4" w:rsidRPr="00E82CC1">
        <w:rPr>
          <w:rFonts w:asciiTheme="majorHAnsi" w:hAnsiTheme="majorHAnsi" w:cstheme="majorHAnsi"/>
          <w:sz w:val="24"/>
          <w:szCs w:val="24"/>
          <w:lang w:val="ro-RO"/>
        </w:rPr>
        <w:t xml:space="preserve">62 lei. </w:t>
      </w:r>
      <w:r w:rsidR="0012160B" w:rsidRPr="00E82CC1">
        <w:rPr>
          <w:rFonts w:asciiTheme="majorHAnsi" w:hAnsiTheme="majorHAnsi" w:cstheme="majorHAnsi"/>
          <w:sz w:val="24"/>
          <w:szCs w:val="24"/>
          <w:lang w:val="ro-RO"/>
        </w:rPr>
        <w:t>A</w:t>
      </w:r>
      <w:r w:rsidR="009C3E9B" w:rsidRPr="00E82CC1">
        <w:rPr>
          <w:rFonts w:asciiTheme="majorHAnsi" w:hAnsiTheme="majorHAnsi" w:cstheme="majorHAnsi"/>
          <w:sz w:val="24"/>
          <w:szCs w:val="24"/>
          <w:lang w:val="ro-RO"/>
        </w:rPr>
        <w:t xml:space="preserve">ceste </w:t>
      </w:r>
      <w:r w:rsidR="0012160B" w:rsidRPr="00E82CC1">
        <w:rPr>
          <w:rFonts w:asciiTheme="majorHAnsi" w:hAnsiTheme="majorHAnsi" w:cstheme="majorHAnsi"/>
          <w:sz w:val="24"/>
          <w:szCs w:val="24"/>
          <w:lang w:val="ro-RO"/>
        </w:rPr>
        <w:t xml:space="preserve">situații au fost </w:t>
      </w:r>
      <w:r w:rsidR="009C3E9B" w:rsidRPr="00E82CC1">
        <w:rPr>
          <w:rFonts w:asciiTheme="majorHAnsi" w:hAnsiTheme="majorHAnsi" w:cstheme="majorHAnsi"/>
          <w:sz w:val="24"/>
          <w:szCs w:val="24"/>
          <w:lang w:val="ro-RO"/>
        </w:rPr>
        <w:t xml:space="preserve">cauzate de </w:t>
      </w:r>
      <w:r w:rsidR="0012160B" w:rsidRPr="00E82CC1">
        <w:rPr>
          <w:rFonts w:asciiTheme="majorHAnsi" w:hAnsiTheme="majorHAnsi" w:cstheme="majorHAnsi"/>
          <w:sz w:val="24"/>
          <w:szCs w:val="24"/>
          <w:lang w:val="ro-RO"/>
        </w:rPr>
        <w:t>faptul că</w:t>
      </w:r>
      <w:r w:rsidR="008431E0">
        <w:rPr>
          <w:rFonts w:asciiTheme="majorHAnsi" w:hAnsiTheme="majorHAnsi" w:cstheme="majorHAnsi"/>
          <w:sz w:val="24"/>
          <w:szCs w:val="24"/>
          <w:lang w:val="ro-RO"/>
        </w:rPr>
        <w:t>,</w:t>
      </w:r>
      <w:r w:rsidR="0012160B" w:rsidRPr="00E82CC1">
        <w:rPr>
          <w:rFonts w:asciiTheme="majorHAnsi" w:hAnsiTheme="majorHAnsi" w:cstheme="majorHAnsi"/>
          <w:sz w:val="24"/>
          <w:szCs w:val="24"/>
          <w:lang w:val="ro-RO"/>
        </w:rPr>
        <w:t xml:space="preserve"> la data stabilirii indemnizației, angajatorul nu a prezentat informația completă privind declararea și/sau achitarea contribuțiilor, precum și </w:t>
      </w:r>
      <w:r w:rsidR="008431E0">
        <w:rPr>
          <w:rFonts w:asciiTheme="majorHAnsi" w:hAnsiTheme="majorHAnsi" w:cstheme="majorHAnsi"/>
          <w:sz w:val="24"/>
          <w:szCs w:val="24"/>
          <w:lang w:val="ro-RO"/>
        </w:rPr>
        <w:t xml:space="preserve">ca </w:t>
      </w:r>
      <w:r w:rsidR="0012160B" w:rsidRPr="00E82CC1">
        <w:rPr>
          <w:rFonts w:asciiTheme="majorHAnsi" w:hAnsiTheme="majorHAnsi" w:cstheme="majorHAnsi"/>
          <w:sz w:val="24"/>
          <w:szCs w:val="24"/>
          <w:lang w:val="ro-RO"/>
        </w:rPr>
        <w:t>rezultat al modificărilor/corectărilor ulterioare efectuate de angajator.</w:t>
      </w:r>
      <w:r w:rsidR="004D11F3" w:rsidRPr="00E82CC1">
        <w:rPr>
          <w:rFonts w:asciiTheme="majorHAnsi" w:hAnsiTheme="majorHAnsi" w:cstheme="majorHAnsi"/>
          <w:sz w:val="24"/>
          <w:szCs w:val="24"/>
          <w:lang w:val="ro-RO"/>
        </w:rPr>
        <w:t xml:space="preserve"> Astfel,</w:t>
      </w:r>
      <w:r w:rsidR="0012160B" w:rsidRPr="00E82CC1">
        <w:rPr>
          <w:rFonts w:asciiTheme="majorHAnsi" w:hAnsiTheme="majorHAnsi" w:cstheme="majorHAnsi"/>
          <w:sz w:val="24"/>
          <w:szCs w:val="24"/>
          <w:lang w:val="ro-RO"/>
        </w:rPr>
        <w:t xml:space="preserve"> </w:t>
      </w:r>
      <w:r w:rsidR="004D11F3" w:rsidRPr="00E82CC1">
        <w:rPr>
          <w:rFonts w:asciiTheme="majorHAnsi" w:hAnsiTheme="majorHAnsi" w:cstheme="majorHAnsi"/>
          <w:sz w:val="24"/>
          <w:szCs w:val="24"/>
          <w:lang w:val="ro-RO"/>
        </w:rPr>
        <w:t xml:space="preserve">termenul restrâns de </w:t>
      </w:r>
      <w:r w:rsidRPr="00E82CC1">
        <w:rPr>
          <w:rFonts w:asciiTheme="majorHAnsi" w:hAnsiTheme="majorHAnsi" w:cstheme="majorHAnsi"/>
          <w:sz w:val="24"/>
          <w:szCs w:val="24"/>
          <w:lang w:val="ro-RO"/>
        </w:rPr>
        <w:t xml:space="preserve"> </w:t>
      </w:r>
      <w:r w:rsidR="004D11F3" w:rsidRPr="00E82CC1">
        <w:rPr>
          <w:rFonts w:asciiTheme="majorHAnsi" w:hAnsiTheme="majorHAnsi" w:cstheme="majorHAnsi"/>
          <w:sz w:val="24"/>
          <w:szCs w:val="24"/>
          <w:lang w:val="ro-RO"/>
        </w:rPr>
        <w:t>stabilire</w:t>
      </w:r>
      <w:r w:rsidR="004D11F3" w:rsidRPr="00E82CC1">
        <w:rPr>
          <w:rStyle w:val="a5"/>
          <w:rFonts w:asciiTheme="majorHAnsi" w:hAnsiTheme="majorHAnsi" w:cstheme="majorHAnsi"/>
          <w:sz w:val="24"/>
          <w:szCs w:val="24"/>
          <w:lang w:val="ro-RO"/>
        </w:rPr>
        <w:footnoteReference w:id="21"/>
      </w:r>
      <w:r w:rsidR="008431E0">
        <w:rPr>
          <w:rFonts w:asciiTheme="majorHAnsi" w:hAnsiTheme="majorHAnsi" w:cstheme="majorHAnsi"/>
          <w:sz w:val="24"/>
          <w:szCs w:val="24"/>
          <w:lang w:val="ro-RO"/>
        </w:rPr>
        <w:t>,</w:t>
      </w:r>
      <w:r w:rsidR="004D11F3" w:rsidRPr="00E82CC1">
        <w:rPr>
          <w:rFonts w:asciiTheme="majorHAnsi" w:hAnsiTheme="majorHAnsi" w:cstheme="majorHAnsi"/>
          <w:sz w:val="24"/>
          <w:szCs w:val="24"/>
          <w:lang w:val="ro-RO"/>
        </w:rPr>
        <w:t xml:space="preserve"> precum și </w:t>
      </w:r>
      <w:r w:rsidRPr="00E82CC1">
        <w:rPr>
          <w:rFonts w:asciiTheme="majorHAnsi" w:hAnsiTheme="majorHAnsi" w:cstheme="majorHAnsi"/>
          <w:sz w:val="24"/>
          <w:szCs w:val="24"/>
          <w:lang w:val="ro-RO"/>
        </w:rPr>
        <w:t>imposibilitatea recalculării indemnizației, în cazul apariției</w:t>
      </w:r>
      <w:r w:rsidR="009C3E9B" w:rsidRPr="00E82CC1">
        <w:rPr>
          <w:rFonts w:asciiTheme="majorHAnsi" w:hAnsiTheme="majorHAnsi" w:cstheme="majorHAnsi"/>
          <w:sz w:val="24"/>
          <w:szCs w:val="24"/>
          <w:lang w:val="ro-RO"/>
        </w:rPr>
        <w:t xml:space="preserve"> informațiilor </w:t>
      </w:r>
      <w:r w:rsidR="00DA66AD" w:rsidRPr="00E82CC1">
        <w:rPr>
          <w:rFonts w:asciiTheme="majorHAnsi" w:hAnsiTheme="majorHAnsi" w:cstheme="majorHAnsi"/>
          <w:sz w:val="24"/>
          <w:szCs w:val="24"/>
          <w:lang w:val="ro-RO"/>
        </w:rPr>
        <w:t xml:space="preserve">noi </w:t>
      </w:r>
      <w:r w:rsidR="004D11F3" w:rsidRPr="00E82CC1">
        <w:rPr>
          <w:rFonts w:asciiTheme="majorHAnsi" w:hAnsiTheme="majorHAnsi" w:cstheme="majorHAnsi"/>
          <w:sz w:val="24"/>
          <w:szCs w:val="24"/>
          <w:lang w:val="ro-RO"/>
        </w:rPr>
        <w:t>în extrasul beneficiarului</w:t>
      </w:r>
      <w:r w:rsidR="00DA66AD" w:rsidRPr="00E82CC1">
        <w:rPr>
          <w:rFonts w:asciiTheme="majorHAnsi" w:hAnsiTheme="majorHAnsi" w:cstheme="majorHAnsi"/>
          <w:sz w:val="24"/>
          <w:szCs w:val="24"/>
          <w:lang w:val="ro-RO"/>
        </w:rPr>
        <w:t xml:space="preserve"> pot avea impact asupra mărimii prestației stabilite</w:t>
      </w:r>
      <w:r w:rsidR="008431E0">
        <w:rPr>
          <w:rFonts w:asciiTheme="majorHAnsi" w:hAnsiTheme="majorHAnsi" w:cstheme="majorHAnsi"/>
          <w:sz w:val="24"/>
          <w:szCs w:val="24"/>
          <w:lang w:val="ro-RO"/>
        </w:rPr>
        <w:t>,</w:t>
      </w:r>
      <w:r w:rsidR="0087092D">
        <w:rPr>
          <w:rFonts w:asciiTheme="majorHAnsi" w:hAnsiTheme="majorHAnsi" w:cstheme="majorHAnsi"/>
          <w:sz w:val="24"/>
          <w:szCs w:val="24"/>
          <w:lang w:val="ro-RO"/>
        </w:rPr>
        <w:t xml:space="preserve"> cât și asupra indicatorilor de executare </w:t>
      </w:r>
      <w:r w:rsidR="008431E0">
        <w:rPr>
          <w:rFonts w:asciiTheme="majorHAnsi" w:hAnsiTheme="majorHAnsi" w:cstheme="majorHAnsi"/>
          <w:sz w:val="24"/>
          <w:szCs w:val="24"/>
          <w:lang w:val="ro-RO"/>
        </w:rPr>
        <w:t xml:space="preserve">a </w:t>
      </w:r>
      <w:r w:rsidR="0087092D">
        <w:rPr>
          <w:rFonts w:asciiTheme="majorHAnsi" w:hAnsiTheme="majorHAnsi" w:cstheme="majorHAnsi"/>
          <w:sz w:val="24"/>
          <w:szCs w:val="24"/>
          <w:lang w:val="ro-RO"/>
        </w:rPr>
        <w:t>BASS</w:t>
      </w:r>
      <w:r w:rsidR="00DA66AD" w:rsidRPr="00E82CC1">
        <w:rPr>
          <w:rFonts w:asciiTheme="majorHAnsi" w:hAnsiTheme="majorHAnsi" w:cstheme="majorHAnsi"/>
          <w:sz w:val="24"/>
          <w:szCs w:val="24"/>
          <w:lang w:val="ro-RO"/>
        </w:rPr>
        <w:t>.</w:t>
      </w:r>
    </w:p>
    <w:p w14:paraId="7C613F90" w14:textId="7869A768" w:rsidR="00941295" w:rsidRPr="00E82CC1" w:rsidRDefault="009C3E9B" w:rsidP="006D5E91">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P</w:t>
      </w:r>
      <w:r w:rsidR="00941295" w:rsidRPr="00E82CC1">
        <w:rPr>
          <w:rFonts w:asciiTheme="majorHAnsi" w:hAnsiTheme="majorHAnsi" w:cstheme="majorHAnsi"/>
          <w:sz w:val="24"/>
          <w:szCs w:val="24"/>
          <w:lang w:val="ro-RO"/>
        </w:rPr>
        <w:t xml:space="preserve">e de altă parte, auditul a constatat alte 3 </w:t>
      </w:r>
      <w:r w:rsidR="00721B8F" w:rsidRPr="00E82CC1">
        <w:rPr>
          <w:rFonts w:asciiTheme="majorHAnsi" w:hAnsiTheme="majorHAnsi" w:cstheme="majorHAnsi"/>
          <w:sz w:val="24"/>
          <w:szCs w:val="24"/>
          <w:lang w:val="ro-RO"/>
        </w:rPr>
        <w:t xml:space="preserve"> </w:t>
      </w:r>
      <w:r w:rsidR="00941295" w:rsidRPr="00E82CC1">
        <w:rPr>
          <w:rFonts w:asciiTheme="majorHAnsi" w:hAnsiTheme="majorHAnsi" w:cstheme="majorHAnsi"/>
          <w:sz w:val="24"/>
          <w:szCs w:val="24"/>
          <w:lang w:val="ro-RO"/>
        </w:rPr>
        <w:t xml:space="preserve">cazuri în care beneficiarilor li s-a </w:t>
      </w:r>
      <w:r w:rsidR="00721B8F" w:rsidRPr="00E82CC1">
        <w:rPr>
          <w:rFonts w:asciiTheme="majorHAnsi" w:hAnsiTheme="majorHAnsi" w:cstheme="majorHAnsi"/>
          <w:sz w:val="24"/>
          <w:szCs w:val="24"/>
          <w:lang w:val="ro-RO"/>
        </w:rPr>
        <w:t>extins termenul de stabili</w:t>
      </w:r>
      <w:r w:rsidR="00941295" w:rsidRPr="00E82CC1">
        <w:rPr>
          <w:rFonts w:asciiTheme="majorHAnsi" w:hAnsiTheme="majorHAnsi" w:cstheme="majorHAnsi"/>
          <w:sz w:val="24"/>
          <w:szCs w:val="24"/>
          <w:lang w:val="ro-RO"/>
        </w:rPr>
        <w:t xml:space="preserve">re </w:t>
      </w:r>
      <w:r w:rsidR="00B360D4" w:rsidRPr="00E82CC1">
        <w:rPr>
          <w:rFonts w:asciiTheme="majorHAnsi" w:hAnsiTheme="majorHAnsi" w:cstheme="majorHAnsi"/>
          <w:sz w:val="24"/>
          <w:szCs w:val="24"/>
          <w:lang w:val="ro-RO"/>
        </w:rPr>
        <w:t xml:space="preserve">cu </w:t>
      </w:r>
      <w:r w:rsidR="00895753" w:rsidRPr="00E82CC1">
        <w:rPr>
          <w:rFonts w:asciiTheme="majorHAnsi" w:hAnsiTheme="majorHAnsi" w:cstheme="majorHAnsi"/>
          <w:sz w:val="24"/>
          <w:szCs w:val="24"/>
          <w:lang w:val="ro-RO"/>
        </w:rPr>
        <w:t>77 zile, 142 zile și</w:t>
      </w:r>
      <w:r w:rsidR="008431E0">
        <w:rPr>
          <w:rFonts w:asciiTheme="majorHAnsi" w:hAnsiTheme="majorHAnsi" w:cstheme="majorHAnsi"/>
          <w:sz w:val="24"/>
          <w:szCs w:val="24"/>
          <w:lang w:val="ro-RO"/>
        </w:rPr>
        <w:t>,</w:t>
      </w:r>
      <w:r w:rsidR="00895753" w:rsidRPr="00E82CC1">
        <w:rPr>
          <w:rFonts w:asciiTheme="majorHAnsi" w:hAnsiTheme="majorHAnsi" w:cstheme="majorHAnsi"/>
          <w:sz w:val="24"/>
          <w:szCs w:val="24"/>
          <w:lang w:val="ro-RO"/>
        </w:rPr>
        <w:t xml:space="preserve"> respectiv</w:t>
      </w:r>
      <w:r w:rsidR="008431E0">
        <w:rPr>
          <w:rFonts w:asciiTheme="majorHAnsi" w:hAnsiTheme="majorHAnsi" w:cstheme="majorHAnsi"/>
          <w:sz w:val="24"/>
          <w:szCs w:val="24"/>
          <w:lang w:val="ro-RO"/>
        </w:rPr>
        <w:t>,</w:t>
      </w:r>
      <w:r w:rsidR="00895753" w:rsidRPr="00E82CC1">
        <w:rPr>
          <w:rFonts w:asciiTheme="majorHAnsi" w:hAnsiTheme="majorHAnsi" w:cstheme="majorHAnsi"/>
          <w:sz w:val="24"/>
          <w:szCs w:val="24"/>
          <w:lang w:val="ro-RO"/>
        </w:rPr>
        <w:t xml:space="preserve"> cu 179 </w:t>
      </w:r>
      <w:r w:rsidR="008431E0">
        <w:rPr>
          <w:rFonts w:asciiTheme="majorHAnsi" w:hAnsiTheme="majorHAnsi" w:cstheme="majorHAnsi"/>
          <w:sz w:val="24"/>
          <w:szCs w:val="24"/>
          <w:lang w:val="ro-RO"/>
        </w:rPr>
        <w:t xml:space="preserve">de </w:t>
      </w:r>
      <w:r w:rsidR="00B360D4" w:rsidRPr="00E82CC1">
        <w:rPr>
          <w:rFonts w:asciiTheme="majorHAnsi" w:hAnsiTheme="majorHAnsi" w:cstheme="majorHAnsi"/>
          <w:sz w:val="24"/>
          <w:szCs w:val="24"/>
          <w:lang w:val="ro-RO"/>
        </w:rPr>
        <w:t xml:space="preserve">zile </w:t>
      </w:r>
      <w:r w:rsidR="00941295" w:rsidRPr="00E82CC1">
        <w:rPr>
          <w:rFonts w:asciiTheme="majorHAnsi" w:hAnsiTheme="majorHAnsi" w:cstheme="majorHAnsi"/>
          <w:sz w:val="24"/>
          <w:szCs w:val="24"/>
          <w:lang w:val="ro-RO"/>
        </w:rPr>
        <w:t>a indemnizației paternale, pâ</w:t>
      </w:r>
      <w:r w:rsidR="00721B8F" w:rsidRPr="00E82CC1">
        <w:rPr>
          <w:rFonts w:asciiTheme="majorHAnsi" w:hAnsiTheme="majorHAnsi" w:cstheme="majorHAnsi"/>
          <w:sz w:val="24"/>
          <w:szCs w:val="24"/>
          <w:lang w:val="ro-RO"/>
        </w:rPr>
        <w:t>nă la apariția achitărilor</w:t>
      </w:r>
      <w:r w:rsidR="00941295" w:rsidRPr="00E82CC1">
        <w:rPr>
          <w:rFonts w:asciiTheme="majorHAnsi" w:hAnsiTheme="majorHAnsi" w:cstheme="majorHAnsi"/>
          <w:sz w:val="24"/>
          <w:szCs w:val="24"/>
          <w:lang w:val="ro-RO"/>
        </w:rPr>
        <w:t xml:space="preserve"> </w:t>
      </w:r>
      <w:r w:rsidR="006D5E91" w:rsidRPr="00E82CC1">
        <w:rPr>
          <w:rFonts w:asciiTheme="majorHAnsi" w:hAnsiTheme="majorHAnsi" w:cstheme="majorHAnsi"/>
          <w:sz w:val="24"/>
          <w:szCs w:val="24"/>
          <w:lang w:val="ro-RO"/>
        </w:rPr>
        <w:t xml:space="preserve">depline </w:t>
      </w:r>
      <w:r w:rsidR="00941295" w:rsidRPr="00E82CC1">
        <w:rPr>
          <w:rFonts w:asciiTheme="majorHAnsi" w:hAnsiTheme="majorHAnsi" w:cstheme="majorHAnsi"/>
          <w:sz w:val="24"/>
          <w:szCs w:val="24"/>
          <w:lang w:val="ro-RO"/>
        </w:rPr>
        <w:t>de către angajator,</w:t>
      </w:r>
      <w:r w:rsidR="00FF7D1E" w:rsidRPr="00E82CC1">
        <w:rPr>
          <w:rFonts w:asciiTheme="majorHAnsi" w:hAnsiTheme="majorHAnsi" w:cstheme="majorHAnsi"/>
          <w:sz w:val="24"/>
          <w:szCs w:val="24"/>
          <w:lang w:val="ro-RO"/>
        </w:rPr>
        <w:t xml:space="preserve"> în extrasul de cont,</w:t>
      </w:r>
      <w:r w:rsidR="00721B8F" w:rsidRPr="00E82CC1">
        <w:rPr>
          <w:rFonts w:asciiTheme="majorHAnsi" w:hAnsiTheme="majorHAnsi" w:cstheme="majorHAnsi"/>
          <w:sz w:val="24"/>
          <w:szCs w:val="24"/>
          <w:lang w:val="ro-RO"/>
        </w:rPr>
        <w:t xml:space="preserve"> </w:t>
      </w:r>
      <w:r w:rsidR="00FF7D1E" w:rsidRPr="00E82CC1">
        <w:rPr>
          <w:rFonts w:asciiTheme="majorHAnsi" w:hAnsiTheme="majorHAnsi" w:cstheme="majorHAnsi"/>
          <w:sz w:val="24"/>
          <w:szCs w:val="24"/>
          <w:lang w:val="ro-RO"/>
        </w:rPr>
        <w:t>ceea ce denotă o abordare inechitabilă.</w:t>
      </w:r>
    </w:p>
    <w:p w14:paraId="2FDD2785" w14:textId="77777777" w:rsidR="00F13DFF" w:rsidRPr="00E82CC1" w:rsidRDefault="00F13DFF" w:rsidP="00160C57">
      <w:pPr>
        <w:pStyle w:val="1"/>
        <w:numPr>
          <w:ilvl w:val="0"/>
          <w:numId w:val="15"/>
        </w:numPr>
        <w:spacing w:after="240"/>
        <w:ind w:left="0" w:firstLine="0"/>
        <w:jc w:val="left"/>
        <w:rPr>
          <w:rFonts w:asciiTheme="majorHAnsi" w:hAnsiTheme="majorHAnsi" w:cstheme="majorHAnsi"/>
          <w:color w:val="000000" w:themeColor="text1"/>
          <w:sz w:val="28"/>
          <w:lang w:val="ro-RO"/>
        </w:rPr>
      </w:pPr>
      <w:r w:rsidRPr="00E82CC1">
        <w:rPr>
          <w:rFonts w:asciiTheme="majorHAnsi" w:hAnsiTheme="majorHAnsi" w:cstheme="majorHAnsi"/>
          <w:color w:val="000000" w:themeColor="text1"/>
          <w:sz w:val="28"/>
          <w:lang w:val="ro-RO"/>
        </w:rPr>
        <w:t>BUNA GUVERNANȚĂ</w:t>
      </w:r>
      <w:bookmarkEnd w:id="4"/>
    </w:p>
    <w:p w14:paraId="5241E5AB" w14:textId="5B41FCB9" w:rsidR="00F13DFF" w:rsidRPr="00E82CC1" w:rsidRDefault="00F13DFF" w:rsidP="00D470AF">
      <w:pPr>
        <w:pStyle w:val="2"/>
        <w:numPr>
          <w:ilvl w:val="1"/>
          <w:numId w:val="15"/>
        </w:numPr>
        <w:spacing w:before="0" w:line="276" w:lineRule="auto"/>
        <w:ind w:left="0" w:firstLine="0"/>
        <w:jc w:val="both"/>
        <w:rPr>
          <w:rFonts w:cstheme="majorHAnsi"/>
          <w:sz w:val="24"/>
          <w:szCs w:val="24"/>
          <w:lang w:val="ro-RO"/>
        </w:rPr>
      </w:pPr>
      <w:r w:rsidRPr="00E82CC1">
        <w:rPr>
          <w:rFonts w:cstheme="majorHAnsi"/>
          <w:b/>
          <w:color w:val="000000" w:themeColor="text1"/>
          <w:sz w:val="24"/>
          <w:szCs w:val="24"/>
          <w:lang w:val="ro-RO"/>
        </w:rPr>
        <w:t xml:space="preserve">Casa Națională </w:t>
      </w:r>
      <w:r w:rsidR="00714A35" w:rsidRPr="00E82CC1">
        <w:rPr>
          <w:rFonts w:cstheme="majorHAnsi"/>
          <w:b/>
          <w:color w:val="000000" w:themeColor="text1"/>
          <w:sz w:val="24"/>
          <w:szCs w:val="24"/>
          <w:lang w:val="ro-RO"/>
        </w:rPr>
        <w:t xml:space="preserve">deține un sistem </w:t>
      </w:r>
      <w:r w:rsidRPr="00E82CC1">
        <w:rPr>
          <w:rFonts w:cstheme="majorHAnsi"/>
          <w:b/>
          <w:color w:val="000000" w:themeColor="text1"/>
          <w:sz w:val="24"/>
          <w:szCs w:val="24"/>
          <w:lang w:val="ro-RO"/>
        </w:rPr>
        <w:t>de control intern managerial, cu activități și reglementări interne</w:t>
      </w:r>
      <w:r w:rsidR="00714A35" w:rsidRPr="00E82CC1">
        <w:rPr>
          <w:rFonts w:cstheme="majorHAnsi"/>
          <w:b/>
          <w:color w:val="000000" w:themeColor="text1"/>
          <w:sz w:val="24"/>
          <w:szCs w:val="24"/>
          <w:lang w:val="ro-RO"/>
        </w:rPr>
        <w:t xml:space="preserve"> dezvoltate, </w:t>
      </w:r>
      <w:r w:rsidR="003F7860" w:rsidRPr="00E82CC1">
        <w:rPr>
          <w:rFonts w:cstheme="majorHAnsi"/>
          <w:b/>
          <w:color w:val="000000" w:themeColor="text1"/>
          <w:sz w:val="24"/>
          <w:szCs w:val="24"/>
          <w:lang w:val="ro-RO"/>
        </w:rPr>
        <w:t>iar</w:t>
      </w:r>
      <w:r w:rsidR="00714A35" w:rsidRPr="00E82CC1">
        <w:rPr>
          <w:rFonts w:cstheme="majorHAnsi"/>
          <w:b/>
          <w:color w:val="000000" w:themeColor="text1"/>
          <w:sz w:val="24"/>
          <w:szCs w:val="24"/>
          <w:lang w:val="ro-RO"/>
        </w:rPr>
        <w:t xml:space="preserve"> unele procese urmează a fi perfecționate, </w:t>
      </w:r>
      <w:r w:rsidR="003F7860" w:rsidRPr="00E82CC1">
        <w:rPr>
          <w:rFonts w:cstheme="majorHAnsi"/>
          <w:b/>
          <w:color w:val="000000" w:themeColor="text1"/>
          <w:sz w:val="24"/>
          <w:szCs w:val="24"/>
          <w:lang w:val="ro-RO"/>
        </w:rPr>
        <w:t>reieșind din</w:t>
      </w:r>
      <w:r w:rsidR="00714A35" w:rsidRPr="00E82CC1">
        <w:rPr>
          <w:rFonts w:cstheme="majorHAnsi"/>
          <w:b/>
          <w:color w:val="000000" w:themeColor="text1"/>
          <w:sz w:val="24"/>
          <w:szCs w:val="24"/>
          <w:lang w:val="ro-RO"/>
        </w:rPr>
        <w:t xml:space="preserve"> aspecte</w:t>
      </w:r>
      <w:r w:rsidR="003F7860" w:rsidRPr="00E82CC1">
        <w:rPr>
          <w:rFonts w:cstheme="majorHAnsi"/>
          <w:b/>
          <w:color w:val="000000" w:themeColor="text1"/>
          <w:sz w:val="24"/>
          <w:szCs w:val="24"/>
          <w:lang w:val="ro-RO"/>
        </w:rPr>
        <w:t>le</w:t>
      </w:r>
      <w:r w:rsidR="00714A35" w:rsidRPr="00E82CC1">
        <w:rPr>
          <w:rFonts w:cstheme="majorHAnsi"/>
          <w:b/>
          <w:color w:val="000000" w:themeColor="text1"/>
          <w:sz w:val="24"/>
          <w:szCs w:val="24"/>
          <w:lang w:val="ro-RO"/>
        </w:rPr>
        <w:t xml:space="preserve"> descrise în prezentul </w:t>
      </w:r>
      <w:r w:rsidR="00C273E8">
        <w:rPr>
          <w:rFonts w:cstheme="majorHAnsi"/>
          <w:b/>
          <w:color w:val="000000" w:themeColor="text1"/>
          <w:sz w:val="24"/>
          <w:szCs w:val="24"/>
          <w:lang w:val="ro-RO"/>
        </w:rPr>
        <w:t>R</w:t>
      </w:r>
      <w:r w:rsidR="00714A35" w:rsidRPr="00E82CC1">
        <w:rPr>
          <w:rFonts w:cstheme="majorHAnsi"/>
          <w:b/>
          <w:color w:val="000000" w:themeColor="text1"/>
          <w:sz w:val="24"/>
          <w:szCs w:val="24"/>
          <w:lang w:val="ro-RO"/>
        </w:rPr>
        <w:t>aport de audit.</w:t>
      </w:r>
    </w:p>
    <w:p w14:paraId="4514AE7B" w14:textId="4D0E1732" w:rsidR="00714A35" w:rsidRPr="00E82CC1" w:rsidRDefault="00F13DFF" w:rsidP="00714A35">
      <w:pPr>
        <w:spacing w:line="276" w:lineRule="auto"/>
        <w:jc w:val="both"/>
        <w:rPr>
          <w:rFonts w:asciiTheme="majorHAnsi" w:hAnsiTheme="majorHAnsi" w:cstheme="majorHAnsi"/>
          <w:sz w:val="24"/>
          <w:szCs w:val="24"/>
          <w:lang w:val="ro-RO"/>
        </w:rPr>
      </w:pPr>
      <w:r w:rsidRPr="00E82CC1">
        <w:rPr>
          <w:rFonts w:asciiTheme="majorHAnsi" w:eastAsia="Times New Roman" w:hAnsiTheme="majorHAnsi" w:cstheme="majorHAnsi"/>
          <w:sz w:val="24"/>
          <w:szCs w:val="24"/>
          <w:lang w:val="ro-RO"/>
        </w:rPr>
        <w:t>Directorul general al CNAS este responsabil de organizarea sistemului de control intern managerial conform Standardelor naționale de control intern în sectorul public</w:t>
      </w:r>
      <w:r w:rsidRPr="00E82CC1">
        <w:rPr>
          <w:rFonts w:asciiTheme="majorHAnsi" w:hAnsiTheme="majorHAnsi" w:cstheme="majorHAnsi"/>
          <w:sz w:val="24"/>
          <w:szCs w:val="24"/>
          <w:lang w:val="ro-RO"/>
        </w:rPr>
        <w:t xml:space="preserve"> și î</w:t>
      </w:r>
      <w:r w:rsidRPr="00E82CC1">
        <w:rPr>
          <w:rFonts w:asciiTheme="majorHAnsi" w:eastAsia="Times New Roman" w:hAnsiTheme="majorHAnsi" w:cstheme="majorHAnsi"/>
          <w:sz w:val="24"/>
          <w:szCs w:val="24"/>
          <w:lang w:val="ro-RO"/>
        </w:rPr>
        <w:t>n conformitate cu Legea nr.229 din 23.09.2010</w:t>
      </w:r>
      <w:r w:rsidRPr="00617E4A">
        <w:rPr>
          <w:rFonts w:asciiTheme="majorHAnsi" w:hAnsiTheme="majorHAnsi" w:cstheme="majorHAnsi"/>
          <w:sz w:val="24"/>
          <w:szCs w:val="24"/>
          <w:vertAlign w:val="superscript"/>
          <w:lang w:val="ro-RO"/>
        </w:rPr>
        <w:footnoteReference w:id="22"/>
      </w:r>
      <w:r w:rsidRPr="00E82CC1">
        <w:rPr>
          <w:rFonts w:asciiTheme="majorHAnsi" w:eastAsia="Times New Roman" w:hAnsiTheme="majorHAnsi" w:cstheme="majorHAnsi"/>
          <w:sz w:val="24"/>
          <w:szCs w:val="24"/>
          <w:lang w:val="ro-RO"/>
        </w:rPr>
        <w:t xml:space="preserve">. </w:t>
      </w:r>
      <w:r w:rsidR="00714A35" w:rsidRPr="00E82CC1">
        <w:rPr>
          <w:rFonts w:asciiTheme="majorHAnsi" w:hAnsiTheme="majorHAnsi" w:cstheme="majorHAnsi"/>
          <w:sz w:val="24"/>
          <w:szCs w:val="24"/>
          <w:lang w:val="ro-RO"/>
        </w:rPr>
        <w:t>Obligativitatea implementării sistemului de control intern managerial este impus</w:t>
      </w:r>
      <w:r w:rsidR="001C5284">
        <w:rPr>
          <w:rFonts w:asciiTheme="majorHAnsi" w:hAnsiTheme="majorHAnsi" w:cstheme="majorHAnsi"/>
          <w:sz w:val="24"/>
          <w:szCs w:val="24"/>
          <w:lang w:val="ro-RO"/>
        </w:rPr>
        <w:t>ă</w:t>
      </w:r>
      <w:r w:rsidR="00714A35" w:rsidRPr="00E82CC1">
        <w:rPr>
          <w:rFonts w:asciiTheme="majorHAnsi" w:hAnsiTheme="majorHAnsi" w:cstheme="majorHAnsi"/>
          <w:sz w:val="24"/>
          <w:szCs w:val="24"/>
          <w:lang w:val="ro-RO"/>
        </w:rPr>
        <w:t xml:space="preserve"> în sectorul public în scopul consolidării răspunderii manageriale pentru gestionarea optimă a resurselor conform obiectivelor stabilite. </w:t>
      </w:r>
      <w:r w:rsidR="00680151" w:rsidRPr="00E82CC1">
        <w:rPr>
          <w:rFonts w:asciiTheme="majorHAnsi" w:eastAsia="Times New Roman" w:hAnsiTheme="majorHAnsi" w:cstheme="majorHAnsi"/>
          <w:sz w:val="24"/>
          <w:szCs w:val="24"/>
          <w:lang w:val="ro-RO"/>
        </w:rPr>
        <w:t>Evaluarea de audit a sistemului CIM denotă că CNAS, conform cerințelor legale</w:t>
      </w:r>
      <w:r w:rsidR="00680151" w:rsidRPr="00E82CC1">
        <w:rPr>
          <w:rStyle w:val="a5"/>
          <w:rFonts w:asciiTheme="majorHAnsi" w:eastAsia="Times New Roman" w:hAnsiTheme="majorHAnsi" w:cstheme="majorHAnsi"/>
          <w:sz w:val="24"/>
          <w:szCs w:val="24"/>
          <w:lang w:val="ro-RO"/>
        </w:rPr>
        <w:footnoteReference w:id="23"/>
      </w:r>
      <w:r w:rsidR="00680151" w:rsidRPr="00E82CC1">
        <w:rPr>
          <w:rFonts w:asciiTheme="majorHAnsi" w:eastAsia="Times New Roman" w:hAnsiTheme="majorHAnsi" w:cstheme="majorHAnsi"/>
          <w:sz w:val="24"/>
          <w:szCs w:val="24"/>
          <w:lang w:val="ro-RO"/>
        </w:rPr>
        <w:t xml:space="preserve">, deține o structură bine organizată și dezvoltată, cu descrierea proceselor operaționale și identificarea riscurilor, iar </w:t>
      </w:r>
      <w:r w:rsidR="00714A35" w:rsidRPr="00E82CC1">
        <w:rPr>
          <w:rFonts w:asciiTheme="majorHAnsi" w:hAnsiTheme="majorHAnsi" w:cstheme="majorHAnsi"/>
          <w:sz w:val="24"/>
          <w:szCs w:val="24"/>
          <w:lang w:val="ro-RO"/>
        </w:rPr>
        <w:t xml:space="preserve">conducerea CNAS și conducătorii subdiviziunilor structurale sunt responsabili de </w:t>
      </w:r>
      <w:r w:rsidR="00680151" w:rsidRPr="00E82CC1">
        <w:rPr>
          <w:rFonts w:asciiTheme="majorHAnsi" w:hAnsiTheme="majorHAnsi" w:cstheme="majorHAnsi"/>
          <w:sz w:val="24"/>
          <w:szCs w:val="24"/>
          <w:lang w:val="ro-RO"/>
        </w:rPr>
        <w:t>funcționalitatea acestuia</w:t>
      </w:r>
      <w:r w:rsidR="00714A35" w:rsidRPr="00E82CC1">
        <w:rPr>
          <w:rFonts w:asciiTheme="majorHAnsi" w:hAnsiTheme="majorHAnsi" w:cstheme="majorHAnsi"/>
          <w:sz w:val="24"/>
          <w:szCs w:val="24"/>
          <w:lang w:val="ro-RO"/>
        </w:rPr>
        <w:t xml:space="preserve">. Astfel, Casa Națională are stabilite obiective strategice și operaționale </w:t>
      </w:r>
      <w:r w:rsidR="001C5284">
        <w:rPr>
          <w:rFonts w:asciiTheme="majorHAnsi" w:hAnsiTheme="majorHAnsi" w:cstheme="majorHAnsi"/>
          <w:sz w:val="24"/>
          <w:szCs w:val="24"/>
          <w:lang w:val="ro-RO"/>
        </w:rPr>
        <w:t>însoțite de</w:t>
      </w:r>
      <w:r w:rsidR="00714A35" w:rsidRPr="00E82CC1">
        <w:rPr>
          <w:rFonts w:asciiTheme="majorHAnsi" w:hAnsiTheme="majorHAnsi" w:cstheme="majorHAnsi"/>
          <w:sz w:val="24"/>
          <w:szCs w:val="24"/>
          <w:lang w:val="ro-RO"/>
        </w:rPr>
        <w:t xml:space="preserve"> indicatori de performanță. De asemenea, instituția are descrise și cartografiate 7</w:t>
      </w:r>
      <w:r w:rsidR="00680151" w:rsidRPr="00E82CC1">
        <w:rPr>
          <w:rFonts w:asciiTheme="majorHAnsi" w:hAnsiTheme="majorHAnsi" w:cstheme="majorHAnsi"/>
          <w:sz w:val="24"/>
          <w:szCs w:val="24"/>
          <w:lang w:val="ro-RO"/>
        </w:rPr>
        <w:t>8</w:t>
      </w:r>
      <w:r w:rsidR="00714A35" w:rsidRPr="00E82CC1">
        <w:rPr>
          <w:rFonts w:asciiTheme="majorHAnsi" w:hAnsiTheme="majorHAnsi" w:cstheme="majorHAnsi"/>
          <w:sz w:val="24"/>
          <w:szCs w:val="24"/>
          <w:lang w:val="ro-RO"/>
        </w:rPr>
        <w:t xml:space="preserve"> de procese operaționale de bază cu stabilirea acțiunilor de control, care au fost modificate și ajustate odată cu schimbarea cadrului legal ce vizează acțiunile respective.</w:t>
      </w:r>
    </w:p>
    <w:p w14:paraId="45768AF6" w14:textId="07BCB155" w:rsidR="00F13DFF" w:rsidRPr="00E82CC1" w:rsidRDefault="00F13DFF" w:rsidP="00F13DFF">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Totodată, </w:t>
      </w:r>
      <w:r w:rsidR="00F20623" w:rsidRPr="00E82CC1">
        <w:rPr>
          <w:rFonts w:asciiTheme="majorHAnsi" w:hAnsiTheme="majorHAnsi" w:cstheme="majorHAnsi"/>
          <w:sz w:val="24"/>
          <w:szCs w:val="24"/>
          <w:lang w:val="ro-RO"/>
        </w:rPr>
        <w:t xml:space="preserve">unele </w:t>
      </w:r>
      <w:r w:rsidRPr="00E82CC1">
        <w:rPr>
          <w:rFonts w:asciiTheme="majorHAnsi" w:hAnsiTheme="majorHAnsi" w:cstheme="majorHAnsi"/>
          <w:sz w:val="24"/>
          <w:szCs w:val="24"/>
          <w:lang w:val="ro-RO"/>
        </w:rPr>
        <w:t xml:space="preserve">aspectele descrise în raport relevă necesitatea </w:t>
      </w:r>
      <w:r w:rsidR="00680151" w:rsidRPr="00E82CC1">
        <w:rPr>
          <w:rFonts w:asciiTheme="majorHAnsi" w:hAnsiTheme="majorHAnsi" w:cstheme="majorHAnsi"/>
          <w:sz w:val="24"/>
          <w:szCs w:val="24"/>
          <w:lang w:val="ro-RO"/>
        </w:rPr>
        <w:t>perfecționării</w:t>
      </w:r>
      <w:r w:rsidRPr="00E82CC1">
        <w:rPr>
          <w:rFonts w:asciiTheme="majorHAnsi" w:hAnsiTheme="majorHAnsi" w:cstheme="majorHAnsi"/>
          <w:sz w:val="24"/>
          <w:szCs w:val="24"/>
          <w:lang w:val="ro-RO"/>
        </w:rPr>
        <w:t xml:space="preserve"> sistemului de control intern </w:t>
      </w:r>
      <w:r w:rsidR="00680151" w:rsidRPr="00E82CC1">
        <w:rPr>
          <w:rFonts w:asciiTheme="majorHAnsi" w:hAnsiTheme="majorHAnsi" w:cstheme="majorHAnsi"/>
          <w:sz w:val="24"/>
          <w:szCs w:val="24"/>
          <w:lang w:val="ro-RO"/>
        </w:rPr>
        <w:t>pentru anumite procese.</w:t>
      </w:r>
    </w:p>
    <w:p w14:paraId="6FBDD6E1" w14:textId="432DB7BA" w:rsidR="00F13DFF" w:rsidRPr="00E82CC1" w:rsidRDefault="00F13DFF" w:rsidP="00D470AF">
      <w:pPr>
        <w:pStyle w:val="a9"/>
        <w:numPr>
          <w:ilvl w:val="1"/>
          <w:numId w:val="15"/>
        </w:numPr>
        <w:spacing w:after="0" w:line="276" w:lineRule="auto"/>
        <w:ind w:left="0" w:firstLine="0"/>
        <w:jc w:val="both"/>
        <w:outlineLvl w:val="1"/>
        <w:rPr>
          <w:rFonts w:asciiTheme="majorHAnsi" w:eastAsia="Calibri" w:hAnsiTheme="majorHAnsi" w:cstheme="majorHAnsi"/>
          <w:b/>
          <w:sz w:val="24"/>
          <w:szCs w:val="24"/>
          <w:lang w:val="ro-RO"/>
        </w:rPr>
      </w:pPr>
      <w:r w:rsidRPr="00E82CC1">
        <w:rPr>
          <w:rFonts w:asciiTheme="majorHAnsi" w:eastAsia="Calibri" w:hAnsiTheme="majorHAnsi" w:cstheme="majorHAnsi"/>
          <w:b/>
          <w:sz w:val="24"/>
          <w:szCs w:val="24"/>
          <w:lang w:val="ro-RO"/>
        </w:rPr>
        <w:t xml:space="preserve">Auditul intern al CNAS </w:t>
      </w:r>
      <w:r w:rsidR="00BB6F7C" w:rsidRPr="00E82CC1">
        <w:rPr>
          <w:rFonts w:asciiTheme="majorHAnsi" w:eastAsia="Calibri" w:hAnsiTheme="majorHAnsi" w:cstheme="majorHAnsi"/>
          <w:b/>
          <w:sz w:val="24"/>
          <w:szCs w:val="24"/>
          <w:lang w:val="ro-RO"/>
        </w:rPr>
        <w:t xml:space="preserve">și-a realizat scopul de acordare a </w:t>
      </w:r>
      <w:r w:rsidR="00CA7E11" w:rsidRPr="00E82CC1">
        <w:rPr>
          <w:rFonts w:asciiTheme="majorHAnsi" w:hAnsiTheme="majorHAnsi" w:cstheme="majorHAnsi"/>
          <w:b/>
          <w:sz w:val="24"/>
          <w:szCs w:val="24"/>
          <w:lang w:val="ro-RO"/>
        </w:rPr>
        <w:t>consultanței</w:t>
      </w:r>
      <w:r w:rsidR="00BB6F7C" w:rsidRPr="00E82CC1">
        <w:rPr>
          <w:rFonts w:asciiTheme="majorHAnsi" w:hAnsiTheme="majorHAnsi" w:cstheme="majorHAnsi"/>
          <w:b/>
          <w:sz w:val="24"/>
          <w:szCs w:val="24"/>
          <w:lang w:val="ro-RO"/>
        </w:rPr>
        <w:t xml:space="preserve"> şi </w:t>
      </w:r>
      <w:r w:rsidR="001C5284">
        <w:rPr>
          <w:rFonts w:asciiTheme="majorHAnsi" w:hAnsiTheme="majorHAnsi" w:cstheme="majorHAnsi"/>
          <w:b/>
          <w:sz w:val="24"/>
          <w:szCs w:val="24"/>
          <w:lang w:val="ro-RO"/>
        </w:rPr>
        <w:t xml:space="preserve">de </w:t>
      </w:r>
      <w:r w:rsidR="00BB6F7C" w:rsidRPr="00E82CC1">
        <w:rPr>
          <w:rFonts w:asciiTheme="majorHAnsi" w:hAnsiTheme="majorHAnsi" w:cstheme="majorHAnsi"/>
          <w:b/>
          <w:sz w:val="24"/>
          <w:szCs w:val="24"/>
          <w:lang w:val="ro-RO"/>
        </w:rPr>
        <w:t>furnizare a asigurării obiective privind eficacitatea sistemului de control intern managerial</w:t>
      </w:r>
      <w:r w:rsidR="00BB6F7C" w:rsidRPr="00E82CC1">
        <w:rPr>
          <w:rFonts w:asciiTheme="majorHAnsi" w:eastAsia="Calibri" w:hAnsiTheme="majorHAnsi" w:cstheme="majorHAnsi"/>
          <w:b/>
          <w:sz w:val="24"/>
          <w:szCs w:val="24"/>
          <w:lang w:val="ro-RO"/>
        </w:rPr>
        <w:t xml:space="preserve">, prin </w:t>
      </w:r>
      <w:r w:rsidRPr="00E82CC1">
        <w:rPr>
          <w:rFonts w:asciiTheme="majorHAnsi" w:eastAsia="Calibri" w:hAnsiTheme="majorHAnsi" w:cstheme="majorHAnsi"/>
          <w:b/>
          <w:sz w:val="24"/>
          <w:szCs w:val="24"/>
          <w:lang w:val="ro-RO"/>
        </w:rPr>
        <w:t>realiz</w:t>
      </w:r>
      <w:r w:rsidR="00BB6F7C" w:rsidRPr="00E82CC1">
        <w:rPr>
          <w:rFonts w:asciiTheme="majorHAnsi" w:eastAsia="Calibri" w:hAnsiTheme="majorHAnsi" w:cstheme="majorHAnsi"/>
          <w:b/>
          <w:sz w:val="24"/>
          <w:szCs w:val="24"/>
          <w:lang w:val="ro-RO"/>
        </w:rPr>
        <w:t>area</w:t>
      </w:r>
      <w:r w:rsidRPr="00E82CC1">
        <w:rPr>
          <w:rFonts w:asciiTheme="majorHAnsi" w:eastAsia="Calibri" w:hAnsiTheme="majorHAnsi" w:cstheme="majorHAnsi"/>
          <w:b/>
          <w:sz w:val="24"/>
          <w:szCs w:val="24"/>
          <w:lang w:val="ro-RO"/>
        </w:rPr>
        <w:t xml:space="preserve"> misiuni</w:t>
      </w:r>
      <w:r w:rsidR="00BB6F7C" w:rsidRPr="00E82CC1">
        <w:rPr>
          <w:rFonts w:asciiTheme="majorHAnsi" w:eastAsia="Calibri" w:hAnsiTheme="majorHAnsi" w:cstheme="majorHAnsi"/>
          <w:b/>
          <w:sz w:val="24"/>
          <w:szCs w:val="24"/>
          <w:lang w:val="ro-RO"/>
        </w:rPr>
        <w:t>lor</w:t>
      </w:r>
      <w:r w:rsidRPr="00E82CC1">
        <w:rPr>
          <w:rFonts w:asciiTheme="majorHAnsi" w:eastAsia="Calibri" w:hAnsiTheme="majorHAnsi" w:cstheme="majorHAnsi"/>
          <w:b/>
          <w:sz w:val="24"/>
          <w:szCs w:val="24"/>
          <w:lang w:val="ro-RO"/>
        </w:rPr>
        <w:t xml:space="preserve"> de </w:t>
      </w:r>
      <w:r w:rsidRPr="00E82CC1">
        <w:rPr>
          <w:rFonts w:asciiTheme="majorHAnsi" w:hAnsiTheme="majorHAnsi" w:cstheme="majorHAnsi"/>
          <w:b/>
          <w:sz w:val="24"/>
          <w:szCs w:val="24"/>
          <w:lang w:val="ro-RO"/>
        </w:rPr>
        <w:t>evaluare independentă</w:t>
      </w:r>
      <w:r w:rsidRPr="00E82CC1">
        <w:rPr>
          <w:rFonts w:asciiTheme="majorHAnsi" w:eastAsia="Calibri" w:hAnsiTheme="majorHAnsi" w:cstheme="majorHAnsi"/>
          <w:b/>
          <w:sz w:val="24"/>
          <w:szCs w:val="24"/>
          <w:lang w:val="ro-RO"/>
        </w:rPr>
        <w:t xml:space="preserve">, menite să adauge valoare şi să îmbunătățească </w:t>
      </w:r>
      <w:r w:rsidRPr="00E82CC1">
        <w:rPr>
          <w:rFonts w:asciiTheme="majorHAnsi" w:hAnsiTheme="majorHAnsi" w:cstheme="majorHAnsi"/>
          <w:b/>
          <w:sz w:val="24"/>
          <w:szCs w:val="24"/>
          <w:lang w:val="ro-RO"/>
        </w:rPr>
        <w:t>procesele desfășurate.</w:t>
      </w:r>
      <w:r w:rsidRPr="00E82CC1">
        <w:rPr>
          <w:rFonts w:asciiTheme="majorHAnsi" w:eastAsia="Calibri" w:hAnsiTheme="majorHAnsi" w:cstheme="majorHAnsi"/>
          <w:b/>
          <w:sz w:val="24"/>
          <w:szCs w:val="24"/>
          <w:lang w:val="ro-RO"/>
        </w:rPr>
        <w:t xml:space="preserve"> </w:t>
      </w:r>
    </w:p>
    <w:p w14:paraId="60E97BEF" w14:textId="77777777" w:rsidR="00F13DFF" w:rsidRPr="00E82CC1" w:rsidRDefault="00F13DFF" w:rsidP="00F13DFF">
      <w:pPr>
        <w:spacing w:line="276" w:lineRule="auto"/>
        <w:jc w:val="both"/>
        <w:rPr>
          <w:rFonts w:asciiTheme="majorHAnsi" w:hAnsiTheme="majorHAnsi" w:cstheme="majorHAnsi"/>
          <w:sz w:val="24"/>
          <w:szCs w:val="24"/>
          <w:lang w:val="ro-RO"/>
        </w:rPr>
      </w:pPr>
      <w:r w:rsidRPr="00E82CC1">
        <w:rPr>
          <w:rFonts w:asciiTheme="majorHAnsi" w:eastAsia="Calibri" w:hAnsiTheme="majorHAnsi" w:cstheme="majorHAnsi"/>
          <w:sz w:val="24"/>
          <w:szCs w:val="24"/>
          <w:lang w:val="ro-RO"/>
        </w:rPr>
        <w:t>Pe parcursul anului 202</w:t>
      </w:r>
      <w:r w:rsidR="00A838C1" w:rsidRPr="00E82CC1">
        <w:rPr>
          <w:rFonts w:asciiTheme="majorHAnsi" w:eastAsia="Calibri" w:hAnsiTheme="majorHAnsi" w:cstheme="majorHAnsi"/>
          <w:sz w:val="24"/>
          <w:szCs w:val="24"/>
          <w:lang w:val="ro-RO"/>
        </w:rPr>
        <w:t>1</w:t>
      </w:r>
      <w:r w:rsidRPr="00E82CC1">
        <w:rPr>
          <w:rFonts w:asciiTheme="majorHAnsi" w:eastAsia="Calibri" w:hAnsiTheme="majorHAnsi" w:cstheme="majorHAnsi"/>
          <w:sz w:val="24"/>
          <w:szCs w:val="24"/>
          <w:lang w:val="ro-RO"/>
        </w:rPr>
        <w:t xml:space="preserve"> au fost </w:t>
      </w:r>
      <w:r w:rsidRPr="00E82CC1">
        <w:rPr>
          <w:rFonts w:asciiTheme="majorHAnsi" w:eastAsia="Times New Roman" w:hAnsiTheme="majorHAnsi" w:cstheme="majorHAnsi"/>
          <w:color w:val="000000"/>
          <w:sz w:val="24"/>
          <w:szCs w:val="24"/>
          <w:lang w:val="ro-RO"/>
        </w:rPr>
        <w:t>efectuate 1</w:t>
      </w:r>
      <w:r w:rsidR="00A838C1" w:rsidRPr="00E82CC1">
        <w:rPr>
          <w:rFonts w:asciiTheme="majorHAnsi" w:eastAsia="Times New Roman" w:hAnsiTheme="majorHAnsi" w:cstheme="majorHAnsi"/>
          <w:color w:val="000000"/>
          <w:sz w:val="24"/>
          <w:szCs w:val="24"/>
          <w:lang w:val="ro-RO"/>
        </w:rPr>
        <w:t>0</w:t>
      </w:r>
      <w:r w:rsidRPr="00E82CC1">
        <w:rPr>
          <w:rFonts w:asciiTheme="majorHAnsi" w:eastAsia="Times New Roman" w:hAnsiTheme="majorHAnsi" w:cstheme="majorHAnsi"/>
          <w:color w:val="000000"/>
          <w:sz w:val="24"/>
          <w:szCs w:val="24"/>
          <w:lang w:val="ro-RO"/>
        </w:rPr>
        <w:t xml:space="preserve"> misiuni de audit </w:t>
      </w:r>
      <w:r w:rsidRPr="00E82CC1">
        <w:rPr>
          <w:rFonts w:asciiTheme="majorHAnsi" w:hAnsiTheme="majorHAnsi" w:cstheme="majorHAnsi"/>
          <w:sz w:val="24"/>
          <w:szCs w:val="24"/>
          <w:lang w:val="ro-RO"/>
        </w:rPr>
        <w:t xml:space="preserve">de performanță și de consiliere </w:t>
      </w:r>
      <w:r w:rsidRPr="00E82CC1">
        <w:rPr>
          <w:rFonts w:asciiTheme="majorHAnsi" w:eastAsia="Times New Roman" w:hAnsiTheme="majorHAnsi" w:cstheme="majorHAnsi"/>
          <w:color w:val="000000"/>
          <w:sz w:val="24"/>
          <w:szCs w:val="24"/>
          <w:lang w:val="ro-RO"/>
        </w:rPr>
        <w:t>pe domenii-cheie,</w:t>
      </w:r>
      <w:r w:rsidRPr="00E82CC1">
        <w:rPr>
          <w:rFonts w:asciiTheme="majorHAnsi" w:eastAsia="Calibri" w:hAnsiTheme="majorHAnsi" w:cstheme="majorHAnsi"/>
          <w:sz w:val="24"/>
          <w:szCs w:val="24"/>
          <w:lang w:val="ro-RO"/>
        </w:rPr>
        <w:t xml:space="preserve"> care și-au realizat scopul de acordare a </w:t>
      </w:r>
      <w:r w:rsidRPr="00E82CC1">
        <w:rPr>
          <w:rFonts w:asciiTheme="majorHAnsi" w:hAnsiTheme="majorHAnsi" w:cstheme="majorHAnsi"/>
          <w:sz w:val="24"/>
          <w:szCs w:val="24"/>
          <w:lang w:val="ro-RO"/>
        </w:rPr>
        <w:t>consultanţei şi de furnizare a asigurării obiective privind eficacitatea sistemului de control intern managerial.</w:t>
      </w:r>
      <w:r w:rsidRPr="00E82CC1">
        <w:rPr>
          <w:rFonts w:asciiTheme="majorHAnsi" w:eastAsia="Calibri" w:hAnsiTheme="majorHAnsi" w:cstheme="majorHAnsi"/>
          <w:sz w:val="24"/>
          <w:szCs w:val="24"/>
          <w:lang w:val="ro-RO"/>
        </w:rPr>
        <w:t xml:space="preserve"> </w:t>
      </w:r>
      <w:r w:rsidRPr="00E82CC1">
        <w:rPr>
          <w:rFonts w:asciiTheme="majorHAnsi" w:hAnsiTheme="majorHAnsi" w:cstheme="majorHAnsi"/>
          <w:sz w:val="24"/>
          <w:szCs w:val="24"/>
          <w:lang w:val="ro-RO"/>
        </w:rPr>
        <w:t>Astfel, a</w:t>
      </w:r>
      <w:r w:rsidRPr="00E82CC1">
        <w:rPr>
          <w:rFonts w:asciiTheme="majorHAnsi" w:eastAsia="Times New Roman" w:hAnsiTheme="majorHAnsi" w:cstheme="majorHAnsi"/>
          <w:color w:val="000000"/>
          <w:sz w:val="24"/>
          <w:szCs w:val="24"/>
          <w:lang w:val="ro-RO"/>
        </w:rPr>
        <w:t xml:space="preserve">ctivitățile de audit s-au axat pe evaluarea mai multor procese operaționale desfășurate la Casa Națională și în subdiviziunile acesteia, </w:t>
      </w:r>
      <w:r w:rsidRPr="00E82CC1">
        <w:rPr>
          <w:rFonts w:asciiTheme="majorHAnsi" w:hAnsiTheme="majorHAnsi" w:cstheme="majorHAnsi"/>
          <w:sz w:val="24"/>
          <w:szCs w:val="24"/>
          <w:lang w:val="ro-RO"/>
        </w:rPr>
        <w:t>oferind recomandări pentru perfecţionare şi contribuind la îmbunătăţirea activităţii entităţii publice. Totuşi, reieşind din constatările menţionate în prezentul Raport de audit, se deduce că activităţile de control urmează a fi revizuite în procesele operaţionale evaluate de audit.</w:t>
      </w:r>
    </w:p>
    <w:p w14:paraId="784465F3" w14:textId="1771A5E7" w:rsidR="00F13DFF" w:rsidRPr="00E82CC1" w:rsidRDefault="00F13DFF" w:rsidP="00D470AF">
      <w:pPr>
        <w:pStyle w:val="a9"/>
        <w:numPr>
          <w:ilvl w:val="1"/>
          <w:numId w:val="15"/>
        </w:numPr>
        <w:tabs>
          <w:tab w:val="left" w:pos="709"/>
          <w:tab w:val="left" w:pos="993"/>
          <w:tab w:val="left" w:pos="1276"/>
        </w:tabs>
        <w:spacing w:after="0" w:line="276" w:lineRule="auto"/>
        <w:ind w:left="0" w:firstLine="0"/>
        <w:jc w:val="both"/>
        <w:outlineLvl w:val="1"/>
        <w:rPr>
          <w:rFonts w:asciiTheme="majorHAnsi" w:hAnsiTheme="majorHAnsi" w:cstheme="majorHAnsi"/>
          <w:b/>
          <w:sz w:val="24"/>
          <w:szCs w:val="24"/>
          <w:lang w:val="ro-RO"/>
        </w:rPr>
      </w:pPr>
      <w:r w:rsidRPr="00E82CC1">
        <w:rPr>
          <w:rFonts w:asciiTheme="majorHAnsi" w:hAnsiTheme="majorHAnsi" w:cs="Calibri Light"/>
          <w:b/>
          <w:iCs/>
          <w:sz w:val="24"/>
          <w:szCs w:val="24"/>
          <w:lang w:val="ro-RO"/>
        </w:rPr>
        <w:t>Impleme</w:t>
      </w:r>
      <w:r w:rsidR="00721B8F" w:rsidRPr="00E82CC1">
        <w:rPr>
          <w:rFonts w:asciiTheme="majorHAnsi" w:hAnsiTheme="majorHAnsi" w:cs="Calibri Light"/>
          <w:b/>
          <w:iCs/>
          <w:sz w:val="24"/>
          <w:szCs w:val="24"/>
          <w:lang w:val="ro-RO"/>
        </w:rPr>
        <w:t xml:space="preserve">ntarea </w:t>
      </w:r>
      <w:r w:rsidR="007E3CA1" w:rsidRPr="00E82CC1">
        <w:rPr>
          <w:rFonts w:asciiTheme="majorHAnsi" w:eastAsia="Times New Roman" w:hAnsiTheme="majorHAnsi" w:cstheme="majorHAnsi"/>
          <w:b/>
          <w:sz w:val="24"/>
          <w:szCs w:val="24"/>
          <w:lang w:val="ro-RO" w:eastAsia="ru-RU"/>
        </w:rPr>
        <w:t>integrală de către Casa Națională de Asigurări Sociale</w:t>
      </w:r>
      <w:r w:rsidR="007E3CA1" w:rsidRPr="00E82CC1">
        <w:rPr>
          <w:rFonts w:asciiTheme="majorHAnsi" w:hAnsiTheme="majorHAnsi" w:cs="Calibri Light"/>
          <w:b/>
          <w:iCs/>
          <w:sz w:val="24"/>
          <w:szCs w:val="24"/>
          <w:lang w:val="ro-RO"/>
        </w:rPr>
        <w:t xml:space="preserve"> a </w:t>
      </w:r>
      <w:r w:rsidR="00721B8F" w:rsidRPr="00E82CC1">
        <w:rPr>
          <w:rFonts w:asciiTheme="majorHAnsi" w:hAnsiTheme="majorHAnsi" w:cs="Calibri Light"/>
          <w:b/>
          <w:iCs/>
          <w:sz w:val="24"/>
          <w:szCs w:val="24"/>
          <w:lang w:val="ro-RO"/>
        </w:rPr>
        <w:t xml:space="preserve">recomandărilor înaintate, </w:t>
      </w:r>
      <w:r w:rsidRPr="00E82CC1">
        <w:rPr>
          <w:rFonts w:asciiTheme="majorHAnsi" w:hAnsiTheme="majorHAnsi" w:cstheme="majorHAnsi"/>
          <w:b/>
          <w:sz w:val="24"/>
          <w:szCs w:val="24"/>
          <w:lang w:val="ro-RO"/>
        </w:rPr>
        <w:t>ca urmare a realizării misiunii precedente de audit public extern</w:t>
      </w:r>
      <w:r w:rsidRPr="00E82CC1">
        <w:rPr>
          <w:rFonts w:asciiTheme="majorHAnsi" w:hAnsiTheme="majorHAnsi" w:cs="Calibri Light"/>
          <w:b/>
          <w:iCs/>
          <w:sz w:val="24"/>
          <w:szCs w:val="24"/>
          <w:lang w:val="ro-RO"/>
        </w:rPr>
        <w:t>, v</w:t>
      </w:r>
      <w:r w:rsidR="00721B8F" w:rsidRPr="00E82CC1">
        <w:rPr>
          <w:rFonts w:asciiTheme="majorHAnsi" w:hAnsiTheme="majorHAnsi" w:cs="Calibri Light"/>
          <w:b/>
          <w:iCs/>
          <w:sz w:val="24"/>
          <w:szCs w:val="24"/>
          <w:lang w:val="ro-RO"/>
        </w:rPr>
        <w:t>a</w:t>
      </w:r>
      <w:r w:rsidRPr="00E82CC1">
        <w:rPr>
          <w:rFonts w:asciiTheme="majorHAnsi" w:hAnsiTheme="majorHAnsi" w:cs="Calibri Light"/>
          <w:b/>
          <w:iCs/>
          <w:sz w:val="24"/>
          <w:szCs w:val="24"/>
          <w:lang w:val="ro-RO"/>
        </w:rPr>
        <w:t xml:space="preserve"> contribui la îmbunătățirea proceselor și furnizarea informațiilor veridice</w:t>
      </w:r>
      <w:r w:rsidR="001C5284">
        <w:rPr>
          <w:rFonts w:asciiTheme="majorHAnsi" w:hAnsiTheme="majorHAnsi" w:cs="Calibri Light"/>
          <w:b/>
          <w:iCs/>
          <w:sz w:val="24"/>
          <w:szCs w:val="24"/>
          <w:lang w:val="ro-RO"/>
        </w:rPr>
        <w:t>.</w:t>
      </w:r>
    </w:p>
    <w:p w14:paraId="73080B38" w14:textId="5B3AB77F" w:rsidR="00F13DFF" w:rsidRPr="00E82CC1" w:rsidRDefault="007E3CA1" w:rsidP="00B2348F">
      <w:pPr>
        <w:tabs>
          <w:tab w:val="left" w:pos="709"/>
          <w:tab w:val="left" w:pos="993"/>
          <w:tab w:val="left" w:pos="1276"/>
        </w:tabs>
        <w:spacing w:line="276" w:lineRule="auto"/>
        <w:jc w:val="both"/>
        <w:rPr>
          <w:rFonts w:asciiTheme="majorHAnsi" w:hAnsiTheme="majorHAnsi" w:cstheme="majorHAnsi"/>
          <w:b/>
          <w:sz w:val="24"/>
          <w:szCs w:val="24"/>
          <w:lang w:val="ro-RO"/>
        </w:rPr>
      </w:pPr>
      <w:r w:rsidRPr="00E82CC1">
        <w:rPr>
          <w:rFonts w:asciiTheme="majorHAnsi" w:eastAsia="Times New Roman" w:hAnsiTheme="majorHAnsi" w:cstheme="majorHAnsi"/>
          <w:sz w:val="24"/>
          <w:szCs w:val="24"/>
          <w:lang w:val="ro-RO" w:eastAsia="ru-RU"/>
        </w:rPr>
        <w:t>Analiza implementării recomandărilor înaintate de Curtea de Conturi</w:t>
      </w:r>
      <w:r w:rsidRPr="00E82CC1">
        <w:rPr>
          <w:rFonts w:asciiTheme="majorHAnsi" w:hAnsiTheme="majorHAnsi" w:cs="Calibri Light"/>
          <w:iCs/>
          <w:sz w:val="24"/>
          <w:szCs w:val="24"/>
          <w:vertAlign w:val="superscript"/>
          <w:lang w:val="ro-RO"/>
        </w:rPr>
        <w:footnoteReference w:id="24"/>
      </w:r>
      <w:r w:rsidRPr="00E82CC1">
        <w:rPr>
          <w:rFonts w:asciiTheme="majorHAnsi" w:eastAsia="Times New Roman" w:hAnsiTheme="majorHAnsi" w:cstheme="majorHAnsi"/>
          <w:sz w:val="24"/>
          <w:szCs w:val="24"/>
          <w:lang w:val="ro-RO" w:eastAsia="ru-RU"/>
        </w:rPr>
        <w:t xml:space="preserve"> demonstrează că CNAS a realizat procese</w:t>
      </w:r>
      <w:r w:rsidR="001C5284">
        <w:rPr>
          <w:rFonts w:asciiTheme="majorHAnsi" w:eastAsia="Times New Roman" w:hAnsiTheme="majorHAnsi" w:cstheme="majorHAnsi"/>
          <w:sz w:val="24"/>
          <w:szCs w:val="24"/>
          <w:lang w:val="ro-RO" w:eastAsia="ru-RU"/>
        </w:rPr>
        <w:t>le</w:t>
      </w:r>
      <w:r w:rsidRPr="00E82CC1">
        <w:rPr>
          <w:rFonts w:asciiTheme="majorHAnsi" w:eastAsia="Times New Roman" w:hAnsiTheme="majorHAnsi" w:cstheme="majorHAnsi"/>
          <w:sz w:val="24"/>
          <w:szCs w:val="24"/>
          <w:lang w:val="ro-RO" w:eastAsia="ru-RU"/>
        </w:rPr>
        <w:t xml:space="preserve"> ce condiționează o eficiență sporită în realizarea obiectivelor</w:t>
      </w:r>
      <w:r w:rsidR="001C5284">
        <w:rPr>
          <w:rFonts w:asciiTheme="majorHAnsi" w:eastAsia="Times New Roman" w:hAnsiTheme="majorHAnsi" w:cstheme="majorHAnsi"/>
          <w:sz w:val="24"/>
          <w:szCs w:val="24"/>
          <w:lang w:val="ro-RO" w:eastAsia="ru-RU"/>
        </w:rPr>
        <w:t xml:space="preserve"> sale</w:t>
      </w:r>
      <w:r w:rsidRPr="00E82CC1">
        <w:rPr>
          <w:rFonts w:asciiTheme="majorHAnsi" w:eastAsia="Times New Roman" w:hAnsiTheme="majorHAnsi" w:cstheme="majorHAnsi"/>
          <w:sz w:val="24"/>
          <w:szCs w:val="24"/>
          <w:lang w:val="ro-RO" w:eastAsia="ru-RU"/>
        </w:rPr>
        <w:t xml:space="preserve">. </w:t>
      </w:r>
      <w:r w:rsidRPr="00E82CC1">
        <w:rPr>
          <w:rFonts w:asciiTheme="majorHAnsi" w:hAnsiTheme="majorHAnsi" w:cs="Calibri Light"/>
          <w:iCs/>
          <w:sz w:val="24"/>
          <w:szCs w:val="24"/>
          <w:lang w:val="ro-RO"/>
        </w:rPr>
        <w:t>Astfel, se</w:t>
      </w:r>
      <w:r w:rsidR="00F13DFF" w:rsidRPr="00E82CC1">
        <w:rPr>
          <w:rFonts w:asciiTheme="majorHAnsi" w:hAnsiTheme="majorHAnsi" w:cs="Calibri Light"/>
          <w:iCs/>
          <w:sz w:val="24"/>
          <w:szCs w:val="24"/>
          <w:lang w:val="ro-RO"/>
        </w:rPr>
        <w:t xml:space="preserve"> atestă progrese în îmbunătățirea cadrului regulator, inclusiv a celui intern, în special cu privire la modul de înregistrare și raportare a indicatorilor BAS</w:t>
      </w:r>
      <w:r w:rsidR="00721B8F" w:rsidRPr="00E82CC1">
        <w:rPr>
          <w:rFonts w:asciiTheme="majorHAnsi" w:hAnsiTheme="majorHAnsi" w:cs="Calibri Light"/>
          <w:iCs/>
          <w:sz w:val="24"/>
          <w:szCs w:val="24"/>
          <w:lang w:val="ro-RO"/>
        </w:rPr>
        <w:t xml:space="preserve">S. </w:t>
      </w:r>
      <w:r w:rsidR="00F13DFF" w:rsidRPr="00E82CC1">
        <w:rPr>
          <w:rFonts w:asciiTheme="majorHAnsi" w:hAnsiTheme="majorHAnsi" w:cs="Calibri Light"/>
          <w:iCs/>
          <w:sz w:val="24"/>
          <w:szCs w:val="24"/>
          <w:lang w:val="ro-RO"/>
        </w:rPr>
        <w:t>Aceste acțiuni constituie încă un pas în sporirea capacității CNAS de a oferi informații veridice utilizatorilor rapoartelor și de a presta servicii calitative cetățenilor.</w:t>
      </w:r>
    </w:p>
    <w:p w14:paraId="16A34B92" w14:textId="310FA4DD" w:rsidR="00B21A26" w:rsidRPr="00E82CC1" w:rsidRDefault="00B21A26" w:rsidP="00B2348F">
      <w:pPr>
        <w:tabs>
          <w:tab w:val="left" w:pos="709"/>
          <w:tab w:val="left" w:pos="993"/>
          <w:tab w:val="left" w:pos="1276"/>
        </w:tabs>
        <w:spacing w:line="276" w:lineRule="auto"/>
        <w:jc w:val="both"/>
        <w:rPr>
          <w:rFonts w:asciiTheme="majorHAnsi" w:eastAsia="Times New Roman" w:hAnsiTheme="majorHAnsi" w:cstheme="majorHAnsi"/>
          <w:sz w:val="24"/>
          <w:szCs w:val="24"/>
          <w:lang w:val="ro-RO" w:eastAsia="ru-RU"/>
        </w:rPr>
      </w:pPr>
      <w:r w:rsidRPr="00E82CC1">
        <w:rPr>
          <w:rFonts w:asciiTheme="majorHAnsi" w:eastAsia="Times New Roman" w:hAnsiTheme="majorHAnsi" w:cstheme="majorHAnsi"/>
          <w:sz w:val="24"/>
          <w:szCs w:val="24"/>
          <w:lang w:val="ro-RO" w:eastAsia="ru-RU"/>
        </w:rPr>
        <w:t>Agenția Națională pentru Ocuparea Forței de Muncă a aprobat</w:t>
      </w:r>
      <w:r w:rsidR="00B2348F" w:rsidRPr="00E82CC1">
        <w:rPr>
          <w:rFonts w:asciiTheme="majorHAnsi" w:eastAsia="Times New Roman" w:hAnsiTheme="majorHAnsi" w:cstheme="majorHAnsi"/>
          <w:sz w:val="24"/>
          <w:szCs w:val="24"/>
          <w:lang w:val="ro-RO" w:eastAsia="ru-RU"/>
        </w:rPr>
        <w:t xml:space="preserve"> norme</w:t>
      </w:r>
      <w:r w:rsidRPr="00E82CC1">
        <w:rPr>
          <w:rFonts w:asciiTheme="majorHAnsi" w:eastAsia="Times New Roman" w:hAnsiTheme="majorHAnsi" w:cstheme="majorHAnsi"/>
          <w:sz w:val="24"/>
          <w:szCs w:val="24"/>
          <w:lang w:val="ro-RO" w:eastAsia="ru-RU"/>
        </w:rPr>
        <w:t xml:space="preserve"> cu privire la </w:t>
      </w:r>
      <w:r w:rsidR="00B2348F" w:rsidRPr="00E82CC1">
        <w:rPr>
          <w:rFonts w:asciiTheme="majorHAnsi" w:eastAsia="Times New Roman" w:hAnsiTheme="majorHAnsi" w:cstheme="majorHAnsi"/>
          <w:sz w:val="24"/>
          <w:szCs w:val="24"/>
          <w:lang w:val="ro-RO" w:eastAsia="ru-RU"/>
        </w:rPr>
        <w:t>facilitarea procesului  de stabilire/suspendare/</w:t>
      </w:r>
      <w:r w:rsidRPr="00E82CC1">
        <w:rPr>
          <w:rFonts w:asciiTheme="majorHAnsi" w:eastAsia="Times New Roman" w:hAnsiTheme="majorHAnsi" w:cstheme="majorHAnsi"/>
          <w:sz w:val="24"/>
          <w:szCs w:val="24"/>
          <w:lang w:val="ro-RO" w:eastAsia="ru-RU"/>
        </w:rPr>
        <w:t>restabilire/încetare</w:t>
      </w:r>
      <w:r w:rsidR="00B2348F" w:rsidRPr="00E82CC1">
        <w:rPr>
          <w:rFonts w:asciiTheme="majorHAnsi" w:eastAsia="Times New Roman" w:hAnsiTheme="majorHAnsi" w:cstheme="majorHAnsi"/>
          <w:sz w:val="24"/>
          <w:szCs w:val="24"/>
          <w:lang w:val="ro-RO" w:eastAsia="ru-RU"/>
        </w:rPr>
        <w:t xml:space="preserve"> a dreptului la ajutor de șomaj</w:t>
      </w:r>
      <w:r w:rsidRPr="00E82CC1">
        <w:rPr>
          <w:rStyle w:val="a5"/>
          <w:rFonts w:asciiTheme="majorHAnsi" w:eastAsia="Times New Roman" w:hAnsiTheme="majorHAnsi" w:cstheme="majorHAnsi"/>
          <w:sz w:val="24"/>
          <w:szCs w:val="24"/>
          <w:lang w:val="ro-RO" w:eastAsia="ru-RU"/>
        </w:rPr>
        <w:footnoteReference w:id="25"/>
      </w:r>
      <w:r w:rsidR="00B2348F" w:rsidRPr="00E82CC1">
        <w:rPr>
          <w:rFonts w:asciiTheme="majorHAnsi" w:eastAsia="Times New Roman" w:hAnsiTheme="majorHAnsi" w:cstheme="majorHAnsi"/>
          <w:sz w:val="24"/>
          <w:szCs w:val="24"/>
          <w:lang w:val="ro-RO" w:eastAsia="ru-RU"/>
        </w:rPr>
        <w:t>. De asemenea</w:t>
      </w:r>
      <w:r w:rsidR="00AD042F">
        <w:rPr>
          <w:rFonts w:asciiTheme="majorHAnsi" w:eastAsia="Times New Roman" w:hAnsiTheme="majorHAnsi" w:cstheme="majorHAnsi"/>
          <w:sz w:val="24"/>
          <w:szCs w:val="24"/>
          <w:lang w:val="ro-MD" w:eastAsia="ru-RU"/>
        </w:rPr>
        <w:t>,</w:t>
      </w:r>
      <w:r w:rsidR="00B2348F" w:rsidRPr="00E82CC1">
        <w:rPr>
          <w:rFonts w:asciiTheme="majorHAnsi" w:eastAsia="Times New Roman" w:hAnsiTheme="majorHAnsi" w:cstheme="majorHAnsi"/>
          <w:sz w:val="24"/>
          <w:szCs w:val="24"/>
          <w:lang w:val="ro-RO" w:eastAsia="ru-RU"/>
        </w:rPr>
        <w:t xml:space="preserve"> au</w:t>
      </w:r>
      <w:r w:rsidRPr="00E82CC1">
        <w:rPr>
          <w:rFonts w:asciiTheme="majorHAnsi" w:eastAsia="Times New Roman" w:hAnsiTheme="majorHAnsi" w:cstheme="majorHAnsi"/>
          <w:sz w:val="24"/>
          <w:szCs w:val="24"/>
          <w:lang w:val="ro-RO" w:eastAsia="ru-RU"/>
        </w:rPr>
        <w:t xml:space="preserve"> fost elaborat</w:t>
      </w:r>
      <w:r w:rsidR="00B2348F" w:rsidRPr="00E82CC1">
        <w:rPr>
          <w:rFonts w:asciiTheme="majorHAnsi" w:eastAsia="Times New Roman" w:hAnsiTheme="majorHAnsi" w:cstheme="majorHAnsi"/>
          <w:sz w:val="24"/>
          <w:szCs w:val="24"/>
          <w:lang w:val="ro-RO" w:eastAsia="ru-RU"/>
        </w:rPr>
        <w:t xml:space="preserve">e </w:t>
      </w:r>
      <w:r w:rsidRPr="00E82CC1">
        <w:rPr>
          <w:rFonts w:asciiTheme="majorHAnsi" w:eastAsia="Times New Roman" w:hAnsiTheme="majorHAnsi" w:cstheme="majorHAnsi"/>
          <w:sz w:val="24"/>
          <w:szCs w:val="24"/>
          <w:lang w:val="ro-RO" w:eastAsia="ru-RU"/>
        </w:rPr>
        <w:t>noi prevederi care vor reglementa clar modul de calculare a stagiului de cotizare exprimat în luni calendaristice, ce vor oferi instrumente de control al fluxurilor de documente, de organizare a politicilor decizionale, facilități de raportare etc.</w:t>
      </w:r>
    </w:p>
    <w:p w14:paraId="1196ECFE" w14:textId="39D3E61A" w:rsidR="00B21A26" w:rsidRPr="00E82CC1" w:rsidRDefault="00B21A26" w:rsidP="00B21A26">
      <w:pPr>
        <w:tabs>
          <w:tab w:val="left" w:pos="709"/>
          <w:tab w:val="left" w:pos="993"/>
          <w:tab w:val="left" w:pos="1276"/>
        </w:tabs>
        <w:spacing w:line="276" w:lineRule="auto"/>
        <w:jc w:val="both"/>
        <w:rPr>
          <w:rFonts w:asciiTheme="majorHAnsi" w:eastAsia="Times New Roman" w:hAnsiTheme="majorHAnsi" w:cstheme="majorHAnsi"/>
          <w:sz w:val="24"/>
          <w:szCs w:val="24"/>
          <w:lang w:val="ro-RO" w:eastAsia="ru-RU"/>
        </w:rPr>
      </w:pPr>
      <w:r w:rsidRPr="00E82CC1">
        <w:rPr>
          <w:rFonts w:asciiTheme="majorHAnsi" w:eastAsia="Times New Roman" w:hAnsiTheme="majorHAnsi" w:cstheme="majorHAnsi"/>
          <w:sz w:val="24"/>
          <w:szCs w:val="24"/>
          <w:lang w:val="ro-RO" w:eastAsia="ru-RU"/>
        </w:rPr>
        <w:t>Totodată, recomandările înaintate altor entități</w:t>
      </w:r>
      <w:r w:rsidR="00B2348F" w:rsidRPr="00E82CC1">
        <w:rPr>
          <w:rStyle w:val="a5"/>
          <w:rFonts w:asciiTheme="majorHAnsi" w:eastAsia="Times New Roman" w:hAnsiTheme="majorHAnsi" w:cstheme="majorHAnsi"/>
          <w:sz w:val="24"/>
          <w:szCs w:val="24"/>
          <w:lang w:val="ro-RO" w:eastAsia="ru-RU"/>
        </w:rPr>
        <w:footnoteReference w:id="26"/>
      </w:r>
      <w:r w:rsidR="00B80FC2" w:rsidRPr="00E82CC1">
        <w:rPr>
          <w:rFonts w:asciiTheme="majorHAnsi" w:eastAsia="Times New Roman" w:hAnsiTheme="majorHAnsi" w:cstheme="majorHAnsi"/>
          <w:sz w:val="24"/>
          <w:szCs w:val="24"/>
          <w:lang w:val="ro-RO" w:eastAsia="ru-RU"/>
        </w:rPr>
        <w:t xml:space="preserve"> nu au fost implementate</w:t>
      </w:r>
      <w:r w:rsidR="00AD042F">
        <w:rPr>
          <w:rFonts w:asciiTheme="majorHAnsi" w:eastAsia="Times New Roman" w:hAnsiTheme="majorHAnsi" w:cstheme="majorHAnsi"/>
          <w:sz w:val="24"/>
          <w:szCs w:val="24"/>
          <w:lang w:val="ro-RO" w:eastAsia="ru-RU"/>
        </w:rPr>
        <w:t>,</w:t>
      </w:r>
      <w:r w:rsidR="00B80FC2" w:rsidRPr="00E82CC1">
        <w:rPr>
          <w:rFonts w:asciiTheme="majorHAnsi" w:eastAsia="Times New Roman" w:hAnsiTheme="majorHAnsi" w:cstheme="majorHAnsi"/>
          <w:sz w:val="24"/>
          <w:szCs w:val="24"/>
          <w:lang w:val="ro-RO" w:eastAsia="ru-RU"/>
        </w:rPr>
        <w:t xml:space="preserve"> </w:t>
      </w:r>
      <w:r w:rsidRPr="00E82CC1">
        <w:rPr>
          <w:rFonts w:asciiTheme="majorHAnsi" w:eastAsia="Times New Roman" w:hAnsiTheme="majorHAnsi" w:cstheme="majorHAnsi"/>
          <w:sz w:val="24"/>
          <w:szCs w:val="24"/>
          <w:lang w:val="ro-RO" w:eastAsia="ru-RU"/>
        </w:rPr>
        <w:t xml:space="preserve">și anume nu a fost ajustat  Ordinul </w:t>
      </w:r>
      <w:r w:rsidR="00AD042F">
        <w:rPr>
          <w:rFonts w:asciiTheme="majorHAnsi" w:eastAsia="Times New Roman" w:hAnsiTheme="majorHAnsi" w:cstheme="majorHAnsi"/>
          <w:sz w:val="24"/>
          <w:szCs w:val="24"/>
          <w:lang w:val="ro-RO" w:eastAsia="ru-RU"/>
        </w:rPr>
        <w:t>m</w:t>
      </w:r>
      <w:r w:rsidRPr="00E82CC1">
        <w:rPr>
          <w:rFonts w:asciiTheme="majorHAnsi" w:eastAsia="Times New Roman" w:hAnsiTheme="majorHAnsi" w:cstheme="majorHAnsi"/>
          <w:sz w:val="24"/>
          <w:szCs w:val="24"/>
          <w:lang w:val="ro-RO" w:eastAsia="ru-RU"/>
        </w:rPr>
        <w:t>inistrului Afacerilor Interne nr.96 din 20.03.2018 „Cu privire la recunoașterea unor înlesniri pentru stabilirea pensiei anumitor categorii de funcționari publici cu statut special și militar din cadrul Ministerului Afacerilor Interne”, în corespundere cu Hotărârea Guvernului nr. 78 din 21.02.1994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 Astfe</w:t>
      </w:r>
      <w:r w:rsidR="00462491" w:rsidRPr="00E82CC1">
        <w:rPr>
          <w:rFonts w:asciiTheme="majorHAnsi" w:eastAsia="Times New Roman" w:hAnsiTheme="majorHAnsi" w:cstheme="majorHAnsi"/>
          <w:sz w:val="24"/>
          <w:szCs w:val="24"/>
          <w:lang w:val="ro-RO" w:eastAsia="ru-RU"/>
        </w:rPr>
        <w:t xml:space="preserve">l, neimplementarea recomandării </w:t>
      </w:r>
      <w:r w:rsidR="00B80FC2" w:rsidRPr="00E82CC1">
        <w:rPr>
          <w:rFonts w:ascii="Calibri Light" w:eastAsia="Times New Roman" w:hAnsi="Calibri Light" w:cs="Calibri Light"/>
          <w:color w:val="212121"/>
          <w:sz w:val="24"/>
          <w:szCs w:val="24"/>
          <w:lang w:val="ro-RO"/>
        </w:rPr>
        <w:t>determină</w:t>
      </w:r>
      <w:r w:rsidR="00B80FC2" w:rsidRPr="00E82CC1">
        <w:rPr>
          <w:rFonts w:asciiTheme="majorHAnsi" w:hAnsiTheme="majorHAnsi" w:cs="Calibri Light"/>
          <w:iCs/>
          <w:sz w:val="24"/>
          <w:szCs w:val="24"/>
          <w:lang w:val="ro-RO"/>
        </w:rPr>
        <w:t xml:space="preserve"> neconcordanțe în cadrul normativ ce reglementează acordarea înlesnirilor la calcularea vechimii în muncă angajaților cu activități în cadrul izolatoarelor de detenție provizorie din inspectoratele de poliție etc</w:t>
      </w:r>
      <w:r w:rsidR="00AD042F">
        <w:rPr>
          <w:rFonts w:asciiTheme="majorHAnsi" w:hAnsiTheme="majorHAnsi" w:cs="Calibri Light"/>
          <w:iCs/>
          <w:sz w:val="24"/>
          <w:szCs w:val="24"/>
          <w:lang w:val="ro-RO"/>
        </w:rPr>
        <w:t>.</w:t>
      </w:r>
      <w:r w:rsidR="00B80FC2" w:rsidRPr="00E82CC1">
        <w:rPr>
          <w:rFonts w:asciiTheme="majorHAnsi" w:hAnsiTheme="majorHAnsi" w:cs="Calibri Light"/>
          <w:iCs/>
          <w:sz w:val="24"/>
          <w:szCs w:val="24"/>
          <w:lang w:val="ro-RO"/>
        </w:rPr>
        <w:t xml:space="preserve"> și </w:t>
      </w:r>
      <w:r w:rsidRPr="00E82CC1">
        <w:rPr>
          <w:rFonts w:asciiTheme="majorHAnsi" w:eastAsia="Times New Roman" w:hAnsiTheme="majorHAnsi" w:cstheme="majorHAnsi"/>
          <w:sz w:val="24"/>
          <w:szCs w:val="24"/>
          <w:lang w:val="ro-RO" w:eastAsia="ru-RU"/>
        </w:rPr>
        <w:t>cauzează menținerea</w:t>
      </w:r>
      <w:r w:rsidR="00B80FC2" w:rsidRPr="00E82CC1">
        <w:rPr>
          <w:rFonts w:asciiTheme="majorHAnsi" w:eastAsia="Times New Roman" w:hAnsiTheme="majorHAnsi" w:cstheme="majorHAnsi"/>
          <w:sz w:val="24"/>
          <w:szCs w:val="24"/>
          <w:lang w:val="ro-RO" w:eastAsia="ru-RU"/>
        </w:rPr>
        <w:t xml:space="preserve"> în continuare a</w:t>
      </w:r>
      <w:r w:rsidRPr="00E82CC1">
        <w:rPr>
          <w:rFonts w:asciiTheme="majorHAnsi" w:eastAsia="Times New Roman" w:hAnsiTheme="majorHAnsi" w:cstheme="majorHAnsi"/>
          <w:sz w:val="24"/>
          <w:szCs w:val="24"/>
          <w:lang w:val="ro-RO" w:eastAsia="ru-RU"/>
        </w:rPr>
        <w:t xml:space="preserve"> litigiilor în instanțele de judecată</w:t>
      </w:r>
      <w:r w:rsidR="00B80FC2" w:rsidRPr="00E82CC1">
        <w:rPr>
          <w:rFonts w:asciiTheme="majorHAnsi" w:eastAsia="Times New Roman" w:hAnsiTheme="majorHAnsi" w:cstheme="majorHAnsi"/>
          <w:sz w:val="24"/>
          <w:szCs w:val="24"/>
          <w:lang w:val="ro-RO" w:eastAsia="ru-RU"/>
        </w:rPr>
        <w:t xml:space="preserve"> cu impact asupra executării indicatorilor BASS.</w:t>
      </w:r>
    </w:p>
    <w:p w14:paraId="660E94A7" w14:textId="33684B4B" w:rsidR="00B21A26" w:rsidRPr="00E82CC1" w:rsidRDefault="00B21A26" w:rsidP="00B21A26">
      <w:pPr>
        <w:tabs>
          <w:tab w:val="left" w:pos="709"/>
          <w:tab w:val="left" w:pos="993"/>
          <w:tab w:val="left" w:pos="1276"/>
        </w:tabs>
        <w:spacing w:line="276" w:lineRule="auto"/>
        <w:jc w:val="both"/>
        <w:rPr>
          <w:rFonts w:asciiTheme="majorHAnsi" w:eastAsia="Times New Roman" w:hAnsiTheme="majorHAnsi" w:cstheme="majorHAnsi"/>
          <w:sz w:val="24"/>
          <w:szCs w:val="24"/>
          <w:lang w:val="ro-RO" w:eastAsia="ru-RU"/>
        </w:rPr>
      </w:pPr>
      <w:r w:rsidRPr="00E82CC1">
        <w:rPr>
          <w:rFonts w:asciiTheme="majorHAnsi" w:hAnsiTheme="majorHAnsi" w:cstheme="majorHAnsi"/>
          <w:sz w:val="24"/>
          <w:szCs w:val="24"/>
          <w:lang w:val="ro-RO"/>
        </w:rPr>
        <w:t xml:space="preserve">În condițiile recomandărilor care au termen de executare până în iunie 2022, </w:t>
      </w:r>
      <w:r w:rsidR="00D36CC5" w:rsidRPr="00E82CC1">
        <w:rPr>
          <w:rFonts w:asciiTheme="majorHAnsi" w:hAnsiTheme="majorHAnsi" w:cstheme="majorHAnsi"/>
          <w:sz w:val="24"/>
          <w:szCs w:val="24"/>
          <w:lang w:val="ro-RO"/>
        </w:rPr>
        <w:t>s</w:t>
      </w:r>
      <w:r w:rsidR="00462491" w:rsidRPr="00E82CC1">
        <w:rPr>
          <w:rFonts w:asciiTheme="majorHAnsi" w:hAnsiTheme="majorHAnsi" w:cstheme="majorHAnsi"/>
          <w:sz w:val="24"/>
          <w:szCs w:val="24"/>
          <w:lang w:val="ro-RO"/>
        </w:rPr>
        <w:t xml:space="preserve">e denotă că </w:t>
      </w:r>
      <w:r w:rsidRPr="00E82CC1">
        <w:rPr>
          <w:rFonts w:asciiTheme="majorHAnsi" w:hAnsiTheme="majorHAnsi" w:cstheme="majorHAnsi"/>
          <w:sz w:val="24"/>
          <w:szCs w:val="24"/>
          <w:lang w:val="ro-RO"/>
        </w:rPr>
        <w:t xml:space="preserve">au fost întreprinse unele acțiuni de către Ministerul Finanțelor </w:t>
      </w:r>
      <w:r w:rsidR="00462491" w:rsidRPr="00E82CC1">
        <w:rPr>
          <w:rFonts w:asciiTheme="majorHAnsi" w:hAnsiTheme="majorHAnsi" w:cstheme="majorHAnsi"/>
          <w:sz w:val="24"/>
          <w:szCs w:val="24"/>
          <w:lang w:val="ro-RO"/>
        </w:rPr>
        <w:t>cu privire la</w:t>
      </w:r>
      <w:r w:rsidRPr="00E82CC1">
        <w:t xml:space="preserve"> </w:t>
      </w:r>
      <w:r w:rsidR="00462491" w:rsidRPr="00E82CC1">
        <w:rPr>
          <w:rFonts w:asciiTheme="majorHAnsi" w:hAnsiTheme="majorHAnsi" w:cstheme="majorHAnsi"/>
          <w:sz w:val="24"/>
          <w:szCs w:val="24"/>
          <w:lang w:val="ro-RO"/>
        </w:rPr>
        <w:t>ajustarea normelor ce contribuie la</w:t>
      </w:r>
      <w:r w:rsidRPr="00E82CC1">
        <w:rPr>
          <w:rFonts w:asciiTheme="majorHAnsi" w:hAnsiTheme="majorHAnsi" w:cstheme="majorHAnsi"/>
          <w:sz w:val="24"/>
          <w:szCs w:val="24"/>
          <w:lang w:val="ro-RO"/>
        </w:rPr>
        <w:t xml:space="preserve"> reflectarea completă a veniturilor ce v</w:t>
      </w:r>
      <w:r w:rsidR="00462491" w:rsidRPr="00E82CC1">
        <w:rPr>
          <w:rFonts w:asciiTheme="majorHAnsi" w:hAnsiTheme="majorHAnsi" w:cstheme="majorHAnsi"/>
          <w:sz w:val="24"/>
          <w:szCs w:val="24"/>
          <w:lang w:val="ro-RO"/>
        </w:rPr>
        <w:t>or</w:t>
      </w:r>
      <w:r w:rsidRPr="00E82CC1">
        <w:rPr>
          <w:rFonts w:asciiTheme="majorHAnsi" w:hAnsiTheme="majorHAnsi" w:cstheme="majorHAnsi"/>
          <w:sz w:val="24"/>
          <w:szCs w:val="24"/>
          <w:lang w:val="ro-RO"/>
        </w:rPr>
        <w:t xml:space="preserve"> oferi utilizatorilor o imagine de ansamblu asupra calculării, achitării creanțelor și datoriilor pe indicatori separați.</w:t>
      </w:r>
      <w:r w:rsidR="00462491" w:rsidRPr="00E82CC1">
        <w:rPr>
          <w:rFonts w:asciiTheme="majorHAnsi" w:hAnsiTheme="majorHAnsi" w:cstheme="majorHAnsi"/>
          <w:sz w:val="24"/>
          <w:szCs w:val="24"/>
          <w:lang w:val="ro-RO"/>
        </w:rPr>
        <w:t xml:space="preserve"> Cu referire la acțiunile realizate de Ministerul  Sănătății și Ministerul Muncii și Protecției Sociale, auditorii se vor expune după expirarea termenului de implementare a recomandărilor înaintate.</w:t>
      </w:r>
    </w:p>
    <w:p w14:paraId="5869B657" w14:textId="275DD646" w:rsidR="00B21A26" w:rsidRPr="00E82CC1" w:rsidRDefault="00B21A26" w:rsidP="00B21A26">
      <w:pPr>
        <w:jc w:val="both"/>
        <w:rPr>
          <w:rFonts w:asciiTheme="majorHAnsi" w:hAnsiTheme="majorHAnsi" w:cs="Calibri Light"/>
          <w:iCs/>
          <w:sz w:val="24"/>
          <w:szCs w:val="24"/>
          <w:lang w:val="ro-RO"/>
        </w:rPr>
      </w:pPr>
      <w:r w:rsidRPr="00E82CC1">
        <w:rPr>
          <w:rFonts w:asciiTheme="majorHAnsi" w:hAnsiTheme="majorHAnsi" w:cs="Calibri Light"/>
          <w:iCs/>
          <w:sz w:val="24"/>
          <w:szCs w:val="24"/>
          <w:lang w:val="ro-RO"/>
        </w:rPr>
        <w:t xml:space="preserve">O prezentare detaliată a nivelului de implementare a recomandărilor și </w:t>
      </w:r>
      <w:r w:rsidR="000E5E4C">
        <w:rPr>
          <w:rFonts w:asciiTheme="majorHAnsi" w:hAnsiTheme="majorHAnsi" w:cs="Calibri Light"/>
          <w:iCs/>
          <w:sz w:val="24"/>
          <w:szCs w:val="24"/>
          <w:lang w:val="ro-RO"/>
        </w:rPr>
        <w:t xml:space="preserve">a </w:t>
      </w:r>
      <w:r w:rsidRPr="00E82CC1">
        <w:rPr>
          <w:rFonts w:asciiTheme="majorHAnsi" w:hAnsiTheme="majorHAnsi" w:cs="Calibri Light"/>
          <w:iCs/>
          <w:sz w:val="24"/>
          <w:szCs w:val="24"/>
          <w:lang w:val="ro-RO"/>
        </w:rPr>
        <w:t>termenul</w:t>
      </w:r>
      <w:r w:rsidR="000E5E4C">
        <w:rPr>
          <w:rFonts w:asciiTheme="majorHAnsi" w:hAnsiTheme="majorHAnsi" w:cs="Calibri Light"/>
          <w:iCs/>
          <w:sz w:val="24"/>
          <w:szCs w:val="24"/>
          <w:lang w:val="ro-RO"/>
        </w:rPr>
        <w:t>ui</w:t>
      </w:r>
      <w:r w:rsidRPr="00E82CC1">
        <w:rPr>
          <w:rFonts w:asciiTheme="majorHAnsi" w:hAnsiTheme="majorHAnsi" w:cs="Calibri Light"/>
          <w:iCs/>
          <w:sz w:val="24"/>
          <w:szCs w:val="24"/>
          <w:lang w:val="ro-RO"/>
        </w:rPr>
        <w:t xml:space="preserve"> de punere în aplicare se conține în Anexa nr.</w:t>
      </w:r>
      <w:r w:rsidR="0017066D">
        <w:rPr>
          <w:rFonts w:asciiTheme="majorHAnsi" w:hAnsiTheme="majorHAnsi" w:cs="Calibri Light"/>
          <w:iCs/>
          <w:sz w:val="24"/>
          <w:szCs w:val="24"/>
          <w:lang w:val="ro-RO"/>
        </w:rPr>
        <w:t>14</w:t>
      </w:r>
      <w:r w:rsidR="00AB03FB" w:rsidRPr="00E82CC1">
        <w:rPr>
          <w:rFonts w:asciiTheme="majorHAnsi" w:hAnsiTheme="majorHAnsi" w:cs="Calibri Light"/>
          <w:iCs/>
          <w:sz w:val="24"/>
          <w:szCs w:val="24"/>
          <w:lang w:val="ro-RO"/>
        </w:rPr>
        <w:t xml:space="preserve"> </w:t>
      </w:r>
      <w:r w:rsidRPr="00E82CC1">
        <w:rPr>
          <w:rFonts w:asciiTheme="majorHAnsi" w:hAnsiTheme="majorHAnsi" w:cs="Calibri Light"/>
          <w:iCs/>
          <w:sz w:val="24"/>
          <w:szCs w:val="24"/>
          <w:lang w:val="ro-RO"/>
        </w:rPr>
        <w:t>la prezentul Raport de audit.</w:t>
      </w:r>
    </w:p>
    <w:p w14:paraId="49C3EB0A" w14:textId="2C75DE49" w:rsidR="009E1FA0" w:rsidRPr="00E82CC1" w:rsidRDefault="009E1FA0" w:rsidP="009E1FA0">
      <w:pPr>
        <w:pStyle w:val="2"/>
        <w:numPr>
          <w:ilvl w:val="1"/>
          <w:numId w:val="15"/>
        </w:numPr>
        <w:spacing w:line="276" w:lineRule="auto"/>
        <w:ind w:left="0" w:firstLine="0"/>
        <w:jc w:val="both"/>
        <w:rPr>
          <w:b/>
          <w:color w:val="auto"/>
          <w:sz w:val="24"/>
          <w:szCs w:val="24"/>
          <w:lang w:val="ro-RO"/>
        </w:rPr>
      </w:pPr>
      <w:r w:rsidRPr="00E82CC1">
        <w:rPr>
          <w:b/>
          <w:color w:val="auto"/>
          <w:sz w:val="24"/>
          <w:lang w:val="ro-RO"/>
        </w:rPr>
        <w:t>R</w:t>
      </w:r>
      <w:r w:rsidRPr="00E82CC1">
        <w:rPr>
          <w:b/>
          <w:color w:val="auto"/>
          <w:sz w:val="24"/>
          <w:szCs w:val="24"/>
          <w:lang w:val="ro-RO"/>
        </w:rPr>
        <w:t>aportul Guvernului privind executarea BASS furnizează date veridice ce vizează veniturile proprii în anul 2021, la capitolul contribuții de asigurări sociale de stat obligatorii virate de angajatori</w:t>
      </w:r>
      <w:r w:rsidR="00FA4451">
        <w:rPr>
          <w:b/>
          <w:color w:val="auto"/>
          <w:sz w:val="24"/>
          <w:szCs w:val="24"/>
          <w:lang w:val="ro-RO"/>
        </w:rPr>
        <w:t>.</w:t>
      </w:r>
    </w:p>
    <w:p w14:paraId="7C1CACEE" w14:textId="7E6DACA4" w:rsidR="009E1FA0" w:rsidRPr="00E82CC1" w:rsidRDefault="009E1FA0" w:rsidP="009E1FA0">
      <w:pPr>
        <w:spacing w:line="276" w:lineRule="auto"/>
        <w:jc w:val="both"/>
        <w:rPr>
          <w:rFonts w:asciiTheme="majorHAnsi" w:hAnsiTheme="majorHAnsi" w:cstheme="majorHAnsi"/>
          <w:color w:val="000000"/>
          <w:sz w:val="24"/>
          <w:szCs w:val="24"/>
          <w:lang w:val="ro-RO"/>
        </w:rPr>
      </w:pPr>
      <w:r w:rsidRPr="00E82CC1">
        <w:rPr>
          <w:rFonts w:asciiTheme="majorHAnsi" w:hAnsiTheme="majorHAnsi"/>
          <w:sz w:val="24"/>
          <w:szCs w:val="24"/>
          <w:lang w:val="ro-RO"/>
        </w:rPr>
        <w:t xml:space="preserve">O importanță deosebită pentru audit a prezentat-o partea de venituri a BASS, asupra căreia </w:t>
      </w:r>
      <w:r w:rsidR="00286CBF">
        <w:rPr>
          <w:rFonts w:asciiTheme="majorHAnsi" w:hAnsiTheme="majorHAnsi"/>
          <w:sz w:val="24"/>
          <w:szCs w:val="24"/>
          <w:lang w:val="ro-RO"/>
        </w:rPr>
        <w:t>se acordă</w:t>
      </w:r>
      <w:r w:rsidRPr="00E82CC1">
        <w:rPr>
          <w:rFonts w:asciiTheme="majorHAnsi" w:hAnsiTheme="majorHAnsi"/>
          <w:sz w:val="24"/>
          <w:szCs w:val="24"/>
          <w:lang w:val="ro-RO"/>
        </w:rPr>
        <w:t xml:space="preserve"> o atenție semnificativă/sporită din partea utilizatorilor rapoartelor. În perioada auditată, </w:t>
      </w:r>
      <w:r w:rsidRPr="00E82CC1">
        <w:rPr>
          <w:rFonts w:asciiTheme="majorHAnsi" w:hAnsiTheme="majorHAnsi" w:cstheme="majorHAnsi"/>
          <w:sz w:val="24"/>
          <w:szCs w:val="24"/>
          <w:lang w:val="ro-RO"/>
        </w:rPr>
        <w:t>potrivit prevederilor sistemul</w:t>
      </w:r>
      <w:r w:rsidR="00286CBF">
        <w:rPr>
          <w:rFonts w:asciiTheme="majorHAnsi" w:hAnsiTheme="majorHAnsi" w:cstheme="majorHAnsi"/>
          <w:sz w:val="24"/>
          <w:szCs w:val="24"/>
          <w:lang w:val="ro-RO"/>
        </w:rPr>
        <w:t>ui</w:t>
      </w:r>
      <w:r w:rsidRPr="00E82CC1">
        <w:rPr>
          <w:rFonts w:asciiTheme="majorHAnsi" w:hAnsiTheme="majorHAnsi" w:cstheme="majorHAnsi"/>
          <w:sz w:val="24"/>
          <w:szCs w:val="24"/>
          <w:lang w:val="ro-RO"/>
        </w:rPr>
        <w:t xml:space="preserve"> public de asigurări sociale</w:t>
      </w:r>
      <w:r w:rsidRPr="00E82CC1">
        <w:rPr>
          <w:rStyle w:val="a5"/>
          <w:rFonts w:asciiTheme="majorHAnsi" w:hAnsiTheme="majorHAnsi"/>
          <w:sz w:val="24"/>
          <w:szCs w:val="24"/>
          <w:lang w:val="ro-RO"/>
        </w:rPr>
        <w:footnoteReference w:id="27"/>
      </w:r>
      <w:r w:rsidRPr="00E82CC1">
        <w:rPr>
          <w:rFonts w:asciiTheme="majorHAnsi" w:hAnsiTheme="majorHAnsi" w:cstheme="majorHAnsi"/>
          <w:sz w:val="24"/>
          <w:szCs w:val="24"/>
          <w:lang w:val="ro-RO"/>
        </w:rPr>
        <w:t xml:space="preserve">, pentru angajați a fost anulată obligația privind achitarea contribuției individuale de asigurări sociale din plățile salariale calculate, începând cu luna ianuarie 2021. Astfel, plătitori de contribuții la bugetul asigurărilor sociale de stat sunt doar angajatorii. Prin urmare, ponderea contribuțiilor de asigurări sociale de stat obligatorii virate de angajatori în sumă de 16 017,7 mil.lei reprezintă 98,73 % în totalul contribuțiilor de asigurări sociale (16 223,9 mil. lei) și, respectiv, 58,8% </w:t>
      </w:r>
      <w:r w:rsidR="00286CBF">
        <w:rPr>
          <w:rFonts w:asciiTheme="majorHAnsi" w:hAnsiTheme="majorHAnsi" w:cstheme="majorHAnsi"/>
          <w:sz w:val="24"/>
          <w:szCs w:val="24"/>
          <w:lang w:val="ro-RO"/>
        </w:rPr>
        <w:t>di</w:t>
      </w:r>
      <w:r w:rsidRPr="00E82CC1">
        <w:rPr>
          <w:rFonts w:asciiTheme="majorHAnsi" w:hAnsiTheme="majorHAnsi" w:cstheme="majorHAnsi"/>
          <w:sz w:val="24"/>
          <w:szCs w:val="24"/>
          <w:lang w:val="ro-RO"/>
        </w:rPr>
        <w:t>n totalul veniturilor BASS (27 246,8 mil. lei).</w:t>
      </w:r>
    </w:p>
    <w:p w14:paraId="73231F8B" w14:textId="7D57B85A" w:rsidR="009E1FA0" w:rsidRPr="00E82CC1" w:rsidRDefault="009E1FA0" w:rsidP="009E1FA0">
      <w:pPr>
        <w:spacing w:before="240" w:line="276" w:lineRule="auto"/>
        <w:jc w:val="both"/>
        <w:rPr>
          <w:rFonts w:asciiTheme="majorHAnsi" w:hAnsiTheme="majorHAnsi"/>
          <w:sz w:val="24"/>
          <w:szCs w:val="24"/>
          <w:lang w:val="ro-RO"/>
        </w:rPr>
      </w:pPr>
      <w:r w:rsidRPr="00E82CC1">
        <w:rPr>
          <w:rFonts w:asciiTheme="majorHAnsi" w:hAnsiTheme="majorHAnsi"/>
          <w:sz w:val="24"/>
          <w:szCs w:val="24"/>
          <w:lang w:val="ro-RO"/>
        </w:rPr>
        <w:t>Reieșind din prevederile normelor legale, atribuțiile de colectare a contribuțiilor de asigurări sociale de stat obligatorii și de urmărire a datoriilor la BASS revin Serviciului Fiscal de Stat. În aceste condiții, auditarea veniturilor a constat în expunerea asupra înregistrării și raportării de către CNAS a indicatorilor de venituri. În urma contrapunerii datelor din evidența contabilă a CNAS cu cele din documentele primare, inclusiv emise de Ministerul Finanțelor – Trezoreria de Stat</w:t>
      </w:r>
      <w:r w:rsidRPr="00E82CC1">
        <w:rPr>
          <w:rStyle w:val="a5"/>
          <w:rFonts w:asciiTheme="majorHAnsi" w:hAnsiTheme="majorHAnsi" w:cstheme="majorHAnsi"/>
          <w:sz w:val="24"/>
          <w:szCs w:val="24"/>
          <w:lang w:val="ro-RO"/>
        </w:rPr>
        <w:footnoteReference w:id="28"/>
      </w:r>
      <w:r w:rsidRPr="00E82CC1">
        <w:rPr>
          <w:rFonts w:asciiTheme="majorHAnsi" w:hAnsiTheme="majorHAnsi"/>
          <w:sz w:val="24"/>
          <w:szCs w:val="24"/>
          <w:lang w:val="ro-RO"/>
        </w:rPr>
        <w:t xml:space="preserve">, precum și din Rapoartele privind executarea BASS, nu au fost stabilite divergențe ale valorii contribuțiilor de asigurări sociale de stat obligatorii virate de angajatori. </w:t>
      </w:r>
    </w:p>
    <w:p w14:paraId="257E05B8" w14:textId="48C29CE3" w:rsidR="009E1FA0" w:rsidRPr="006F0332" w:rsidRDefault="009E1FA0" w:rsidP="009A66FB">
      <w:pPr>
        <w:spacing w:line="276" w:lineRule="auto"/>
        <w:jc w:val="both"/>
        <w:rPr>
          <w:rFonts w:asciiTheme="majorHAnsi" w:hAnsiTheme="majorHAnsi" w:cstheme="majorHAnsi"/>
          <w:b/>
          <w:sz w:val="32"/>
          <w:szCs w:val="32"/>
          <w:lang w:val="ro-RO"/>
        </w:rPr>
      </w:pPr>
      <w:r w:rsidRPr="00E82CC1">
        <w:rPr>
          <w:rFonts w:asciiTheme="majorHAnsi" w:hAnsiTheme="majorHAnsi"/>
          <w:sz w:val="24"/>
          <w:szCs w:val="24"/>
          <w:lang w:val="ro-RO"/>
        </w:rPr>
        <w:t>M</w:t>
      </w:r>
      <w:r w:rsidRPr="00E82CC1">
        <w:rPr>
          <w:rFonts w:asciiTheme="majorHAnsi" w:hAnsiTheme="majorHAnsi" w:cstheme="majorHAnsi"/>
          <w:sz w:val="24"/>
          <w:szCs w:val="24"/>
          <w:lang w:val="ro-RO"/>
        </w:rPr>
        <w:t xml:space="preserve">odificarea normelor de </w:t>
      </w:r>
      <w:r w:rsidRPr="00E318A2">
        <w:rPr>
          <w:rFonts w:asciiTheme="majorHAnsi" w:hAnsiTheme="majorHAnsi" w:cstheme="majorHAnsi"/>
          <w:sz w:val="24"/>
          <w:szCs w:val="24"/>
          <w:lang w:val="ro-RO"/>
        </w:rPr>
        <w:t>evidență și prezentare</w:t>
      </w:r>
      <w:r w:rsidR="006D7922" w:rsidRPr="00E318A2">
        <w:rPr>
          <w:rFonts w:asciiTheme="majorHAnsi" w:hAnsiTheme="majorHAnsi" w:cstheme="majorHAnsi"/>
          <w:sz w:val="24"/>
          <w:szCs w:val="24"/>
          <w:lang w:val="ro-RO"/>
        </w:rPr>
        <w:t xml:space="preserve"> </w:t>
      </w:r>
      <w:r w:rsidRPr="00E318A2">
        <w:rPr>
          <w:rFonts w:asciiTheme="majorHAnsi" w:hAnsiTheme="majorHAnsi" w:cstheme="majorHAnsi"/>
          <w:sz w:val="24"/>
          <w:szCs w:val="24"/>
          <w:lang w:val="ro-RO"/>
        </w:rPr>
        <w:t>a veniturilor în Rapoartele privind executarea BASS (Formularul 4.2) redă valoa</w:t>
      </w:r>
      <w:r w:rsidRPr="00E82CC1">
        <w:rPr>
          <w:rFonts w:asciiTheme="majorHAnsi" w:hAnsiTheme="majorHAnsi" w:cstheme="majorHAnsi"/>
          <w:sz w:val="24"/>
          <w:szCs w:val="24"/>
          <w:lang w:val="ro-RO"/>
        </w:rPr>
        <w:t xml:space="preserve">rea contribuțiilor calculate și suma datoriilor formate la finele perioadei de gestiune. </w:t>
      </w:r>
      <w:r w:rsidRPr="00046B6A">
        <w:rPr>
          <w:rFonts w:asciiTheme="majorHAnsi" w:hAnsiTheme="majorHAnsi" w:cstheme="majorHAnsi"/>
          <w:sz w:val="24"/>
          <w:szCs w:val="24"/>
          <w:lang w:val="ro-RO"/>
        </w:rPr>
        <w:t>Astfel, implementarea recomandărilor înaintate de Curtea de Conturi în anul precedent a determinat asigurarea unei imagini de ansamblu privind calcularea</w:t>
      </w:r>
      <w:r w:rsidR="006D7922"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 xml:space="preserve"> achitarea, creanțele și datoriile pe indicatori separați</w:t>
      </w:r>
      <w:r w:rsidR="003842FA" w:rsidRPr="00046B6A">
        <w:rPr>
          <w:rFonts w:asciiTheme="majorHAnsi" w:hAnsiTheme="majorHAnsi" w:cstheme="majorHAnsi"/>
          <w:sz w:val="24"/>
          <w:szCs w:val="24"/>
          <w:lang w:val="ro-RO"/>
        </w:rPr>
        <w:t xml:space="preserve"> (Anexa nr.1)</w:t>
      </w:r>
      <w:r w:rsidRPr="00046B6A">
        <w:rPr>
          <w:rFonts w:asciiTheme="majorHAnsi" w:hAnsiTheme="majorHAnsi" w:cstheme="majorHAnsi"/>
          <w:sz w:val="24"/>
          <w:szCs w:val="24"/>
          <w:lang w:val="ro-RO"/>
        </w:rPr>
        <w:t xml:space="preserve">. </w:t>
      </w:r>
      <w:r w:rsidRPr="00046B6A">
        <w:rPr>
          <w:rFonts w:asciiTheme="majorHAnsi" w:hAnsiTheme="majorHAnsi"/>
          <w:sz w:val="24"/>
          <w:lang w:val="ro-RO"/>
        </w:rPr>
        <w:t xml:space="preserve">Totodată, </w:t>
      </w:r>
      <w:r w:rsidR="006D7922" w:rsidRPr="00046B6A">
        <w:rPr>
          <w:rFonts w:asciiTheme="majorHAnsi" w:hAnsiTheme="majorHAnsi"/>
          <w:sz w:val="24"/>
          <w:lang w:val="ro-RO"/>
        </w:rPr>
        <w:t>în urma</w:t>
      </w:r>
      <w:r w:rsidRPr="00046B6A">
        <w:rPr>
          <w:rFonts w:asciiTheme="majorHAnsi" w:hAnsiTheme="majorHAnsi"/>
          <w:sz w:val="24"/>
          <w:lang w:val="ro-RO"/>
        </w:rPr>
        <w:t xml:space="preserve"> reconcilierii datelor deținute de CNAS cu cele furnizate de Serviciul Fiscal de Stat la capitolul solduri ale sumelor datorate la BASS</w:t>
      </w:r>
      <w:r w:rsidR="006D7922" w:rsidRPr="00046B6A">
        <w:rPr>
          <w:rFonts w:asciiTheme="majorHAnsi" w:hAnsiTheme="majorHAnsi"/>
          <w:sz w:val="24"/>
          <w:lang w:val="ro-RO"/>
        </w:rPr>
        <w:t>,</w:t>
      </w:r>
      <w:r w:rsidRPr="00046B6A">
        <w:rPr>
          <w:rFonts w:asciiTheme="majorHAnsi" w:hAnsiTheme="majorHAnsi"/>
          <w:sz w:val="24"/>
          <w:lang w:val="ro-RO"/>
        </w:rPr>
        <w:t xml:space="preserve"> înregistrate la 31 decembrie 2021, nu au fost stabilit diferențe. D</w:t>
      </w:r>
      <w:r w:rsidRPr="00046B6A">
        <w:rPr>
          <w:rFonts w:asciiTheme="majorHAnsi" w:hAnsiTheme="majorHAnsi" w:cstheme="majorHAnsi"/>
          <w:sz w:val="24"/>
          <w:szCs w:val="24"/>
          <w:lang w:val="ro-RO"/>
        </w:rPr>
        <w:t>in suma totală a veniturilor, 1 877,9 mil. lei constituie contribuțiile de asigurări sociale de stat pentru luna decembrie 2021, al căror termen de achitare este luna ianuarie 2022.</w:t>
      </w:r>
      <w:r w:rsidR="006F0332" w:rsidRPr="00046B6A">
        <w:rPr>
          <w:rFonts w:asciiTheme="majorHAnsi" w:hAnsiTheme="majorHAnsi" w:cstheme="majorHAnsi"/>
          <w:sz w:val="24"/>
          <w:szCs w:val="24"/>
          <w:lang w:val="ro-RO"/>
        </w:rPr>
        <w:t xml:space="preserve"> </w:t>
      </w:r>
      <w:r w:rsidR="006F0332" w:rsidRPr="00046B6A">
        <w:rPr>
          <w:rFonts w:asciiTheme="majorHAnsi" w:hAnsiTheme="majorHAnsi"/>
          <w:sz w:val="24"/>
          <w:lang w:val="ro-RO"/>
        </w:rPr>
        <w:t>Cu referire la restanțele bugetului în anul 2021, se relevă că</w:t>
      </w:r>
      <w:r w:rsidR="00561466" w:rsidRPr="00046B6A">
        <w:rPr>
          <w:rFonts w:asciiTheme="majorHAnsi" w:hAnsiTheme="majorHAnsi"/>
          <w:sz w:val="24"/>
          <w:lang w:val="ro-RO"/>
        </w:rPr>
        <w:t>,</w:t>
      </w:r>
      <w:r w:rsidR="006F0332" w:rsidRPr="00046B6A">
        <w:rPr>
          <w:rFonts w:asciiTheme="majorHAnsi" w:hAnsiTheme="majorHAnsi"/>
          <w:sz w:val="24"/>
          <w:lang w:val="ro-RO"/>
        </w:rPr>
        <w:t xml:space="preserve"> la finele perioadei de gestiune</w:t>
      </w:r>
      <w:r w:rsidR="00561466" w:rsidRPr="00046B6A">
        <w:rPr>
          <w:rFonts w:asciiTheme="majorHAnsi" w:hAnsiTheme="majorHAnsi"/>
          <w:sz w:val="24"/>
          <w:lang w:val="ro-RO"/>
        </w:rPr>
        <w:t>, acestea</w:t>
      </w:r>
      <w:r w:rsidR="006F0332" w:rsidRPr="00046B6A">
        <w:rPr>
          <w:rFonts w:asciiTheme="majorHAnsi" w:hAnsiTheme="majorHAnsi"/>
          <w:sz w:val="24"/>
          <w:lang w:val="ro-RO"/>
        </w:rPr>
        <w:t xml:space="preserve"> au constituit 369,9 mil. lei, fiind în diminuare cu </w:t>
      </w:r>
      <w:r w:rsidR="003842FA" w:rsidRPr="00046B6A">
        <w:rPr>
          <w:rFonts w:asciiTheme="majorHAnsi" w:hAnsiTheme="majorHAnsi"/>
          <w:sz w:val="24"/>
          <w:lang w:val="ro-RO"/>
        </w:rPr>
        <w:t>9,3</w:t>
      </w:r>
      <w:r w:rsidR="006F0332" w:rsidRPr="00046B6A">
        <w:rPr>
          <w:rFonts w:asciiTheme="majorHAnsi" w:hAnsiTheme="majorHAnsi"/>
          <w:sz w:val="24"/>
          <w:lang w:val="ro-RO"/>
        </w:rPr>
        <w:t>% față de anul precedent (408,2 mil. lei).</w:t>
      </w:r>
    </w:p>
    <w:p w14:paraId="2E7DF793" w14:textId="7B53694A" w:rsidR="009E1FA0" w:rsidRPr="00E82CC1" w:rsidRDefault="009E1FA0" w:rsidP="009E1FA0">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Cu referire la înregistrarea în evidență a veniturilor BASS, se denotă că conturile aplicate de către CNAS sunt diferite de codurile clasificației economice, procesul de raportare fiind unul complicat, care obligă transpunerea repetată a indicatorilor BASS. CNAS transpune de două ori conturile de evidență a contribuțiilor, odată la înregistrarea lor în evidența contabilă (de la Clasificația economică la conturile contabile proprii) și ulterior la raportarea executării BASS (de la conturile proprii la Clasificația bugetară), ceea ce îngreunează specificul acestui buget și poate influența acuratețea întocmirii Rapoartelor privind executarea BASS.</w:t>
      </w:r>
    </w:p>
    <w:p w14:paraId="6A85021E" w14:textId="242EB261" w:rsidR="00010189" w:rsidRPr="00E82CC1" w:rsidRDefault="00010189" w:rsidP="00010189">
      <w:pPr>
        <w:pStyle w:val="2"/>
        <w:numPr>
          <w:ilvl w:val="1"/>
          <w:numId w:val="15"/>
        </w:numPr>
        <w:spacing w:after="240"/>
        <w:ind w:left="0" w:firstLine="0"/>
        <w:jc w:val="both"/>
        <w:rPr>
          <w:rFonts w:eastAsiaTheme="minorHAnsi" w:cstheme="majorHAnsi"/>
          <w:b/>
          <w:bCs/>
          <w:color w:val="auto"/>
          <w:sz w:val="24"/>
          <w:szCs w:val="24"/>
          <w:lang w:val="ro-RO" w:eastAsia="ru-RU"/>
        </w:rPr>
      </w:pPr>
      <w:r w:rsidRPr="00E82CC1">
        <w:rPr>
          <w:rFonts w:eastAsiaTheme="minorHAnsi" w:cstheme="majorHAnsi"/>
          <w:b/>
          <w:bCs/>
          <w:color w:val="auto"/>
          <w:sz w:val="24"/>
          <w:szCs w:val="24"/>
          <w:lang w:val="ro-RO" w:eastAsia="ru-RU"/>
        </w:rPr>
        <w:t>Pensiile pentru limită de vârstă au fost stabilite conform cadrului legal. Totodată, recepționarea cu întârziere a informațiilor privind decesul beneficiarilor determină cheltuieli nejustificate estimate la 1,39 mil. lei.</w:t>
      </w:r>
    </w:p>
    <w:p w14:paraId="0BAF22ED" w14:textId="5D90DF71" w:rsidR="00010189" w:rsidRPr="00E82CC1" w:rsidRDefault="00010189" w:rsidP="00010189">
      <w:pPr>
        <w:shd w:val="clear" w:color="auto" w:fill="FFFFFF" w:themeFill="background1"/>
        <w:spacing w:line="276" w:lineRule="auto"/>
        <w:jc w:val="both"/>
        <w:rPr>
          <w:rFonts w:asciiTheme="majorHAnsi" w:eastAsia="Calibri" w:hAnsiTheme="majorHAnsi" w:cstheme="majorHAnsi"/>
          <w:sz w:val="24"/>
          <w:szCs w:val="24"/>
          <w:lang w:val="ro-RO"/>
        </w:rPr>
      </w:pPr>
      <w:r w:rsidRPr="00E82CC1">
        <w:rPr>
          <w:rFonts w:asciiTheme="majorHAnsi" w:eastAsia="Calibri" w:hAnsiTheme="majorHAnsi" w:cstheme="majorHAnsi"/>
          <w:sz w:val="24"/>
          <w:szCs w:val="24"/>
          <w:lang w:val="ro-RO"/>
        </w:rPr>
        <w:t xml:space="preserve">În anul 2021, cheltuielile privind plata pensiilor pentru limită de vârstă au constituit </w:t>
      </w:r>
      <w:r w:rsidRPr="00E82CC1">
        <w:rPr>
          <w:rFonts w:asciiTheme="majorHAnsi" w:hAnsiTheme="majorHAnsi" w:cstheme="majorHAnsi"/>
          <w:sz w:val="24"/>
          <w:szCs w:val="24"/>
          <w:lang w:val="ro-RO"/>
        </w:rPr>
        <w:t>13 058,2 mil. lei</w:t>
      </w:r>
      <w:r w:rsidRPr="00E82CC1">
        <w:rPr>
          <w:rFonts w:asciiTheme="majorHAnsi" w:eastAsia="Calibri" w:hAnsiTheme="majorHAnsi" w:cstheme="majorHAnsi"/>
          <w:sz w:val="24"/>
          <w:szCs w:val="24"/>
          <w:lang w:val="ro-RO"/>
        </w:rPr>
        <w:t>, ceea ce reprezintă 66,5% din totalul cheltuielilor privind prestațiile sociale. Comparativ cu anul precedent, aceste cheltuieli s-au majorat cu 1 565,7 mil. lei, sau cu 12%, ca rezultat al indexări</w:t>
      </w:r>
      <w:r w:rsidR="006D7922">
        <w:rPr>
          <w:rFonts w:asciiTheme="majorHAnsi" w:eastAsia="Calibri" w:hAnsiTheme="majorHAnsi" w:cstheme="majorHAnsi"/>
          <w:sz w:val="24"/>
          <w:szCs w:val="24"/>
          <w:lang w:val="ro-RO"/>
        </w:rPr>
        <w:t>lor</w:t>
      </w:r>
      <w:r w:rsidRPr="00E82CC1">
        <w:rPr>
          <w:rFonts w:asciiTheme="majorHAnsi" w:eastAsia="Calibri" w:hAnsiTheme="majorHAnsi" w:cstheme="majorHAnsi"/>
          <w:sz w:val="24"/>
          <w:szCs w:val="24"/>
          <w:lang w:val="ro-RO"/>
        </w:rPr>
        <w:t xml:space="preserve"> de la 1 aprilie</w:t>
      </w:r>
      <w:r w:rsidRPr="00E82CC1">
        <w:rPr>
          <w:rFonts w:asciiTheme="majorHAnsi" w:eastAsia="Calibri" w:hAnsiTheme="majorHAnsi" w:cstheme="majorHAnsi"/>
          <w:sz w:val="24"/>
          <w:szCs w:val="24"/>
          <w:vertAlign w:val="superscript"/>
          <w:lang w:val="ro-RO"/>
        </w:rPr>
        <w:footnoteReference w:id="29"/>
      </w:r>
      <w:r w:rsidRPr="00E82CC1">
        <w:rPr>
          <w:rFonts w:asciiTheme="majorHAnsi" w:eastAsia="Calibri" w:hAnsiTheme="majorHAnsi" w:cstheme="majorHAnsi"/>
          <w:sz w:val="24"/>
          <w:szCs w:val="24"/>
          <w:lang w:val="ro-RO"/>
        </w:rPr>
        <w:t xml:space="preserve"> și 1 octombrie</w:t>
      </w:r>
      <w:r w:rsidRPr="00E82CC1">
        <w:rPr>
          <w:rStyle w:val="a5"/>
          <w:rFonts w:asciiTheme="majorHAnsi" w:eastAsia="Calibri" w:hAnsiTheme="majorHAnsi" w:cstheme="majorHAnsi"/>
          <w:sz w:val="24"/>
          <w:szCs w:val="24"/>
          <w:lang w:val="ro-RO"/>
        </w:rPr>
        <w:footnoteReference w:id="30"/>
      </w:r>
      <w:r w:rsidRPr="00E82CC1">
        <w:rPr>
          <w:rFonts w:asciiTheme="majorHAnsi" w:eastAsia="Calibri" w:hAnsiTheme="majorHAnsi" w:cstheme="majorHAnsi"/>
          <w:sz w:val="24"/>
          <w:szCs w:val="24"/>
          <w:lang w:val="ro-RO"/>
        </w:rPr>
        <w:t>, precum și al reexaminărilor</w:t>
      </w:r>
      <w:r w:rsidRPr="00E82CC1">
        <w:rPr>
          <w:rStyle w:val="a5"/>
          <w:rFonts w:asciiTheme="majorHAnsi" w:eastAsia="Calibri" w:hAnsiTheme="majorHAnsi" w:cstheme="majorHAnsi"/>
          <w:sz w:val="24"/>
          <w:szCs w:val="24"/>
          <w:lang w:val="ro-RO"/>
        </w:rPr>
        <w:footnoteReference w:id="31"/>
      </w:r>
      <w:r w:rsidRPr="00E82CC1">
        <w:rPr>
          <w:rFonts w:asciiTheme="majorHAnsi" w:eastAsia="Calibri" w:hAnsiTheme="majorHAnsi" w:cstheme="majorHAnsi"/>
          <w:sz w:val="24"/>
          <w:szCs w:val="24"/>
          <w:lang w:val="ro-RO"/>
        </w:rPr>
        <w:t xml:space="preserve">.  </w:t>
      </w:r>
    </w:p>
    <w:p w14:paraId="58DB9265" w14:textId="2A2C2630" w:rsidR="00010189" w:rsidRPr="00E82CC1" w:rsidRDefault="00010189" w:rsidP="00010189">
      <w:pPr>
        <w:shd w:val="clear" w:color="auto" w:fill="FFFFFF" w:themeFill="background1"/>
        <w:spacing w:line="276" w:lineRule="auto"/>
        <w:jc w:val="both"/>
        <w:rPr>
          <w:rFonts w:asciiTheme="majorHAnsi" w:hAnsiTheme="majorHAnsi" w:cstheme="majorHAnsi"/>
          <w:color w:val="000000" w:themeColor="text1"/>
          <w:sz w:val="24"/>
          <w:szCs w:val="24"/>
          <w:shd w:val="clear" w:color="auto" w:fill="FFFFFF"/>
          <w:lang w:val="ro-RO"/>
        </w:rPr>
      </w:pPr>
      <w:r w:rsidRPr="00046B6A">
        <w:rPr>
          <w:rFonts w:asciiTheme="majorHAnsi" w:hAnsiTheme="majorHAnsi" w:cstheme="majorHAnsi"/>
          <w:sz w:val="24"/>
          <w:szCs w:val="24"/>
          <w:shd w:val="clear" w:color="auto" w:fill="FFFFFF"/>
          <w:lang w:val="ro-RO"/>
        </w:rPr>
        <w:t>Din 1 aprilie cuantumul pensiei minime pentru limită de vârstă a constituit 1 188</w:t>
      </w:r>
      <w:r w:rsidR="00711BBF" w:rsidRPr="00046B6A">
        <w:rPr>
          <w:rFonts w:asciiTheme="majorHAnsi" w:hAnsiTheme="majorHAnsi" w:cstheme="majorHAnsi"/>
          <w:sz w:val="24"/>
          <w:szCs w:val="24"/>
          <w:shd w:val="clear" w:color="auto" w:fill="FFFFFF"/>
          <w:lang w:val="ro-RO"/>
        </w:rPr>
        <w:t>,</w:t>
      </w:r>
      <w:r w:rsidRPr="00046B6A">
        <w:rPr>
          <w:rFonts w:asciiTheme="majorHAnsi" w:hAnsiTheme="majorHAnsi" w:cstheme="majorHAnsi"/>
          <w:sz w:val="24"/>
          <w:szCs w:val="24"/>
          <w:shd w:val="clear" w:color="auto" w:fill="FFFFFF"/>
          <w:lang w:val="ro-RO"/>
        </w:rPr>
        <w:t>05 lei</w:t>
      </w:r>
      <w:r w:rsidR="00711BBF" w:rsidRPr="00046B6A">
        <w:rPr>
          <w:rFonts w:asciiTheme="majorHAnsi" w:hAnsiTheme="majorHAnsi" w:cstheme="majorHAnsi"/>
          <w:sz w:val="24"/>
          <w:szCs w:val="24"/>
          <w:shd w:val="clear" w:color="auto" w:fill="FFFFFF"/>
          <w:lang w:val="ro-RO"/>
        </w:rPr>
        <w:t>,</w:t>
      </w:r>
      <w:r w:rsidRPr="00046B6A">
        <w:rPr>
          <w:rFonts w:asciiTheme="majorHAnsi" w:hAnsiTheme="majorHAnsi" w:cstheme="majorHAnsi"/>
          <w:color w:val="000000" w:themeColor="text1"/>
          <w:sz w:val="24"/>
          <w:szCs w:val="24"/>
          <w:shd w:val="clear" w:color="auto" w:fill="FFFFFF"/>
          <w:lang w:val="ro-RO"/>
        </w:rPr>
        <w:t xml:space="preserve"> iar </w:t>
      </w:r>
      <w:r w:rsidR="00711BBF" w:rsidRPr="00046B6A">
        <w:rPr>
          <w:rFonts w:asciiTheme="majorHAnsi" w:hAnsiTheme="majorHAnsi" w:cstheme="majorHAnsi"/>
          <w:color w:val="000000" w:themeColor="text1"/>
          <w:sz w:val="24"/>
          <w:szCs w:val="24"/>
          <w:shd w:val="clear" w:color="auto" w:fill="FFFFFF"/>
          <w:lang w:val="ro-RO"/>
        </w:rPr>
        <w:t xml:space="preserve">de </w:t>
      </w:r>
      <w:r w:rsidRPr="00046B6A">
        <w:rPr>
          <w:rFonts w:asciiTheme="majorHAnsi" w:hAnsiTheme="majorHAnsi" w:cstheme="majorHAnsi"/>
          <w:color w:val="000000" w:themeColor="text1"/>
          <w:sz w:val="24"/>
          <w:szCs w:val="24"/>
          <w:shd w:val="clear" w:color="auto" w:fill="FFFFFF"/>
          <w:lang w:val="ro-RO"/>
        </w:rPr>
        <w:t>la 1 octombrie 2021, conform Hotărârii Guvernului nr.162/2021, cuantumul pensiei minime pentru limită de vârstă a constituit 2</w:t>
      </w:r>
      <w:r w:rsidR="00711BBF" w:rsidRPr="00046B6A">
        <w:rPr>
          <w:rFonts w:asciiTheme="majorHAnsi" w:hAnsiTheme="majorHAnsi" w:cstheme="majorHAnsi"/>
          <w:color w:val="000000" w:themeColor="text1"/>
          <w:sz w:val="24"/>
          <w:szCs w:val="24"/>
          <w:shd w:val="clear" w:color="auto" w:fill="FFFFFF"/>
          <w:lang w:val="ro-RO"/>
        </w:rPr>
        <w:t xml:space="preserve"> </w:t>
      </w:r>
      <w:r w:rsidRPr="00046B6A">
        <w:rPr>
          <w:rFonts w:asciiTheme="majorHAnsi" w:hAnsiTheme="majorHAnsi" w:cstheme="majorHAnsi"/>
          <w:color w:val="000000" w:themeColor="text1"/>
          <w:sz w:val="24"/>
          <w:szCs w:val="24"/>
          <w:shd w:val="clear" w:color="auto" w:fill="FFFFFF"/>
          <w:lang w:val="ro-RO"/>
        </w:rPr>
        <w:t xml:space="preserve">000 lei. </w:t>
      </w:r>
      <w:r w:rsidR="00711BBF" w:rsidRPr="00046B6A">
        <w:rPr>
          <w:rFonts w:asciiTheme="majorHAnsi" w:hAnsiTheme="majorHAnsi" w:cstheme="majorHAnsi"/>
          <w:color w:val="000000" w:themeColor="text1"/>
          <w:sz w:val="24"/>
          <w:szCs w:val="24"/>
          <w:shd w:val="clear" w:color="auto" w:fill="FFFFFF"/>
          <w:lang w:val="ro-RO"/>
        </w:rPr>
        <w:t xml:space="preserve">Astfel, peste 663 mii de pensii au fost indexate cu 3,89%. </w:t>
      </w:r>
      <w:r w:rsidRPr="00046B6A">
        <w:rPr>
          <w:rFonts w:asciiTheme="majorHAnsi" w:hAnsiTheme="majorHAnsi" w:cstheme="majorHAnsi"/>
          <w:color w:val="000000" w:themeColor="text1"/>
          <w:sz w:val="24"/>
          <w:szCs w:val="24"/>
          <w:shd w:val="clear" w:color="auto" w:fill="FFFFFF"/>
          <w:lang w:val="ro-RO"/>
        </w:rPr>
        <w:t xml:space="preserve">Din </w:t>
      </w:r>
      <w:r w:rsidR="00711BBF" w:rsidRPr="00046B6A">
        <w:rPr>
          <w:rFonts w:asciiTheme="majorHAnsi" w:hAnsiTheme="majorHAnsi" w:cstheme="majorHAnsi"/>
          <w:color w:val="000000" w:themeColor="text1"/>
          <w:sz w:val="24"/>
          <w:szCs w:val="24"/>
          <w:shd w:val="clear" w:color="auto" w:fill="FFFFFF"/>
          <w:lang w:val="ro-RO"/>
        </w:rPr>
        <w:t>1 octombrie 2021</w:t>
      </w:r>
      <w:r w:rsidRPr="00046B6A">
        <w:rPr>
          <w:rFonts w:asciiTheme="majorHAnsi" w:hAnsiTheme="majorHAnsi" w:cstheme="majorHAnsi"/>
          <w:color w:val="000000" w:themeColor="text1"/>
          <w:sz w:val="24"/>
          <w:szCs w:val="24"/>
          <w:shd w:val="clear" w:color="auto" w:fill="FFFFFF"/>
          <w:lang w:val="ro-RO"/>
        </w:rPr>
        <w:t>, 181 mii de pensionari cu stagiu complet de cotizare, care primeau pensie pentru limită de vârstă mai mică de 2</w:t>
      </w:r>
      <w:r w:rsidR="00711BBF" w:rsidRPr="00046B6A">
        <w:rPr>
          <w:rFonts w:asciiTheme="majorHAnsi" w:hAnsiTheme="majorHAnsi" w:cstheme="majorHAnsi"/>
          <w:color w:val="000000" w:themeColor="text1"/>
          <w:sz w:val="24"/>
          <w:szCs w:val="24"/>
          <w:shd w:val="clear" w:color="auto" w:fill="FFFFFF"/>
          <w:lang w:val="ro-RO"/>
        </w:rPr>
        <w:t xml:space="preserve"> </w:t>
      </w:r>
      <w:r w:rsidRPr="00046B6A">
        <w:rPr>
          <w:rFonts w:asciiTheme="majorHAnsi" w:hAnsiTheme="majorHAnsi" w:cstheme="majorHAnsi"/>
          <w:color w:val="000000" w:themeColor="text1"/>
          <w:sz w:val="24"/>
          <w:szCs w:val="24"/>
          <w:shd w:val="clear" w:color="auto" w:fill="FFFFFF"/>
          <w:lang w:val="ro-RO"/>
        </w:rPr>
        <w:t>000 lei, beneficiază de o pensie minimă de 2</w:t>
      </w:r>
      <w:r w:rsidR="00711BBF" w:rsidRPr="00046B6A">
        <w:rPr>
          <w:rFonts w:asciiTheme="majorHAnsi" w:hAnsiTheme="majorHAnsi" w:cstheme="majorHAnsi"/>
          <w:color w:val="000000" w:themeColor="text1"/>
          <w:sz w:val="24"/>
          <w:szCs w:val="24"/>
          <w:shd w:val="clear" w:color="auto" w:fill="FFFFFF"/>
          <w:lang w:val="ro-RO"/>
        </w:rPr>
        <w:t xml:space="preserve"> </w:t>
      </w:r>
      <w:r w:rsidRPr="00046B6A">
        <w:rPr>
          <w:rFonts w:asciiTheme="majorHAnsi" w:hAnsiTheme="majorHAnsi" w:cstheme="majorHAnsi"/>
          <w:color w:val="000000" w:themeColor="text1"/>
          <w:sz w:val="24"/>
          <w:szCs w:val="24"/>
          <w:shd w:val="clear" w:color="auto" w:fill="FFFFFF"/>
          <w:lang w:val="ro-RO"/>
        </w:rPr>
        <w:t xml:space="preserve">000 de lei lunar, iar 121 mii de pensionari cu un stagiu incomplet de cotizare beneficiază de o creștere a pensiei minime pentru limită de vârstă proporțional stagiului de cotizare realizat la momentul stabilirii pensiei, pensiile </w:t>
      </w:r>
      <w:r w:rsidR="00711BBF" w:rsidRPr="00046B6A">
        <w:rPr>
          <w:rFonts w:asciiTheme="majorHAnsi" w:hAnsiTheme="majorHAnsi" w:cstheme="majorHAnsi"/>
          <w:color w:val="000000" w:themeColor="text1"/>
          <w:sz w:val="24"/>
          <w:szCs w:val="24"/>
          <w:shd w:val="clear" w:color="auto" w:fill="FFFFFF"/>
          <w:lang w:val="ro-RO"/>
        </w:rPr>
        <w:t>fiind</w:t>
      </w:r>
      <w:r w:rsidRPr="00046B6A">
        <w:rPr>
          <w:rFonts w:asciiTheme="majorHAnsi" w:hAnsiTheme="majorHAnsi" w:cstheme="majorHAnsi"/>
          <w:color w:val="000000" w:themeColor="text1"/>
          <w:sz w:val="24"/>
          <w:szCs w:val="24"/>
          <w:shd w:val="clear" w:color="auto" w:fill="FFFFFF"/>
          <w:lang w:val="ro-RO"/>
        </w:rPr>
        <w:t xml:space="preserve"> indexate cu 3,86%.</w:t>
      </w:r>
    </w:p>
    <w:p w14:paraId="7A8C24A6" w14:textId="7992829C" w:rsidR="00010189" w:rsidRPr="00E82CC1" w:rsidRDefault="00010189" w:rsidP="00010189">
      <w:pPr>
        <w:shd w:val="clear" w:color="auto" w:fill="FFFFFF" w:themeFill="background1"/>
        <w:spacing w:line="276" w:lineRule="auto"/>
        <w:jc w:val="both"/>
        <w:rPr>
          <w:rFonts w:asciiTheme="majorHAnsi" w:hAnsiTheme="majorHAnsi" w:cstheme="majorHAnsi"/>
          <w:color w:val="000000" w:themeColor="text1"/>
          <w:sz w:val="24"/>
          <w:szCs w:val="24"/>
          <w:shd w:val="clear" w:color="auto" w:fill="FFFFFF"/>
          <w:lang w:val="ro-RO"/>
        </w:rPr>
      </w:pPr>
      <w:r w:rsidRPr="00E82CC1">
        <w:rPr>
          <w:rFonts w:asciiTheme="majorHAnsi" w:eastAsia="Times New Roman" w:hAnsiTheme="majorHAnsi" w:cstheme="majorHAnsi"/>
          <w:sz w:val="24"/>
          <w:szCs w:val="24"/>
          <w:lang w:val="ro-RO"/>
        </w:rPr>
        <w:t>Reexaminarea pensiilor pentru limită de vârstă, stabilite până la 1 ianuarie 2019, s</w:t>
      </w:r>
      <w:r w:rsidR="00711BBF">
        <w:rPr>
          <w:rFonts w:asciiTheme="majorHAnsi" w:eastAsia="Times New Roman" w:hAnsiTheme="majorHAnsi" w:cstheme="majorHAnsi"/>
          <w:sz w:val="24"/>
          <w:szCs w:val="24"/>
          <w:lang w:val="ro-RO"/>
        </w:rPr>
        <w:t>-</w:t>
      </w:r>
      <w:r w:rsidRPr="00E82CC1">
        <w:rPr>
          <w:rFonts w:asciiTheme="majorHAnsi" w:eastAsia="Times New Roman" w:hAnsiTheme="majorHAnsi" w:cstheme="majorHAnsi"/>
          <w:sz w:val="24"/>
          <w:szCs w:val="24"/>
          <w:lang w:val="ro-RO"/>
        </w:rPr>
        <w:t xml:space="preserve">a efectuat în raport cu stagiul de cotizare cumulat după realizarea dreptului la pensie pentru limită de vârstă. Pentru  a beneficia de pensia pentru limită de vârstă, solicitantul trebuie să atingă vârsta standard de pensionare și să contribuie la sistemul public de pensii o anumită perioadă de timp. </w:t>
      </w:r>
      <w:r w:rsidRPr="00E82CC1">
        <w:rPr>
          <w:rFonts w:asciiTheme="majorHAnsi" w:eastAsia="Times New Roman" w:hAnsiTheme="majorHAnsi" w:cstheme="majorHAnsi"/>
          <w:color w:val="000000" w:themeColor="text1"/>
          <w:sz w:val="24"/>
          <w:szCs w:val="24"/>
          <w:lang w:val="ro-RO"/>
        </w:rPr>
        <w:t>Menționăm că în anul 2021 pentru 18</w:t>
      </w:r>
      <w:r w:rsidR="00711BBF">
        <w:rPr>
          <w:rFonts w:asciiTheme="majorHAnsi" w:eastAsia="Times New Roman" w:hAnsiTheme="majorHAnsi" w:cstheme="majorHAnsi"/>
          <w:color w:val="000000" w:themeColor="text1"/>
          <w:sz w:val="24"/>
          <w:szCs w:val="24"/>
          <w:lang w:val="ro-RO"/>
        </w:rPr>
        <w:t xml:space="preserve"> </w:t>
      </w:r>
      <w:r w:rsidRPr="00E82CC1">
        <w:rPr>
          <w:rFonts w:asciiTheme="majorHAnsi" w:eastAsia="Times New Roman" w:hAnsiTheme="majorHAnsi" w:cstheme="majorHAnsi"/>
          <w:color w:val="000000" w:themeColor="text1"/>
          <w:sz w:val="24"/>
          <w:szCs w:val="24"/>
          <w:lang w:val="ro-RO"/>
        </w:rPr>
        <w:t xml:space="preserve">401 </w:t>
      </w:r>
      <w:r w:rsidR="00711BBF">
        <w:rPr>
          <w:rFonts w:asciiTheme="majorHAnsi" w:eastAsia="Times New Roman" w:hAnsiTheme="majorHAnsi" w:cstheme="majorHAnsi"/>
          <w:color w:val="000000" w:themeColor="text1"/>
          <w:sz w:val="24"/>
          <w:szCs w:val="24"/>
          <w:lang w:val="ro-RO"/>
        </w:rPr>
        <w:t xml:space="preserve">de </w:t>
      </w:r>
      <w:r w:rsidRPr="00E82CC1">
        <w:rPr>
          <w:rFonts w:asciiTheme="majorHAnsi" w:eastAsia="Times New Roman" w:hAnsiTheme="majorHAnsi" w:cstheme="majorHAnsi"/>
          <w:color w:val="000000" w:themeColor="text1"/>
          <w:sz w:val="24"/>
          <w:szCs w:val="24"/>
          <w:lang w:val="ro-RO"/>
        </w:rPr>
        <w:t>pensionari, cu pensia stabilită după 1 ianuarie 1999, cu un stagiu de cotizare după realizarea dreptului la pensie pentru limită de vârstă de la 7 până la 10 ani, au obținut majorarea pensiei după ce au solicitat reexaminarea ei.</w:t>
      </w:r>
    </w:p>
    <w:p w14:paraId="6D66ED16" w14:textId="7AC1CFD5" w:rsidR="00010189" w:rsidRPr="00E82CC1" w:rsidRDefault="00010189" w:rsidP="00010189">
      <w:pPr>
        <w:shd w:val="clear" w:color="auto" w:fill="FFFFFF" w:themeFill="background1"/>
        <w:spacing w:line="276" w:lineRule="auto"/>
        <w:jc w:val="both"/>
        <w:rPr>
          <w:rFonts w:asciiTheme="majorHAnsi" w:hAnsiTheme="majorHAnsi" w:cstheme="majorHAnsi"/>
          <w:sz w:val="24"/>
          <w:szCs w:val="24"/>
          <w:lang w:val="ro-RO"/>
        </w:rPr>
      </w:pPr>
      <w:r w:rsidRPr="00E82CC1">
        <w:rPr>
          <w:rFonts w:asciiTheme="majorHAnsi" w:eastAsia="Calibri" w:hAnsiTheme="majorHAnsi" w:cstheme="majorHAnsi"/>
          <w:sz w:val="24"/>
          <w:szCs w:val="24"/>
          <w:lang w:val="ro-RO"/>
        </w:rPr>
        <w:t>Cu referire la corectitudinea calcul</w:t>
      </w:r>
      <w:r w:rsidR="00711BBF">
        <w:rPr>
          <w:rFonts w:asciiTheme="majorHAnsi" w:eastAsia="Calibri" w:hAnsiTheme="majorHAnsi" w:cstheme="majorHAnsi"/>
          <w:sz w:val="24"/>
          <w:szCs w:val="24"/>
          <w:lang w:val="ro-RO"/>
        </w:rPr>
        <w:t>ării</w:t>
      </w:r>
      <w:r w:rsidRPr="00E82CC1">
        <w:rPr>
          <w:rFonts w:asciiTheme="majorHAnsi" w:eastAsia="Calibri" w:hAnsiTheme="majorHAnsi" w:cstheme="majorHAnsi"/>
          <w:sz w:val="24"/>
          <w:szCs w:val="24"/>
          <w:lang w:val="ro-RO"/>
        </w:rPr>
        <w:t xml:space="preserve"> pensiilor, se relevă că Sistemul Informațional </w:t>
      </w:r>
      <w:r w:rsidRPr="00E82CC1">
        <w:rPr>
          <w:rFonts w:asciiTheme="majorHAnsi" w:hAnsiTheme="majorHAnsi" w:cstheme="majorHAnsi"/>
          <w:sz w:val="24"/>
          <w:szCs w:val="24"/>
          <w:lang w:val="ro-RO"/>
        </w:rPr>
        <w:t>„Protecția Socială”</w:t>
      </w:r>
      <w:r w:rsidRPr="00E82CC1">
        <w:rPr>
          <w:rFonts w:asciiTheme="majorHAnsi" w:eastAsia="Calibri" w:hAnsiTheme="majorHAnsi" w:cstheme="majorHAnsi"/>
          <w:sz w:val="24"/>
          <w:szCs w:val="24"/>
          <w:lang w:val="ro-RO"/>
        </w:rPr>
        <w:t xml:space="preserve"> generează și efectuează calculele reieșind din datele introduse de specialiști la stabilirea/recalcularea pensiilor.</w:t>
      </w:r>
      <w:r w:rsidRPr="00E82CC1">
        <w:rPr>
          <w:rFonts w:asciiTheme="majorHAnsi" w:hAnsiTheme="majorHAnsi" w:cstheme="majorHAnsi"/>
          <w:sz w:val="24"/>
          <w:szCs w:val="24"/>
          <w:lang w:val="ro-RO"/>
        </w:rPr>
        <w:t xml:space="preserve"> Astfel, s-a confirmat corectitudinea înregistrării datelor în SI, ca urmare a contrapunerii datelor cu documentele anexate la dosarul beneficiarului, nefiind constatate divergențe în exactitatea calculelor. De asemenea, l</w:t>
      </w:r>
      <w:r w:rsidRPr="00E82CC1">
        <w:rPr>
          <w:rFonts w:asciiTheme="majorHAnsi" w:eastAsia="Calibri" w:hAnsiTheme="majorHAnsi" w:cstheme="majorHAnsi"/>
          <w:sz w:val="24"/>
          <w:szCs w:val="24"/>
          <w:lang w:val="ro-RO"/>
        </w:rPr>
        <w:t xml:space="preserve">a verificarea regularității stabilirii/recalculării pensiilor pentru limită de vârstă și </w:t>
      </w:r>
      <w:r w:rsidRPr="00E82CC1">
        <w:rPr>
          <w:rFonts w:asciiTheme="majorHAnsi" w:hAnsiTheme="majorHAnsi" w:cstheme="majorHAnsi"/>
          <w:sz w:val="24"/>
          <w:szCs w:val="24"/>
          <w:lang w:val="ro-RO"/>
        </w:rPr>
        <w:t>de dizabilitate, precum și a înregistrării/raportării cheltuielilor aferente nu s-au stabilit e</w:t>
      </w:r>
      <w:r w:rsidRPr="00E82CC1">
        <w:rPr>
          <w:rFonts w:asciiTheme="majorHAnsi" w:eastAsia="Calibri" w:hAnsiTheme="majorHAnsi" w:cstheme="majorHAnsi"/>
          <w:sz w:val="24"/>
          <w:szCs w:val="24"/>
          <w:lang w:val="ro-RO"/>
        </w:rPr>
        <w:t>rori. C</w:t>
      </w:r>
      <w:r w:rsidRPr="00E82CC1">
        <w:rPr>
          <w:rFonts w:asciiTheme="majorHAnsi" w:hAnsiTheme="majorHAnsi" w:cstheme="majorHAnsi"/>
          <w:sz w:val="24"/>
          <w:szCs w:val="24"/>
          <w:lang w:val="ro-RO"/>
        </w:rPr>
        <w:t xml:space="preserve">u privire la corectitudinea și plenitudinea datelor înregistrate în evidența contabilă, auditul nu a constatat divergențe, sumele fiind reflectate în perioada corespunzătoare </w:t>
      </w:r>
      <w:r w:rsidRPr="00E82CC1">
        <w:rPr>
          <w:rFonts w:asciiTheme="majorHAnsi" w:eastAsia="Calibri" w:hAnsiTheme="majorHAnsi" w:cstheme="majorHAnsi"/>
          <w:sz w:val="24"/>
          <w:szCs w:val="24"/>
          <w:lang w:val="ro-RO"/>
        </w:rPr>
        <w:t>pe elementele componente</w:t>
      </w:r>
      <w:r w:rsidRPr="00E82CC1">
        <w:rPr>
          <w:rFonts w:asciiTheme="majorHAnsi" w:eastAsia="Calibri" w:hAnsiTheme="majorHAnsi" w:cstheme="majorHAnsi"/>
          <w:sz w:val="24"/>
          <w:szCs w:val="24"/>
          <w:lang w:val="ro-RO" w:eastAsia="ro-RO"/>
        </w:rPr>
        <w:t xml:space="preserve"> (</w:t>
      </w:r>
      <w:r w:rsidRPr="00E82CC1">
        <w:rPr>
          <w:rFonts w:asciiTheme="majorHAnsi" w:eastAsia="Times New Roman" w:hAnsiTheme="majorHAnsi" w:cstheme="majorHAnsi"/>
          <w:sz w:val="24"/>
          <w:szCs w:val="24"/>
          <w:lang w:val="ro-RO"/>
        </w:rPr>
        <w:t>pentru acoperirea diferenței până la pensia minimă, aferente perioadelor necontributive incluse în stagiul de cotizare),</w:t>
      </w:r>
      <w:r w:rsidRPr="00E82CC1">
        <w:rPr>
          <w:rFonts w:asciiTheme="majorHAnsi" w:eastAsia="Calibri" w:hAnsiTheme="majorHAnsi" w:cstheme="majorHAnsi"/>
          <w:sz w:val="24"/>
          <w:szCs w:val="24"/>
          <w:lang w:val="ro-RO" w:eastAsia="ro-RO"/>
        </w:rPr>
        <w:t xml:space="preserve"> înregistrate separat în conturile prevăzute în acest sens</w:t>
      </w:r>
      <w:r w:rsidRPr="00E82CC1">
        <w:rPr>
          <w:rFonts w:asciiTheme="majorHAnsi" w:hAnsiTheme="majorHAnsi" w:cstheme="majorHAnsi"/>
          <w:sz w:val="24"/>
          <w:szCs w:val="24"/>
          <w:lang w:val="ro-RO"/>
        </w:rPr>
        <w:t xml:space="preserve"> și în funcție de sursa de finanțare (BASS/BS). </w:t>
      </w:r>
    </w:p>
    <w:p w14:paraId="5BA72149" w14:textId="083B220B" w:rsidR="00D662BD" w:rsidRPr="00E82CC1" w:rsidRDefault="00010189" w:rsidP="004C5F9F">
      <w:pPr>
        <w:spacing w:line="276" w:lineRule="auto"/>
        <w:jc w:val="both"/>
        <w:rPr>
          <w:rFonts w:asciiTheme="majorHAnsi" w:eastAsia="Times New Roman" w:hAnsiTheme="majorHAnsi" w:cstheme="majorHAnsi"/>
          <w:color w:val="000000"/>
          <w:sz w:val="24"/>
          <w:szCs w:val="24"/>
        </w:rPr>
      </w:pPr>
      <w:r w:rsidRPr="00E82CC1">
        <w:rPr>
          <w:rFonts w:asciiTheme="majorHAnsi" w:eastAsia="Times New Roman" w:hAnsiTheme="majorHAnsi" w:cstheme="majorHAnsi"/>
          <w:color w:val="000000"/>
          <w:sz w:val="24"/>
          <w:szCs w:val="24"/>
          <w:lang w:val="ro-RO"/>
        </w:rPr>
        <w:t xml:space="preserve">Totodată, pe parcursul auditului au fost reexaminate 3 pensii ale beneficiarilor care au avut dreptul de trecerea de la un tip de pensie la altul. </w:t>
      </w:r>
      <w:r w:rsidR="00941A43">
        <w:rPr>
          <w:rFonts w:asciiTheme="majorHAnsi" w:eastAsia="Times New Roman" w:hAnsiTheme="majorHAnsi" w:cstheme="majorHAnsi"/>
          <w:color w:val="000000"/>
          <w:sz w:val="24"/>
          <w:szCs w:val="24"/>
          <w:lang w:val="ro-RO"/>
        </w:rPr>
        <w:t>Ca</w:t>
      </w:r>
      <w:r w:rsidR="00D662BD" w:rsidRPr="00E82CC1">
        <w:rPr>
          <w:rFonts w:asciiTheme="majorHAnsi" w:eastAsia="Times New Roman" w:hAnsiTheme="majorHAnsi" w:cstheme="majorHAnsi"/>
          <w:color w:val="000000"/>
          <w:sz w:val="24"/>
          <w:szCs w:val="24"/>
          <w:lang w:val="ro-RO"/>
        </w:rPr>
        <w:t xml:space="preserve"> rezultat</w:t>
      </w:r>
      <w:r w:rsidR="00941A43">
        <w:rPr>
          <w:rFonts w:asciiTheme="majorHAnsi" w:eastAsia="Times New Roman" w:hAnsiTheme="majorHAnsi" w:cstheme="majorHAnsi"/>
          <w:color w:val="000000"/>
          <w:sz w:val="24"/>
          <w:szCs w:val="24"/>
          <w:lang w:val="ro-RO"/>
        </w:rPr>
        <w:t xml:space="preserve">  a</w:t>
      </w:r>
      <w:r w:rsidR="00D662BD" w:rsidRPr="00E82CC1">
        <w:rPr>
          <w:rFonts w:asciiTheme="majorHAnsi" w:eastAsia="Times New Roman" w:hAnsiTheme="majorHAnsi" w:cstheme="majorHAnsi"/>
          <w:color w:val="000000"/>
          <w:sz w:val="24"/>
          <w:szCs w:val="24"/>
          <w:lang w:val="ro-RO"/>
        </w:rPr>
        <w:t xml:space="preserve">l auditului, pensia lunară a fost majorată la un beneficiar cu </w:t>
      </w:r>
      <w:r w:rsidR="00D36C3C">
        <w:rPr>
          <w:rFonts w:asciiTheme="majorHAnsi" w:eastAsia="Times New Roman" w:hAnsiTheme="majorHAnsi" w:cstheme="majorHAnsi"/>
          <w:color w:val="000000"/>
          <w:sz w:val="24"/>
          <w:szCs w:val="24"/>
          <w:lang w:val="ro-RO"/>
        </w:rPr>
        <w:t>509,81</w:t>
      </w:r>
      <w:r w:rsidR="00D662BD" w:rsidRPr="00E82CC1">
        <w:rPr>
          <w:rFonts w:asciiTheme="majorHAnsi" w:eastAsia="Times New Roman" w:hAnsiTheme="majorHAnsi" w:cstheme="majorHAnsi"/>
          <w:color w:val="000000"/>
          <w:sz w:val="24"/>
          <w:szCs w:val="24"/>
          <w:lang w:val="ro-RO"/>
        </w:rPr>
        <w:t xml:space="preserve"> lei, </w:t>
      </w:r>
      <w:r w:rsidR="00941A43">
        <w:rPr>
          <w:rFonts w:asciiTheme="majorHAnsi" w:eastAsia="Times New Roman" w:hAnsiTheme="majorHAnsi" w:cstheme="majorHAnsi"/>
          <w:color w:val="000000"/>
          <w:sz w:val="24"/>
          <w:szCs w:val="24"/>
          <w:lang w:val="ro-RO"/>
        </w:rPr>
        <w:t xml:space="preserve">la </w:t>
      </w:r>
      <w:r w:rsidR="00D662BD" w:rsidRPr="00E82CC1">
        <w:rPr>
          <w:rFonts w:asciiTheme="majorHAnsi" w:eastAsia="Times New Roman" w:hAnsiTheme="majorHAnsi" w:cstheme="majorHAnsi"/>
          <w:color w:val="000000"/>
          <w:sz w:val="24"/>
          <w:szCs w:val="24"/>
          <w:lang w:val="ro-RO"/>
        </w:rPr>
        <w:t xml:space="preserve">al doilea cu </w:t>
      </w:r>
      <w:r w:rsidR="00D36C3C">
        <w:rPr>
          <w:rFonts w:asciiTheme="majorHAnsi" w:eastAsia="Times New Roman" w:hAnsiTheme="majorHAnsi" w:cstheme="majorHAnsi"/>
          <w:color w:val="000000"/>
          <w:sz w:val="24"/>
          <w:szCs w:val="24"/>
          <w:lang w:val="ro-RO"/>
        </w:rPr>
        <w:t>672,22</w:t>
      </w:r>
      <w:r w:rsidR="00D662BD" w:rsidRPr="00E82CC1">
        <w:rPr>
          <w:rFonts w:asciiTheme="majorHAnsi" w:eastAsia="Times New Roman" w:hAnsiTheme="majorHAnsi" w:cstheme="majorHAnsi"/>
          <w:color w:val="000000"/>
          <w:sz w:val="24"/>
          <w:szCs w:val="24"/>
          <w:lang w:val="ro-RO"/>
        </w:rPr>
        <w:t xml:space="preserve"> lei și</w:t>
      </w:r>
      <w:r w:rsidR="00941A43">
        <w:rPr>
          <w:rFonts w:asciiTheme="majorHAnsi" w:eastAsia="Times New Roman" w:hAnsiTheme="majorHAnsi" w:cstheme="majorHAnsi"/>
          <w:color w:val="000000"/>
          <w:sz w:val="24"/>
          <w:szCs w:val="24"/>
          <w:lang w:val="ro-RO"/>
        </w:rPr>
        <w:t>,</w:t>
      </w:r>
      <w:r w:rsidR="00D662BD" w:rsidRPr="00E82CC1">
        <w:rPr>
          <w:rFonts w:asciiTheme="majorHAnsi" w:eastAsia="Times New Roman" w:hAnsiTheme="majorHAnsi" w:cstheme="majorHAnsi"/>
          <w:color w:val="000000"/>
          <w:sz w:val="24"/>
          <w:szCs w:val="24"/>
          <w:lang w:val="ro-RO"/>
        </w:rPr>
        <w:t xml:space="preserve"> respectiv</w:t>
      </w:r>
      <w:r w:rsidR="00941A43">
        <w:rPr>
          <w:rFonts w:asciiTheme="majorHAnsi" w:eastAsia="Times New Roman" w:hAnsiTheme="majorHAnsi" w:cstheme="majorHAnsi"/>
          <w:color w:val="000000"/>
          <w:sz w:val="24"/>
          <w:szCs w:val="24"/>
          <w:lang w:val="ro-RO"/>
        </w:rPr>
        <w:t>,</w:t>
      </w:r>
      <w:r w:rsidR="00D662BD" w:rsidRPr="00E82CC1">
        <w:rPr>
          <w:rFonts w:asciiTheme="majorHAnsi" w:eastAsia="Times New Roman" w:hAnsiTheme="majorHAnsi" w:cstheme="majorHAnsi"/>
          <w:color w:val="000000"/>
          <w:sz w:val="24"/>
          <w:szCs w:val="24"/>
          <w:lang w:val="ro-RO"/>
        </w:rPr>
        <w:t xml:space="preserve"> </w:t>
      </w:r>
      <w:r w:rsidR="00941A43">
        <w:rPr>
          <w:rFonts w:asciiTheme="majorHAnsi" w:eastAsia="Times New Roman" w:hAnsiTheme="majorHAnsi" w:cstheme="majorHAnsi"/>
          <w:color w:val="000000"/>
          <w:sz w:val="24"/>
          <w:szCs w:val="24"/>
          <w:lang w:val="ro-RO"/>
        </w:rPr>
        <w:t xml:space="preserve">la </w:t>
      </w:r>
      <w:r w:rsidR="00D662BD" w:rsidRPr="00E82CC1">
        <w:rPr>
          <w:rFonts w:asciiTheme="majorHAnsi" w:eastAsia="Times New Roman" w:hAnsiTheme="majorHAnsi" w:cstheme="majorHAnsi"/>
          <w:color w:val="000000"/>
          <w:sz w:val="24"/>
          <w:szCs w:val="24"/>
          <w:lang w:val="ro-RO"/>
        </w:rPr>
        <w:t>al treilea cu 1 689,08 lei.</w:t>
      </w:r>
    </w:p>
    <w:p w14:paraId="4843B83E" w14:textId="253D1ADD" w:rsidR="000A58E9" w:rsidRPr="00E82CC1" w:rsidRDefault="00010189" w:rsidP="004C5F9F">
      <w:pPr>
        <w:spacing w:line="276"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Astfel,</w:t>
      </w:r>
      <w:r w:rsidR="000A58E9" w:rsidRPr="00E82CC1">
        <w:rPr>
          <w:rFonts w:asciiTheme="majorHAnsi" w:eastAsia="Times New Roman" w:hAnsiTheme="majorHAnsi" w:cstheme="majorHAnsi"/>
          <w:color w:val="000000"/>
          <w:sz w:val="24"/>
          <w:szCs w:val="24"/>
          <w:lang w:val="ro-RO"/>
        </w:rPr>
        <w:t xml:space="preserve"> deși CNAS </w:t>
      </w:r>
      <w:r w:rsidR="000A58E9" w:rsidRPr="00E82CC1">
        <w:rPr>
          <w:rFonts w:asciiTheme="majorHAnsi" w:eastAsia="Times New Roman" w:hAnsiTheme="majorHAnsi" w:cstheme="majorHAnsi"/>
          <w:color w:val="000000"/>
          <w:sz w:val="24"/>
          <w:szCs w:val="24"/>
          <w:lang w:val="ro-MD"/>
        </w:rPr>
        <w:t>a</w:t>
      </w:r>
      <w:r w:rsidR="000A58E9" w:rsidRPr="00E82CC1">
        <w:rPr>
          <w:rFonts w:asciiTheme="majorHAnsi" w:eastAsia="Times New Roman" w:hAnsiTheme="majorHAnsi" w:cstheme="majorHAnsi"/>
          <w:color w:val="000000"/>
          <w:sz w:val="24"/>
          <w:szCs w:val="24"/>
          <w:lang w:val="ro-RO"/>
        </w:rPr>
        <w:t xml:space="preserve"> </w:t>
      </w:r>
      <w:r w:rsidR="0054619C" w:rsidRPr="00E82CC1">
        <w:rPr>
          <w:rFonts w:asciiTheme="majorHAnsi" w:eastAsia="Times New Roman" w:hAnsiTheme="majorHAnsi" w:cstheme="majorHAnsi"/>
          <w:color w:val="000000"/>
          <w:sz w:val="24"/>
          <w:szCs w:val="24"/>
          <w:lang w:val="ro-RO"/>
        </w:rPr>
        <w:t>identificat persoanele</w:t>
      </w:r>
      <w:r w:rsidR="000A58E9" w:rsidRPr="00E82CC1">
        <w:rPr>
          <w:rFonts w:asciiTheme="majorHAnsi" w:eastAsia="Times New Roman" w:hAnsiTheme="majorHAnsi" w:cstheme="majorHAnsi"/>
          <w:color w:val="000000"/>
          <w:sz w:val="24"/>
          <w:szCs w:val="24"/>
          <w:lang w:val="ro-RO"/>
        </w:rPr>
        <w:t xml:space="preserve"> beneficiare de pensie de dizabilitate</w:t>
      </w:r>
      <w:r w:rsidR="00DB54E9" w:rsidRPr="00E82CC1">
        <w:rPr>
          <w:rStyle w:val="a5"/>
          <w:rFonts w:asciiTheme="majorHAnsi" w:eastAsia="Times New Roman" w:hAnsiTheme="majorHAnsi" w:cstheme="majorHAnsi"/>
          <w:color w:val="000000"/>
          <w:sz w:val="24"/>
          <w:szCs w:val="24"/>
          <w:lang w:val="ro-RO"/>
        </w:rPr>
        <w:footnoteReference w:id="32"/>
      </w:r>
      <w:r w:rsidR="000A58E9" w:rsidRPr="00E82CC1">
        <w:rPr>
          <w:rFonts w:asciiTheme="majorHAnsi" w:eastAsia="Times New Roman" w:hAnsiTheme="majorHAnsi" w:cstheme="majorHAnsi"/>
          <w:color w:val="000000"/>
          <w:sz w:val="24"/>
          <w:szCs w:val="24"/>
          <w:lang w:val="ro-RO"/>
        </w:rPr>
        <w:t xml:space="preserve"> care au împlinit vârsta standard de pensionare</w:t>
      </w:r>
      <w:r w:rsidR="00941A43">
        <w:rPr>
          <w:rFonts w:asciiTheme="majorHAnsi" w:eastAsia="Times New Roman" w:hAnsiTheme="majorHAnsi" w:cstheme="majorHAnsi"/>
          <w:color w:val="000000"/>
          <w:sz w:val="24"/>
          <w:szCs w:val="24"/>
          <w:lang w:val="ro-RO"/>
        </w:rPr>
        <w:t>,</w:t>
      </w:r>
      <w:r w:rsidR="000A58E9" w:rsidRPr="00E82CC1">
        <w:rPr>
          <w:rFonts w:asciiTheme="majorHAnsi" w:eastAsia="Times New Roman" w:hAnsiTheme="majorHAnsi" w:cstheme="majorHAnsi"/>
          <w:color w:val="000000"/>
          <w:sz w:val="24"/>
          <w:szCs w:val="24"/>
          <w:lang w:val="ro-RO"/>
        </w:rPr>
        <w:t xml:space="preserve"> pentru a analiza oportunitatea transferului </w:t>
      </w:r>
      <w:r w:rsidR="0054619C" w:rsidRPr="00E82CC1">
        <w:rPr>
          <w:rFonts w:asciiTheme="majorHAnsi" w:eastAsia="Times New Roman" w:hAnsiTheme="majorHAnsi" w:cstheme="majorHAnsi"/>
          <w:color w:val="000000"/>
          <w:sz w:val="24"/>
          <w:szCs w:val="24"/>
          <w:lang w:val="ro-RO"/>
        </w:rPr>
        <w:t xml:space="preserve">la </w:t>
      </w:r>
      <w:r w:rsidR="000A58E9" w:rsidRPr="00E82CC1">
        <w:rPr>
          <w:rFonts w:asciiTheme="majorHAnsi" w:eastAsia="Times New Roman" w:hAnsiTheme="majorHAnsi" w:cstheme="majorHAnsi"/>
          <w:color w:val="000000"/>
          <w:sz w:val="24"/>
          <w:szCs w:val="24"/>
          <w:lang w:val="ro-RO"/>
        </w:rPr>
        <w:t>pensie pentru limită de vâ</w:t>
      </w:r>
      <w:r w:rsidR="00DB54E9" w:rsidRPr="00E82CC1">
        <w:rPr>
          <w:rFonts w:asciiTheme="majorHAnsi" w:eastAsia="Times New Roman" w:hAnsiTheme="majorHAnsi" w:cstheme="majorHAnsi"/>
          <w:color w:val="000000"/>
          <w:sz w:val="24"/>
          <w:szCs w:val="24"/>
          <w:lang w:val="ro-RO"/>
        </w:rPr>
        <w:t xml:space="preserve">rstă, au fost întâmpinate unele </w:t>
      </w:r>
      <w:r w:rsidR="00D662BD" w:rsidRPr="00E82CC1">
        <w:rPr>
          <w:rFonts w:asciiTheme="majorHAnsi" w:eastAsia="Times New Roman" w:hAnsiTheme="majorHAnsi" w:cstheme="majorHAnsi"/>
          <w:color w:val="000000"/>
          <w:sz w:val="24"/>
          <w:szCs w:val="24"/>
          <w:lang w:val="ro-RO"/>
        </w:rPr>
        <w:t>dificultăți</w:t>
      </w:r>
      <w:r w:rsidR="00DB54E9" w:rsidRPr="00E82CC1">
        <w:rPr>
          <w:rFonts w:asciiTheme="majorHAnsi" w:eastAsia="Times New Roman" w:hAnsiTheme="majorHAnsi" w:cstheme="majorHAnsi"/>
          <w:color w:val="000000"/>
          <w:sz w:val="24"/>
          <w:szCs w:val="24"/>
          <w:lang w:val="ro-RO"/>
        </w:rPr>
        <w:t xml:space="preserve"> </w:t>
      </w:r>
      <w:r w:rsidR="00941A43">
        <w:rPr>
          <w:rFonts w:asciiTheme="majorHAnsi" w:eastAsia="Times New Roman" w:hAnsiTheme="majorHAnsi" w:cstheme="majorHAnsi"/>
          <w:color w:val="000000"/>
          <w:sz w:val="24"/>
          <w:szCs w:val="24"/>
          <w:lang w:val="ro-RO"/>
        </w:rPr>
        <w:t xml:space="preserve">ca </w:t>
      </w:r>
      <w:r w:rsidR="00DB54E9" w:rsidRPr="00E82CC1">
        <w:rPr>
          <w:rFonts w:asciiTheme="majorHAnsi" w:eastAsia="Times New Roman" w:hAnsiTheme="majorHAnsi" w:cstheme="majorHAnsi"/>
          <w:color w:val="000000"/>
          <w:sz w:val="24"/>
          <w:szCs w:val="24"/>
          <w:lang w:val="ro-RO"/>
        </w:rPr>
        <w:t>urmare a lips</w:t>
      </w:r>
      <w:r w:rsidR="00D662BD" w:rsidRPr="00E82CC1">
        <w:rPr>
          <w:rFonts w:asciiTheme="majorHAnsi" w:eastAsia="Times New Roman" w:hAnsiTheme="majorHAnsi" w:cstheme="majorHAnsi"/>
          <w:color w:val="000000"/>
          <w:sz w:val="24"/>
          <w:szCs w:val="24"/>
          <w:lang w:val="ro-RO"/>
        </w:rPr>
        <w:t>ei</w:t>
      </w:r>
      <w:r w:rsidR="00DB54E9" w:rsidRPr="00E82CC1">
        <w:rPr>
          <w:rFonts w:asciiTheme="majorHAnsi" w:eastAsia="Times New Roman" w:hAnsiTheme="majorHAnsi" w:cstheme="majorHAnsi"/>
          <w:color w:val="000000"/>
          <w:sz w:val="24"/>
          <w:szCs w:val="24"/>
          <w:lang w:val="ro-RO"/>
        </w:rPr>
        <w:t xml:space="preserve"> datel</w:t>
      </w:r>
      <w:r w:rsidR="00D662BD" w:rsidRPr="00E82CC1">
        <w:rPr>
          <w:rFonts w:asciiTheme="majorHAnsi" w:eastAsia="Times New Roman" w:hAnsiTheme="majorHAnsi" w:cstheme="majorHAnsi"/>
          <w:color w:val="000000"/>
          <w:sz w:val="24"/>
          <w:szCs w:val="24"/>
          <w:lang w:val="ro-RO"/>
        </w:rPr>
        <w:t>or</w:t>
      </w:r>
      <w:r w:rsidR="00DB54E9" w:rsidRPr="00E82CC1">
        <w:rPr>
          <w:rFonts w:asciiTheme="majorHAnsi" w:eastAsia="Times New Roman" w:hAnsiTheme="majorHAnsi" w:cstheme="majorHAnsi"/>
          <w:color w:val="000000"/>
          <w:sz w:val="24"/>
          <w:szCs w:val="24"/>
          <w:lang w:val="ro-RO"/>
        </w:rPr>
        <w:t xml:space="preserve"> de contact sau refuzul</w:t>
      </w:r>
      <w:r w:rsidR="00941A43">
        <w:rPr>
          <w:rFonts w:asciiTheme="majorHAnsi" w:eastAsia="Times New Roman" w:hAnsiTheme="majorHAnsi" w:cstheme="majorHAnsi"/>
          <w:color w:val="000000"/>
          <w:sz w:val="24"/>
          <w:szCs w:val="24"/>
          <w:lang w:val="ro-RO"/>
        </w:rPr>
        <w:t>ui</w:t>
      </w:r>
      <w:r w:rsidR="00DB54E9" w:rsidRPr="00E82CC1">
        <w:rPr>
          <w:rFonts w:asciiTheme="majorHAnsi" w:eastAsia="Times New Roman" w:hAnsiTheme="majorHAnsi" w:cstheme="majorHAnsi"/>
          <w:color w:val="000000"/>
          <w:sz w:val="24"/>
          <w:szCs w:val="24"/>
          <w:lang w:val="ro-RO"/>
        </w:rPr>
        <w:t xml:space="preserve"> persoanei de a depun</w:t>
      </w:r>
      <w:r w:rsidR="00941A43">
        <w:rPr>
          <w:rFonts w:asciiTheme="majorHAnsi" w:eastAsia="Times New Roman" w:hAnsiTheme="majorHAnsi" w:cstheme="majorHAnsi"/>
          <w:color w:val="000000"/>
          <w:sz w:val="24"/>
          <w:szCs w:val="24"/>
          <w:lang w:val="ro-RO"/>
        </w:rPr>
        <w:t>e</w:t>
      </w:r>
      <w:r w:rsidR="00DB54E9" w:rsidRPr="00E82CC1">
        <w:rPr>
          <w:rFonts w:asciiTheme="majorHAnsi" w:eastAsia="Times New Roman" w:hAnsiTheme="majorHAnsi" w:cstheme="majorHAnsi"/>
          <w:color w:val="000000"/>
          <w:sz w:val="24"/>
          <w:szCs w:val="24"/>
          <w:lang w:val="ro-RO"/>
        </w:rPr>
        <w:t xml:space="preserve"> cerere în legătură cu pierde</w:t>
      </w:r>
      <w:r w:rsidR="00D662BD" w:rsidRPr="00E82CC1">
        <w:rPr>
          <w:rFonts w:asciiTheme="majorHAnsi" w:eastAsia="Times New Roman" w:hAnsiTheme="majorHAnsi" w:cstheme="majorHAnsi"/>
          <w:color w:val="000000"/>
          <w:sz w:val="24"/>
          <w:szCs w:val="24"/>
          <w:lang w:val="ro-RO"/>
        </w:rPr>
        <w:t>rea</w:t>
      </w:r>
      <w:r w:rsidR="00DB54E9" w:rsidRPr="00E82CC1">
        <w:rPr>
          <w:rFonts w:asciiTheme="majorHAnsi" w:eastAsia="Times New Roman" w:hAnsiTheme="majorHAnsi" w:cstheme="majorHAnsi"/>
          <w:color w:val="000000"/>
          <w:sz w:val="24"/>
          <w:szCs w:val="24"/>
          <w:lang w:val="ro-RO"/>
        </w:rPr>
        <w:t xml:space="preserve"> dreptul</w:t>
      </w:r>
      <w:r w:rsidR="00D662BD" w:rsidRPr="00E82CC1">
        <w:rPr>
          <w:rFonts w:asciiTheme="majorHAnsi" w:eastAsia="Times New Roman" w:hAnsiTheme="majorHAnsi" w:cstheme="majorHAnsi"/>
          <w:color w:val="000000"/>
          <w:sz w:val="24"/>
          <w:szCs w:val="24"/>
          <w:lang w:val="ro-RO"/>
        </w:rPr>
        <w:t>ui</w:t>
      </w:r>
      <w:r w:rsidR="00DB54E9" w:rsidRPr="00E82CC1">
        <w:rPr>
          <w:rFonts w:asciiTheme="majorHAnsi" w:eastAsia="Times New Roman" w:hAnsiTheme="majorHAnsi" w:cstheme="majorHAnsi"/>
          <w:color w:val="000000"/>
          <w:sz w:val="24"/>
          <w:szCs w:val="24"/>
          <w:lang w:val="ro-RO"/>
        </w:rPr>
        <w:t xml:space="preserve"> la ajutor pentru perioada rece a anului sau </w:t>
      </w:r>
      <w:r w:rsidR="00941A43">
        <w:rPr>
          <w:rFonts w:asciiTheme="majorHAnsi" w:eastAsia="Times New Roman" w:hAnsiTheme="majorHAnsi" w:cstheme="majorHAnsi"/>
          <w:color w:val="000000"/>
          <w:sz w:val="24"/>
          <w:szCs w:val="24"/>
          <w:lang w:val="ro-RO"/>
        </w:rPr>
        <w:t xml:space="preserve">la </w:t>
      </w:r>
      <w:r w:rsidR="00DB54E9" w:rsidRPr="00E82CC1">
        <w:rPr>
          <w:rFonts w:asciiTheme="majorHAnsi" w:eastAsia="Times New Roman" w:hAnsiTheme="majorHAnsi" w:cstheme="majorHAnsi"/>
          <w:color w:val="000000"/>
          <w:sz w:val="24"/>
          <w:szCs w:val="24"/>
          <w:lang w:val="ro-RO"/>
        </w:rPr>
        <w:t>ajutor social.</w:t>
      </w:r>
    </w:p>
    <w:p w14:paraId="0FF18DD9" w14:textId="7FEDDCA0" w:rsidR="00010189" w:rsidRPr="00E82CC1" w:rsidRDefault="00010189" w:rsidP="00010189">
      <w:pPr>
        <w:pStyle w:val="a6"/>
        <w:shd w:val="clear" w:color="auto" w:fill="FFFFFF" w:themeFill="background1"/>
        <w:spacing w:after="240" w:line="276" w:lineRule="auto"/>
        <w:ind w:firstLine="0"/>
        <w:rPr>
          <w:rFonts w:asciiTheme="majorHAnsi" w:hAnsiTheme="majorHAnsi" w:cstheme="majorHAnsi"/>
          <w:lang w:val="ro-RO"/>
        </w:rPr>
      </w:pPr>
      <w:r w:rsidRPr="00E82CC1">
        <w:rPr>
          <w:rFonts w:asciiTheme="majorHAnsi" w:hAnsiTheme="majorHAnsi" w:cstheme="majorHAnsi"/>
          <w:lang w:val="ro-RO"/>
        </w:rPr>
        <w:t>Atenția auditului a fost atrasă de sistarea plății în cazul decesului beneficiarilor acestor tipuri de prestații. Astfel, deși cadrul legal prevede că pensia se plătește inclusiv pentru luna în care a avut loc decesul beneficiarului</w:t>
      </w:r>
      <w:r w:rsidRPr="00E82CC1">
        <w:rPr>
          <w:rStyle w:val="a5"/>
          <w:rFonts w:asciiTheme="majorHAnsi" w:eastAsiaTheme="majorEastAsia" w:hAnsiTheme="majorHAnsi" w:cstheme="majorHAnsi"/>
          <w:lang w:val="ro-RO"/>
        </w:rPr>
        <w:footnoteReference w:id="33"/>
      </w:r>
      <w:r w:rsidRPr="00E82CC1">
        <w:rPr>
          <w:rFonts w:asciiTheme="majorHAnsi" w:hAnsiTheme="majorHAnsi" w:cstheme="majorHAnsi"/>
          <w:lang w:val="ro-RO"/>
        </w:rPr>
        <w:t>, s-a constatat că</w:t>
      </w:r>
      <w:r w:rsidR="00941A43">
        <w:rPr>
          <w:rFonts w:asciiTheme="majorHAnsi" w:hAnsiTheme="majorHAnsi" w:cstheme="majorHAnsi"/>
          <w:lang w:val="ro-RO"/>
        </w:rPr>
        <w:t>,</w:t>
      </w:r>
      <w:r w:rsidRPr="00E82CC1">
        <w:rPr>
          <w:rFonts w:asciiTheme="majorHAnsi" w:hAnsiTheme="majorHAnsi" w:cstheme="majorHAnsi"/>
          <w:lang w:val="ro-RO"/>
        </w:rPr>
        <w:t xml:space="preserve"> în cazul a 156 de beneficiari decedați (34,6%), din 451 verificați, pensia a fost achitată după data decesului, de la o lună până la 4 luni. Din totalul sumelor achitate nejustificat, 84,5% (847,2 mii lei) au fost restituite benevol de către rudele persoanelor decedate, iar 15,5% (155,9 mii lei</w:t>
      </w:r>
      <w:r w:rsidRPr="00E82CC1">
        <w:rPr>
          <w:rFonts w:asciiTheme="majorHAnsi" w:hAnsiTheme="majorHAnsi" w:cstheme="majorHAnsi"/>
          <w:i/>
          <w:lang w:val="ro-RO"/>
        </w:rPr>
        <w:t>)</w:t>
      </w:r>
      <w:r w:rsidRPr="00E82CC1">
        <w:rPr>
          <w:rFonts w:asciiTheme="majorHAnsi" w:hAnsiTheme="majorHAnsi" w:cstheme="majorHAnsi"/>
          <w:lang w:val="ro-RO"/>
        </w:rPr>
        <w:t xml:space="preserve"> nu au fost restituite, deoarece entitatea nu deține pârghii de recuperare a acestor sume. Achitarea nejustificată a pensiei este condiționată de două cauze majore:</w:t>
      </w:r>
    </w:p>
    <w:p w14:paraId="40DB6DF0" w14:textId="0F8FC9F1" w:rsidR="00010189" w:rsidRPr="00E82CC1" w:rsidRDefault="00010189" w:rsidP="00010189">
      <w:pPr>
        <w:pStyle w:val="a6"/>
        <w:numPr>
          <w:ilvl w:val="0"/>
          <w:numId w:val="22"/>
        </w:numPr>
        <w:shd w:val="clear" w:color="auto" w:fill="FFFFFF" w:themeFill="background1"/>
        <w:spacing w:after="240" w:line="276" w:lineRule="auto"/>
        <w:rPr>
          <w:rFonts w:asciiTheme="majorHAnsi" w:hAnsiTheme="majorHAnsi" w:cstheme="majorHAnsi"/>
          <w:b/>
          <w:lang w:val="ro-RO"/>
        </w:rPr>
      </w:pPr>
      <w:r w:rsidRPr="00E82CC1">
        <w:rPr>
          <w:rFonts w:asciiTheme="majorHAnsi" w:hAnsiTheme="majorHAnsi" w:cstheme="majorHAnsi"/>
          <w:b/>
          <w:lang w:val="ro-RO"/>
        </w:rPr>
        <w:t>Introducerea tardivă a informațiilor despre deces, de către registratorii ASP</w:t>
      </w:r>
      <w:r w:rsidR="00941A43">
        <w:rPr>
          <w:rFonts w:asciiTheme="majorHAnsi" w:hAnsiTheme="majorHAnsi" w:cstheme="majorHAnsi"/>
          <w:b/>
          <w:lang w:val="ro-RO"/>
        </w:rPr>
        <w:t>,</w:t>
      </w:r>
      <w:r w:rsidRPr="00E82CC1">
        <w:rPr>
          <w:rFonts w:asciiTheme="majorHAnsi" w:hAnsiTheme="majorHAnsi" w:cstheme="majorHAnsi"/>
          <w:b/>
          <w:lang w:val="ro-RO"/>
        </w:rPr>
        <w:t xml:space="preserve"> în Registrul de stat al populației</w:t>
      </w:r>
      <w:r w:rsidR="00941A43">
        <w:rPr>
          <w:rFonts w:asciiTheme="majorHAnsi" w:hAnsiTheme="majorHAnsi" w:cstheme="majorHAnsi"/>
          <w:b/>
          <w:lang w:val="ro-RO"/>
        </w:rPr>
        <w:t>.</w:t>
      </w:r>
    </w:p>
    <w:p w14:paraId="3D155B31" w14:textId="0B2231EC" w:rsidR="00010189" w:rsidRPr="00E82CC1" w:rsidRDefault="00010189" w:rsidP="00010189">
      <w:pPr>
        <w:pStyle w:val="a6"/>
        <w:shd w:val="clear" w:color="auto" w:fill="FFFFFF" w:themeFill="background1"/>
        <w:spacing w:after="240" w:line="276" w:lineRule="auto"/>
        <w:ind w:firstLine="0"/>
        <w:rPr>
          <w:rFonts w:asciiTheme="majorHAnsi" w:hAnsiTheme="majorHAnsi" w:cstheme="majorHAnsi"/>
          <w:lang w:val="ro-RO"/>
        </w:rPr>
      </w:pPr>
      <w:r w:rsidRPr="00E82CC1">
        <w:rPr>
          <w:rFonts w:asciiTheme="majorHAnsi" w:hAnsiTheme="majorHAnsi" w:cstheme="majorHAnsi"/>
          <w:lang w:val="ro-MD"/>
        </w:rPr>
        <w:t>În acest context,</w:t>
      </w:r>
      <w:r w:rsidRPr="00E82CC1">
        <w:rPr>
          <w:rFonts w:asciiTheme="majorHAnsi" w:hAnsiTheme="majorHAnsi" w:cstheme="majorHAnsi"/>
          <w:lang w:val="ro-RO"/>
        </w:rPr>
        <w:t xml:space="preserve"> auditorul a solicitat de la ASP date despre decesul beneficiarilor și perioada introducerii informației în Registrul de stat al populației. Astfel, pentru cei 156 </w:t>
      </w:r>
      <w:r w:rsidR="00941A43">
        <w:rPr>
          <w:rFonts w:asciiTheme="majorHAnsi" w:hAnsiTheme="majorHAnsi" w:cstheme="majorHAnsi"/>
          <w:lang w:val="ro-RO"/>
        </w:rPr>
        <w:t xml:space="preserve">de </w:t>
      </w:r>
      <w:r w:rsidRPr="00E82CC1">
        <w:rPr>
          <w:rFonts w:asciiTheme="majorHAnsi" w:hAnsiTheme="majorHAnsi" w:cstheme="majorHAnsi"/>
          <w:lang w:val="ro-RO"/>
        </w:rPr>
        <w:t>pensionari, au fost stabilite devieri între data decesului și data înregistrării la ASP de la 1 zile până la 109 zile. Potrivit motivațiilor instituțiilor, abaterile au fost cauzate în mare parte de producerea decesului în străinătate, iar actele au fost întocmite în procedură de transcriere (</w:t>
      </w:r>
      <w:r w:rsidR="00D30FF8" w:rsidRPr="00E82CC1">
        <w:rPr>
          <w:rFonts w:asciiTheme="majorHAnsi" w:hAnsiTheme="majorHAnsi" w:cstheme="majorHAnsi"/>
          <w:lang w:val="ro-RO"/>
        </w:rPr>
        <w:t>5</w:t>
      </w:r>
      <w:r w:rsidRPr="00E82CC1">
        <w:rPr>
          <w:rFonts w:asciiTheme="majorHAnsi" w:hAnsiTheme="majorHAnsi" w:cstheme="majorHAnsi"/>
          <w:lang w:val="ro-RO"/>
        </w:rPr>
        <w:t xml:space="preserve"> cazuri), în alte cazuri faptele de deces au fost produse și/sau consemnate în stânga Nistrului (</w:t>
      </w:r>
      <w:r w:rsidR="00D30FF8" w:rsidRPr="00E82CC1">
        <w:rPr>
          <w:rFonts w:asciiTheme="majorHAnsi" w:hAnsiTheme="majorHAnsi" w:cstheme="majorHAnsi"/>
          <w:lang w:val="ro-RO"/>
        </w:rPr>
        <w:t>4</w:t>
      </w:r>
      <w:r w:rsidRPr="00E82CC1">
        <w:rPr>
          <w:rFonts w:asciiTheme="majorHAnsi" w:hAnsiTheme="majorHAnsi" w:cstheme="majorHAnsi"/>
          <w:lang w:val="ro-RO"/>
        </w:rPr>
        <w:t xml:space="preserve"> cazuri), precum și cazuri  în care faptele de deces nefiind declarate, nici întocmite acte de deces (</w:t>
      </w:r>
      <w:r w:rsidR="00D30FF8" w:rsidRPr="00E82CC1">
        <w:rPr>
          <w:rFonts w:asciiTheme="majorHAnsi" w:hAnsiTheme="majorHAnsi" w:cstheme="majorHAnsi"/>
          <w:lang w:val="ro-RO"/>
        </w:rPr>
        <w:t>2</w:t>
      </w:r>
      <w:r w:rsidRPr="00E82CC1">
        <w:rPr>
          <w:rFonts w:asciiTheme="majorHAnsi" w:hAnsiTheme="majorHAnsi" w:cstheme="majorHAnsi"/>
          <w:lang w:val="ro-RO"/>
        </w:rPr>
        <w:t xml:space="preserve"> cazuri).</w:t>
      </w:r>
      <w:r w:rsidRPr="00E82CC1">
        <w:t xml:space="preserve"> </w:t>
      </w:r>
      <w:r w:rsidRPr="00E82CC1">
        <w:rPr>
          <w:rFonts w:asciiTheme="majorHAnsi" w:hAnsiTheme="majorHAnsi" w:cstheme="majorHAnsi"/>
          <w:lang w:val="ro-RO"/>
        </w:rPr>
        <w:t>Printre motivele pentru care data producerii faptului decesului nu coincide cu data înregistrării actului de deces, a fost menționat</w:t>
      </w:r>
      <w:r w:rsidR="00941A43">
        <w:rPr>
          <w:rFonts w:asciiTheme="majorHAnsi" w:hAnsiTheme="majorHAnsi" w:cstheme="majorHAnsi"/>
          <w:lang w:val="ro-RO"/>
        </w:rPr>
        <w:t>ă</w:t>
      </w:r>
      <w:r w:rsidRPr="00E82CC1">
        <w:rPr>
          <w:rFonts w:asciiTheme="majorHAnsi" w:hAnsiTheme="majorHAnsi" w:cstheme="majorHAnsi"/>
          <w:lang w:val="ro-RO"/>
        </w:rPr>
        <w:t xml:space="preserve"> și nerespectarea termenului prevăzut de către subiecții declarării, procedura înregistrării decesului, din oficiu, de către organele de stare civilă nefiind reglementată legal în acest sens (29 dintre cazurile identificate de audit).</w:t>
      </w:r>
    </w:p>
    <w:p w14:paraId="775839D1" w14:textId="648C970C" w:rsidR="00010189" w:rsidRPr="00E82CC1" w:rsidRDefault="00010189" w:rsidP="00010189">
      <w:pPr>
        <w:pStyle w:val="a9"/>
        <w:tabs>
          <w:tab w:val="left" w:pos="993"/>
        </w:tabs>
        <w:spacing w:after="0" w:line="276" w:lineRule="auto"/>
        <w:ind w:left="0"/>
        <w:jc w:val="both"/>
        <w:rPr>
          <w:rFonts w:ascii="Times New Roman" w:hAnsi="Times New Roman" w:cs="Times New Roman"/>
          <w:sz w:val="28"/>
          <w:szCs w:val="28"/>
          <w:lang w:val="ro-RO"/>
        </w:rPr>
      </w:pPr>
      <w:r w:rsidRPr="00E82CC1">
        <w:rPr>
          <w:rFonts w:asciiTheme="majorHAnsi" w:eastAsia="Times New Roman" w:hAnsiTheme="majorHAnsi" w:cstheme="majorHAnsi"/>
          <w:sz w:val="24"/>
          <w:szCs w:val="24"/>
          <w:lang w:val="ro-RO"/>
        </w:rPr>
        <w:t>Suplimentar, ASP a informat că</w:t>
      </w:r>
      <w:r w:rsidR="00941A43">
        <w:rPr>
          <w:rFonts w:asciiTheme="majorHAnsi" w:eastAsia="Times New Roman" w:hAnsiTheme="majorHAnsi" w:cstheme="majorHAnsi"/>
          <w:sz w:val="24"/>
          <w:szCs w:val="24"/>
          <w:lang w:val="ro-RO"/>
        </w:rPr>
        <w:t>,</w:t>
      </w:r>
      <w:r w:rsidRPr="00E82CC1">
        <w:rPr>
          <w:rFonts w:asciiTheme="majorHAnsi" w:eastAsia="Times New Roman" w:hAnsiTheme="majorHAnsi" w:cstheme="majorHAnsi"/>
          <w:sz w:val="24"/>
          <w:szCs w:val="24"/>
          <w:lang w:val="ro-RO"/>
        </w:rPr>
        <w:t xml:space="preserve"> potrivit normelor legale</w:t>
      </w:r>
      <w:r w:rsidRPr="00E82CC1">
        <w:rPr>
          <w:rFonts w:asciiTheme="majorHAnsi" w:eastAsia="Times New Roman" w:hAnsiTheme="majorHAnsi" w:cstheme="majorHAnsi"/>
          <w:sz w:val="24"/>
          <w:szCs w:val="24"/>
          <w:vertAlign w:val="superscript"/>
        </w:rPr>
        <w:footnoteReference w:id="34"/>
      </w:r>
      <w:r w:rsidRPr="00617E4A">
        <w:rPr>
          <w:rFonts w:asciiTheme="majorHAnsi" w:eastAsia="Times New Roman" w:hAnsiTheme="majorHAnsi" w:cstheme="majorHAnsi"/>
          <w:sz w:val="24"/>
          <w:szCs w:val="24"/>
          <w:lang w:val="ro-RO"/>
        </w:rPr>
        <w:t>,</w:t>
      </w:r>
      <w:r w:rsidRPr="00E82CC1">
        <w:rPr>
          <w:rFonts w:asciiTheme="majorHAnsi" w:eastAsia="Times New Roman" w:hAnsiTheme="majorHAnsi" w:cstheme="majorHAnsi"/>
          <w:sz w:val="24"/>
          <w:szCs w:val="24"/>
          <w:lang w:val="ro-RO"/>
        </w:rPr>
        <w:t xml:space="preserve"> actualizarea datelor din Registrul de stat al populaţiei cu referire la naşterea şi d</w:t>
      </w:r>
      <w:r w:rsidR="00CB3995" w:rsidRPr="00E82CC1">
        <w:rPr>
          <w:rFonts w:asciiTheme="majorHAnsi" w:eastAsia="Times New Roman" w:hAnsiTheme="majorHAnsi" w:cstheme="majorHAnsi"/>
          <w:sz w:val="24"/>
          <w:szCs w:val="24"/>
          <w:lang w:val="ro-RO"/>
        </w:rPr>
        <w:t>ecesul persoanelor, se efectuează în baza informației prezentate</w:t>
      </w:r>
      <w:r w:rsidRPr="00E82CC1">
        <w:rPr>
          <w:rFonts w:asciiTheme="majorHAnsi" w:eastAsia="Times New Roman" w:hAnsiTheme="majorHAnsi" w:cstheme="majorHAnsi"/>
          <w:sz w:val="24"/>
          <w:szCs w:val="24"/>
          <w:lang w:val="ro-RO"/>
        </w:rPr>
        <w:t xml:space="preserve"> Ministerului Sănătăţii (deşi de facto se realizează</w:t>
      </w:r>
      <w:r w:rsidR="00CB3995" w:rsidRPr="00E82CC1">
        <w:rPr>
          <w:rFonts w:asciiTheme="majorHAnsi" w:eastAsia="Times New Roman" w:hAnsiTheme="majorHAnsi" w:cstheme="majorHAnsi"/>
          <w:sz w:val="24"/>
          <w:szCs w:val="24"/>
          <w:lang w:val="ro-RO"/>
        </w:rPr>
        <w:t xml:space="preserve"> în baza celei emise</w:t>
      </w:r>
      <w:r w:rsidRPr="00E82CC1">
        <w:rPr>
          <w:rFonts w:asciiTheme="majorHAnsi" w:eastAsia="Times New Roman" w:hAnsiTheme="majorHAnsi" w:cstheme="majorHAnsi"/>
          <w:sz w:val="24"/>
          <w:szCs w:val="24"/>
          <w:lang w:val="ro-RO"/>
        </w:rPr>
        <w:t xml:space="preserve"> de către serviciile stare civilă ale Agenției Servicii Publice). </w:t>
      </w:r>
      <w:r w:rsidRPr="00E82CC1">
        <w:rPr>
          <w:rFonts w:asciiTheme="majorHAnsi" w:hAnsiTheme="majorHAnsi" w:cstheme="majorHAnsi"/>
          <w:sz w:val="24"/>
          <w:szCs w:val="24"/>
          <w:lang w:val="ro-RO"/>
        </w:rPr>
        <w:t xml:space="preserve">De asemenea, în scopul îmbunătăţirii mecanismelor de înregistrare a faptelor de stare civilă în Registrul de stat al populaţiei, în cadrul proiectului „Modernizarea serviciilor guvernamentale” (MGSP), în conformitate cu prevederile Acordului de colaborare privind modernizarea unor servicii publice prestate de Agenția Servicii Publice, semnat între </w:t>
      </w:r>
      <w:r w:rsidR="00535783" w:rsidRPr="00E82CC1">
        <w:rPr>
          <w:rFonts w:asciiTheme="majorHAnsi" w:hAnsiTheme="majorHAnsi" w:cstheme="majorHAnsi"/>
          <w:sz w:val="24"/>
          <w:szCs w:val="24"/>
          <w:lang w:val="ro-RO"/>
        </w:rPr>
        <w:t>AGE</w:t>
      </w:r>
      <w:r w:rsidRPr="00E82CC1">
        <w:rPr>
          <w:rFonts w:asciiTheme="majorHAnsi" w:hAnsiTheme="majorHAnsi" w:cstheme="majorHAnsi"/>
          <w:sz w:val="24"/>
          <w:szCs w:val="24"/>
          <w:lang w:val="ro-RO"/>
        </w:rPr>
        <w:t xml:space="preserve"> și </w:t>
      </w:r>
      <w:r w:rsidR="00535783" w:rsidRPr="00E82CC1">
        <w:rPr>
          <w:rFonts w:asciiTheme="majorHAnsi" w:hAnsiTheme="majorHAnsi" w:cstheme="majorHAnsi"/>
          <w:sz w:val="24"/>
          <w:szCs w:val="24"/>
          <w:lang w:val="ro-RO"/>
        </w:rPr>
        <w:t>ASP</w:t>
      </w:r>
      <w:r w:rsidRPr="00E82CC1">
        <w:rPr>
          <w:rStyle w:val="a5"/>
          <w:rFonts w:asciiTheme="majorHAnsi" w:hAnsiTheme="majorHAnsi" w:cstheme="majorHAnsi"/>
          <w:sz w:val="24"/>
          <w:szCs w:val="24"/>
          <w:lang w:val="ro-RO"/>
        </w:rPr>
        <w:footnoteReference w:id="35"/>
      </w:r>
      <w:r w:rsidRPr="00E82CC1">
        <w:rPr>
          <w:rFonts w:asciiTheme="majorHAnsi" w:hAnsiTheme="majorHAnsi" w:cstheme="majorHAnsi"/>
          <w:sz w:val="24"/>
          <w:szCs w:val="24"/>
          <w:lang w:val="ro-RO"/>
        </w:rPr>
        <w:t xml:space="preserve">, </w:t>
      </w:r>
      <w:r w:rsidR="00535783" w:rsidRPr="00E82CC1">
        <w:rPr>
          <w:rFonts w:asciiTheme="majorHAnsi" w:hAnsiTheme="majorHAnsi" w:cstheme="majorHAnsi"/>
          <w:sz w:val="24"/>
          <w:szCs w:val="24"/>
          <w:lang w:val="ro-RO"/>
        </w:rPr>
        <w:t xml:space="preserve">este în proces reingineria </w:t>
      </w:r>
      <w:r w:rsidRPr="00E82CC1">
        <w:rPr>
          <w:rFonts w:asciiTheme="majorHAnsi" w:hAnsiTheme="majorHAnsi" w:cstheme="majorHAnsi"/>
          <w:sz w:val="24"/>
          <w:szCs w:val="24"/>
          <w:lang w:val="ro-RO"/>
        </w:rPr>
        <w:t>unor servicii de stare civilă</w:t>
      </w:r>
      <w:r w:rsidR="00535783" w:rsidRPr="00E82CC1">
        <w:rPr>
          <w:rFonts w:asciiTheme="majorHAnsi" w:hAnsiTheme="majorHAnsi" w:cstheme="majorHAnsi"/>
          <w:sz w:val="24"/>
          <w:szCs w:val="24"/>
          <w:lang w:val="ro-RO"/>
        </w:rPr>
        <w:t>, unul dintre acestea fiind înregistrarea decesului</w:t>
      </w:r>
      <w:r w:rsidRPr="00E82CC1">
        <w:rPr>
          <w:rFonts w:asciiTheme="majorHAnsi" w:hAnsiTheme="majorHAnsi" w:cstheme="majorHAnsi"/>
          <w:sz w:val="24"/>
          <w:szCs w:val="24"/>
          <w:lang w:val="ro-RO"/>
        </w:rPr>
        <w:t>.</w:t>
      </w:r>
    </w:p>
    <w:p w14:paraId="0EAF1106" w14:textId="39E1EFBE" w:rsidR="00010189" w:rsidRPr="00E82CC1" w:rsidRDefault="00010189" w:rsidP="00814A01">
      <w:pPr>
        <w:pStyle w:val="a6"/>
        <w:numPr>
          <w:ilvl w:val="0"/>
          <w:numId w:val="22"/>
        </w:numPr>
        <w:shd w:val="clear" w:color="auto" w:fill="FFFFFF" w:themeFill="background1"/>
        <w:spacing w:before="240" w:after="240" w:line="276" w:lineRule="auto"/>
        <w:rPr>
          <w:rFonts w:asciiTheme="majorHAnsi" w:hAnsiTheme="majorHAnsi" w:cstheme="majorHAnsi"/>
          <w:b/>
          <w:lang w:val="ro-RO"/>
        </w:rPr>
      </w:pPr>
      <w:r w:rsidRPr="00E82CC1">
        <w:rPr>
          <w:rFonts w:asciiTheme="majorHAnsi" w:hAnsiTheme="majorHAnsi" w:cstheme="majorHAnsi"/>
          <w:b/>
          <w:lang w:val="ro-RO"/>
        </w:rPr>
        <w:t>Transmiterea tardivă de către ASP a datelor din Registrul de stat al populației către CNAS prin intermediul</w:t>
      </w:r>
      <w:r w:rsidR="00941A43">
        <w:rPr>
          <w:rFonts w:asciiTheme="majorHAnsi" w:hAnsiTheme="majorHAnsi" w:cstheme="majorHAnsi"/>
          <w:b/>
          <w:lang w:val="ro-RO"/>
        </w:rPr>
        <w:t xml:space="preserve"> SI</w:t>
      </w:r>
      <w:r w:rsidRPr="00E82CC1">
        <w:rPr>
          <w:rFonts w:asciiTheme="majorHAnsi" w:hAnsiTheme="majorHAnsi" w:cstheme="majorHAnsi"/>
          <w:b/>
          <w:lang w:val="ro-RO"/>
        </w:rPr>
        <w:t xml:space="preserve"> MConect.</w:t>
      </w:r>
    </w:p>
    <w:p w14:paraId="6D2CBDA9" w14:textId="3ED37D1B" w:rsidR="00010189" w:rsidRPr="00E82CC1" w:rsidRDefault="00010189" w:rsidP="00814A01">
      <w:pPr>
        <w:pStyle w:val="Default"/>
        <w:spacing w:before="240" w:line="276" w:lineRule="auto"/>
        <w:jc w:val="both"/>
        <w:rPr>
          <w:rFonts w:asciiTheme="majorHAnsi" w:hAnsiTheme="majorHAnsi" w:cstheme="majorHAnsi"/>
          <w:lang w:val="ro-RO"/>
        </w:rPr>
      </w:pPr>
      <w:r w:rsidRPr="00E82CC1">
        <w:rPr>
          <w:rFonts w:asciiTheme="majorHAnsi" w:eastAsia="Calibri" w:hAnsiTheme="majorHAnsi" w:cstheme="majorHAnsi"/>
          <w:noProof/>
          <w:lang w:val="ro-RO"/>
        </w:rPr>
        <w:t xml:space="preserve">Potrivit Acordului încheiat între CNAS și AGE, aceasta din urmă asigură, prin intermediul platformei MConect, conexiunea între CNAS și ASP. Astfel, în regim automatizat sunt recepționate toate datele despre persoanele fizice decedate, care au parvenit în acea zi, preluate din Registrul de </w:t>
      </w:r>
      <w:r w:rsidR="00514E6A">
        <w:rPr>
          <w:rFonts w:asciiTheme="majorHAnsi" w:eastAsia="Calibri" w:hAnsiTheme="majorHAnsi" w:cstheme="majorHAnsi"/>
          <w:noProof/>
          <w:lang w:val="ro-RO"/>
        </w:rPr>
        <w:t>s</w:t>
      </w:r>
      <w:r w:rsidRPr="00E82CC1">
        <w:rPr>
          <w:rFonts w:asciiTheme="majorHAnsi" w:eastAsia="Calibri" w:hAnsiTheme="majorHAnsi" w:cstheme="majorHAnsi"/>
          <w:noProof/>
          <w:lang w:val="ro-RO"/>
        </w:rPr>
        <w:t xml:space="preserve">tat al </w:t>
      </w:r>
      <w:r w:rsidR="00514E6A">
        <w:rPr>
          <w:rFonts w:asciiTheme="majorHAnsi" w:eastAsia="Calibri" w:hAnsiTheme="majorHAnsi" w:cstheme="majorHAnsi"/>
          <w:noProof/>
          <w:lang w:val="ro-RO"/>
        </w:rPr>
        <w:t>p</w:t>
      </w:r>
      <w:r w:rsidRPr="00E82CC1">
        <w:rPr>
          <w:rFonts w:asciiTheme="majorHAnsi" w:eastAsia="Calibri" w:hAnsiTheme="majorHAnsi" w:cstheme="majorHAnsi"/>
          <w:noProof/>
          <w:lang w:val="ro-RO"/>
        </w:rPr>
        <w:t>opulației (deținut de Agenția Servicii Publice). Datele se încarcă în SI „Protecția Socială”, după care, în regim automatizat, programul analizează toate tipurile de prestații sociale și, în cazul în care depistează decizii de plată active, inițiază blocarea plății. Schimbul de date urmează a avea loc zilnic (24 ore din 24 ore, 7 zile în săptămână) pentru a se evita achitările în plus a</w:t>
      </w:r>
      <w:r w:rsidR="00514E6A">
        <w:rPr>
          <w:rFonts w:asciiTheme="majorHAnsi" w:eastAsia="Calibri" w:hAnsiTheme="majorHAnsi" w:cstheme="majorHAnsi"/>
          <w:noProof/>
          <w:lang w:val="ro-RO"/>
        </w:rPr>
        <w:t>le</w:t>
      </w:r>
      <w:r w:rsidRPr="00E82CC1">
        <w:rPr>
          <w:rFonts w:asciiTheme="majorHAnsi" w:eastAsia="Calibri" w:hAnsiTheme="majorHAnsi" w:cstheme="majorHAnsi"/>
          <w:noProof/>
          <w:lang w:val="ro-RO"/>
        </w:rPr>
        <w:t xml:space="preserve"> prestațiilor sociale. </w:t>
      </w:r>
      <w:r w:rsidRPr="00E82CC1">
        <w:rPr>
          <w:rFonts w:asciiTheme="majorHAnsi" w:hAnsiTheme="majorHAnsi" w:cstheme="majorHAnsi"/>
          <w:lang w:val="ro-RO"/>
        </w:rPr>
        <w:t xml:space="preserve">La contrapunerea datelor dintre data decesului înregistrat la CNAS cu data decesului beneficiarului, remarcăm că numărul de zile variază între 1 </w:t>
      </w:r>
      <w:r w:rsidRPr="00E82CC1">
        <w:rPr>
          <w:rFonts w:asciiTheme="majorHAnsi" w:hAnsiTheme="majorHAnsi" w:cstheme="majorHAnsi"/>
          <w:lang w:val="ro-MD"/>
        </w:rPr>
        <w:t xml:space="preserve">și </w:t>
      </w:r>
      <w:r w:rsidRPr="00E82CC1">
        <w:rPr>
          <w:rFonts w:asciiTheme="majorHAnsi" w:hAnsiTheme="majorHAnsi" w:cstheme="majorHAnsi"/>
          <w:lang w:val="ro-RO"/>
        </w:rPr>
        <w:t>139.</w:t>
      </w:r>
    </w:p>
    <w:p w14:paraId="6874FC38" w14:textId="77777777" w:rsidR="00010189" w:rsidRPr="00E82CC1" w:rsidRDefault="00010189" w:rsidP="00814A01">
      <w:pPr>
        <w:pStyle w:val="a6"/>
        <w:shd w:val="clear" w:color="auto" w:fill="FFFFFF" w:themeFill="background1"/>
        <w:spacing w:line="276" w:lineRule="auto"/>
        <w:ind w:firstLine="0"/>
        <w:rPr>
          <w:rFonts w:asciiTheme="majorHAnsi" w:hAnsiTheme="majorHAnsi" w:cstheme="majorHAnsi"/>
          <w:lang w:val="ro-RO"/>
        </w:rPr>
      </w:pPr>
      <w:r w:rsidRPr="00E82CC1">
        <w:rPr>
          <w:rFonts w:asciiTheme="majorHAnsi" w:hAnsiTheme="majorHAnsi" w:cstheme="majorHAnsi"/>
          <w:noProof/>
          <w:lang w:val="ru-RU" w:eastAsia="ru-RU"/>
        </w:rPr>
        <w:drawing>
          <wp:inline distT="0" distB="0" distL="0" distR="0" wp14:anchorId="7E559760" wp14:editId="4C3C0FE7">
            <wp:extent cx="6469380" cy="3368040"/>
            <wp:effectExtent l="0" t="0" r="26670" b="609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FCEC0C" w14:textId="77777777" w:rsidR="00010189" w:rsidRPr="00E82CC1" w:rsidRDefault="00010189" w:rsidP="00010189">
      <w:pPr>
        <w:shd w:val="clear" w:color="auto" w:fill="FFFFFF" w:themeFill="background1"/>
        <w:spacing w:line="276" w:lineRule="auto"/>
        <w:jc w:val="center"/>
        <w:rPr>
          <w:rFonts w:asciiTheme="majorHAnsi" w:hAnsiTheme="majorHAnsi" w:cstheme="majorHAnsi"/>
          <w:i/>
          <w:sz w:val="24"/>
          <w:szCs w:val="24"/>
          <w:lang w:val="ro-RO"/>
        </w:rPr>
      </w:pPr>
      <w:r w:rsidRPr="00E82CC1">
        <w:rPr>
          <w:rFonts w:asciiTheme="majorHAnsi" w:hAnsiTheme="majorHAnsi" w:cstheme="majorHAnsi"/>
          <w:i/>
          <w:sz w:val="24"/>
          <w:szCs w:val="24"/>
          <w:lang w:val="ro-RO"/>
        </w:rPr>
        <w:t>Figura nr.</w:t>
      </w:r>
      <w:r w:rsidR="00153694" w:rsidRPr="00E82CC1">
        <w:rPr>
          <w:rFonts w:asciiTheme="majorHAnsi" w:hAnsiTheme="majorHAnsi" w:cstheme="majorHAnsi"/>
          <w:i/>
          <w:sz w:val="24"/>
          <w:szCs w:val="24"/>
          <w:lang w:val="ro-RO"/>
        </w:rPr>
        <w:t>3</w:t>
      </w:r>
      <w:r w:rsidRPr="00E82CC1">
        <w:rPr>
          <w:rFonts w:asciiTheme="majorHAnsi" w:hAnsiTheme="majorHAnsi" w:cstheme="majorHAnsi"/>
          <w:i/>
          <w:sz w:val="24"/>
          <w:szCs w:val="24"/>
          <w:lang w:val="ro-RO"/>
        </w:rPr>
        <w:t>. Procesul de recepționare a informației privind datele despre decesul beneficiarilor</w:t>
      </w:r>
    </w:p>
    <w:p w14:paraId="03F8844B" w14:textId="52733FA9" w:rsidR="00010189" w:rsidRPr="00E82CC1" w:rsidRDefault="00010189" w:rsidP="00010189">
      <w:pPr>
        <w:pStyle w:val="a6"/>
        <w:shd w:val="clear" w:color="auto" w:fill="FFFFFF" w:themeFill="background1"/>
        <w:spacing w:line="276" w:lineRule="auto"/>
        <w:ind w:firstLine="0"/>
        <w:rPr>
          <w:rFonts w:asciiTheme="majorHAnsi" w:eastAsia="Calibri" w:hAnsiTheme="majorHAnsi" w:cstheme="majorHAnsi"/>
          <w:noProof/>
          <w:lang w:val="ro-RO"/>
        </w:rPr>
      </w:pPr>
      <w:r w:rsidRPr="00E82CC1">
        <w:rPr>
          <w:rFonts w:asciiTheme="majorHAnsi" w:eastAsia="Calibri" w:hAnsiTheme="majorHAnsi" w:cstheme="majorHAnsi"/>
          <w:noProof/>
          <w:lang w:val="ro-RO"/>
        </w:rPr>
        <w:t xml:space="preserve">Cu referire la acest aspect, CNAS a informat că schimbul de date are loc prin două metode: prin </w:t>
      </w:r>
      <w:r w:rsidRPr="003953D8">
        <w:rPr>
          <w:rFonts w:asciiTheme="majorHAnsi" w:eastAsia="Calibri" w:hAnsiTheme="majorHAnsi" w:cstheme="majorHAnsi"/>
          <w:noProof/>
          <w:lang w:val="ro-RO"/>
        </w:rPr>
        <w:t>intermediul platformei MConect, zilnic, pentru 10 zile anterioare, și sistarea plății prestației în momentul adresării rudeleor după</w:t>
      </w:r>
      <w:r w:rsidRPr="00E82CC1">
        <w:rPr>
          <w:rFonts w:asciiTheme="majorHAnsi" w:eastAsia="Calibri" w:hAnsiTheme="majorHAnsi" w:cstheme="majorHAnsi"/>
          <w:noProof/>
          <w:lang w:val="ro-RO"/>
        </w:rPr>
        <w:t xml:space="preserve"> ajutorul de deces</w:t>
      </w:r>
      <w:r w:rsidR="00153694" w:rsidRPr="00E82CC1">
        <w:rPr>
          <w:rStyle w:val="a5"/>
          <w:rFonts w:asciiTheme="majorHAnsi" w:eastAsia="Calibri" w:hAnsiTheme="majorHAnsi" w:cstheme="majorHAnsi"/>
          <w:noProof/>
          <w:lang w:val="ro-RO"/>
        </w:rPr>
        <w:footnoteReference w:id="36"/>
      </w:r>
      <w:r w:rsidR="00153694" w:rsidRPr="00E82CC1">
        <w:rPr>
          <w:rFonts w:asciiTheme="majorHAnsi" w:eastAsia="Calibri" w:hAnsiTheme="majorHAnsi" w:cstheme="majorHAnsi"/>
          <w:noProof/>
          <w:lang w:val="ro-RO"/>
        </w:rPr>
        <w:t xml:space="preserve">. </w:t>
      </w:r>
      <w:r w:rsidRPr="00E82CC1">
        <w:rPr>
          <w:rFonts w:asciiTheme="majorHAnsi" w:eastAsia="Calibri" w:hAnsiTheme="majorHAnsi" w:cstheme="majorHAnsi"/>
          <w:noProof/>
          <w:lang w:val="ro-RO"/>
        </w:rPr>
        <w:t>S</w:t>
      </w:r>
      <w:r w:rsidRPr="00E82CC1">
        <w:rPr>
          <w:rFonts w:asciiTheme="majorHAnsi" w:hAnsiTheme="majorHAnsi" w:cstheme="majorHAnsi"/>
          <w:lang w:val="ro-RO"/>
        </w:rPr>
        <w:t xml:space="preserve">e constată preponderent în cazul decesului beneficiarului după data de 25, deoarece listele de plată se formează în ultimele zile ale lunii pentru următoarea lună. </w:t>
      </w:r>
    </w:p>
    <w:p w14:paraId="6FF7F581" w14:textId="2A5E21D8" w:rsidR="00010189" w:rsidRPr="00E82CC1" w:rsidRDefault="00010189" w:rsidP="00010189">
      <w:pPr>
        <w:pStyle w:val="a6"/>
        <w:shd w:val="clear" w:color="auto" w:fill="FFFFFF" w:themeFill="background1"/>
        <w:spacing w:line="276" w:lineRule="auto"/>
        <w:ind w:firstLine="0"/>
        <w:rPr>
          <w:rFonts w:asciiTheme="majorHAnsi" w:hAnsiTheme="majorHAnsi" w:cstheme="majorHAnsi"/>
          <w:lang w:val="ro-RO"/>
        </w:rPr>
      </w:pPr>
      <w:r w:rsidRPr="00E82CC1">
        <w:rPr>
          <w:rFonts w:asciiTheme="majorHAnsi" w:hAnsiTheme="majorHAnsi" w:cstheme="majorHAnsi"/>
          <w:lang w:val="ro-RO"/>
        </w:rPr>
        <w:t xml:space="preserve">Reieșind din deficiențele constatate asupra recepționării informației în cazul decesului beneficiarului, erorile potențiale estimate de audit sub formă de </w:t>
      </w:r>
      <w:r w:rsidR="00FD5670" w:rsidRPr="00E82CC1">
        <w:rPr>
          <w:rFonts w:asciiTheme="majorHAnsi" w:hAnsiTheme="majorHAnsi" w:cstheme="majorHAnsi"/>
          <w:lang w:val="ro-RO"/>
        </w:rPr>
        <w:t xml:space="preserve">cheltuieli neargumentate </w:t>
      </w:r>
      <w:r w:rsidRPr="00E82CC1">
        <w:rPr>
          <w:rFonts w:asciiTheme="majorHAnsi" w:hAnsiTheme="majorHAnsi" w:cstheme="majorHAnsi"/>
          <w:lang w:val="ro-RO"/>
        </w:rPr>
        <w:t xml:space="preserve">asupra BASS/BS aferente cheltuielilor pentru pensiile de limită de vârstă constituie </w:t>
      </w:r>
      <w:r w:rsidR="00153694" w:rsidRPr="00E82CC1">
        <w:rPr>
          <w:rFonts w:asciiTheme="majorHAnsi" w:hAnsiTheme="majorHAnsi" w:cstheme="majorHAnsi"/>
          <w:lang w:val="ro-RO"/>
        </w:rPr>
        <w:t>1 387,3</w:t>
      </w:r>
      <w:r w:rsidRPr="00E82CC1">
        <w:rPr>
          <w:rFonts w:asciiTheme="majorHAnsi" w:hAnsiTheme="majorHAnsi" w:cstheme="majorHAnsi"/>
          <w:lang w:val="ro-RO"/>
        </w:rPr>
        <w:t xml:space="preserve"> mii lei. La acestea se mai adaugă și </w:t>
      </w:r>
      <w:r w:rsidR="00FD5670" w:rsidRPr="00E82CC1">
        <w:rPr>
          <w:rFonts w:asciiTheme="majorHAnsi" w:hAnsiTheme="majorHAnsi" w:cstheme="majorHAnsi"/>
          <w:lang w:val="ro-RO"/>
        </w:rPr>
        <w:t>cheltuieli</w:t>
      </w:r>
      <w:r w:rsidR="00514E6A">
        <w:rPr>
          <w:rFonts w:asciiTheme="majorHAnsi" w:hAnsiTheme="majorHAnsi" w:cstheme="majorHAnsi"/>
          <w:lang w:val="ro-RO"/>
        </w:rPr>
        <w:t>le</w:t>
      </w:r>
      <w:r w:rsidRPr="00E82CC1">
        <w:rPr>
          <w:rFonts w:asciiTheme="majorHAnsi" w:hAnsiTheme="majorHAnsi" w:cstheme="majorHAnsi"/>
          <w:lang w:val="ro-RO"/>
        </w:rPr>
        <w:t xml:space="preserve"> aferent</w:t>
      </w:r>
      <w:r w:rsidR="00FD5670" w:rsidRPr="00E82CC1">
        <w:rPr>
          <w:rFonts w:asciiTheme="majorHAnsi" w:hAnsiTheme="majorHAnsi" w:cstheme="majorHAnsi"/>
          <w:lang w:val="ro-RO"/>
        </w:rPr>
        <w:t>e</w:t>
      </w:r>
      <w:r w:rsidRPr="00E82CC1">
        <w:rPr>
          <w:rFonts w:asciiTheme="majorHAnsi" w:hAnsiTheme="majorHAnsi" w:cstheme="majorHAnsi"/>
          <w:lang w:val="ro-RO"/>
        </w:rPr>
        <w:t xml:space="preserve"> comisionului de distribuire conform tarifului minim, ce se estimează la 9,7 mii lei.</w:t>
      </w:r>
    </w:p>
    <w:p w14:paraId="7EDBF5F6" w14:textId="2909DEB0" w:rsidR="0042463C" w:rsidRPr="00E82CC1" w:rsidRDefault="0042463C" w:rsidP="00010189">
      <w:pPr>
        <w:shd w:val="clear" w:color="auto" w:fill="FFFFFF" w:themeFill="background1"/>
        <w:spacing w:after="0" w:line="276" w:lineRule="auto"/>
        <w:jc w:val="both"/>
        <w:rPr>
          <w:rFonts w:asciiTheme="majorHAnsi" w:eastAsia="Times New Roman" w:hAnsiTheme="majorHAnsi" w:cstheme="majorHAnsi"/>
          <w:color w:val="000000"/>
          <w:sz w:val="24"/>
          <w:szCs w:val="24"/>
          <w:lang w:val="ro-RO"/>
        </w:rPr>
      </w:pPr>
      <w:r w:rsidRPr="00E82CC1">
        <w:rPr>
          <w:rFonts w:asciiTheme="majorHAnsi" w:hAnsiTheme="majorHAnsi" w:cstheme="majorHAnsi"/>
          <w:sz w:val="24"/>
          <w:szCs w:val="24"/>
          <w:lang w:val="ro-RO"/>
        </w:rPr>
        <w:t xml:space="preserve">Menționăm că, </w:t>
      </w:r>
      <w:r w:rsidR="00010189" w:rsidRPr="00E82CC1">
        <w:rPr>
          <w:rFonts w:asciiTheme="majorHAnsi" w:eastAsia="Times New Roman" w:hAnsiTheme="majorHAnsi" w:cstheme="majorHAnsi"/>
          <w:color w:val="000000"/>
          <w:sz w:val="24"/>
          <w:szCs w:val="24"/>
          <w:lang w:val="ro-RO"/>
        </w:rPr>
        <w:t>printre atribuțiile principale ale Casei Naționale sunt: </w:t>
      </w:r>
      <w:r w:rsidR="00010189" w:rsidRPr="00E82CC1">
        <w:rPr>
          <w:rFonts w:asciiTheme="majorHAnsi" w:eastAsia="Times New Roman" w:hAnsiTheme="majorHAnsi" w:cstheme="majorHAnsi"/>
          <w:iCs/>
          <w:color w:val="000000"/>
          <w:sz w:val="24"/>
          <w:szCs w:val="24"/>
          <w:lang w:val="ro-RO"/>
        </w:rPr>
        <w:t>„gestionarea mijloacelor bugetului asigurărilor sociale de stat, administrarea patrimoniului public aflat în gestiune, asigurarea monitorizării riscurilor financiare şi bugetare şi principiilor de bună guvernare”</w:t>
      </w:r>
      <w:r w:rsidRPr="00E82CC1">
        <w:rPr>
          <w:rStyle w:val="a5"/>
          <w:rFonts w:asciiTheme="majorHAnsi" w:eastAsia="Times New Roman" w:hAnsiTheme="majorHAnsi" w:cstheme="majorHAnsi"/>
          <w:iCs/>
          <w:color w:val="000000"/>
          <w:sz w:val="24"/>
          <w:szCs w:val="24"/>
          <w:lang w:val="ro-RO"/>
        </w:rPr>
        <w:footnoteReference w:id="37"/>
      </w:r>
      <w:r w:rsidR="00535783" w:rsidRPr="00E82CC1">
        <w:rPr>
          <w:rFonts w:asciiTheme="majorHAnsi" w:eastAsia="Times New Roman" w:hAnsiTheme="majorHAnsi" w:cstheme="majorHAnsi"/>
          <w:iCs/>
          <w:color w:val="000000"/>
          <w:sz w:val="24"/>
          <w:szCs w:val="24"/>
          <w:lang w:val="ro-RO"/>
        </w:rPr>
        <w:t xml:space="preserve">, </w:t>
      </w:r>
      <w:r w:rsidRPr="00E82CC1">
        <w:rPr>
          <w:rFonts w:asciiTheme="majorHAnsi" w:eastAsia="Times New Roman" w:hAnsiTheme="majorHAnsi" w:cstheme="majorHAnsi"/>
          <w:iCs/>
          <w:color w:val="000000"/>
          <w:sz w:val="24"/>
          <w:szCs w:val="24"/>
          <w:lang w:val="ro-RO"/>
        </w:rPr>
        <w:t>domeniile de competență ale ASP constituie „t</w:t>
      </w:r>
      <w:r w:rsidRPr="00E82CC1">
        <w:rPr>
          <w:rFonts w:asciiTheme="majorHAnsi" w:eastAsia="Times New Roman" w:hAnsiTheme="majorHAnsi" w:cstheme="majorHAnsi"/>
          <w:color w:val="000000"/>
          <w:sz w:val="24"/>
          <w:szCs w:val="24"/>
          <w:lang w:val="ro-RO"/>
        </w:rPr>
        <w:t>ehnologia informației, evidența de stat și resursele informaționale de stat, inclusiv crearea, exploatarea și înregistrarea resurselor informaționale de stat, a sistemelor informaționale de stat, evidența de stat a populației...</w:t>
      </w:r>
      <w:r w:rsidR="00514E6A">
        <w:rPr>
          <w:rFonts w:asciiTheme="majorHAnsi" w:eastAsia="Times New Roman" w:hAnsiTheme="majorHAnsi" w:cstheme="majorHAnsi"/>
          <w:color w:val="000000"/>
          <w:sz w:val="24"/>
          <w:szCs w:val="24"/>
          <w:lang w:val="ro-RO"/>
        </w:rPr>
        <w:t xml:space="preserve"> </w:t>
      </w:r>
      <w:r w:rsidRPr="00E82CC1">
        <w:rPr>
          <w:rFonts w:asciiTheme="majorHAnsi" w:eastAsia="Times New Roman" w:hAnsiTheme="majorHAnsi" w:cstheme="majorHAnsi"/>
          <w:color w:val="000000"/>
          <w:sz w:val="24"/>
          <w:szCs w:val="24"/>
          <w:lang w:val="ro-RO"/>
        </w:rPr>
        <w:t>etc</w:t>
      </w:r>
      <w:r w:rsidR="00535783" w:rsidRPr="00E82CC1">
        <w:rPr>
          <w:rFonts w:asciiTheme="majorHAnsi" w:eastAsia="Times New Roman" w:hAnsiTheme="majorHAnsi" w:cstheme="majorHAnsi"/>
          <w:color w:val="000000"/>
          <w:sz w:val="24"/>
          <w:szCs w:val="24"/>
          <w:lang w:val="ro-RO"/>
        </w:rPr>
        <w:t>.”</w:t>
      </w:r>
      <w:r w:rsidR="00535783" w:rsidRPr="00E82CC1">
        <w:rPr>
          <w:rStyle w:val="a5"/>
          <w:rFonts w:asciiTheme="majorHAnsi" w:eastAsia="Times New Roman" w:hAnsiTheme="majorHAnsi" w:cstheme="majorHAnsi"/>
          <w:color w:val="000000"/>
          <w:sz w:val="24"/>
          <w:szCs w:val="24"/>
          <w:lang w:val="ro-RO"/>
        </w:rPr>
        <w:footnoteReference w:id="38"/>
      </w:r>
      <w:r w:rsidR="00535783" w:rsidRPr="00E82CC1">
        <w:rPr>
          <w:rFonts w:asciiTheme="majorHAnsi" w:eastAsia="Times New Roman" w:hAnsiTheme="majorHAnsi" w:cstheme="majorHAnsi"/>
          <w:color w:val="000000"/>
          <w:sz w:val="24"/>
          <w:szCs w:val="24"/>
          <w:lang w:val="ro-RO"/>
        </w:rPr>
        <w:t xml:space="preserve">, iar cele ale AGE </w:t>
      </w:r>
      <w:r w:rsidR="00B34A5B">
        <w:rPr>
          <w:rFonts w:asciiTheme="majorHAnsi" w:eastAsia="Times New Roman" w:hAnsiTheme="majorHAnsi" w:cstheme="majorHAnsi"/>
          <w:color w:val="000000"/>
          <w:sz w:val="24"/>
          <w:szCs w:val="24"/>
          <w:lang w:val="ro-RO"/>
        </w:rPr>
        <w:t xml:space="preserve">– </w:t>
      </w:r>
      <w:r w:rsidR="00535783" w:rsidRPr="00E82CC1">
        <w:rPr>
          <w:rFonts w:asciiTheme="majorHAnsi" w:eastAsia="Times New Roman" w:hAnsiTheme="majorHAnsi" w:cstheme="majorHAnsi"/>
          <w:color w:val="000000"/>
          <w:sz w:val="24"/>
          <w:szCs w:val="24"/>
          <w:lang w:val="ro-RO"/>
        </w:rPr>
        <w:t>„</w:t>
      </w:r>
      <w:r w:rsidR="00CE3B7F" w:rsidRPr="00E82CC1">
        <w:rPr>
          <w:rFonts w:asciiTheme="majorHAnsi" w:eastAsia="Times New Roman" w:hAnsiTheme="majorHAnsi" w:cstheme="majorHAnsi"/>
          <w:color w:val="000000"/>
          <w:sz w:val="24"/>
          <w:szCs w:val="24"/>
          <w:lang w:val="ro-RO"/>
        </w:rPr>
        <w:t>facilitarea dezvoltării serviciilor sectoriale și sistemelor informaționale de stat prin oferirea asistenței autorităților administrației publice”</w:t>
      </w:r>
      <w:r w:rsidR="007C62EA" w:rsidRPr="00E82CC1">
        <w:rPr>
          <w:rStyle w:val="a5"/>
          <w:rFonts w:asciiTheme="majorHAnsi" w:eastAsia="Times New Roman" w:hAnsiTheme="majorHAnsi" w:cstheme="majorHAnsi"/>
          <w:color w:val="000000"/>
          <w:sz w:val="24"/>
          <w:szCs w:val="24"/>
          <w:lang w:val="ro-RO"/>
        </w:rPr>
        <w:footnoteReference w:id="39"/>
      </w:r>
      <w:r w:rsidR="00CE3B7F" w:rsidRPr="00E82CC1">
        <w:rPr>
          <w:rFonts w:asciiTheme="majorHAnsi" w:eastAsia="Times New Roman" w:hAnsiTheme="majorHAnsi" w:cstheme="majorHAnsi"/>
          <w:color w:val="000000"/>
          <w:sz w:val="24"/>
          <w:szCs w:val="24"/>
          <w:lang w:val="ro-RO"/>
        </w:rPr>
        <w:t>.</w:t>
      </w:r>
    </w:p>
    <w:p w14:paraId="169241EA" w14:textId="390D92EB" w:rsidR="00010189" w:rsidRPr="00E82CC1" w:rsidRDefault="00010189" w:rsidP="00010189">
      <w:pPr>
        <w:shd w:val="clear" w:color="auto" w:fill="FFFFFF" w:themeFill="background1"/>
        <w:spacing w:after="0" w:line="276" w:lineRule="auto"/>
        <w:jc w:val="both"/>
        <w:rPr>
          <w:rFonts w:asciiTheme="majorHAnsi" w:eastAsia="Times New Roman" w:hAnsiTheme="majorHAnsi" w:cstheme="majorHAnsi"/>
          <w:color w:val="000000"/>
          <w:sz w:val="24"/>
          <w:szCs w:val="24"/>
          <w:lang w:val="ro-RO"/>
        </w:rPr>
      </w:pPr>
      <w:r w:rsidRPr="00E82CC1">
        <w:rPr>
          <w:rFonts w:asciiTheme="majorHAnsi" w:eastAsia="Times New Roman" w:hAnsiTheme="majorHAnsi" w:cstheme="majorHAnsi"/>
          <w:color w:val="000000"/>
          <w:sz w:val="24"/>
          <w:szCs w:val="24"/>
          <w:lang w:val="ro-RO"/>
        </w:rPr>
        <w:t xml:space="preserve">Astfel, reieșind din atribuțiile care revin </w:t>
      </w:r>
      <w:r w:rsidR="0042463C" w:rsidRPr="00E82CC1">
        <w:rPr>
          <w:rFonts w:asciiTheme="majorHAnsi" w:eastAsia="Times New Roman" w:hAnsiTheme="majorHAnsi" w:cstheme="majorHAnsi"/>
          <w:color w:val="000000"/>
          <w:sz w:val="24"/>
          <w:szCs w:val="24"/>
          <w:lang w:val="ro-RO"/>
        </w:rPr>
        <w:t xml:space="preserve">părților implicate, iar </w:t>
      </w:r>
      <w:r w:rsidRPr="00E82CC1">
        <w:rPr>
          <w:rFonts w:asciiTheme="majorHAnsi" w:eastAsia="Times New Roman" w:hAnsiTheme="majorHAnsi" w:cstheme="majorHAnsi"/>
          <w:color w:val="000000"/>
          <w:sz w:val="24"/>
          <w:szCs w:val="24"/>
          <w:lang w:val="ro-RO"/>
        </w:rPr>
        <w:t xml:space="preserve">cheltuielile menționate sunt suportate </w:t>
      </w:r>
      <w:r w:rsidR="0042463C" w:rsidRPr="00E82CC1">
        <w:rPr>
          <w:rFonts w:asciiTheme="majorHAnsi" w:eastAsia="Times New Roman" w:hAnsiTheme="majorHAnsi" w:cstheme="majorHAnsi"/>
          <w:color w:val="000000"/>
          <w:sz w:val="24"/>
          <w:szCs w:val="24"/>
          <w:lang w:val="ro-RO"/>
        </w:rPr>
        <w:t xml:space="preserve">doar </w:t>
      </w:r>
      <w:r w:rsidRPr="00E82CC1">
        <w:rPr>
          <w:rFonts w:asciiTheme="majorHAnsi" w:eastAsia="Times New Roman" w:hAnsiTheme="majorHAnsi" w:cstheme="majorHAnsi"/>
          <w:color w:val="000000"/>
          <w:sz w:val="24"/>
          <w:szCs w:val="24"/>
          <w:lang w:val="ro-RO"/>
        </w:rPr>
        <w:t xml:space="preserve">din bugetul pe care îl gestionează CNAS, evaluarea și eficientizarea, </w:t>
      </w:r>
      <w:r w:rsidR="0042463C" w:rsidRPr="00E82CC1">
        <w:rPr>
          <w:rFonts w:asciiTheme="majorHAnsi" w:eastAsia="Times New Roman" w:hAnsiTheme="majorHAnsi" w:cstheme="majorHAnsi"/>
          <w:color w:val="000000"/>
          <w:sz w:val="24"/>
          <w:szCs w:val="24"/>
          <w:lang w:val="ro-RO"/>
        </w:rPr>
        <w:t>de către</w:t>
      </w:r>
      <w:r w:rsidRPr="00E82CC1">
        <w:rPr>
          <w:rFonts w:asciiTheme="majorHAnsi" w:eastAsia="Times New Roman" w:hAnsiTheme="majorHAnsi" w:cstheme="majorHAnsi"/>
          <w:color w:val="000000"/>
          <w:sz w:val="24"/>
          <w:szCs w:val="24"/>
          <w:lang w:val="ro-RO"/>
        </w:rPr>
        <w:t xml:space="preserve"> părțile implicate, a procesului aferent schimbului de date privind decesul beneficiarilor, în scopul excluderii cheltuielilor nejustificate, este o necesitate imperativă. </w:t>
      </w:r>
    </w:p>
    <w:p w14:paraId="03F75ECA" w14:textId="77777777" w:rsidR="00010189" w:rsidRPr="00227D72" w:rsidRDefault="00010189" w:rsidP="00227D72">
      <w:pPr>
        <w:pStyle w:val="a9"/>
        <w:tabs>
          <w:tab w:val="left" w:pos="0"/>
          <w:tab w:val="left" w:pos="993"/>
          <w:tab w:val="left" w:pos="1276"/>
        </w:tabs>
        <w:spacing w:line="276" w:lineRule="auto"/>
        <w:ind w:left="0"/>
        <w:jc w:val="both"/>
        <w:rPr>
          <w:rFonts w:asciiTheme="majorHAnsi" w:eastAsia="Times New Roman" w:hAnsiTheme="majorHAnsi" w:cstheme="majorHAnsi"/>
          <w:b/>
          <w:sz w:val="24"/>
          <w:szCs w:val="24"/>
          <w:lang w:val="ro-RO" w:eastAsia="ru-RU"/>
        </w:rPr>
      </w:pPr>
    </w:p>
    <w:p w14:paraId="5CD51821" w14:textId="359E9350" w:rsidR="00227D72" w:rsidRPr="00046B6A" w:rsidRDefault="00227D72" w:rsidP="00227D72">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sidRPr="00046B6A">
        <w:rPr>
          <w:rFonts w:asciiTheme="majorHAnsi" w:hAnsiTheme="majorHAnsi" w:cstheme="majorHAnsi"/>
          <w:b/>
          <w:sz w:val="24"/>
          <w:szCs w:val="24"/>
          <w:lang w:val="ro-RO"/>
        </w:rPr>
        <w:t>Procesul de stopare a plății pensiei unor angajați din aviația civilă, în cazul reangajării în funcții în condiții speciale de muncă</w:t>
      </w:r>
      <w:r w:rsidR="005C2D79" w:rsidRPr="00046B6A">
        <w:rPr>
          <w:rFonts w:asciiTheme="majorHAnsi" w:hAnsiTheme="majorHAnsi" w:cstheme="majorHAnsi"/>
          <w:b/>
          <w:sz w:val="24"/>
          <w:szCs w:val="24"/>
          <w:lang w:val="ro-RO"/>
        </w:rPr>
        <w:t>,</w:t>
      </w:r>
      <w:r w:rsidRPr="00046B6A">
        <w:rPr>
          <w:rFonts w:asciiTheme="majorHAnsi" w:hAnsiTheme="majorHAnsi" w:cstheme="majorHAnsi"/>
          <w:b/>
          <w:sz w:val="24"/>
          <w:szCs w:val="24"/>
          <w:lang w:val="ro-RO"/>
        </w:rPr>
        <w:t xml:space="preserve"> este ambiguu, ceea ce a determinat cheltuieli nejustificate în unele cazuri</w:t>
      </w:r>
      <w:r w:rsidR="005C2D79" w:rsidRPr="00046B6A">
        <w:rPr>
          <w:rFonts w:asciiTheme="majorHAnsi" w:hAnsiTheme="majorHAnsi" w:cstheme="majorHAnsi"/>
          <w:b/>
          <w:sz w:val="24"/>
          <w:szCs w:val="24"/>
          <w:lang w:val="ro-RO"/>
        </w:rPr>
        <w:t>.</w:t>
      </w:r>
      <w:r w:rsidRPr="00046B6A">
        <w:rPr>
          <w:rFonts w:asciiTheme="majorHAnsi" w:hAnsiTheme="majorHAnsi" w:cstheme="majorHAnsi"/>
          <w:b/>
          <w:sz w:val="24"/>
          <w:szCs w:val="24"/>
          <w:lang w:val="ro-RO"/>
        </w:rPr>
        <w:t xml:space="preserve"> </w:t>
      </w:r>
    </w:p>
    <w:p w14:paraId="760B822E" w14:textId="4AF7E5F8" w:rsidR="00227D72" w:rsidRPr="00046B6A" w:rsidRDefault="00227D72" w:rsidP="00227D72">
      <w:pPr>
        <w:tabs>
          <w:tab w:val="left" w:pos="851"/>
        </w:tabs>
        <w:spacing w:line="276" w:lineRule="auto"/>
        <w:jc w:val="both"/>
        <w:rPr>
          <w:rFonts w:asciiTheme="majorHAnsi" w:hAnsiTheme="majorHAnsi" w:cstheme="majorHAnsi"/>
          <w:sz w:val="24"/>
          <w:szCs w:val="24"/>
          <w:lang w:val="ro-RO"/>
        </w:rPr>
      </w:pPr>
      <w:r w:rsidRPr="00046B6A">
        <w:rPr>
          <w:rFonts w:asciiTheme="majorHAnsi" w:hAnsiTheme="majorHAnsi" w:cstheme="majorHAnsi"/>
          <w:sz w:val="24"/>
          <w:szCs w:val="24"/>
          <w:lang w:val="ro-RO"/>
        </w:rPr>
        <w:t>Pentru asigurarea dreptului la pensie unor categorii de angajați din aviația civilă</w:t>
      </w:r>
      <w:r w:rsidR="005C2D79"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 xml:space="preserve"> din bugetul asigurărilor sociale de stat în anul 2021 cheltuielile efective au constituit 62 053,3  mii lei</w:t>
      </w:r>
      <w:r w:rsidRPr="00046B6A">
        <w:rPr>
          <w:rFonts w:asciiTheme="majorHAnsi" w:hAnsiTheme="majorHAnsi" w:cstheme="majorHAnsi"/>
          <w:color w:val="000000"/>
          <w:vertAlign w:val="superscript"/>
          <w:lang w:val="ro-RO"/>
        </w:rPr>
        <w:footnoteReference w:id="40"/>
      </w:r>
      <w:r w:rsidRPr="00046B6A">
        <w:rPr>
          <w:rFonts w:asciiTheme="majorHAnsi" w:hAnsiTheme="majorHAnsi" w:cstheme="majorHAnsi"/>
          <w:sz w:val="24"/>
          <w:szCs w:val="24"/>
          <w:lang w:val="ro-RO"/>
        </w:rPr>
        <w:t>.</w:t>
      </w:r>
    </w:p>
    <w:p w14:paraId="328E0789" w14:textId="3120C439" w:rsidR="00227D72" w:rsidRPr="00046B6A" w:rsidRDefault="005C2D79" w:rsidP="00227D72">
      <w:pPr>
        <w:spacing w:line="276" w:lineRule="auto"/>
        <w:jc w:val="both"/>
        <w:rPr>
          <w:rFonts w:asciiTheme="majorHAnsi" w:hAnsiTheme="majorHAnsi" w:cstheme="majorHAnsi"/>
          <w:sz w:val="24"/>
          <w:szCs w:val="24"/>
          <w:lang w:val="ro-RO"/>
        </w:rPr>
      </w:pPr>
      <w:r w:rsidRPr="00046B6A">
        <w:rPr>
          <w:rFonts w:asciiTheme="majorHAnsi" w:hAnsiTheme="majorHAnsi" w:cstheme="majorHAnsi"/>
          <w:sz w:val="24"/>
          <w:szCs w:val="24"/>
          <w:lang w:val="ro-RO"/>
        </w:rPr>
        <w:t>Ca</w:t>
      </w:r>
      <w:r w:rsidR="00227D72" w:rsidRPr="00046B6A">
        <w:rPr>
          <w:rFonts w:asciiTheme="majorHAnsi" w:hAnsiTheme="majorHAnsi" w:cstheme="majorHAnsi"/>
          <w:sz w:val="24"/>
          <w:szCs w:val="24"/>
          <w:lang w:val="ro-RO"/>
        </w:rPr>
        <w:t xml:space="preserve"> rezultat</w:t>
      </w:r>
      <w:r w:rsidRPr="00046B6A">
        <w:rPr>
          <w:rFonts w:asciiTheme="majorHAnsi" w:hAnsiTheme="majorHAnsi" w:cstheme="majorHAnsi"/>
          <w:sz w:val="24"/>
          <w:szCs w:val="24"/>
          <w:lang w:val="ro-RO"/>
        </w:rPr>
        <w:t xml:space="preserve"> a</w:t>
      </w:r>
      <w:r w:rsidR="00227D72" w:rsidRPr="00046B6A">
        <w:rPr>
          <w:rFonts w:asciiTheme="majorHAnsi" w:hAnsiTheme="majorHAnsi" w:cstheme="majorHAnsi"/>
          <w:sz w:val="24"/>
          <w:szCs w:val="24"/>
          <w:lang w:val="ro-RO"/>
        </w:rPr>
        <w:t>l verificării a 30 de dosare de pensionare a</w:t>
      </w:r>
      <w:r w:rsidRPr="00046B6A">
        <w:rPr>
          <w:rFonts w:asciiTheme="majorHAnsi" w:hAnsiTheme="majorHAnsi" w:cstheme="majorHAnsi"/>
          <w:sz w:val="24"/>
          <w:szCs w:val="24"/>
          <w:lang w:val="ro-RO"/>
        </w:rPr>
        <w:t>le</w:t>
      </w:r>
      <w:r w:rsidR="00227D72" w:rsidRPr="00046B6A">
        <w:rPr>
          <w:rFonts w:asciiTheme="majorHAnsi" w:hAnsiTheme="majorHAnsi" w:cstheme="majorHAnsi"/>
          <w:sz w:val="24"/>
          <w:szCs w:val="24"/>
          <w:lang w:val="ro-RO"/>
        </w:rPr>
        <w:t xml:space="preserve"> acestui contingent de beneficiari, pentru 4 din</w:t>
      </w:r>
      <w:r w:rsidRPr="00046B6A">
        <w:rPr>
          <w:rFonts w:asciiTheme="majorHAnsi" w:hAnsiTheme="majorHAnsi" w:cstheme="majorHAnsi"/>
          <w:sz w:val="24"/>
          <w:szCs w:val="24"/>
          <w:lang w:val="ro-RO"/>
        </w:rPr>
        <w:t>tre</w:t>
      </w:r>
      <w:r w:rsidR="00227D72" w:rsidRPr="00046B6A">
        <w:rPr>
          <w:rFonts w:asciiTheme="majorHAnsi" w:hAnsiTheme="majorHAnsi" w:cstheme="majorHAnsi"/>
          <w:sz w:val="24"/>
          <w:szCs w:val="24"/>
          <w:lang w:val="ro-RO"/>
        </w:rPr>
        <w:t xml:space="preserve"> ei s-au constatat supraplăți în sumă de 50,0 mii lei. Plățile se consideră necuvenite, deoarece beneficiarii care primeau pensie erau concomitent angajați în funcții în condiții speciale de muncă</w:t>
      </w:r>
      <w:r w:rsidR="00227D72" w:rsidRPr="00046B6A">
        <w:rPr>
          <w:rFonts w:asciiTheme="majorHAnsi" w:hAnsiTheme="majorHAnsi" w:cstheme="majorHAnsi"/>
          <w:vertAlign w:val="superscript"/>
          <w:lang w:val="ro-RO"/>
        </w:rPr>
        <w:footnoteReference w:id="41"/>
      </w:r>
      <w:r w:rsidR="00227D72" w:rsidRPr="00046B6A">
        <w:rPr>
          <w:rFonts w:asciiTheme="majorHAnsi" w:hAnsiTheme="majorHAnsi" w:cstheme="majorHAnsi"/>
          <w:sz w:val="24"/>
          <w:szCs w:val="24"/>
          <w:lang w:val="ro-RO"/>
        </w:rPr>
        <w:t>, ceea ce contravine normelor legale</w:t>
      </w:r>
      <w:r w:rsidR="00227D72" w:rsidRPr="00046B6A">
        <w:rPr>
          <w:rFonts w:asciiTheme="majorHAnsi" w:hAnsiTheme="majorHAnsi" w:cstheme="majorHAnsi"/>
          <w:vertAlign w:val="superscript"/>
          <w:lang w:val="ro-RO"/>
        </w:rPr>
        <w:footnoteReference w:id="42"/>
      </w:r>
      <w:r w:rsidR="00227D72" w:rsidRPr="00046B6A">
        <w:rPr>
          <w:rFonts w:asciiTheme="majorHAnsi" w:hAnsiTheme="majorHAnsi" w:cstheme="majorHAnsi"/>
          <w:sz w:val="24"/>
          <w:szCs w:val="24"/>
          <w:lang w:val="ro-RO"/>
        </w:rPr>
        <w:t>, potrivit căror</w:t>
      </w:r>
      <w:r w:rsidRPr="00046B6A">
        <w:rPr>
          <w:rFonts w:asciiTheme="majorHAnsi" w:hAnsiTheme="majorHAnsi" w:cstheme="majorHAnsi"/>
          <w:sz w:val="24"/>
          <w:szCs w:val="24"/>
          <w:lang w:val="ro-RO"/>
        </w:rPr>
        <w:t>a</w:t>
      </w:r>
      <w:r w:rsidR="00227D72" w:rsidRPr="00046B6A">
        <w:rPr>
          <w:rFonts w:asciiTheme="majorHAnsi" w:hAnsiTheme="majorHAnsi" w:cstheme="majorHAnsi"/>
          <w:sz w:val="24"/>
          <w:szCs w:val="24"/>
          <w:lang w:val="ro-RO"/>
        </w:rPr>
        <w:t xml:space="preserve"> achitarea integrală a pensiei poate fi efectuată cu condiția încetării activității în funcția respectivă. </w:t>
      </w:r>
    </w:p>
    <w:p w14:paraId="0DC3F11C" w14:textId="6E2DF036" w:rsidR="00227D72" w:rsidRPr="00046B6A" w:rsidRDefault="00227D72" w:rsidP="00227D72">
      <w:pPr>
        <w:spacing w:line="276" w:lineRule="auto"/>
        <w:jc w:val="both"/>
        <w:rPr>
          <w:rFonts w:asciiTheme="majorHAnsi" w:hAnsiTheme="majorHAnsi" w:cstheme="majorHAnsi"/>
          <w:i/>
          <w:sz w:val="24"/>
          <w:szCs w:val="24"/>
          <w:lang w:val="ro-RO"/>
        </w:rPr>
      </w:pPr>
      <w:r w:rsidRPr="00046B6A">
        <w:rPr>
          <w:rFonts w:asciiTheme="majorHAnsi" w:hAnsiTheme="majorHAnsi" w:cstheme="majorHAnsi"/>
          <w:i/>
          <w:sz w:val="24"/>
          <w:szCs w:val="24"/>
          <w:lang w:val="ro-RO"/>
        </w:rPr>
        <w:t>Notă: La etapa identificării supraplăților</w:t>
      </w:r>
      <w:r w:rsidR="005C2D79" w:rsidRPr="00046B6A">
        <w:rPr>
          <w:rFonts w:asciiTheme="majorHAnsi" w:hAnsiTheme="majorHAnsi" w:cstheme="majorHAnsi"/>
          <w:i/>
          <w:sz w:val="24"/>
          <w:szCs w:val="24"/>
          <w:lang w:val="ro-RO"/>
        </w:rPr>
        <w:t>,</w:t>
      </w:r>
      <w:r w:rsidRPr="00046B6A">
        <w:rPr>
          <w:rFonts w:asciiTheme="majorHAnsi" w:hAnsiTheme="majorHAnsi" w:cstheme="majorHAnsi"/>
          <w:i/>
          <w:sz w:val="24"/>
          <w:szCs w:val="24"/>
          <w:lang w:val="ro-RO"/>
        </w:rPr>
        <w:t xml:space="preserve"> CNAS inițiase procedura de restituire a sumelor achitate necuvenit pentru cei 4 beneficiari, prezentând procese-verbale de constatare a supraplăților/ decizii de restituire.</w:t>
      </w:r>
    </w:p>
    <w:p w14:paraId="31056696" w14:textId="3341B045" w:rsidR="00227D72" w:rsidRPr="00227D72" w:rsidRDefault="00227D72" w:rsidP="00227D72">
      <w:pPr>
        <w:spacing w:line="276" w:lineRule="auto"/>
        <w:jc w:val="both"/>
        <w:rPr>
          <w:rFonts w:asciiTheme="majorHAnsi" w:hAnsiTheme="majorHAnsi" w:cstheme="majorHAnsi"/>
          <w:sz w:val="24"/>
          <w:szCs w:val="24"/>
          <w:highlight w:val="green"/>
          <w:lang w:val="ro-RO"/>
        </w:rPr>
      </w:pPr>
      <w:r w:rsidRPr="00046B6A">
        <w:rPr>
          <w:rFonts w:asciiTheme="majorHAnsi" w:hAnsiTheme="majorHAnsi" w:cstheme="majorHAnsi"/>
          <w:sz w:val="24"/>
          <w:szCs w:val="24"/>
          <w:lang w:val="ro-RO"/>
        </w:rPr>
        <w:t>Concomitent, auditul a stabilit că pentru 2 beneficiari care</w:t>
      </w:r>
      <w:r w:rsidR="005C2D79"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 xml:space="preserve"> conform extrasului din cont și </w:t>
      </w:r>
      <w:r w:rsidR="005C2D79" w:rsidRPr="00046B6A">
        <w:rPr>
          <w:rFonts w:asciiTheme="majorHAnsi" w:hAnsiTheme="majorHAnsi" w:cstheme="majorHAnsi"/>
          <w:sz w:val="24"/>
          <w:szCs w:val="24"/>
          <w:lang w:val="ro-RO"/>
        </w:rPr>
        <w:t>C</w:t>
      </w:r>
      <w:r w:rsidRPr="00046B6A">
        <w:rPr>
          <w:rFonts w:asciiTheme="majorHAnsi" w:hAnsiTheme="majorHAnsi" w:cstheme="majorHAnsi"/>
          <w:sz w:val="24"/>
          <w:szCs w:val="24"/>
          <w:lang w:val="ro-RO"/>
        </w:rPr>
        <w:t>lasificatorului ocupațiilor</w:t>
      </w:r>
      <w:r w:rsidRPr="00046B6A">
        <w:rPr>
          <w:rFonts w:asciiTheme="majorHAnsi" w:hAnsiTheme="majorHAnsi" w:cstheme="majorHAnsi"/>
          <w:vertAlign w:val="superscript"/>
          <w:lang w:val="ro-RO"/>
        </w:rPr>
        <w:footnoteReference w:id="43"/>
      </w:r>
      <w:r w:rsidR="005C2D79"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 xml:space="preserve"> desfășoară activitate în funcți</w:t>
      </w:r>
      <w:r w:rsidR="00046B6A">
        <w:rPr>
          <w:rFonts w:asciiTheme="majorHAnsi" w:hAnsiTheme="majorHAnsi" w:cstheme="majorHAnsi"/>
          <w:sz w:val="24"/>
          <w:szCs w:val="24"/>
          <w:lang w:val="ro-RO"/>
        </w:rPr>
        <w:t>e</w:t>
      </w:r>
      <w:r w:rsidRPr="00046B6A">
        <w:rPr>
          <w:rFonts w:asciiTheme="majorHAnsi" w:hAnsiTheme="majorHAnsi" w:cstheme="majorHAnsi"/>
          <w:sz w:val="24"/>
          <w:szCs w:val="24"/>
          <w:lang w:val="ro-RO"/>
        </w:rPr>
        <w:t xml:space="preserve"> de dispecer de organizare a transportului aerian, iar potrivit cadrului legal</w:t>
      </w:r>
      <w:r w:rsidRPr="00046B6A">
        <w:rPr>
          <w:rFonts w:asciiTheme="majorHAnsi" w:hAnsiTheme="majorHAnsi" w:cstheme="majorHAnsi"/>
          <w:vertAlign w:val="superscript"/>
          <w:lang w:val="ro-RO"/>
        </w:rPr>
        <w:footnoteReference w:id="44"/>
      </w:r>
      <w:r w:rsidRPr="00046B6A">
        <w:rPr>
          <w:rFonts w:asciiTheme="majorHAnsi" w:hAnsiTheme="majorHAnsi" w:cstheme="majorHAnsi"/>
          <w:sz w:val="24"/>
          <w:szCs w:val="24"/>
          <w:lang w:val="ro-RO"/>
        </w:rPr>
        <w:t xml:space="preserve"> </w:t>
      </w:r>
      <w:r w:rsidR="005C2D79" w:rsidRPr="00046B6A">
        <w:rPr>
          <w:rFonts w:asciiTheme="majorHAnsi" w:hAnsiTheme="majorHAnsi" w:cstheme="majorHAnsi"/>
          <w:sz w:val="24"/>
          <w:szCs w:val="24"/>
          <w:lang w:val="ro-RO"/>
        </w:rPr>
        <w:t>această funcție este</w:t>
      </w:r>
      <w:r w:rsidRPr="00046B6A">
        <w:rPr>
          <w:rFonts w:asciiTheme="majorHAnsi" w:hAnsiTheme="majorHAnsi" w:cstheme="majorHAnsi"/>
          <w:sz w:val="24"/>
          <w:szCs w:val="24"/>
          <w:lang w:val="ro-RO"/>
        </w:rPr>
        <w:t xml:space="preserve"> calificat</w:t>
      </w:r>
      <w:r w:rsidR="005C2D79" w:rsidRPr="00046B6A">
        <w:rPr>
          <w:rFonts w:asciiTheme="majorHAnsi" w:hAnsiTheme="majorHAnsi" w:cstheme="majorHAnsi"/>
          <w:sz w:val="24"/>
          <w:szCs w:val="24"/>
          <w:lang w:val="ro-RO"/>
        </w:rPr>
        <w:t>ă</w:t>
      </w:r>
      <w:r w:rsidRPr="00046B6A">
        <w:rPr>
          <w:rFonts w:asciiTheme="majorHAnsi" w:hAnsiTheme="majorHAnsi" w:cstheme="majorHAnsi"/>
          <w:sz w:val="24"/>
          <w:szCs w:val="24"/>
          <w:lang w:val="ro-RO"/>
        </w:rPr>
        <w:t xml:space="preserve"> ca funcție din domeniul aviației în condiții speciale de muncă. În același timp, conform ordinelor de angajare</w:t>
      </w:r>
      <w:r w:rsidR="005C2D79" w:rsidRPr="00046B6A">
        <w:rPr>
          <w:rFonts w:asciiTheme="majorHAnsi" w:hAnsiTheme="majorHAnsi" w:cstheme="majorHAnsi"/>
          <w:sz w:val="24"/>
          <w:szCs w:val="24"/>
          <w:lang w:val="ro-RO"/>
        </w:rPr>
        <w:t>,</w:t>
      </w:r>
      <w:r w:rsidR="00002967" w:rsidRPr="00046B6A">
        <w:rPr>
          <w:rFonts w:asciiTheme="majorHAnsi" w:hAnsiTheme="majorHAnsi" w:cstheme="majorHAnsi"/>
          <w:sz w:val="24"/>
          <w:szCs w:val="24"/>
          <w:lang w:val="ro-RO"/>
        </w:rPr>
        <w:t xml:space="preserve"> </w:t>
      </w:r>
      <w:r w:rsidR="005C2D79" w:rsidRPr="00046B6A">
        <w:rPr>
          <w:rFonts w:asciiTheme="majorHAnsi" w:hAnsiTheme="majorHAnsi" w:cstheme="majorHAnsi"/>
          <w:sz w:val="24"/>
          <w:szCs w:val="24"/>
          <w:lang w:val="ro-RO"/>
        </w:rPr>
        <w:t xml:space="preserve">aceste persoane </w:t>
      </w:r>
      <w:r w:rsidRPr="00046B6A">
        <w:rPr>
          <w:rFonts w:asciiTheme="majorHAnsi" w:hAnsiTheme="majorHAnsi" w:cstheme="majorHAnsi"/>
          <w:sz w:val="24"/>
          <w:szCs w:val="24"/>
          <w:lang w:val="ro-RO"/>
        </w:rPr>
        <w:t>sunt încadra</w:t>
      </w:r>
      <w:r w:rsidR="005C2D79" w:rsidRPr="00046B6A">
        <w:rPr>
          <w:rFonts w:asciiTheme="majorHAnsi" w:hAnsiTheme="majorHAnsi" w:cstheme="majorHAnsi"/>
          <w:sz w:val="24"/>
          <w:szCs w:val="24"/>
          <w:lang w:val="ro-RO"/>
        </w:rPr>
        <w:t>te</w:t>
      </w:r>
      <w:r w:rsidRPr="00046B6A">
        <w:rPr>
          <w:rFonts w:asciiTheme="majorHAnsi" w:hAnsiTheme="majorHAnsi" w:cstheme="majorHAnsi"/>
          <w:sz w:val="24"/>
          <w:szCs w:val="24"/>
          <w:lang w:val="ro-RO"/>
        </w:rPr>
        <w:t xml:space="preserve"> în funcți</w:t>
      </w:r>
      <w:r w:rsidR="00046B6A">
        <w:rPr>
          <w:rFonts w:asciiTheme="majorHAnsi" w:hAnsiTheme="majorHAnsi" w:cstheme="majorHAnsi"/>
          <w:sz w:val="24"/>
          <w:szCs w:val="24"/>
          <w:lang w:val="ro-RO"/>
        </w:rPr>
        <w:t>e</w:t>
      </w:r>
      <w:r w:rsidRPr="00046B6A">
        <w:rPr>
          <w:rFonts w:asciiTheme="majorHAnsi" w:hAnsiTheme="majorHAnsi" w:cstheme="majorHAnsi"/>
          <w:sz w:val="24"/>
          <w:szCs w:val="24"/>
          <w:lang w:val="ro-RO"/>
        </w:rPr>
        <w:t xml:space="preserve"> de manager al centrului de control al zborului și</w:t>
      </w:r>
      <w:r w:rsidR="005C2D79"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 xml:space="preserve"> respectiv</w:t>
      </w:r>
      <w:r w:rsidR="005C2D79" w:rsidRPr="00046B6A">
        <w:rPr>
          <w:rFonts w:asciiTheme="majorHAnsi" w:hAnsiTheme="majorHAnsi" w:cstheme="majorHAnsi"/>
          <w:sz w:val="24"/>
          <w:szCs w:val="24"/>
          <w:lang w:val="ro-RO"/>
        </w:rPr>
        <w:t>,</w:t>
      </w:r>
      <w:r w:rsidRPr="00046B6A">
        <w:rPr>
          <w:rFonts w:asciiTheme="majorHAnsi" w:hAnsiTheme="majorHAnsi" w:cstheme="majorHAnsi"/>
          <w:sz w:val="24"/>
          <w:szCs w:val="24"/>
          <w:lang w:val="ro-RO"/>
        </w:rPr>
        <w:t xml:space="preserve">  manager pregătire și instruire personal din cadrul departamentului operațiuni de zbor, funcţii ce permit achitarea pensiei în continuare. Situația în cauză generează incertitudini asupra conformității achitării pensiei la conturile personale ale beneficiar</w:t>
      </w:r>
      <w:r w:rsidR="00002967" w:rsidRPr="00046B6A">
        <w:rPr>
          <w:rFonts w:asciiTheme="majorHAnsi" w:hAnsiTheme="majorHAnsi" w:cstheme="majorHAnsi"/>
          <w:sz w:val="24"/>
          <w:szCs w:val="24"/>
          <w:lang w:val="ro-RO"/>
        </w:rPr>
        <w:t>ilor</w:t>
      </w:r>
      <w:r w:rsidR="00046B6A" w:rsidRPr="00046B6A">
        <w:rPr>
          <w:rFonts w:asciiTheme="majorHAnsi" w:hAnsiTheme="majorHAnsi" w:cstheme="majorHAnsi"/>
          <w:sz w:val="24"/>
          <w:szCs w:val="24"/>
          <w:lang w:val="ro-RO"/>
        </w:rPr>
        <w:t xml:space="preserve">, </w:t>
      </w:r>
      <w:r w:rsidRPr="00046B6A">
        <w:rPr>
          <w:rFonts w:asciiTheme="majorHAnsi" w:hAnsiTheme="majorHAnsi" w:cstheme="majorHAnsi"/>
          <w:sz w:val="24"/>
          <w:szCs w:val="24"/>
          <w:lang w:val="ro-RO"/>
        </w:rPr>
        <w:t xml:space="preserve">în sumă de 678,4 mii lei, reieşind din </w:t>
      </w:r>
      <w:r w:rsidR="005C2D79" w:rsidRPr="00046B6A">
        <w:rPr>
          <w:rFonts w:asciiTheme="majorHAnsi" w:hAnsiTheme="majorHAnsi" w:cstheme="majorHAnsi"/>
          <w:sz w:val="24"/>
          <w:szCs w:val="24"/>
          <w:lang w:val="ro-RO"/>
        </w:rPr>
        <w:t xml:space="preserve">prezentarea </w:t>
      </w:r>
      <w:r w:rsidRPr="00046B6A">
        <w:rPr>
          <w:rFonts w:asciiTheme="majorHAnsi" w:hAnsiTheme="majorHAnsi" w:cstheme="majorHAnsi"/>
          <w:sz w:val="24"/>
          <w:szCs w:val="24"/>
          <w:lang w:val="ro-RO"/>
        </w:rPr>
        <w:t>informaţiei imprecise de către angajator. Totodată, persistă şi riscul de nevirare de către angajator la BASS a contribuţiei  în mărime deplină</w:t>
      </w:r>
      <w:r w:rsidRPr="00046B6A">
        <w:rPr>
          <w:rFonts w:asciiTheme="majorHAnsi" w:hAnsiTheme="majorHAnsi" w:cstheme="majorHAnsi"/>
          <w:vertAlign w:val="superscript"/>
          <w:lang w:val="ro-RO"/>
        </w:rPr>
        <w:footnoteReference w:id="45"/>
      </w:r>
      <w:r w:rsidRPr="00046B6A">
        <w:rPr>
          <w:rFonts w:asciiTheme="majorHAnsi" w:hAnsiTheme="majorHAnsi" w:cstheme="majorHAnsi"/>
          <w:sz w:val="24"/>
          <w:szCs w:val="24"/>
          <w:lang w:val="ro-RO"/>
        </w:rPr>
        <w:t>, de cca</w:t>
      </w:r>
      <w:r w:rsidR="005C2D79" w:rsidRPr="00046B6A">
        <w:rPr>
          <w:rFonts w:asciiTheme="majorHAnsi" w:hAnsiTheme="majorHAnsi" w:cstheme="majorHAnsi"/>
          <w:sz w:val="24"/>
          <w:szCs w:val="24"/>
          <w:lang w:val="ro-RO"/>
        </w:rPr>
        <w:t xml:space="preserve"> </w:t>
      </w:r>
      <w:r w:rsidRPr="00046B6A">
        <w:rPr>
          <w:rFonts w:asciiTheme="majorHAnsi" w:hAnsiTheme="majorHAnsi" w:cstheme="majorHAnsi"/>
          <w:sz w:val="24"/>
          <w:szCs w:val="24"/>
          <w:lang w:val="ro-RO"/>
        </w:rPr>
        <w:t xml:space="preserve">15,5 mii lei. </w:t>
      </w:r>
    </w:p>
    <w:p w14:paraId="373D50CD" w14:textId="20A4DE60" w:rsidR="00227D72" w:rsidRPr="009434E7" w:rsidRDefault="00227D72" w:rsidP="00227D72">
      <w:pPr>
        <w:spacing w:line="276" w:lineRule="auto"/>
        <w:jc w:val="both"/>
        <w:rPr>
          <w:rFonts w:asciiTheme="majorHAnsi" w:hAnsiTheme="majorHAnsi" w:cstheme="majorHAnsi"/>
          <w:sz w:val="24"/>
          <w:szCs w:val="24"/>
          <w:lang w:val="ro-RO"/>
        </w:rPr>
      </w:pPr>
      <w:r w:rsidRPr="009434E7">
        <w:rPr>
          <w:rFonts w:asciiTheme="majorHAnsi" w:hAnsiTheme="majorHAnsi" w:cstheme="majorHAnsi"/>
          <w:sz w:val="24"/>
          <w:szCs w:val="24"/>
          <w:lang w:val="ro-RO"/>
        </w:rPr>
        <w:t>De asemenea, în cazul altui pensionar, auditul a constatat că acesta era angajat în funcție în condiții speciale, iar în același timp beneficia de pensie. Totodată, contribuțiile de asigurări sociale erau achitate în mărimea ce corespund</w:t>
      </w:r>
      <w:r w:rsidR="005C2D79" w:rsidRPr="009434E7">
        <w:rPr>
          <w:rFonts w:asciiTheme="majorHAnsi" w:hAnsiTheme="majorHAnsi" w:cstheme="majorHAnsi"/>
          <w:sz w:val="24"/>
          <w:szCs w:val="24"/>
          <w:lang w:val="ro-RO"/>
        </w:rPr>
        <w:t>e</w:t>
      </w:r>
      <w:r w:rsidRPr="009434E7">
        <w:rPr>
          <w:rFonts w:asciiTheme="majorHAnsi" w:hAnsiTheme="majorHAnsi" w:cstheme="majorHAnsi"/>
          <w:sz w:val="24"/>
          <w:szCs w:val="24"/>
          <w:lang w:val="ro-RO"/>
        </w:rPr>
        <w:t xml:space="preserve"> funcție</w:t>
      </w:r>
      <w:r w:rsidR="005C2D79" w:rsidRPr="009434E7">
        <w:rPr>
          <w:rFonts w:asciiTheme="majorHAnsi" w:hAnsiTheme="majorHAnsi" w:cstheme="majorHAnsi"/>
          <w:sz w:val="24"/>
          <w:szCs w:val="24"/>
          <w:lang w:val="ro-RO"/>
        </w:rPr>
        <w:t>i</w:t>
      </w:r>
      <w:r w:rsidRPr="009434E7">
        <w:rPr>
          <w:rFonts w:asciiTheme="majorHAnsi" w:hAnsiTheme="majorHAnsi" w:cstheme="majorHAnsi"/>
          <w:sz w:val="24"/>
          <w:szCs w:val="24"/>
          <w:lang w:val="ro-RO"/>
        </w:rPr>
        <w:t xml:space="preserve"> din domeniul aviației în condiții speciale de muncă (32%), respectiv nu avea dreptul la pensie.</w:t>
      </w:r>
      <w:r w:rsidRPr="009434E7" w:rsidDel="00E04EF5">
        <w:rPr>
          <w:rFonts w:asciiTheme="majorHAnsi" w:hAnsiTheme="majorHAnsi" w:cstheme="majorHAnsi"/>
          <w:sz w:val="24"/>
          <w:szCs w:val="24"/>
          <w:lang w:val="ro-RO"/>
        </w:rPr>
        <w:t xml:space="preserve"> </w:t>
      </w:r>
      <w:r w:rsidRPr="009434E7">
        <w:rPr>
          <w:rFonts w:asciiTheme="majorHAnsi" w:hAnsiTheme="majorHAnsi" w:cstheme="majorHAnsi"/>
          <w:sz w:val="24"/>
          <w:szCs w:val="24"/>
          <w:lang w:val="ro-RO"/>
        </w:rPr>
        <w:t xml:space="preserve">După identificarea erorii de </w:t>
      </w:r>
      <w:r w:rsidR="00002967" w:rsidRPr="009434E7">
        <w:rPr>
          <w:rFonts w:asciiTheme="majorHAnsi" w:hAnsiTheme="majorHAnsi" w:cstheme="majorHAnsi"/>
          <w:sz w:val="24"/>
          <w:szCs w:val="24"/>
          <w:lang w:val="ro-RO"/>
        </w:rPr>
        <w:t xml:space="preserve">către </w:t>
      </w:r>
      <w:r w:rsidRPr="009434E7">
        <w:rPr>
          <w:rFonts w:asciiTheme="majorHAnsi" w:hAnsiTheme="majorHAnsi" w:cstheme="majorHAnsi"/>
          <w:sz w:val="24"/>
          <w:szCs w:val="24"/>
          <w:lang w:val="ro-RO"/>
        </w:rPr>
        <w:t xml:space="preserve">audit, extrasul din cont a fost modificat/ajustat, astfel pentru perioadele de muncă declarate anterior (5 luni) </w:t>
      </w:r>
      <w:r w:rsidR="00002967" w:rsidRPr="009434E7">
        <w:rPr>
          <w:rFonts w:asciiTheme="majorHAnsi" w:hAnsiTheme="majorHAnsi" w:cstheme="majorHAnsi"/>
          <w:sz w:val="24"/>
          <w:szCs w:val="24"/>
          <w:lang w:val="ro-RO"/>
        </w:rPr>
        <w:t>în</w:t>
      </w:r>
      <w:r w:rsidRPr="009434E7">
        <w:rPr>
          <w:rFonts w:asciiTheme="majorHAnsi" w:hAnsiTheme="majorHAnsi" w:cstheme="majorHAnsi"/>
          <w:sz w:val="24"/>
          <w:szCs w:val="24"/>
          <w:lang w:val="ro-RO"/>
        </w:rPr>
        <w:t xml:space="preserve"> ace</w:t>
      </w:r>
      <w:r w:rsidR="00002967" w:rsidRPr="009434E7">
        <w:rPr>
          <w:rFonts w:asciiTheme="majorHAnsi" w:hAnsiTheme="majorHAnsi" w:cstheme="majorHAnsi"/>
          <w:sz w:val="24"/>
          <w:szCs w:val="24"/>
          <w:lang w:val="ro-RO"/>
        </w:rPr>
        <w:t>e</w:t>
      </w:r>
      <w:r w:rsidRPr="009434E7">
        <w:rPr>
          <w:rFonts w:asciiTheme="majorHAnsi" w:hAnsiTheme="majorHAnsi" w:cstheme="majorHAnsi"/>
          <w:sz w:val="24"/>
          <w:szCs w:val="24"/>
          <w:lang w:val="ro-RO"/>
        </w:rPr>
        <w:t>ași funcție</w:t>
      </w:r>
      <w:r w:rsidRPr="009434E7">
        <w:rPr>
          <w:rStyle w:val="a5"/>
          <w:rFonts w:asciiTheme="majorHAnsi" w:hAnsiTheme="majorHAnsi" w:cstheme="majorHAnsi"/>
          <w:sz w:val="24"/>
          <w:szCs w:val="24"/>
          <w:lang w:val="ro-RO"/>
        </w:rPr>
        <w:footnoteReference w:id="46"/>
      </w:r>
      <w:r w:rsidRPr="009434E7">
        <w:rPr>
          <w:rFonts w:asciiTheme="majorHAnsi" w:hAnsiTheme="majorHAnsi" w:cstheme="majorHAnsi"/>
          <w:sz w:val="24"/>
          <w:szCs w:val="24"/>
          <w:lang w:val="ro-RO"/>
        </w:rPr>
        <w:t xml:space="preserve">, a </w:t>
      </w:r>
      <w:r w:rsidR="00002967" w:rsidRPr="009434E7">
        <w:rPr>
          <w:rFonts w:asciiTheme="majorHAnsi" w:hAnsiTheme="majorHAnsi" w:cstheme="majorHAnsi"/>
          <w:sz w:val="24"/>
          <w:szCs w:val="24"/>
          <w:lang w:val="ro-RO"/>
        </w:rPr>
        <w:t xml:space="preserve">fost </w:t>
      </w:r>
      <w:r w:rsidRPr="009434E7">
        <w:rPr>
          <w:rFonts w:asciiTheme="majorHAnsi" w:hAnsiTheme="majorHAnsi" w:cstheme="majorHAnsi"/>
          <w:sz w:val="24"/>
          <w:szCs w:val="24"/>
          <w:lang w:val="ro-RO"/>
        </w:rPr>
        <w:t>diminuat</w:t>
      </w:r>
      <w:r w:rsidR="00002967" w:rsidRPr="009434E7">
        <w:rPr>
          <w:rFonts w:asciiTheme="majorHAnsi" w:hAnsiTheme="majorHAnsi" w:cstheme="majorHAnsi"/>
          <w:sz w:val="24"/>
          <w:szCs w:val="24"/>
          <w:lang w:val="ro-RO"/>
        </w:rPr>
        <w:t>ă</w:t>
      </w:r>
      <w:r w:rsidRPr="009434E7">
        <w:rPr>
          <w:rFonts w:asciiTheme="majorHAnsi" w:hAnsiTheme="majorHAnsi" w:cstheme="majorHAnsi"/>
          <w:sz w:val="24"/>
          <w:szCs w:val="24"/>
          <w:lang w:val="ro-RO"/>
        </w:rPr>
        <w:t xml:space="preserve"> mărimea contribuției (24%), </w:t>
      </w:r>
      <w:r w:rsidR="00002967" w:rsidRPr="009434E7">
        <w:rPr>
          <w:rFonts w:asciiTheme="majorHAnsi" w:hAnsiTheme="majorHAnsi" w:cstheme="majorHAnsi"/>
          <w:sz w:val="24"/>
          <w:szCs w:val="24"/>
          <w:lang w:val="ro-RO"/>
        </w:rPr>
        <w:t xml:space="preserve">ceea </w:t>
      </w:r>
      <w:r w:rsidRPr="009434E7">
        <w:rPr>
          <w:rFonts w:asciiTheme="majorHAnsi" w:hAnsiTheme="majorHAnsi" w:cstheme="majorHAnsi"/>
          <w:sz w:val="24"/>
          <w:szCs w:val="24"/>
          <w:lang w:val="ro-RO"/>
        </w:rPr>
        <w:t xml:space="preserve">ce îi oferă </w:t>
      </w:r>
      <w:r w:rsidR="00002967" w:rsidRPr="009434E7">
        <w:rPr>
          <w:rFonts w:asciiTheme="majorHAnsi" w:hAnsiTheme="majorHAnsi" w:cstheme="majorHAnsi"/>
          <w:sz w:val="24"/>
          <w:szCs w:val="24"/>
          <w:lang w:val="ro-RO"/>
        </w:rPr>
        <w:t xml:space="preserve">persoanei </w:t>
      </w:r>
      <w:r w:rsidRPr="009434E7">
        <w:rPr>
          <w:rFonts w:asciiTheme="majorHAnsi" w:hAnsiTheme="majorHAnsi" w:cstheme="majorHAnsi"/>
          <w:sz w:val="24"/>
          <w:szCs w:val="24"/>
          <w:lang w:val="ro-RO"/>
        </w:rPr>
        <w:t>dreptul de a beneficia de pensie. Potrivit motivațiilor CNAS, extrasul a fost modificat deoarece s-a admis prezentarea eronată a datelor de către angajator. Circumstanțele în cauză au creat suspiciuni referitor la conformitatea achitării pensiei în sumă de 86,2 mii lei.</w:t>
      </w:r>
    </w:p>
    <w:p w14:paraId="465186D0" w14:textId="2F1DD5A5" w:rsidR="00227D72" w:rsidRPr="009434E7" w:rsidRDefault="00227D72" w:rsidP="00227D72">
      <w:pPr>
        <w:spacing w:line="276" w:lineRule="auto"/>
        <w:jc w:val="both"/>
        <w:rPr>
          <w:rFonts w:asciiTheme="majorHAnsi" w:hAnsiTheme="majorHAnsi" w:cstheme="majorHAnsi"/>
          <w:sz w:val="24"/>
          <w:szCs w:val="24"/>
          <w:lang w:val="ro-RO"/>
        </w:rPr>
      </w:pPr>
      <w:r w:rsidRPr="009434E7">
        <w:rPr>
          <w:rFonts w:asciiTheme="majorHAnsi" w:hAnsiTheme="majorHAnsi" w:cstheme="majorHAnsi"/>
          <w:sz w:val="24"/>
          <w:szCs w:val="24"/>
          <w:lang w:val="ro-RO"/>
        </w:rPr>
        <w:t>De menționat că</w:t>
      </w:r>
      <w:r w:rsidR="00002967" w:rsidRPr="009434E7">
        <w:rPr>
          <w:rFonts w:asciiTheme="majorHAnsi" w:hAnsiTheme="majorHAnsi" w:cstheme="majorHAnsi"/>
          <w:sz w:val="24"/>
          <w:szCs w:val="24"/>
          <w:lang w:val="ro-RO"/>
        </w:rPr>
        <w:t>,</w:t>
      </w:r>
      <w:r w:rsidRPr="009434E7">
        <w:rPr>
          <w:rFonts w:asciiTheme="majorHAnsi" w:hAnsiTheme="majorHAnsi" w:cstheme="majorHAnsi"/>
          <w:sz w:val="24"/>
          <w:szCs w:val="24"/>
          <w:lang w:val="ro-RO"/>
        </w:rPr>
        <w:t xml:space="preserve"> potrivit cadrului normativ, beneficiarul este obligat să comunice în termen de 30 de zile organului de asigurări sociale care efectuează plata pensiei, noile circumstanţe care pot avea ca urmare suspendarea plăţii pensiei</w:t>
      </w:r>
      <w:r w:rsidRPr="009434E7">
        <w:rPr>
          <w:rStyle w:val="a5"/>
          <w:rFonts w:asciiTheme="majorHAnsi" w:hAnsiTheme="majorHAnsi" w:cstheme="majorHAnsi"/>
          <w:sz w:val="24"/>
          <w:szCs w:val="24"/>
          <w:lang w:val="ro-RO"/>
        </w:rPr>
        <w:footnoteReference w:id="47"/>
      </w:r>
      <w:r w:rsidRPr="009434E7">
        <w:rPr>
          <w:rFonts w:asciiTheme="majorHAnsi" w:hAnsiTheme="majorHAnsi" w:cstheme="majorHAnsi"/>
          <w:sz w:val="24"/>
          <w:szCs w:val="24"/>
          <w:lang w:val="ro-RO"/>
        </w:rPr>
        <w:t>. Astfel, se relevă că</w:t>
      </w:r>
      <w:r w:rsidR="00002967" w:rsidRPr="009434E7">
        <w:rPr>
          <w:rFonts w:asciiTheme="majorHAnsi" w:hAnsiTheme="majorHAnsi" w:cstheme="majorHAnsi"/>
          <w:sz w:val="24"/>
          <w:szCs w:val="24"/>
          <w:lang w:val="ro-RO"/>
        </w:rPr>
        <w:t>,</w:t>
      </w:r>
      <w:r w:rsidRPr="009434E7">
        <w:rPr>
          <w:rFonts w:asciiTheme="majorHAnsi" w:hAnsiTheme="majorHAnsi" w:cstheme="majorHAnsi"/>
          <w:sz w:val="24"/>
          <w:szCs w:val="24"/>
          <w:lang w:val="ro-RO"/>
        </w:rPr>
        <w:t xml:space="preserve"> deși în cadrul CNAS există un mecanism de control cu formarea unor liste ale beneficiarilor de pensii, angajaţi/reangajaţi conform datelor înscrise în contul personal de asigurări sociale prezentate de către angajator, entitatea nu dispune de pârghii de control asupra conformității reflectării acestora în extrasele din cont pentru toți beneficiarii acestui contingent. </w:t>
      </w:r>
    </w:p>
    <w:p w14:paraId="40ADB832" w14:textId="54BE5F57" w:rsidR="00227D72" w:rsidRPr="00227D72" w:rsidRDefault="00227D72" w:rsidP="00227D72">
      <w:pPr>
        <w:spacing w:line="276" w:lineRule="auto"/>
        <w:jc w:val="both"/>
        <w:rPr>
          <w:rFonts w:asciiTheme="majorHAnsi" w:eastAsia="Times New Roman" w:hAnsiTheme="majorHAnsi" w:cstheme="majorHAnsi"/>
          <w:color w:val="000000"/>
          <w:sz w:val="24"/>
          <w:szCs w:val="24"/>
          <w:lang w:val="ro-RO"/>
        </w:rPr>
      </w:pPr>
      <w:r w:rsidRPr="009434E7">
        <w:rPr>
          <w:rFonts w:asciiTheme="majorHAnsi" w:hAnsiTheme="majorHAnsi" w:cstheme="majorHAnsi"/>
          <w:sz w:val="24"/>
          <w:szCs w:val="24"/>
          <w:lang w:val="ro-RO"/>
        </w:rPr>
        <w:t xml:space="preserve">În </w:t>
      </w:r>
      <w:r w:rsidR="003C2BFD" w:rsidRPr="009434E7">
        <w:rPr>
          <w:rFonts w:asciiTheme="majorHAnsi" w:hAnsiTheme="majorHAnsi" w:cstheme="majorHAnsi"/>
          <w:sz w:val="24"/>
          <w:szCs w:val="24"/>
          <w:lang w:val="ro-RO"/>
        </w:rPr>
        <w:t xml:space="preserve">acest </w:t>
      </w:r>
      <w:r w:rsidRPr="009434E7">
        <w:rPr>
          <w:rFonts w:asciiTheme="majorHAnsi" w:hAnsiTheme="majorHAnsi" w:cstheme="majorHAnsi"/>
          <w:sz w:val="24"/>
          <w:szCs w:val="24"/>
          <w:lang w:val="ro-RO"/>
        </w:rPr>
        <w:t>context, auditul menționează că reglementările ambigue și depășite</w:t>
      </w:r>
      <w:r w:rsidRPr="009434E7">
        <w:rPr>
          <w:rStyle w:val="a5"/>
          <w:rFonts w:asciiTheme="majorHAnsi" w:hAnsiTheme="majorHAnsi" w:cstheme="majorHAnsi"/>
          <w:sz w:val="24"/>
          <w:szCs w:val="24"/>
          <w:lang w:val="ro-RO"/>
        </w:rPr>
        <w:footnoteReference w:id="48"/>
      </w:r>
      <w:r w:rsidRPr="009434E7">
        <w:rPr>
          <w:rFonts w:asciiTheme="majorHAnsi" w:hAnsiTheme="majorHAnsi" w:cstheme="majorHAnsi"/>
          <w:sz w:val="24"/>
          <w:szCs w:val="24"/>
          <w:lang w:val="ro-RO"/>
        </w:rPr>
        <w:t xml:space="preserve"> </w:t>
      </w:r>
      <w:r w:rsidRPr="009434E7">
        <w:rPr>
          <w:rFonts w:asciiTheme="majorHAnsi" w:eastAsia="Times New Roman" w:hAnsiTheme="majorHAnsi" w:cstheme="majorHAnsi"/>
          <w:color w:val="000000"/>
          <w:sz w:val="24"/>
          <w:szCs w:val="24"/>
          <w:lang w:val="ro-RO"/>
        </w:rPr>
        <w:t>creează incertitudini în aplicarea uniformă și exactă a prevederilor legale la determinarea funcțiilor pentru unii angajați din aviația civilă</w:t>
      </w:r>
      <w:r w:rsidR="003C2BFD" w:rsidRPr="009434E7">
        <w:rPr>
          <w:rFonts w:asciiTheme="majorHAnsi" w:eastAsia="Times New Roman" w:hAnsiTheme="majorHAnsi" w:cstheme="majorHAnsi"/>
          <w:color w:val="000000"/>
          <w:sz w:val="24"/>
          <w:szCs w:val="24"/>
          <w:lang w:val="ro-RO"/>
        </w:rPr>
        <w:t>,</w:t>
      </w:r>
      <w:r w:rsidRPr="009434E7">
        <w:rPr>
          <w:rFonts w:asciiTheme="majorHAnsi" w:eastAsia="Times New Roman" w:hAnsiTheme="majorHAnsi" w:cstheme="majorHAnsi"/>
          <w:color w:val="000000"/>
          <w:sz w:val="24"/>
          <w:szCs w:val="24"/>
          <w:lang w:val="ro-RO"/>
        </w:rPr>
        <w:t xml:space="preserve"> ce le-ar da dreptul la stabilirea pensie</w:t>
      </w:r>
      <w:r w:rsidR="003C2BFD" w:rsidRPr="009434E7">
        <w:rPr>
          <w:rFonts w:asciiTheme="majorHAnsi" w:eastAsia="Times New Roman" w:hAnsiTheme="majorHAnsi" w:cstheme="majorHAnsi"/>
          <w:color w:val="000000"/>
          <w:sz w:val="24"/>
          <w:szCs w:val="24"/>
          <w:lang w:val="ro-RO"/>
        </w:rPr>
        <w:t>i</w:t>
      </w:r>
      <w:r w:rsidRPr="009434E7">
        <w:rPr>
          <w:rFonts w:asciiTheme="majorHAnsi" w:eastAsia="Times New Roman" w:hAnsiTheme="majorHAnsi" w:cstheme="majorHAnsi"/>
          <w:color w:val="000000"/>
          <w:sz w:val="24"/>
          <w:szCs w:val="24"/>
          <w:lang w:val="ro-RO"/>
        </w:rPr>
        <w:t xml:space="preserve"> și generează riscul plății nejustificate a pensiei pentru această categorie de beneficiari.</w:t>
      </w:r>
      <w:r w:rsidRPr="00227D72">
        <w:rPr>
          <w:rFonts w:asciiTheme="majorHAnsi" w:eastAsia="Times New Roman" w:hAnsiTheme="majorHAnsi" w:cstheme="majorHAnsi"/>
          <w:color w:val="000000"/>
          <w:sz w:val="24"/>
          <w:szCs w:val="24"/>
          <w:lang w:val="ro-RO"/>
        </w:rPr>
        <w:t> </w:t>
      </w:r>
    </w:p>
    <w:p w14:paraId="60FEC634" w14:textId="40807742" w:rsidR="00011EF9" w:rsidRPr="00E82CC1" w:rsidRDefault="00011EF9" w:rsidP="00011EF9">
      <w:pPr>
        <w:pStyle w:val="a9"/>
        <w:numPr>
          <w:ilvl w:val="1"/>
          <w:numId w:val="15"/>
        </w:numPr>
        <w:spacing w:line="276" w:lineRule="auto"/>
        <w:ind w:left="0" w:firstLine="0"/>
        <w:contextualSpacing w:val="0"/>
        <w:jc w:val="both"/>
        <w:outlineLvl w:val="1"/>
        <w:rPr>
          <w:rFonts w:asciiTheme="majorHAnsi" w:hAnsiTheme="majorHAnsi" w:cstheme="majorHAnsi"/>
          <w:b/>
          <w:sz w:val="24"/>
          <w:lang w:val="ro-RO"/>
        </w:rPr>
      </w:pPr>
      <w:r w:rsidRPr="00E82CC1">
        <w:rPr>
          <w:rFonts w:asciiTheme="majorHAnsi" w:hAnsiTheme="majorHAnsi" w:cstheme="majorHAnsi"/>
          <w:b/>
          <w:sz w:val="24"/>
          <w:lang w:val="ro-RO"/>
        </w:rPr>
        <w:t xml:space="preserve">Insuficiența </w:t>
      </w:r>
      <w:r w:rsidR="00D27D66">
        <w:rPr>
          <w:rFonts w:asciiTheme="majorHAnsi" w:hAnsiTheme="majorHAnsi" w:cstheme="majorHAnsi"/>
          <w:b/>
          <w:sz w:val="24"/>
          <w:lang w:val="ro-RO"/>
        </w:rPr>
        <w:t>activităților de control intern</w:t>
      </w:r>
      <w:r w:rsidRPr="00E82CC1">
        <w:rPr>
          <w:rFonts w:asciiTheme="majorHAnsi" w:hAnsiTheme="majorHAnsi" w:cstheme="majorHAnsi"/>
          <w:b/>
          <w:sz w:val="24"/>
          <w:lang w:val="ro-RO"/>
        </w:rPr>
        <w:t xml:space="preserve"> la stabilirea indemnizațiilor pentru incapacitate temporară de muncă atât din cadrul CNAS</w:t>
      </w:r>
      <w:r w:rsidR="00021F2B">
        <w:rPr>
          <w:rFonts w:asciiTheme="majorHAnsi" w:hAnsiTheme="majorHAnsi" w:cstheme="majorHAnsi"/>
          <w:b/>
          <w:sz w:val="24"/>
          <w:lang w:val="ro-RO"/>
        </w:rPr>
        <w:t>,</w:t>
      </w:r>
      <w:r w:rsidRPr="00E82CC1">
        <w:rPr>
          <w:rFonts w:asciiTheme="majorHAnsi" w:hAnsiTheme="majorHAnsi" w:cstheme="majorHAnsi"/>
          <w:b/>
          <w:sz w:val="24"/>
          <w:lang w:val="ro-RO"/>
        </w:rPr>
        <w:t xml:space="preserve"> cât și din cadrul instituțiilor medicale, afectează indicatorii de executare </w:t>
      </w:r>
      <w:r w:rsidR="00021F2B">
        <w:rPr>
          <w:rFonts w:asciiTheme="majorHAnsi" w:hAnsiTheme="majorHAnsi" w:cstheme="majorHAnsi"/>
          <w:b/>
          <w:sz w:val="24"/>
          <w:lang w:val="ro-RO"/>
        </w:rPr>
        <w:t xml:space="preserve">a </w:t>
      </w:r>
      <w:r w:rsidRPr="00E82CC1">
        <w:rPr>
          <w:rFonts w:asciiTheme="majorHAnsi" w:hAnsiTheme="majorHAnsi" w:cstheme="majorHAnsi"/>
          <w:b/>
          <w:sz w:val="24"/>
          <w:lang w:val="ro-RO"/>
        </w:rPr>
        <w:t>BASS cu 348,3 mii lei, precum și calitatea serviciilor acordate.</w:t>
      </w:r>
    </w:p>
    <w:p w14:paraId="2906A9F6" w14:textId="6A917741" w:rsidR="00011EF9" w:rsidRPr="00E82CC1" w:rsidRDefault="00011EF9" w:rsidP="00011EF9">
      <w:pPr>
        <w:pStyle w:val="a6"/>
        <w:spacing w:line="276" w:lineRule="auto"/>
        <w:ind w:firstLine="0"/>
        <w:rPr>
          <w:rFonts w:asciiTheme="majorHAnsi" w:hAnsiTheme="majorHAnsi" w:cstheme="majorHAnsi"/>
          <w:lang w:val="ro-RO"/>
        </w:rPr>
      </w:pPr>
      <w:r w:rsidRPr="00E82CC1">
        <w:rPr>
          <w:rFonts w:asciiTheme="majorHAnsi" w:hAnsiTheme="majorHAnsi" w:cstheme="majorHAnsi"/>
          <w:lang w:val="ro-RO"/>
        </w:rPr>
        <w:t>În anul 2021 au fost executate 973,5 mil. lei pentru asigurarea dreptului la indemnizație pentru incapacitate temporară de muncă cauzată de boli obișnuite sau de accidente nelegate de muncă, cu 227,3 mil.lei mai mult decât în anul 2020. Totodată, acest indicator a fost precizat</w:t>
      </w:r>
      <w:r w:rsidRPr="00E82CC1">
        <w:rPr>
          <w:rFonts w:asciiTheme="majorHAnsi" w:eastAsiaTheme="majorEastAsia" w:hAnsiTheme="majorHAnsi" w:cstheme="majorHAnsi"/>
          <w:lang w:val="ro-RO"/>
        </w:rPr>
        <w:t xml:space="preserve"> </w:t>
      </w:r>
      <w:r w:rsidRPr="00E82CC1">
        <w:rPr>
          <w:rFonts w:asciiTheme="majorHAnsi" w:hAnsiTheme="majorHAnsi" w:cstheme="majorHAnsi"/>
          <w:lang w:val="ro-RO"/>
        </w:rPr>
        <w:t>cu 129,9 mil. lei mai mult decât cel aprobat la începutul anului. Creșterea semnificativă față de anul precedent, precum și precizările efectuate se explică prin numărul mare de infectări cu virusul Covid-19, precum și de beneficiari de indemnizațiile pentru carantină</w:t>
      </w:r>
      <w:r w:rsidRPr="00E82CC1">
        <w:rPr>
          <w:rStyle w:val="a5"/>
          <w:rFonts w:asciiTheme="majorHAnsi" w:eastAsiaTheme="majorEastAsia" w:hAnsiTheme="majorHAnsi" w:cstheme="majorHAnsi"/>
          <w:lang w:val="ro-RO"/>
        </w:rPr>
        <w:footnoteReference w:id="49"/>
      </w:r>
      <w:r w:rsidRPr="00E82CC1">
        <w:rPr>
          <w:rFonts w:asciiTheme="majorHAnsi" w:hAnsiTheme="majorHAnsi" w:cstheme="majorHAnsi"/>
          <w:lang w:val="ro-RO"/>
        </w:rPr>
        <w:t>.</w:t>
      </w:r>
    </w:p>
    <w:p w14:paraId="7FB2F983" w14:textId="6998F8F7" w:rsidR="00011EF9" w:rsidRPr="00E82CC1" w:rsidRDefault="00011EF9" w:rsidP="00011EF9">
      <w:pPr>
        <w:jc w:val="both"/>
        <w:rPr>
          <w:rFonts w:asciiTheme="majorHAnsi" w:hAnsiTheme="majorHAnsi" w:cstheme="majorHAnsi"/>
          <w:sz w:val="24"/>
          <w:lang w:val="ro-RO"/>
        </w:rPr>
      </w:pPr>
      <w:r w:rsidRPr="00E82CC1">
        <w:rPr>
          <w:rFonts w:asciiTheme="majorHAnsi" w:hAnsiTheme="majorHAnsi" w:cstheme="majorHAnsi"/>
          <w:sz w:val="24"/>
          <w:lang w:val="ro-RO"/>
        </w:rPr>
        <w:t>În cadrul auditării indemnizațiilor pentru incapacitate temporară de muncă, au fost verificate 127 decizii de stabilire. Astfel</w:t>
      </w:r>
      <w:r w:rsidR="00011B07">
        <w:rPr>
          <w:rFonts w:asciiTheme="majorHAnsi" w:hAnsiTheme="majorHAnsi" w:cstheme="majorHAnsi"/>
          <w:sz w:val="24"/>
          <w:lang w:val="ro-RO"/>
        </w:rPr>
        <w:t>,</w:t>
      </w:r>
      <w:r w:rsidRPr="00E82CC1">
        <w:rPr>
          <w:rFonts w:asciiTheme="majorHAnsi" w:hAnsiTheme="majorHAnsi" w:cstheme="majorHAnsi"/>
          <w:sz w:val="24"/>
          <w:lang w:val="ro-RO"/>
        </w:rPr>
        <w:t xml:space="preserve"> au fost identificate următoarele probleme</w:t>
      </w:r>
      <w:r w:rsidR="00011B07">
        <w:rPr>
          <w:rFonts w:asciiTheme="majorHAnsi" w:hAnsiTheme="majorHAnsi" w:cstheme="majorHAnsi"/>
          <w:sz w:val="24"/>
          <w:lang w:val="ro-RO"/>
        </w:rPr>
        <w:t>.</w:t>
      </w:r>
    </w:p>
    <w:p w14:paraId="101B0ACF" w14:textId="2C93FB57" w:rsidR="00011EF9" w:rsidRPr="003953D8" w:rsidRDefault="00011EF9" w:rsidP="00011EF9">
      <w:pPr>
        <w:pStyle w:val="a9"/>
        <w:numPr>
          <w:ilvl w:val="0"/>
          <w:numId w:val="22"/>
        </w:numPr>
        <w:spacing w:line="276" w:lineRule="auto"/>
        <w:ind w:left="0" w:firstLine="0"/>
        <w:jc w:val="both"/>
        <w:rPr>
          <w:rFonts w:asciiTheme="majorHAnsi" w:hAnsiTheme="majorHAnsi" w:cstheme="majorHAnsi"/>
          <w:b/>
          <w:i/>
          <w:sz w:val="24"/>
          <w:lang w:val="ro-RO"/>
        </w:rPr>
      </w:pPr>
      <w:r w:rsidRPr="00E82CC1">
        <w:rPr>
          <w:rFonts w:asciiTheme="majorHAnsi" w:hAnsiTheme="majorHAnsi" w:cstheme="majorHAnsi"/>
          <w:b/>
          <w:i/>
          <w:sz w:val="24"/>
          <w:lang w:val="ro-RO"/>
        </w:rPr>
        <w:t>Acordarea de către instituțiile medicale a indemnizației pentru carantină (prevenirea Covid-19) mai mult de 14 zile, contrar reglementărilor stabilite</w:t>
      </w:r>
      <w:r w:rsidRPr="00E82CC1">
        <w:rPr>
          <w:rStyle w:val="a5"/>
          <w:rFonts w:asciiTheme="majorHAnsi" w:hAnsiTheme="majorHAnsi" w:cstheme="majorHAnsi"/>
          <w:b/>
          <w:i/>
          <w:sz w:val="24"/>
          <w:lang w:val="ro-RO"/>
        </w:rPr>
        <w:footnoteReference w:id="50"/>
      </w:r>
      <w:r w:rsidR="00011B07">
        <w:rPr>
          <w:rFonts w:asciiTheme="majorHAnsi" w:hAnsiTheme="majorHAnsi" w:cstheme="majorHAnsi"/>
          <w:b/>
          <w:i/>
          <w:sz w:val="24"/>
          <w:lang w:val="ro-RO"/>
        </w:rPr>
        <w:t>,</w:t>
      </w:r>
      <w:r w:rsidRPr="00E82CC1">
        <w:rPr>
          <w:rFonts w:asciiTheme="majorHAnsi" w:hAnsiTheme="majorHAnsi" w:cstheme="majorHAnsi"/>
          <w:b/>
          <w:i/>
          <w:sz w:val="24"/>
          <w:lang w:val="ro-RO"/>
        </w:rPr>
        <w:t xml:space="preserve"> precum și eliberarea eronată a certificatelor de concediu medical, în cazul aflării în carantină a beneficiarului și ulterioara îmbolnăvire a acestuia, fără emiterea unui nou buletin, </w:t>
      </w:r>
      <w:r w:rsidRPr="003953D8">
        <w:rPr>
          <w:rFonts w:asciiTheme="majorHAnsi" w:hAnsiTheme="majorHAnsi" w:cstheme="majorHAnsi"/>
          <w:b/>
          <w:i/>
          <w:sz w:val="24"/>
          <w:lang w:val="ro-RO"/>
        </w:rPr>
        <w:t>ce delimitează boala de carantină, a</w:t>
      </w:r>
      <w:r w:rsidR="00011B07" w:rsidRPr="003953D8">
        <w:rPr>
          <w:rFonts w:asciiTheme="majorHAnsi" w:hAnsiTheme="majorHAnsi" w:cstheme="majorHAnsi"/>
          <w:b/>
          <w:i/>
          <w:sz w:val="24"/>
          <w:lang w:val="ro-RO"/>
        </w:rPr>
        <w:t>u</w:t>
      </w:r>
      <w:r w:rsidRPr="003953D8">
        <w:rPr>
          <w:rFonts w:asciiTheme="majorHAnsi" w:hAnsiTheme="majorHAnsi" w:cstheme="majorHAnsi"/>
          <w:b/>
          <w:i/>
          <w:sz w:val="24"/>
          <w:lang w:val="ro-RO"/>
        </w:rPr>
        <w:t xml:space="preserve"> cauzat cheltuieli nejustificate </w:t>
      </w:r>
      <w:r w:rsidR="00011B07" w:rsidRPr="003953D8">
        <w:rPr>
          <w:rFonts w:asciiTheme="majorHAnsi" w:hAnsiTheme="majorHAnsi" w:cstheme="majorHAnsi"/>
          <w:b/>
          <w:i/>
          <w:sz w:val="24"/>
          <w:lang w:val="ro-RO"/>
        </w:rPr>
        <w:t>din</w:t>
      </w:r>
      <w:r w:rsidRPr="003953D8">
        <w:rPr>
          <w:rFonts w:asciiTheme="majorHAnsi" w:hAnsiTheme="majorHAnsi" w:cstheme="majorHAnsi"/>
          <w:b/>
          <w:i/>
          <w:sz w:val="24"/>
          <w:lang w:val="ro-RO"/>
        </w:rPr>
        <w:t xml:space="preserve"> BASS în mărime de 26,9 mii lei</w:t>
      </w:r>
      <w:r w:rsidR="00011B07" w:rsidRPr="003953D8">
        <w:rPr>
          <w:rFonts w:asciiTheme="majorHAnsi" w:hAnsiTheme="majorHAnsi" w:cstheme="majorHAnsi"/>
          <w:b/>
          <w:i/>
          <w:sz w:val="24"/>
          <w:lang w:val="ro-RO"/>
        </w:rPr>
        <w:t>.</w:t>
      </w:r>
    </w:p>
    <w:p w14:paraId="787A502F" w14:textId="368E504F" w:rsidR="00011EF9" w:rsidRPr="00E82CC1" w:rsidRDefault="00011EF9" w:rsidP="00011EF9">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Odată cu declanșarea pandemiei, în scopul prevenirii îmbolnăvirilor, persoanel</w:t>
      </w:r>
      <w:r w:rsidR="00011B07">
        <w:rPr>
          <w:rFonts w:asciiTheme="majorHAnsi" w:hAnsiTheme="majorHAnsi" w:cstheme="majorHAnsi"/>
          <w:sz w:val="24"/>
          <w:szCs w:val="24"/>
          <w:lang w:val="ro-RO"/>
        </w:rPr>
        <w:t>or</w:t>
      </w:r>
      <w:r w:rsidRPr="00E82CC1">
        <w:rPr>
          <w:rFonts w:asciiTheme="majorHAnsi" w:hAnsiTheme="majorHAnsi" w:cstheme="majorHAnsi"/>
          <w:sz w:val="24"/>
          <w:szCs w:val="24"/>
          <w:lang w:val="ro-RO"/>
        </w:rPr>
        <w:t xml:space="preserve"> care au fost în contact direct cu un bolnav Covid-19 li se acordă un certificat de carantină pentru monitorizarea stării de sănătate timp de 14 zile la domiciliu. Mijloacele financiare pentru acoperirea acestei prestații </w:t>
      </w:r>
      <w:r w:rsidR="00011B07">
        <w:rPr>
          <w:rFonts w:asciiTheme="majorHAnsi" w:hAnsiTheme="majorHAnsi" w:cstheme="majorHAnsi"/>
          <w:sz w:val="24"/>
          <w:szCs w:val="24"/>
          <w:lang w:val="ro-RO"/>
        </w:rPr>
        <w:t>au fost</w:t>
      </w:r>
      <w:r w:rsidRPr="00E82CC1">
        <w:rPr>
          <w:rFonts w:asciiTheme="majorHAnsi" w:hAnsiTheme="majorHAnsi" w:cstheme="majorHAnsi"/>
          <w:sz w:val="24"/>
          <w:szCs w:val="24"/>
          <w:lang w:val="ro-RO"/>
        </w:rPr>
        <w:t xml:space="preserve"> suportate în totalitate din BASS</w:t>
      </w:r>
      <w:r w:rsidRPr="00E82CC1">
        <w:rPr>
          <w:rStyle w:val="a5"/>
          <w:rFonts w:asciiTheme="majorHAnsi" w:hAnsiTheme="majorHAnsi" w:cstheme="majorHAnsi"/>
          <w:sz w:val="24"/>
          <w:szCs w:val="24"/>
        </w:rPr>
        <w:footnoteReference w:id="51"/>
      </w:r>
      <w:r w:rsidRPr="00E82CC1">
        <w:rPr>
          <w:rFonts w:asciiTheme="majorHAnsi" w:hAnsiTheme="majorHAnsi" w:cstheme="majorHAnsi"/>
          <w:sz w:val="24"/>
          <w:szCs w:val="24"/>
          <w:lang w:val="ro-RO"/>
        </w:rPr>
        <w:t>.</w:t>
      </w:r>
      <w:r w:rsidRPr="00E82CC1">
        <w:rPr>
          <w:rFonts w:ascii="Times New Roman" w:hAnsi="Times New Roman" w:cs="Times New Roman"/>
          <w:sz w:val="24"/>
          <w:szCs w:val="24"/>
        </w:rPr>
        <w:t xml:space="preserve"> </w:t>
      </w:r>
    </w:p>
    <w:p w14:paraId="076302A1" w14:textId="69926376" w:rsidR="00011EF9" w:rsidRPr="00E82CC1" w:rsidRDefault="00011EF9" w:rsidP="00011EF9">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Astfel, din 64 </w:t>
      </w:r>
      <w:r w:rsidR="00011B07">
        <w:rPr>
          <w:rFonts w:asciiTheme="majorHAnsi" w:hAnsiTheme="majorHAnsi" w:cstheme="majorHAnsi"/>
          <w:sz w:val="24"/>
          <w:szCs w:val="24"/>
          <w:lang w:val="ro-RO"/>
        </w:rPr>
        <w:t xml:space="preserve">de </w:t>
      </w:r>
      <w:r w:rsidRPr="00E82CC1">
        <w:rPr>
          <w:rFonts w:asciiTheme="majorHAnsi" w:hAnsiTheme="majorHAnsi" w:cstheme="majorHAnsi"/>
          <w:sz w:val="24"/>
          <w:szCs w:val="24"/>
          <w:lang w:val="ro-RO"/>
        </w:rPr>
        <w:t>dosare analizate, s-a stabilit că</w:t>
      </w:r>
      <w:r w:rsidR="00011B07">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în 54 </w:t>
      </w:r>
      <w:r w:rsidR="00011B07">
        <w:rPr>
          <w:rFonts w:asciiTheme="majorHAnsi" w:hAnsiTheme="majorHAnsi" w:cstheme="majorHAnsi"/>
          <w:sz w:val="24"/>
          <w:szCs w:val="24"/>
          <w:lang w:val="ro-RO"/>
        </w:rPr>
        <w:t xml:space="preserve">de </w:t>
      </w:r>
      <w:r w:rsidRPr="00E82CC1">
        <w:rPr>
          <w:rFonts w:asciiTheme="majorHAnsi" w:hAnsiTheme="majorHAnsi" w:cstheme="majorHAnsi"/>
          <w:sz w:val="24"/>
          <w:szCs w:val="24"/>
          <w:lang w:val="ro-RO"/>
        </w:rPr>
        <w:t xml:space="preserve">cazuri, sau în 84,3%, persoanele s-au aflat în carantină de la 15 până la 30 </w:t>
      </w:r>
      <w:r w:rsidR="00011B07">
        <w:rPr>
          <w:rFonts w:asciiTheme="majorHAnsi" w:hAnsiTheme="majorHAnsi" w:cstheme="majorHAnsi"/>
          <w:sz w:val="24"/>
          <w:szCs w:val="24"/>
          <w:lang w:val="ro-RO"/>
        </w:rPr>
        <w:t xml:space="preserve">de </w:t>
      </w:r>
      <w:r w:rsidRPr="00E82CC1">
        <w:rPr>
          <w:rFonts w:asciiTheme="majorHAnsi" w:hAnsiTheme="majorHAnsi" w:cstheme="majorHAnsi"/>
          <w:sz w:val="24"/>
          <w:szCs w:val="24"/>
          <w:lang w:val="ro-RO"/>
        </w:rPr>
        <w:t xml:space="preserve">zile. Totodată, </w:t>
      </w:r>
      <w:r w:rsidR="00011B07">
        <w:rPr>
          <w:rFonts w:asciiTheme="majorHAnsi" w:hAnsiTheme="majorHAnsi" w:cstheme="majorHAnsi"/>
          <w:sz w:val="24"/>
          <w:szCs w:val="24"/>
          <w:lang w:val="ro-RO"/>
        </w:rPr>
        <w:t xml:space="preserve">ca </w:t>
      </w:r>
      <w:r w:rsidRPr="00E82CC1">
        <w:rPr>
          <w:rFonts w:asciiTheme="majorHAnsi" w:hAnsiTheme="majorHAnsi" w:cstheme="majorHAnsi"/>
          <w:sz w:val="24"/>
          <w:szCs w:val="24"/>
          <w:lang w:val="ro-RO"/>
        </w:rPr>
        <w:t>urmare a solicitării confirmărilor de la instituțiile medicale cu privire la tipul bolii și perioad</w:t>
      </w:r>
      <w:r w:rsidR="00011B07">
        <w:rPr>
          <w:rFonts w:asciiTheme="majorHAnsi" w:hAnsiTheme="majorHAnsi" w:cstheme="majorHAnsi"/>
          <w:sz w:val="24"/>
          <w:szCs w:val="24"/>
          <w:lang w:val="ro-RO"/>
        </w:rPr>
        <w:t>a</w:t>
      </w:r>
      <w:r w:rsidRPr="00E82CC1">
        <w:rPr>
          <w:rFonts w:asciiTheme="majorHAnsi" w:hAnsiTheme="majorHAnsi" w:cstheme="majorHAnsi"/>
          <w:sz w:val="24"/>
          <w:szCs w:val="24"/>
          <w:lang w:val="ro-RO"/>
        </w:rPr>
        <w:t xml:space="preserve"> de carantină, s-a stabilit eliberarea eronată a certificatului de concediu medical de către medicul de familie, pacienții pe perioada aflării în carantină au fost testați pozitiv la Covid-19 și au primit respectiv tratament sau pe parcursul carantinei au suferit de o altă maladie. </w:t>
      </w:r>
    </w:p>
    <w:p w14:paraId="7C688F29" w14:textId="1EFCF061" w:rsidR="00011EF9" w:rsidRPr="00E82CC1" w:rsidRDefault="00011EF9" w:rsidP="00011EF9">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Subsecvent, menționăm că</w:t>
      </w:r>
      <w:r w:rsidR="00011B07">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potrivit prevederilor legale</w:t>
      </w:r>
      <w:r w:rsidRPr="00E82CC1">
        <w:rPr>
          <w:rFonts w:asciiTheme="majorHAnsi" w:hAnsiTheme="majorHAnsi" w:cstheme="majorHAnsi"/>
          <w:vertAlign w:val="superscript"/>
          <w:lang w:val="ro-RO"/>
        </w:rPr>
        <w:footnoteReference w:id="52"/>
      </w:r>
      <w:r w:rsidRPr="00E82CC1">
        <w:rPr>
          <w:rFonts w:asciiTheme="majorHAnsi" w:hAnsiTheme="majorHAnsi" w:cstheme="majorHAnsi"/>
          <w:sz w:val="24"/>
          <w:szCs w:val="24"/>
          <w:lang w:val="ro-RO"/>
        </w:rPr>
        <w:t>, plata indemnizației pentru incapacitate temporară de muncă cauzată de boli obișnuite sau accidente nelegate de muncă, se efectuează după cum urmează:</w:t>
      </w:r>
    </w:p>
    <w:p w14:paraId="52490C55" w14:textId="77777777" w:rsidR="00011EF9" w:rsidRPr="00E82CC1" w:rsidRDefault="00011EF9" w:rsidP="00011EF9">
      <w:pPr>
        <w:pStyle w:val="a9"/>
        <w:numPr>
          <w:ilvl w:val="0"/>
          <w:numId w:val="39"/>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primele 5 zile calendaristice de incapacitate temporară de muncă se plătesc din mijloacele angajatorului, însă nu mai mult de 15 zile cumulative pe parcursul unui an calendaristic în cazul mai multor perioade de incapacitate de muncă;</w:t>
      </w:r>
    </w:p>
    <w:p w14:paraId="576AFD35" w14:textId="77777777" w:rsidR="00011EF9" w:rsidRPr="00E82CC1" w:rsidRDefault="00011EF9" w:rsidP="00011EF9">
      <w:pPr>
        <w:pStyle w:val="a9"/>
        <w:numPr>
          <w:ilvl w:val="0"/>
          <w:numId w:val="39"/>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începând cu a șasea zi calendaristică de incapacitate temporară de muncă, indemnizația se plătește din mijloacele bugetului asigurărilor sociale de stat.</w:t>
      </w:r>
    </w:p>
    <w:p w14:paraId="6BC8E008" w14:textId="1BBD2C11" w:rsidR="00011EF9" w:rsidRPr="00E82CC1" w:rsidRDefault="00011EF9" w:rsidP="00011EF9">
      <w:pPr>
        <w:spacing w:line="276" w:lineRule="auto"/>
        <w:jc w:val="both"/>
        <w:rPr>
          <w:rFonts w:asciiTheme="majorHAnsi" w:hAnsiTheme="majorHAnsi" w:cstheme="majorHAnsi"/>
          <w:i/>
          <w:sz w:val="24"/>
          <w:szCs w:val="24"/>
          <w:lang w:val="ro-MD"/>
        </w:rPr>
      </w:pPr>
      <w:r w:rsidRPr="00E82CC1">
        <w:rPr>
          <w:rFonts w:asciiTheme="majorHAnsi" w:hAnsiTheme="majorHAnsi" w:cstheme="majorHAnsi"/>
          <w:sz w:val="24"/>
          <w:szCs w:val="24"/>
          <w:lang w:val="ro-RO"/>
        </w:rPr>
        <w:t xml:space="preserve">În aceste condiții, instituțiile medicale nu au asigurat eliberarea </w:t>
      </w:r>
      <w:r w:rsidR="00011B07" w:rsidRPr="00E82CC1">
        <w:rPr>
          <w:rFonts w:asciiTheme="majorHAnsi" w:hAnsiTheme="majorHAnsi" w:cstheme="majorHAnsi"/>
          <w:sz w:val="24"/>
          <w:szCs w:val="24"/>
          <w:lang w:val="ro-RO"/>
        </w:rPr>
        <w:t>regulamentar</w:t>
      </w:r>
      <w:r w:rsidR="00011B07">
        <w:rPr>
          <w:rFonts w:asciiTheme="majorHAnsi" w:hAnsiTheme="majorHAnsi" w:cstheme="majorHAnsi"/>
          <w:sz w:val="24"/>
          <w:szCs w:val="24"/>
          <w:lang w:val="ro-RO"/>
        </w:rPr>
        <w:t xml:space="preserve">ă a </w:t>
      </w:r>
      <w:r w:rsidRPr="00E82CC1">
        <w:rPr>
          <w:rFonts w:asciiTheme="majorHAnsi" w:hAnsiTheme="majorHAnsi" w:cstheme="majorHAnsi"/>
          <w:sz w:val="24"/>
          <w:szCs w:val="24"/>
          <w:lang w:val="ro-RO"/>
        </w:rPr>
        <w:t>certificatelor de boală, cu perfectarea unui nou certificat cu diagnosticul „boală obișnuită”. Acestea au determinat stabilirea, calcularea și plata incorectă a sumei prestației privind incapacitatea temporară de muncă în sum</w:t>
      </w:r>
      <w:r w:rsidR="00011B07">
        <w:rPr>
          <w:rFonts w:asciiTheme="majorHAnsi" w:hAnsiTheme="majorHAnsi" w:cstheme="majorHAnsi"/>
          <w:sz w:val="24"/>
          <w:szCs w:val="24"/>
          <w:lang w:val="ro-RO"/>
        </w:rPr>
        <w:t>ă</w:t>
      </w:r>
      <w:r w:rsidRPr="00E82CC1">
        <w:rPr>
          <w:rFonts w:asciiTheme="majorHAnsi" w:hAnsiTheme="majorHAnsi" w:cstheme="majorHAnsi"/>
          <w:sz w:val="24"/>
          <w:szCs w:val="24"/>
          <w:lang w:val="ro-RO"/>
        </w:rPr>
        <w:t xml:space="preserve"> de 26,9 mii lei</w:t>
      </w:r>
      <w:r w:rsidR="00011B07">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cu impact asupra BASS. Totodată, </w:t>
      </w:r>
      <w:r w:rsidR="00011B07">
        <w:rPr>
          <w:rFonts w:asciiTheme="majorHAnsi" w:hAnsiTheme="majorHAnsi" w:cstheme="majorHAnsi"/>
          <w:sz w:val="24"/>
          <w:szCs w:val="24"/>
          <w:lang w:val="ro-RO"/>
        </w:rPr>
        <w:t xml:space="preserve">ca </w:t>
      </w:r>
      <w:r w:rsidRPr="00E82CC1">
        <w:rPr>
          <w:rFonts w:asciiTheme="majorHAnsi" w:hAnsiTheme="majorHAnsi" w:cstheme="majorHAnsi"/>
          <w:sz w:val="24"/>
          <w:szCs w:val="24"/>
          <w:lang w:val="ro-RO"/>
        </w:rPr>
        <w:t>urmare a solicitării listelor beneficiarilor de indemnizație de carantină pentru anul 2021, au fost identifica</w:t>
      </w:r>
      <w:r w:rsidR="00697015">
        <w:rPr>
          <w:rFonts w:asciiTheme="majorHAnsi" w:hAnsiTheme="majorHAnsi" w:cstheme="majorHAnsi"/>
          <w:sz w:val="24"/>
          <w:szCs w:val="24"/>
          <w:lang w:val="ro-RO"/>
        </w:rPr>
        <w:t>te</w:t>
      </w:r>
      <w:r w:rsidRPr="00E82CC1">
        <w:rPr>
          <w:rFonts w:asciiTheme="majorHAnsi" w:hAnsiTheme="majorHAnsi" w:cstheme="majorHAnsi"/>
          <w:sz w:val="24"/>
          <w:szCs w:val="24"/>
          <w:lang w:val="ro-RO"/>
        </w:rPr>
        <w:t xml:space="preserve"> 366 de decizii din totalul </w:t>
      </w:r>
      <w:r w:rsidR="00697015">
        <w:rPr>
          <w:rFonts w:asciiTheme="majorHAnsi" w:hAnsiTheme="majorHAnsi" w:cstheme="majorHAnsi"/>
          <w:sz w:val="24"/>
          <w:szCs w:val="24"/>
          <w:lang w:val="ro-RO"/>
        </w:rPr>
        <w:t xml:space="preserve">de </w:t>
      </w:r>
      <w:r w:rsidRPr="00E82CC1">
        <w:rPr>
          <w:rFonts w:asciiTheme="majorHAnsi" w:hAnsiTheme="majorHAnsi" w:cstheme="majorHAnsi"/>
          <w:sz w:val="24"/>
          <w:szCs w:val="24"/>
          <w:lang w:val="ro-RO"/>
        </w:rPr>
        <w:t>26</w:t>
      </w:r>
      <w:r w:rsidR="00697015">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 xml:space="preserve">970 aprobate </w:t>
      </w:r>
      <w:r w:rsidR="00697015">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tip carantină”, termenul incapacității de muncă fiind de la 15 până la 30 </w:t>
      </w:r>
      <w:r w:rsidR="00697015">
        <w:rPr>
          <w:rFonts w:asciiTheme="majorHAnsi" w:hAnsiTheme="majorHAnsi" w:cstheme="majorHAnsi"/>
          <w:sz w:val="24"/>
          <w:szCs w:val="24"/>
          <w:lang w:val="ro-RO"/>
        </w:rPr>
        <w:t xml:space="preserve">de </w:t>
      </w:r>
      <w:r w:rsidRPr="00E82CC1">
        <w:rPr>
          <w:rFonts w:asciiTheme="majorHAnsi" w:hAnsiTheme="majorHAnsi" w:cstheme="majorHAnsi"/>
          <w:sz w:val="24"/>
          <w:szCs w:val="24"/>
          <w:lang w:val="ro-RO"/>
        </w:rPr>
        <w:t xml:space="preserve">zile, </w:t>
      </w:r>
      <w:r w:rsidR="00697015">
        <w:rPr>
          <w:rFonts w:asciiTheme="majorHAnsi" w:hAnsiTheme="majorHAnsi" w:cstheme="majorHAnsi"/>
          <w:sz w:val="24"/>
          <w:szCs w:val="24"/>
          <w:lang w:val="ro-RO"/>
        </w:rPr>
        <w:t xml:space="preserve">iar </w:t>
      </w:r>
      <w:r w:rsidRPr="00E82CC1">
        <w:rPr>
          <w:rFonts w:asciiTheme="majorHAnsi" w:hAnsiTheme="majorHAnsi" w:cstheme="majorHAnsi"/>
          <w:sz w:val="24"/>
          <w:szCs w:val="24"/>
          <w:lang w:val="ro-RO"/>
        </w:rPr>
        <w:t>cheltuielile nejustificate estimate asupra BASS fiind de 337,9 mii lei.</w:t>
      </w:r>
      <w:r w:rsidRPr="00E82CC1">
        <w:rPr>
          <w:rFonts w:asciiTheme="majorHAnsi" w:hAnsiTheme="majorHAnsi" w:cstheme="majorHAnsi"/>
          <w:b/>
          <w:i/>
          <w:sz w:val="24"/>
          <w:szCs w:val="24"/>
          <w:lang w:val="ro-MD"/>
        </w:rPr>
        <w:t>Notă:</w:t>
      </w:r>
      <w:r w:rsidRPr="00E82CC1">
        <w:rPr>
          <w:rFonts w:asciiTheme="majorHAnsi" w:hAnsiTheme="majorHAnsi" w:cstheme="majorHAnsi"/>
          <w:i/>
          <w:sz w:val="24"/>
          <w:szCs w:val="24"/>
          <w:lang w:val="ro-MD"/>
        </w:rPr>
        <w:t xml:space="preserve"> pe parcursul misiunii de audit, în baza datelor din certificatele medicale modificate și transmise de prestatorii de asistență medicală, au fost corectate 11 decizii de stabilire a indemnizație</w:t>
      </w:r>
      <w:r w:rsidR="00697015">
        <w:rPr>
          <w:rFonts w:asciiTheme="majorHAnsi" w:hAnsiTheme="majorHAnsi" w:cstheme="majorHAnsi"/>
          <w:i/>
          <w:sz w:val="24"/>
          <w:szCs w:val="24"/>
          <w:lang w:val="ro-MD"/>
        </w:rPr>
        <w:t>i</w:t>
      </w:r>
      <w:r w:rsidRPr="00E82CC1">
        <w:rPr>
          <w:rFonts w:asciiTheme="majorHAnsi" w:hAnsiTheme="majorHAnsi" w:cstheme="majorHAnsi"/>
          <w:i/>
          <w:sz w:val="24"/>
          <w:szCs w:val="24"/>
          <w:lang w:val="ro-MD"/>
        </w:rPr>
        <w:t xml:space="preserve"> tip „carantină” în cadrul CTAS Basarabeasca și CTAS s</w:t>
      </w:r>
      <w:r w:rsidR="00697015">
        <w:rPr>
          <w:rFonts w:asciiTheme="majorHAnsi" w:hAnsiTheme="majorHAnsi" w:cstheme="majorHAnsi"/>
          <w:i/>
          <w:sz w:val="24"/>
          <w:szCs w:val="24"/>
          <w:lang w:val="ro-MD"/>
        </w:rPr>
        <w:t>ect</w:t>
      </w:r>
      <w:r w:rsidRPr="00E82CC1">
        <w:rPr>
          <w:rFonts w:asciiTheme="majorHAnsi" w:hAnsiTheme="majorHAnsi" w:cstheme="majorHAnsi"/>
          <w:i/>
          <w:sz w:val="24"/>
          <w:szCs w:val="24"/>
          <w:lang w:val="ro-MD"/>
        </w:rPr>
        <w:t>. R</w:t>
      </w:r>
      <w:r w:rsidR="00697015">
        <w:rPr>
          <w:rFonts w:asciiTheme="majorHAnsi" w:hAnsiTheme="majorHAnsi" w:cstheme="majorHAnsi"/>
          <w:i/>
          <w:sz w:val="24"/>
          <w:szCs w:val="24"/>
          <w:lang w:val="ro-MD"/>
        </w:rPr>
        <w:t>â</w:t>
      </w:r>
      <w:r w:rsidRPr="00E82CC1">
        <w:rPr>
          <w:rFonts w:asciiTheme="majorHAnsi" w:hAnsiTheme="majorHAnsi" w:cstheme="majorHAnsi"/>
          <w:i/>
          <w:sz w:val="24"/>
          <w:szCs w:val="24"/>
          <w:lang w:val="ro-MD"/>
        </w:rPr>
        <w:t>șcani, fiind efectuate ajustări în sumă de 13,4 mii lei.</w:t>
      </w:r>
    </w:p>
    <w:p w14:paraId="14479596" w14:textId="43504AF0" w:rsidR="00011EF9" w:rsidRPr="00E82CC1" w:rsidRDefault="00011EF9" w:rsidP="00011EF9">
      <w:pPr>
        <w:pStyle w:val="a9"/>
        <w:numPr>
          <w:ilvl w:val="0"/>
          <w:numId w:val="22"/>
        </w:numPr>
        <w:spacing w:line="276" w:lineRule="auto"/>
        <w:ind w:left="0" w:firstLine="0"/>
        <w:jc w:val="both"/>
        <w:rPr>
          <w:rFonts w:asciiTheme="majorHAnsi" w:hAnsiTheme="majorHAnsi" w:cstheme="majorHAnsi"/>
          <w:b/>
          <w:i/>
          <w:sz w:val="24"/>
          <w:lang w:val="ro-RO"/>
        </w:rPr>
      </w:pPr>
      <w:r w:rsidRPr="00E82CC1">
        <w:rPr>
          <w:rFonts w:asciiTheme="majorHAnsi" w:hAnsiTheme="majorHAnsi" w:cstheme="majorHAnsi"/>
          <w:b/>
          <w:i/>
          <w:sz w:val="24"/>
          <w:lang w:val="ro-RO"/>
        </w:rPr>
        <w:t xml:space="preserve">Introducerea eronată de către instituțiile medicale a informațiilor despre </w:t>
      </w:r>
      <w:r w:rsidR="000C01CB">
        <w:rPr>
          <w:rFonts w:asciiTheme="majorHAnsi" w:hAnsiTheme="majorHAnsi" w:cstheme="majorHAnsi"/>
          <w:b/>
          <w:i/>
          <w:sz w:val="24"/>
          <w:lang w:val="ro-RO"/>
        </w:rPr>
        <w:t>„</w:t>
      </w:r>
      <w:r w:rsidRPr="00E82CC1">
        <w:rPr>
          <w:rFonts w:asciiTheme="majorHAnsi" w:hAnsiTheme="majorHAnsi" w:cstheme="majorHAnsi"/>
          <w:b/>
          <w:i/>
          <w:sz w:val="24"/>
          <w:lang w:val="ro-RO"/>
        </w:rPr>
        <w:t>tipul bolii”, de alt tip decât cel de care a suferit beneficiarul</w:t>
      </w:r>
      <w:r w:rsidR="000C01CB">
        <w:rPr>
          <w:rFonts w:asciiTheme="majorHAnsi" w:hAnsiTheme="majorHAnsi" w:cstheme="majorHAnsi"/>
          <w:b/>
          <w:i/>
          <w:sz w:val="24"/>
          <w:lang w:val="ro-RO"/>
        </w:rPr>
        <w:t>,</w:t>
      </w:r>
      <w:r w:rsidRPr="00E82CC1">
        <w:rPr>
          <w:rFonts w:asciiTheme="majorHAnsi" w:hAnsiTheme="majorHAnsi" w:cstheme="majorHAnsi"/>
          <w:b/>
          <w:i/>
          <w:sz w:val="24"/>
          <w:lang w:val="ro-RO"/>
        </w:rPr>
        <w:t xml:space="preserve"> a determinat stabilirea, calcularea și plata neconformă a indemnizației pentru incapacitate de muncă de către CNAS, în sumă de 13,1 mii lei.</w:t>
      </w:r>
    </w:p>
    <w:p w14:paraId="19424694" w14:textId="18B8FB45" w:rsidR="00011EF9" w:rsidRPr="00E82CC1" w:rsidRDefault="00011EF9" w:rsidP="00011EF9">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Potrivit reglementărilor, cuantumul indemnizației pentru incapacitate temporară de muncă, cauzată de tuberculoză, SIDA, maladie oncologică este de 100% din baza de calcul stabilită</w:t>
      </w:r>
      <w:r w:rsidRPr="00E82CC1">
        <w:rPr>
          <w:rFonts w:asciiTheme="majorHAnsi" w:hAnsiTheme="majorHAnsi" w:cstheme="majorHAnsi"/>
          <w:sz w:val="24"/>
          <w:vertAlign w:val="superscript"/>
          <w:lang w:val="ro-RO"/>
        </w:rPr>
        <w:footnoteReference w:id="53"/>
      </w:r>
      <w:r w:rsidRPr="00E82CC1">
        <w:rPr>
          <w:rFonts w:asciiTheme="majorHAnsi" w:hAnsiTheme="majorHAnsi" w:cstheme="majorHAnsi"/>
          <w:sz w:val="24"/>
          <w:szCs w:val="24"/>
          <w:lang w:val="ro-RO"/>
        </w:rPr>
        <w:t>, iar plata se efectuează integral de la bugetul asigurărilor sociale de stat, începând cu prima zi calendaristică de incapacitate de muncă. Astfel, la verificarea a 51 decizii de stabilire a indemnizației pentru aceste tipuri de maladii, s-a stabilit că 14 decizii</w:t>
      </w:r>
      <w:r w:rsidR="000C01CB">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sau 27%, nu s-au încadrat în categoria celor plătite 100% din BASS, beneficiarii suferind de o </w:t>
      </w:r>
      <w:r w:rsidR="000C01CB">
        <w:rPr>
          <w:rFonts w:asciiTheme="majorHAnsi" w:hAnsiTheme="majorHAnsi" w:cstheme="majorHAnsi"/>
          <w:sz w:val="24"/>
          <w:szCs w:val="24"/>
          <w:lang w:val="ro-RO"/>
        </w:rPr>
        <w:t>„</w:t>
      </w:r>
      <w:r w:rsidRPr="00E82CC1">
        <w:rPr>
          <w:rFonts w:asciiTheme="majorHAnsi" w:hAnsiTheme="majorHAnsi" w:cstheme="majorHAnsi"/>
          <w:sz w:val="24"/>
          <w:szCs w:val="24"/>
          <w:lang w:val="ro-RO"/>
        </w:rPr>
        <w:t>boală obișnuită”. La solicitarea confirmărilor din partea instituțiilor medicale care au eliberat certificatul medical, acestea au informat că au fost admise erori la introducerea datelor despre tipul bolii. În acest context, auditul menționează că potrivit reglementărilor</w:t>
      </w:r>
      <w:r w:rsidRPr="00E82CC1">
        <w:rPr>
          <w:rStyle w:val="a5"/>
          <w:rFonts w:asciiTheme="majorHAnsi" w:hAnsiTheme="majorHAnsi" w:cstheme="majorHAnsi"/>
          <w:sz w:val="24"/>
          <w:szCs w:val="24"/>
          <w:lang w:val="ro-RO"/>
        </w:rPr>
        <w:footnoteReference w:id="54"/>
      </w:r>
      <w:r w:rsidRPr="00E82CC1">
        <w:rPr>
          <w:rFonts w:asciiTheme="majorHAnsi" w:hAnsiTheme="majorHAnsi" w:cstheme="majorHAnsi"/>
          <w:sz w:val="24"/>
          <w:szCs w:val="24"/>
          <w:lang w:val="ro-RO"/>
        </w:rPr>
        <w:t xml:space="preserve">, conducătorii instituțiilor medicale organizează </w:t>
      </w:r>
      <w:r w:rsidR="000C01CB">
        <w:rPr>
          <w:rFonts w:asciiTheme="majorHAnsi" w:hAnsiTheme="majorHAnsi" w:cstheme="majorHAnsi"/>
          <w:sz w:val="24"/>
          <w:szCs w:val="24"/>
          <w:lang w:val="ro-RO"/>
        </w:rPr>
        <w:t>prin</w:t>
      </w:r>
      <w:r w:rsidRPr="00E82CC1">
        <w:rPr>
          <w:rFonts w:asciiTheme="majorHAnsi" w:hAnsiTheme="majorHAnsi" w:cstheme="majorHAnsi"/>
          <w:sz w:val="24"/>
          <w:szCs w:val="24"/>
          <w:lang w:val="ro-RO"/>
        </w:rPr>
        <w:t xml:space="preserve"> răspundere personală, introducerea datelor în Portalul certificatelor de concediu medical și asigură verificarea, validarea și transmiterea electronică </w:t>
      </w:r>
      <w:r w:rsidR="000C01CB">
        <w:rPr>
          <w:rFonts w:asciiTheme="majorHAnsi" w:hAnsiTheme="majorHAnsi" w:cstheme="majorHAnsi"/>
          <w:sz w:val="24"/>
          <w:szCs w:val="24"/>
          <w:lang w:val="ro-RO"/>
        </w:rPr>
        <w:t xml:space="preserve">a informațiilor </w:t>
      </w:r>
      <w:r w:rsidRPr="00E82CC1">
        <w:rPr>
          <w:rFonts w:asciiTheme="majorHAnsi" w:hAnsiTheme="majorHAnsi" w:cstheme="majorHAnsi"/>
          <w:sz w:val="24"/>
          <w:szCs w:val="24"/>
          <w:lang w:val="ro-RO"/>
        </w:rPr>
        <w:t>la CNAS. Astfel, cele constatate de audit denotă deficiențe la organizarea controlului permanent asupra corectitudinii și plenitudinii datelor introduse care au impact direct asupra bugetului.</w:t>
      </w:r>
    </w:p>
    <w:p w14:paraId="1E9A6041" w14:textId="0C2C0182" w:rsidR="00011EF9" w:rsidRPr="00E82CC1" w:rsidRDefault="00F3559C" w:rsidP="00011EF9">
      <w:pPr>
        <w:pStyle w:val="a9"/>
        <w:numPr>
          <w:ilvl w:val="0"/>
          <w:numId w:val="22"/>
        </w:numPr>
        <w:spacing w:line="276" w:lineRule="auto"/>
        <w:ind w:left="0" w:firstLine="0"/>
        <w:jc w:val="both"/>
        <w:rPr>
          <w:rFonts w:asciiTheme="majorHAnsi" w:hAnsiTheme="majorHAnsi" w:cstheme="majorHAnsi"/>
          <w:b/>
          <w:i/>
          <w:sz w:val="24"/>
          <w:lang w:val="ro-RO"/>
        </w:rPr>
      </w:pPr>
      <w:r>
        <w:rPr>
          <w:rFonts w:asciiTheme="majorHAnsi" w:hAnsiTheme="majorHAnsi" w:cstheme="majorHAnsi"/>
          <w:b/>
          <w:i/>
          <w:sz w:val="24"/>
          <w:lang w:val="ro-RO"/>
        </w:rPr>
        <w:t>T</w:t>
      </w:r>
      <w:r w:rsidR="00011EF9" w:rsidRPr="00E82CC1">
        <w:rPr>
          <w:rFonts w:asciiTheme="majorHAnsi" w:hAnsiTheme="majorHAnsi" w:cstheme="majorHAnsi"/>
          <w:b/>
          <w:i/>
          <w:sz w:val="24"/>
          <w:lang w:val="ro-RO"/>
        </w:rPr>
        <w:t xml:space="preserve">ransmiterea tardivă de către instituțiile medicale a informației în Portalul certificatelor medicale într-un termen de până la 171 de zile </w:t>
      </w:r>
      <w:r w:rsidR="00011EF9" w:rsidRPr="00E82CC1">
        <w:rPr>
          <w:rFonts w:asciiTheme="majorHAnsi" w:hAnsiTheme="majorHAnsi" w:cstheme="majorHAnsi"/>
          <w:b/>
          <w:i/>
          <w:sz w:val="24"/>
          <w:szCs w:val="24"/>
          <w:lang w:val="ro-RO"/>
        </w:rPr>
        <w:t xml:space="preserve">și depășirea </w:t>
      </w:r>
      <w:r w:rsidR="006E7940" w:rsidRPr="00E82CC1">
        <w:rPr>
          <w:rFonts w:asciiTheme="majorHAnsi" w:hAnsiTheme="majorHAnsi" w:cstheme="majorHAnsi"/>
          <w:b/>
          <w:i/>
          <w:sz w:val="24"/>
          <w:szCs w:val="24"/>
          <w:lang w:val="ro-RO"/>
        </w:rPr>
        <w:t xml:space="preserve">de către CNAS </w:t>
      </w:r>
      <w:r w:rsidR="006E7940">
        <w:rPr>
          <w:rFonts w:asciiTheme="majorHAnsi" w:hAnsiTheme="majorHAnsi" w:cstheme="majorHAnsi"/>
          <w:b/>
          <w:i/>
          <w:sz w:val="24"/>
          <w:szCs w:val="24"/>
          <w:lang w:val="ro-RO"/>
        </w:rPr>
        <w:t xml:space="preserve">a </w:t>
      </w:r>
      <w:r w:rsidR="00011EF9" w:rsidRPr="00E82CC1">
        <w:rPr>
          <w:rFonts w:asciiTheme="majorHAnsi" w:hAnsiTheme="majorHAnsi" w:cstheme="majorHAnsi"/>
          <w:b/>
          <w:i/>
          <w:sz w:val="24"/>
          <w:szCs w:val="24"/>
          <w:lang w:val="ro-RO"/>
        </w:rPr>
        <w:t xml:space="preserve">termenului de stabilire a indemnizațiilor pentru incapacitate temporară de muncă cauzată de boli obișnuite până la 42 zile, afectează calitatea serviciilor acordate beneficiarilor și </w:t>
      </w:r>
      <w:r w:rsidR="00011EF9" w:rsidRPr="00E82CC1">
        <w:rPr>
          <w:rFonts w:asciiTheme="majorHAnsi" w:hAnsiTheme="majorHAnsi" w:cstheme="majorHAnsi"/>
          <w:b/>
          <w:bCs/>
          <w:i/>
          <w:iCs/>
          <w:sz w:val="24"/>
          <w:szCs w:val="24"/>
          <w:lang w:val="ro-RO"/>
        </w:rPr>
        <w:t>determin</w:t>
      </w:r>
      <w:r w:rsidR="006E7940">
        <w:rPr>
          <w:rFonts w:asciiTheme="majorHAnsi" w:hAnsiTheme="majorHAnsi" w:cstheme="majorHAnsi"/>
          <w:b/>
          <w:bCs/>
          <w:i/>
          <w:iCs/>
          <w:sz w:val="24"/>
          <w:szCs w:val="24"/>
          <w:lang w:val="ro-RO"/>
        </w:rPr>
        <w:t>ă</w:t>
      </w:r>
      <w:r w:rsidR="00011EF9" w:rsidRPr="00E82CC1">
        <w:rPr>
          <w:rFonts w:asciiTheme="majorHAnsi" w:hAnsiTheme="majorHAnsi" w:cstheme="majorHAnsi"/>
          <w:b/>
          <w:bCs/>
          <w:i/>
          <w:iCs/>
          <w:sz w:val="24"/>
          <w:szCs w:val="24"/>
          <w:lang w:val="ro-RO"/>
        </w:rPr>
        <w:t xml:space="preserve"> întârzierea calculării și neplata în termen a prestației sociale în sumă de 308,3 mii lei</w:t>
      </w:r>
      <w:r>
        <w:rPr>
          <w:rFonts w:asciiTheme="majorHAnsi" w:hAnsiTheme="majorHAnsi" w:cstheme="majorHAnsi"/>
          <w:b/>
          <w:bCs/>
          <w:i/>
          <w:iCs/>
          <w:sz w:val="24"/>
          <w:szCs w:val="24"/>
          <w:lang w:val="ro-RO"/>
        </w:rPr>
        <w:t>.</w:t>
      </w:r>
    </w:p>
    <w:p w14:paraId="236B51D7" w14:textId="02787AF0" w:rsidR="00011EF9" w:rsidRPr="00E82CC1" w:rsidRDefault="00011EF9" w:rsidP="00011EF9">
      <w:pPr>
        <w:pStyle w:val="a6"/>
        <w:spacing w:line="276" w:lineRule="auto"/>
        <w:ind w:firstLine="0"/>
        <w:rPr>
          <w:rFonts w:asciiTheme="majorHAnsi" w:eastAsiaTheme="minorHAnsi" w:hAnsiTheme="majorHAnsi" w:cstheme="majorHAnsi"/>
          <w:lang w:val="ro-RO"/>
        </w:rPr>
      </w:pPr>
      <w:r w:rsidRPr="00E82CC1">
        <w:rPr>
          <w:rFonts w:asciiTheme="majorHAnsi" w:eastAsiaTheme="minorHAnsi" w:hAnsiTheme="majorHAnsi" w:cstheme="majorHAnsi"/>
          <w:lang w:val="ro-RO"/>
        </w:rPr>
        <w:t>Începând cu 01.07.2019, indemnizațiile se stabilesc de către casele teritoriale în temeiul informației din certificatele medicale, transmise prin intermediul conexiunilor inter-sistemice securizate și autentificate prin semnătura electronică a persoanei responsabile din cadrul prestatorilor de asistență medicală. Ulterior, indemnizația se achită de către</w:t>
      </w:r>
      <w:r w:rsidR="00DB6B8E">
        <w:rPr>
          <w:rFonts w:asciiTheme="majorHAnsi" w:eastAsiaTheme="minorHAnsi" w:hAnsiTheme="majorHAnsi" w:cstheme="majorHAnsi"/>
          <w:lang w:val="ro-RO"/>
        </w:rPr>
        <w:t xml:space="preserve"> </w:t>
      </w:r>
      <w:r w:rsidRPr="00E82CC1">
        <w:rPr>
          <w:rFonts w:asciiTheme="majorHAnsi" w:eastAsiaTheme="minorHAnsi" w:hAnsiTheme="majorHAnsi" w:cstheme="majorHAnsi"/>
          <w:lang w:val="ro-RO"/>
        </w:rPr>
        <w:t>AGE prin intermediul prestatorilor de servicii de plată.</w:t>
      </w:r>
    </w:p>
    <w:p w14:paraId="672F6FBB" w14:textId="77777777" w:rsidR="00011EF9" w:rsidRPr="00E82CC1" w:rsidRDefault="00011EF9" w:rsidP="00011EF9">
      <w:pPr>
        <w:pStyle w:val="a6"/>
        <w:spacing w:line="276" w:lineRule="auto"/>
        <w:ind w:firstLine="0"/>
        <w:rPr>
          <w:rFonts w:asciiTheme="majorHAnsi" w:eastAsiaTheme="minorHAnsi" w:hAnsiTheme="majorHAnsi" w:cstheme="majorHAnsi"/>
          <w:lang w:val="ro-RO"/>
        </w:rPr>
      </w:pPr>
      <w:r w:rsidRPr="00E82CC1">
        <w:rPr>
          <w:noProof/>
          <w:lang w:val="ru-RU" w:eastAsia="ru-RU"/>
        </w:rPr>
        <w:drawing>
          <wp:inline distT="0" distB="0" distL="0" distR="0" wp14:anchorId="08E0AE87" wp14:editId="05EF680C">
            <wp:extent cx="5935980" cy="3025140"/>
            <wp:effectExtent l="0" t="0" r="64770" b="381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1DE55D7" w14:textId="77777777" w:rsidR="00011EF9" w:rsidRPr="00E82CC1" w:rsidRDefault="00011EF9" w:rsidP="00011EF9">
      <w:pPr>
        <w:pStyle w:val="a6"/>
        <w:spacing w:line="276" w:lineRule="auto"/>
        <w:ind w:left="360" w:firstLine="0"/>
        <w:rPr>
          <w:rFonts w:asciiTheme="majorHAnsi" w:eastAsiaTheme="minorHAnsi" w:hAnsiTheme="majorHAnsi" w:cstheme="majorHAnsi"/>
          <w:i/>
          <w:lang w:val="ro-RO"/>
        </w:rPr>
      </w:pPr>
      <w:r w:rsidRPr="00E82CC1">
        <w:rPr>
          <w:rFonts w:asciiTheme="majorHAnsi" w:eastAsiaTheme="minorHAnsi" w:hAnsiTheme="majorHAnsi" w:cstheme="majorHAnsi"/>
          <w:i/>
          <w:lang w:val="ro-RO"/>
        </w:rPr>
        <w:t>Figura nr.4 Procesul de recepționare a informației aferente concediilor medicale</w:t>
      </w:r>
    </w:p>
    <w:p w14:paraId="698FEB13" w14:textId="77777777" w:rsidR="00011EF9" w:rsidRPr="00E82CC1" w:rsidRDefault="00011EF9" w:rsidP="00011EF9">
      <w:pPr>
        <w:pStyle w:val="a6"/>
        <w:spacing w:line="276" w:lineRule="auto"/>
        <w:ind w:left="1080" w:firstLine="0"/>
        <w:rPr>
          <w:rFonts w:asciiTheme="majorHAnsi" w:eastAsiaTheme="minorHAnsi" w:hAnsiTheme="majorHAnsi" w:cstheme="majorHAnsi"/>
          <w:sz w:val="20"/>
          <w:szCs w:val="20"/>
          <w:lang w:val="ro-RO"/>
        </w:rPr>
      </w:pPr>
    </w:p>
    <w:p w14:paraId="513A2D2A" w14:textId="04CE62E6" w:rsidR="00011EF9" w:rsidRPr="007C496F" w:rsidRDefault="00011EF9" w:rsidP="00011EF9">
      <w:pPr>
        <w:spacing w:line="276" w:lineRule="auto"/>
        <w:jc w:val="both"/>
        <w:rPr>
          <w:rFonts w:asciiTheme="majorHAnsi" w:hAnsiTheme="majorHAnsi" w:cstheme="majorHAnsi"/>
          <w:sz w:val="24"/>
          <w:szCs w:val="24"/>
          <w:lang w:val="ro-RO"/>
        </w:rPr>
      </w:pPr>
      <w:r w:rsidRPr="007C496F">
        <w:rPr>
          <w:rFonts w:asciiTheme="majorHAnsi" w:hAnsiTheme="majorHAnsi" w:cstheme="majorHAnsi"/>
          <w:sz w:val="24"/>
          <w:lang w:val="ro-RO"/>
        </w:rPr>
        <w:t>Astfel, s-a constatat că</w:t>
      </w:r>
      <w:r w:rsidR="006E7940">
        <w:rPr>
          <w:rFonts w:asciiTheme="majorHAnsi" w:hAnsiTheme="majorHAnsi" w:cstheme="majorHAnsi"/>
          <w:sz w:val="24"/>
          <w:lang w:val="ro-RO"/>
        </w:rPr>
        <w:t>,</w:t>
      </w:r>
      <w:r w:rsidRPr="007C496F">
        <w:rPr>
          <w:rFonts w:asciiTheme="majorHAnsi" w:hAnsiTheme="majorHAnsi" w:cstheme="majorHAnsi"/>
          <w:sz w:val="24"/>
          <w:lang w:val="ro-RO"/>
        </w:rPr>
        <w:t xml:space="preserve"> pentru </w:t>
      </w:r>
      <w:r w:rsidRPr="007C496F">
        <w:rPr>
          <w:rFonts w:asciiTheme="majorHAnsi" w:hAnsiTheme="majorHAnsi" w:cstheme="majorHAnsi"/>
          <w:sz w:val="24"/>
          <w:szCs w:val="24"/>
          <w:lang w:val="ro-RO"/>
        </w:rPr>
        <w:t>61 de cazuri din 127 verificate, sau în 48%</w:t>
      </w:r>
      <w:r w:rsidR="007C496F">
        <w:rPr>
          <w:rFonts w:asciiTheme="majorHAnsi" w:hAnsiTheme="majorHAnsi" w:cstheme="majorHAnsi"/>
          <w:sz w:val="24"/>
          <w:szCs w:val="24"/>
          <w:lang w:val="ro-RO"/>
        </w:rPr>
        <w:t>,</w:t>
      </w:r>
      <w:r w:rsidRPr="007C496F">
        <w:rPr>
          <w:rFonts w:asciiTheme="majorHAnsi" w:hAnsiTheme="majorHAnsi" w:cstheme="majorHAnsi"/>
          <w:sz w:val="24"/>
          <w:szCs w:val="24"/>
          <w:lang w:val="ro-RO"/>
        </w:rPr>
        <w:t xml:space="preserve"> instituțiile medicale au introdus informațiile despre boală</w:t>
      </w:r>
      <w:r w:rsidR="007C496F">
        <w:rPr>
          <w:rFonts w:asciiTheme="majorHAnsi" w:hAnsiTheme="majorHAnsi" w:cstheme="majorHAnsi"/>
          <w:sz w:val="24"/>
          <w:szCs w:val="24"/>
          <w:lang w:val="ro-RO"/>
        </w:rPr>
        <w:t xml:space="preserve"> cu termen</w:t>
      </w:r>
      <w:r w:rsidR="006E7940">
        <w:rPr>
          <w:rFonts w:asciiTheme="majorHAnsi" w:hAnsiTheme="majorHAnsi" w:cstheme="majorHAnsi"/>
          <w:sz w:val="24"/>
          <w:szCs w:val="24"/>
          <w:lang w:val="ro-RO"/>
        </w:rPr>
        <w:t>ul</w:t>
      </w:r>
      <w:r w:rsidR="007C496F">
        <w:rPr>
          <w:rFonts w:asciiTheme="majorHAnsi" w:hAnsiTheme="majorHAnsi" w:cstheme="majorHAnsi"/>
          <w:sz w:val="24"/>
          <w:szCs w:val="24"/>
          <w:lang w:val="ro-RO"/>
        </w:rPr>
        <w:t xml:space="preserve"> depășit de la </w:t>
      </w:r>
      <w:r w:rsidR="006E7940">
        <w:rPr>
          <w:rFonts w:asciiTheme="majorHAnsi" w:hAnsiTheme="majorHAnsi" w:cstheme="majorHAnsi"/>
          <w:sz w:val="24"/>
          <w:szCs w:val="24"/>
          <w:lang w:val="ro-RO"/>
        </w:rPr>
        <w:t>una</w:t>
      </w:r>
      <w:r w:rsidR="007C496F">
        <w:rPr>
          <w:rFonts w:asciiTheme="majorHAnsi" w:hAnsiTheme="majorHAnsi" w:cstheme="majorHAnsi"/>
          <w:sz w:val="24"/>
          <w:szCs w:val="24"/>
          <w:lang w:val="ro-RO"/>
        </w:rPr>
        <w:t xml:space="preserve"> pâ</w:t>
      </w:r>
      <w:r w:rsidRPr="007C496F">
        <w:rPr>
          <w:rFonts w:asciiTheme="majorHAnsi" w:hAnsiTheme="majorHAnsi" w:cstheme="majorHAnsi"/>
          <w:sz w:val="24"/>
          <w:szCs w:val="24"/>
          <w:lang w:val="ro-RO"/>
        </w:rPr>
        <w:t xml:space="preserve">nă la 171 </w:t>
      </w:r>
      <w:r w:rsidR="006E7940">
        <w:rPr>
          <w:rFonts w:asciiTheme="majorHAnsi" w:hAnsiTheme="majorHAnsi" w:cstheme="majorHAnsi"/>
          <w:sz w:val="24"/>
          <w:szCs w:val="24"/>
          <w:lang w:val="ro-RO"/>
        </w:rPr>
        <w:t xml:space="preserve">de </w:t>
      </w:r>
      <w:r w:rsidRPr="007C496F">
        <w:rPr>
          <w:rFonts w:asciiTheme="majorHAnsi" w:hAnsiTheme="majorHAnsi" w:cstheme="majorHAnsi"/>
          <w:sz w:val="24"/>
          <w:szCs w:val="24"/>
          <w:lang w:val="ro-RO"/>
        </w:rPr>
        <w:t xml:space="preserve">zile. În același timp, pentru alte 17 decizii, </w:t>
      </w:r>
      <w:r w:rsidRPr="007C496F">
        <w:rPr>
          <w:rFonts w:asciiTheme="majorHAnsi" w:hAnsiTheme="majorHAnsi" w:cstheme="majorHAnsi"/>
          <w:sz w:val="24"/>
          <w:lang w:val="ro-RO"/>
        </w:rPr>
        <w:t xml:space="preserve">termenul de stabilire de către CNAS a indemnizației a fost depășit de la o zi până la 42 </w:t>
      </w:r>
      <w:r w:rsidR="006E7940">
        <w:rPr>
          <w:rFonts w:asciiTheme="majorHAnsi" w:hAnsiTheme="majorHAnsi" w:cstheme="majorHAnsi"/>
          <w:sz w:val="24"/>
          <w:lang w:val="ro-RO"/>
        </w:rPr>
        <w:t xml:space="preserve">de </w:t>
      </w:r>
      <w:r w:rsidRPr="007C496F">
        <w:rPr>
          <w:rFonts w:asciiTheme="majorHAnsi" w:hAnsiTheme="majorHAnsi" w:cstheme="majorHAnsi"/>
          <w:sz w:val="24"/>
          <w:lang w:val="ro-RO"/>
        </w:rPr>
        <w:t>zile</w:t>
      </w:r>
      <w:r w:rsidRPr="007C496F">
        <w:rPr>
          <w:rStyle w:val="a5"/>
          <w:rFonts w:asciiTheme="majorHAnsi" w:hAnsiTheme="majorHAnsi" w:cstheme="majorHAnsi"/>
          <w:sz w:val="24"/>
          <w:lang w:val="ro-RO"/>
        </w:rPr>
        <w:footnoteReference w:id="55"/>
      </w:r>
      <w:r w:rsidRPr="007C496F">
        <w:rPr>
          <w:rFonts w:asciiTheme="majorHAnsi" w:hAnsiTheme="majorHAnsi" w:cstheme="majorHAnsi"/>
          <w:sz w:val="24"/>
          <w:lang w:val="ro-RO"/>
        </w:rPr>
        <w:t>.</w:t>
      </w:r>
    </w:p>
    <w:p w14:paraId="3FE3885D" w14:textId="5CFEA52F" w:rsidR="00011EF9" w:rsidRPr="00E82CC1" w:rsidRDefault="00011EF9" w:rsidP="00011EF9">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Prin urmare, cont</w:t>
      </w:r>
      <w:r w:rsidR="007C496F">
        <w:rPr>
          <w:rFonts w:asciiTheme="majorHAnsi" w:hAnsiTheme="majorHAnsi" w:cstheme="majorHAnsi"/>
          <w:sz w:val="24"/>
          <w:szCs w:val="24"/>
          <w:lang w:val="ro-RO"/>
        </w:rPr>
        <w:t>roalele interne insuficiente atâ</w:t>
      </w:r>
      <w:r w:rsidRPr="00E82CC1">
        <w:rPr>
          <w:rFonts w:asciiTheme="majorHAnsi" w:hAnsiTheme="majorHAnsi" w:cstheme="majorHAnsi"/>
          <w:sz w:val="24"/>
          <w:szCs w:val="24"/>
          <w:lang w:val="ro-RO"/>
        </w:rPr>
        <w:t>t din cadrul instituțiilor medicale, cât și din cadrul CNAS, au afectat calitatea serviciilor oferite cetățenilor, în condițiile în care beneficiarii au fost privați de obținerea prestației în termen.</w:t>
      </w:r>
    </w:p>
    <w:p w14:paraId="5330FEA6" w14:textId="7CB4B631" w:rsidR="00011EF9" w:rsidRPr="00E82CC1" w:rsidRDefault="00011EF9" w:rsidP="00011EF9">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 contextul deficiențelor identificate, Casa Națională informează periodic Ministerul Sănătății despre derularea procesului de plată a indemnizațiilor pentru incapacitate de muncă, incidentele și erorile identificate la introducerea și transmiterea datelor din certificatele de concediu medical</w:t>
      </w:r>
      <w:r w:rsidR="003E13EF">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w:t>
      </w:r>
      <w:r w:rsidR="003E13EF">
        <w:rPr>
          <w:rFonts w:asciiTheme="majorHAnsi" w:hAnsiTheme="majorHAnsi" w:cstheme="majorHAnsi"/>
          <w:sz w:val="24"/>
          <w:szCs w:val="24"/>
          <w:lang w:val="ro-RO"/>
        </w:rPr>
        <w:t>Totodată, cel din</w:t>
      </w:r>
      <w:r w:rsidRPr="00E82CC1">
        <w:rPr>
          <w:rFonts w:asciiTheme="majorHAnsi" w:hAnsiTheme="majorHAnsi" w:cstheme="majorHAnsi"/>
          <w:sz w:val="24"/>
          <w:szCs w:val="24"/>
          <w:lang w:val="ro-RO"/>
        </w:rPr>
        <w:t xml:space="preserve"> urmă întreprinde măsurile necesare de atenționare a instituțiilor medico-sanitare conform situației reale, în vederea diminuării numărului de cazuri de înregistrare în Portal a datelor</w:t>
      </w:r>
      <w:r w:rsidR="006E7940">
        <w:rPr>
          <w:rFonts w:asciiTheme="majorHAnsi" w:hAnsiTheme="majorHAnsi" w:cstheme="majorHAnsi"/>
          <w:sz w:val="24"/>
          <w:szCs w:val="24"/>
          <w:lang w:val="ro-RO"/>
        </w:rPr>
        <w:t xml:space="preserve"> eronate,</w:t>
      </w:r>
      <w:r w:rsidRPr="00E82CC1">
        <w:rPr>
          <w:rFonts w:asciiTheme="majorHAnsi" w:hAnsiTheme="majorHAnsi" w:cstheme="majorHAnsi"/>
          <w:sz w:val="24"/>
          <w:szCs w:val="24"/>
          <w:lang w:val="ro-RO"/>
        </w:rPr>
        <w:t xml:space="preserve"> inclusiv de transmitere a acestora cu întârziere</w:t>
      </w:r>
      <w:r w:rsidRPr="00E82CC1">
        <w:rPr>
          <w:rStyle w:val="a5"/>
          <w:rFonts w:asciiTheme="majorHAnsi" w:hAnsiTheme="majorHAnsi" w:cstheme="majorHAnsi"/>
          <w:sz w:val="24"/>
          <w:szCs w:val="24"/>
          <w:lang w:val="ro-RO"/>
        </w:rPr>
        <w:footnoteReference w:id="56"/>
      </w:r>
      <w:r w:rsidRPr="00E82CC1">
        <w:rPr>
          <w:rFonts w:asciiTheme="majorHAnsi" w:hAnsiTheme="majorHAnsi" w:cstheme="majorHAnsi"/>
          <w:sz w:val="24"/>
          <w:szCs w:val="24"/>
          <w:lang w:val="ro-RO"/>
        </w:rPr>
        <w:t>.</w:t>
      </w:r>
    </w:p>
    <w:p w14:paraId="24D18882" w14:textId="05C07DF1" w:rsidR="007B7642" w:rsidRPr="00E82CC1" w:rsidRDefault="007B7642" w:rsidP="00D470AF">
      <w:pPr>
        <w:pStyle w:val="a9"/>
        <w:numPr>
          <w:ilvl w:val="1"/>
          <w:numId w:val="15"/>
        </w:numPr>
        <w:tabs>
          <w:tab w:val="left" w:pos="0"/>
          <w:tab w:val="left" w:pos="993"/>
          <w:tab w:val="left" w:pos="1276"/>
        </w:tabs>
        <w:spacing w:line="276" w:lineRule="auto"/>
        <w:ind w:left="0" w:firstLine="0"/>
        <w:jc w:val="both"/>
        <w:outlineLvl w:val="1"/>
        <w:rPr>
          <w:rFonts w:asciiTheme="majorHAnsi" w:eastAsia="Times New Roman" w:hAnsiTheme="majorHAnsi" w:cstheme="majorHAnsi"/>
          <w:b/>
          <w:sz w:val="24"/>
          <w:szCs w:val="24"/>
          <w:lang w:val="ro-RO" w:eastAsia="ru-RU"/>
        </w:rPr>
      </w:pPr>
      <w:r w:rsidRPr="00E82CC1">
        <w:rPr>
          <w:rFonts w:asciiTheme="majorHAnsi" w:hAnsiTheme="majorHAnsi" w:cstheme="majorHAnsi"/>
          <w:b/>
          <w:bCs/>
          <w:sz w:val="24"/>
          <w:szCs w:val="24"/>
          <w:lang w:val="ro-MD" w:eastAsia="ru-RU"/>
        </w:rPr>
        <w:t xml:space="preserve">Acordarea și plata pensiilor militarilor și persoanelor din corpul de comandă și din trupele organelor afacerilor interne s-a efectuat în majoritatea cazurilor conform prevederilor legale, însă insuficiența activităților de control intern, la nivel </w:t>
      </w:r>
      <w:r w:rsidR="008B3B27" w:rsidRPr="00E82CC1">
        <w:rPr>
          <w:rFonts w:asciiTheme="majorHAnsi" w:hAnsiTheme="majorHAnsi" w:cstheme="majorHAnsi"/>
          <w:b/>
          <w:bCs/>
          <w:sz w:val="24"/>
          <w:szCs w:val="24"/>
          <w:lang w:val="ro-MD" w:eastAsia="ru-RU"/>
        </w:rPr>
        <w:t>teritorial, cât și central,</w:t>
      </w:r>
      <w:r w:rsidRPr="00E82CC1">
        <w:rPr>
          <w:rFonts w:asciiTheme="majorHAnsi" w:hAnsiTheme="majorHAnsi" w:cstheme="majorHAnsi"/>
          <w:b/>
          <w:bCs/>
          <w:sz w:val="24"/>
          <w:szCs w:val="24"/>
          <w:lang w:val="ro-MD" w:eastAsia="ru-RU"/>
        </w:rPr>
        <w:t xml:space="preserve"> a determinat stabilirea/plata nejustificat</w:t>
      </w:r>
      <w:r w:rsidR="006B33C9">
        <w:rPr>
          <w:rFonts w:asciiTheme="majorHAnsi" w:hAnsiTheme="majorHAnsi" w:cstheme="majorHAnsi"/>
          <w:b/>
          <w:bCs/>
          <w:sz w:val="24"/>
          <w:szCs w:val="24"/>
          <w:lang w:val="ro-MD" w:eastAsia="ru-RU"/>
        </w:rPr>
        <w:t>ă,</w:t>
      </w:r>
      <w:r w:rsidRPr="00E82CC1">
        <w:rPr>
          <w:rFonts w:asciiTheme="majorHAnsi" w:hAnsiTheme="majorHAnsi" w:cstheme="majorHAnsi"/>
          <w:b/>
          <w:bCs/>
          <w:sz w:val="24"/>
          <w:szCs w:val="24"/>
          <w:lang w:val="ro-MD" w:eastAsia="ru-RU"/>
        </w:rPr>
        <w:t xml:space="preserve"> în unele cazuri</w:t>
      </w:r>
      <w:r w:rsidR="006B33C9">
        <w:rPr>
          <w:rFonts w:asciiTheme="majorHAnsi" w:hAnsiTheme="majorHAnsi" w:cstheme="majorHAnsi"/>
          <w:b/>
          <w:bCs/>
          <w:sz w:val="24"/>
          <w:szCs w:val="24"/>
          <w:lang w:val="ro-MD" w:eastAsia="ru-RU"/>
        </w:rPr>
        <w:t xml:space="preserve">, a </w:t>
      </w:r>
      <w:r w:rsidR="006B33C9" w:rsidRPr="00E82CC1">
        <w:rPr>
          <w:rFonts w:asciiTheme="majorHAnsi" w:hAnsiTheme="majorHAnsi" w:cstheme="majorHAnsi"/>
          <w:b/>
          <w:bCs/>
          <w:sz w:val="24"/>
          <w:szCs w:val="24"/>
          <w:lang w:val="ro-MD" w:eastAsia="ru-RU"/>
        </w:rPr>
        <w:t>prestației</w:t>
      </w:r>
      <w:r w:rsidR="006B33C9">
        <w:rPr>
          <w:rFonts w:asciiTheme="majorHAnsi" w:hAnsiTheme="majorHAnsi" w:cstheme="majorHAnsi"/>
          <w:b/>
          <w:bCs/>
          <w:sz w:val="24"/>
          <w:szCs w:val="24"/>
          <w:lang w:val="ro-MD" w:eastAsia="ru-RU"/>
        </w:rPr>
        <w:t>,</w:t>
      </w:r>
      <w:r w:rsidR="00011EF9" w:rsidRPr="00E82CC1">
        <w:rPr>
          <w:rFonts w:asciiTheme="majorHAnsi" w:hAnsiTheme="majorHAnsi" w:cstheme="majorHAnsi"/>
          <w:b/>
          <w:bCs/>
          <w:sz w:val="24"/>
          <w:szCs w:val="24"/>
          <w:lang w:val="ro-MD" w:eastAsia="ru-RU"/>
        </w:rPr>
        <w:t xml:space="preserve"> cu suportarea cheltuielilor de 49,2 mii lei</w:t>
      </w:r>
      <w:r w:rsidR="00C45E37">
        <w:rPr>
          <w:rFonts w:asciiTheme="majorHAnsi" w:hAnsiTheme="majorHAnsi" w:cstheme="majorHAnsi"/>
          <w:b/>
          <w:bCs/>
          <w:sz w:val="24"/>
          <w:szCs w:val="24"/>
          <w:lang w:val="ro-MD" w:eastAsia="ru-RU"/>
        </w:rPr>
        <w:t>.</w:t>
      </w:r>
    </w:p>
    <w:p w14:paraId="156EA637" w14:textId="01E7B27D" w:rsidR="007B7642" w:rsidRPr="00E82CC1" w:rsidRDefault="007B7642" w:rsidP="00D80D78">
      <w:pPr>
        <w:tabs>
          <w:tab w:val="left" w:pos="851"/>
        </w:tabs>
        <w:spacing w:after="0"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Cheltuielile efective pentru pensiile pentru </w:t>
      </w:r>
      <w:r w:rsidRPr="00E82CC1">
        <w:rPr>
          <w:rFonts w:asciiTheme="majorHAnsi" w:hAnsiTheme="majorHAnsi" w:cstheme="majorHAnsi"/>
          <w:color w:val="000000"/>
          <w:sz w:val="24"/>
          <w:szCs w:val="24"/>
          <w:lang w:val="ro-MD"/>
        </w:rPr>
        <w:t xml:space="preserve">vechime în muncă pensionarilor din rândul militarilor </w:t>
      </w:r>
      <w:r w:rsidR="006B33C9">
        <w:rPr>
          <w:rFonts w:asciiTheme="majorHAnsi" w:hAnsiTheme="majorHAnsi" w:cstheme="majorHAnsi"/>
          <w:color w:val="000000"/>
          <w:sz w:val="24"/>
          <w:szCs w:val="24"/>
          <w:lang w:val="ro-MD"/>
        </w:rPr>
        <w:t>ș</w:t>
      </w:r>
      <w:r w:rsidRPr="00E82CC1">
        <w:rPr>
          <w:rFonts w:asciiTheme="majorHAnsi" w:hAnsiTheme="majorHAnsi" w:cstheme="majorHAnsi"/>
          <w:color w:val="000000"/>
          <w:sz w:val="24"/>
          <w:szCs w:val="24"/>
          <w:lang w:val="ro-MD"/>
        </w:rPr>
        <w:t>i a persoanelor din corpul de comand</w:t>
      </w:r>
      <w:r w:rsidR="006B33C9">
        <w:rPr>
          <w:rFonts w:asciiTheme="majorHAnsi" w:hAnsiTheme="majorHAnsi" w:cstheme="majorHAnsi"/>
          <w:color w:val="000000"/>
          <w:sz w:val="24"/>
          <w:szCs w:val="24"/>
          <w:lang w:val="ro-MD"/>
        </w:rPr>
        <w:t>ă</w:t>
      </w:r>
      <w:r w:rsidRPr="00E82CC1">
        <w:rPr>
          <w:rFonts w:asciiTheme="majorHAnsi" w:hAnsiTheme="majorHAnsi" w:cstheme="majorHAnsi"/>
          <w:color w:val="000000"/>
          <w:sz w:val="24"/>
          <w:szCs w:val="24"/>
          <w:lang w:val="ro-MD"/>
        </w:rPr>
        <w:t xml:space="preserve"> </w:t>
      </w:r>
      <w:r w:rsidR="006B33C9">
        <w:rPr>
          <w:rFonts w:asciiTheme="majorHAnsi" w:hAnsiTheme="majorHAnsi" w:cstheme="majorHAnsi"/>
          <w:color w:val="000000"/>
          <w:sz w:val="24"/>
          <w:szCs w:val="24"/>
          <w:lang w:val="ro-MD"/>
        </w:rPr>
        <w:t>ș</w:t>
      </w:r>
      <w:r w:rsidRPr="00E82CC1">
        <w:rPr>
          <w:rFonts w:asciiTheme="majorHAnsi" w:hAnsiTheme="majorHAnsi" w:cstheme="majorHAnsi"/>
          <w:color w:val="000000"/>
          <w:sz w:val="24"/>
          <w:szCs w:val="24"/>
          <w:lang w:val="ro-MD"/>
        </w:rPr>
        <w:t xml:space="preserve">i din trupele organelor afacerilor interne </w:t>
      </w:r>
      <w:r w:rsidRPr="00E82CC1">
        <w:rPr>
          <w:rFonts w:asciiTheme="majorHAnsi" w:hAnsiTheme="majorHAnsi" w:cstheme="majorHAnsi"/>
          <w:sz w:val="24"/>
          <w:szCs w:val="24"/>
          <w:lang w:val="ro-MD"/>
        </w:rPr>
        <w:t>pentru anul 2021 au  constituit 1 268, 6 mil. lei</w:t>
      </w:r>
      <w:r w:rsidRPr="00E82CC1">
        <w:rPr>
          <w:color w:val="000000"/>
          <w:sz w:val="24"/>
          <w:szCs w:val="24"/>
          <w:vertAlign w:val="superscript"/>
        </w:rPr>
        <w:footnoteReference w:id="57"/>
      </w:r>
      <w:r w:rsidRPr="00E82CC1">
        <w:rPr>
          <w:rFonts w:asciiTheme="majorHAnsi" w:hAnsiTheme="majorHAnsi" w:cstheme="majorHAnsi"/>
          <w:color w:val="000000"/>
          <w:sz w:val="24"/>
          <w:szCs w:val="24"/>
          <w:vertAlign w:val="superscript"/>
          <w:lang w:val="ro-MD"/>
        </w:rPr>
        <w:t>.</w:t>
      </w:r>
      <w:r w:rsidRPr="00E82CC1">
        <w:rPr>
          <w:rFonts w:asciiTheme="majorHAnsi" w:hAnsiTheme="majorHAnsi" w:cstheme="majorHAnsi"/>
          <w:color w:val="000000"/>
          <w:sz w:val="24"/>
          <w:szCs w:val="24"/>
          <w:lang w:val="ro-MD"/>
        </w:rPr>
        <w:t>. Aceste cheltuieli sunt suportate din bugetul de stat și constituie 4,7% din totalul cheltuielilor efective pentru acordarea prestațiilor sociale în anul 2021 (26 713,3 mil. lei) și</w:t>
      </w:r>
      <w:r w:rsidR="006B33C9">
        <w:rPr>
          <w:rFonts w:asciiTheme="majorHAnsi" w:hAnsiTheme="majorHAnsi" w:cstheme="majorHAnsi"/>
          <w:color w:val="000000"/>
          <w:sz w:val="24"/>
          <w:szCs w:val="24"/>
          <w:lang w:val="ro-MD"/>
        </w:rPr>
        <w:t>,</w:t>
      </w:r>
      <w:r w:rsidRPr="00E82CC1">
        <w:rPr>
          <w:rFonts w:asciiTheme="majorHAnsi" w:hAnsiTheme="majorHAnsi" w:cstheme="majorHAnsi"/>
          <w:color w:val="000000"/>
          <w:sz w:val="24"/>
          <w:szCs w:val="24"/>
          <w:lang w:val="ro-MD"/>
        </w:rPr>
        <w:t xml:space="preserve"> respectiv</w:t>
      </w:r>
      <w:r w:rsidR="006B33C9">
        <w:rPr>
          <w:rFonts w:asciiTheme="majorHAnsi" w:hAnsiTheme="majorHAnsi" w:cstheme="majorHAnsi"/>
          <w:color w:val="000000"/>
          <w:sz w:val="24"/>
          <w:szCs w:val="24"/>
          <w:lang w:val="ro-MD"/>
        </w:rPr>
        <w:t>,</w:t>
      </w:r>
      <w:r w:rsidRPr="00E82CC1">
        <w:rPr>
          <w:rFonts w:asciiTheme="majorHAnsi" w:hAnsiTheme="majorHAnsi" w:cstheme="majorHAnsi"/>
          <w:color w:val="000000"/>
          <w:sz w:val="24"/>
          <w:szCs w:val="24"/>
          <w:lang w:val="ro-MD"/>
        </w:rPr>
        <w:t xml:space="preserve"> 16,3% din totalul prestațiilor de asistență socială (7 780,1 mil</w:t>
      </w:r>
      <w:r w:rsidR="006B33C9">
        <w:rPr>
          <w:rFonts w:asciiTheme="majorHAnsi" w:hAnsiTheme="majorHAnsi" w:cstheme="majorHAnsi"/>
          <w:color w:val="000000"/>
          <w:sz w:val="24"/>
          <w:szCs w:val="24"/>
          <w:lang w:val="ro-MD"/>
        </w:rPr>
        <w:t>.</w:t>
      </w:r>
      <w:r w:rsidRPr="00E82CC1">
        <w:rPr>
          <w:rFonts w:asciiTheme="majorHAnsi" w:hAnsiTheme="majorHAnsi" w:cstheme="majorHAnsi"/>
          <w:color w:val="000000"/>
          <w:sz w:val="24"/>
          <w:szCs w:val="24"/>
          <w:lang w:val="ro-MD"/>
        </w:rPr>
        <w:t xml:space="preserve"> lei).</w:t>
      </w:r>
    </w:p>
    <w:p w14:paraId="50EB4E4B" w14:textId="30B72374" w:rsidR="007B7642" w:rsidRPr="00E82CC1" w:rsidRDefault="007B7642" w:rsidP="00D80D78">
      <w:p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Astfel, în cazul a 3 beneficiari</w:t>
      </w:r>
      <w:r w:rsidR="006B33C9">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din 54 de dosare analizate, auditul a constatat iregularități la stabilirea/  plata pensiilor militarilor</w:t>
      </w:r>
      <w:r w:rsidR="006B33C9">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în sumă totală de circa 49,2 mii lei, </w:t>
      </w:r>
      <w:r w:rsidR="006B33C9">
        <w:rPr>
          <w:rFonts w:asciiTheme="majorHAnsi" w:hAnsiTheme="majorHAnsi" w:cstheme="majorHAnsi"/>
          <w:sz w:val="24"/>
          <w:szCs w:val="24"/>
          <w:lang w:val="ro-MD"/>
        </w:rPr>
        <w:t>ale căror</w:t>
      </w:r>
      <w:r w:rsidRPr="00E82CC1">
        <w:rPr>
          <w:rFonts w:asciiTheme="majorHAnsi" w:hAnsiTheme="majorHAnsi" w:cstheme="majorHAnsi"/>
          <w:sz w:val="24"/>
          <w:szCs w:val="24"/>
          <w:lang w:val="ro-MD"/>
        </w:rPr>
        <w:t xml:space="preserve"> pensii au fost stabilite în anii 2020-2021, cauzate de:</w:t>
      </w:r>
    </w:p>
    <w:p w14:paraId="6E276391" w14:textId="460EE282" w:rsidR="007B7642" w:rsidRPr="00E82CC1" w:rsidRDefault="007B7642" w:rsidP="00D80D78">
      <w:pPr>
        <w:pStyle w:val="a9"/>
        <w:numPr>
          <w:ilvl w:val="0"/>
          <w:numId w:val="21"/>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includerea în calculul pensiei, care a fost stabilită în 2020, a plăților compensatorii, contrar normelor  legale</w:t>
      </w:r>
      <w:r w:rsidRPr="00E82CC1">
        <w:rPr>
          <w:rStyle w:val="a5"/>
          <w:rFonts w:cstheme="majorHAnsi"/>
          <w:sz w:val="24"/>
          <w:szCs w:val="24"/>
        </w:rPr>
        <w:footnoteReference w:id="58"/>
      </w:r>
      <w:r w:rsidRPr="00E82CC1">
        <w:rPr>
          <w:rFonts w:asciiTheme="majorHAnsi" w:hAnsiTheme="majorHAnsi" w:cstheme="majorHAnsi"/>
          <w:sz w:val="24"/>
          <w:szCs w:val="24"/>
          <w:lang w:val="ro-MD"/>
        </w:rPr>
        <w:t>, fapt ce a determinat cheltuieli nejustificate asupra BASS</w:t>
      </w:r>
      <w:r w:rsidR="00FA1B2A" w:rsidRPr="00E82CC1">
        <w:rPr>
          <w:rFonts w:asciiTheme="majorHAnsi" w:hAnsiTheme="majorHAnsi" w:cstheme="majorHAnsi"/>
          <w:sz w:val="24"/>
          <w:szCs w:val="24"/>
          <w:lang w:val="ro-MD"/>
        </w:rPr>
        <w:t xml:space="preserve"> (</w:t>
      </w:r>
      <w:r w:rsidRPr="00E82CC1">
        <w:rPr>
          <w:rFonts w:asciiTheme="majorHAnsi" w:hAnsiTheme="majorHAnsi" w:cstheme="majorHAnsi"/>
          <w:sz w:val="24"/>
          <w:szCs w:val="24"/>
          <w:lang w:val="ro-MD"/>
        </w:rPr>
        <w:t xml:space="preserve">pentru </w:t>
      </w:r>
      <w:r w:rsidR="00FA1B2A" w:rsidRPr="00E82CC1">
        <w:rPr>
          <w:rFonts w:asciiTheme="majorHAnsi" w:hAnsiTheme="majorHAnsi" w:cstheme="majorHAnsi"/>
          <w:sz w:val="24"/>
          <w:szCs w:val="24"/>
          <w:lang w:val="ro-MD"/>
        </w:rPr>
        <w:t>perioada în care persoana a beneficiat de prestație</w:t>
      </w:r>
      <w:r w:rsidR="006B33C9">
        <w:rPr>
          <w:rFonts w:asciiTheme="majorHAnsi" w:hAnsiTheme="majorHAnsi" w:cstheme="majorHAnsi"/>
          <w:sz w:val="24"/>
          <w:szCs w:val="24"/>
          <w:lang w:val="ro-MD"/>
        </w:rPr>
        <w:t xml:space="preserve"> </w:t>
      </w:r>
      <w:r w:rsidR="00FA1B2A" w:rsidRPr="00E82CC1">
        <w:rPr>
          <w:rFonts w:asciiTheme="majorHAnsi" w:hAnsiTheme="majorHAnsi" w:cstheme="majorHAnsi"/>
          <w:sz w:val="24"/>
          <w:szCs w:val="24"/>
          <w:lang w:val="ro-MD"/>
        </w:rPr>
        <w:t>- până la momentul auditului)</w:t>
      </w:r>
      <w:r w:rsidRPr="00E82CC1">
        <w:rPr>
          <w:rFonts w:asciiTheme="majorHAnsi" w:hAnsiTheme="majorHAnsi" w:cstheme="majorHAnsi"/>
          <w:sz w:val="24"/>
          <w:szCs w:val="24"/>
          <w:lang w:val="ro-MD"/>
        </w:rPr>
        <w:t>, în sumă de circa 25,5 mii lei;</w:t>
      </w:r>
    </w:p>
    <w:p w14:paraId="7823A716" w14:textId="3D8C337E" w:rsidR="007B7642" w:rsidRPr="006B33C9" w:rsidRDefault="007B7642" w:rsidP="00D80D78">
      <w:pPr>
        <w:pStyle w:val="a9"/>
        <w:numPr>
          <w:ilvl w:val="0"/>
          <w:numId w:val="21"/>
        </w:numPr>
        <w:spacing w:line="276" w:lineRule="auto"/>
        <w:jc w:val="both"/>
        <w:rPr>
          <w:rFonts w:asciiTheme="majorHAnsi" w:hAnsiTheme="majorHAnsi" w:cstheme="majorHAnsi"/>
          <w:sz w:val="24"/>
          <w:szCs w:val="24"/>
          <w:lang w:val="ro-MD"/>
        </w:rPr>
      </w:pPr>
      <w:r w:rsidRPr="006B33C9">
        <w:rPr>
          <w:rFonts w:asciiTheme="majorHAnsi" w:hAnsiTheme="majorHAnsi" w:cstheme="majorHAnsi"/>
          <w:sz w:val="24"/>
          <w:szCs w:val="24"/>
          <w:lang w:val="ro-MD"/>
        </w:rPr>
        <w:t>nerespectarea prevederilor legale la calcularea pensiei pentru limit</w:t>
      </w:r>
      <w:r w:rsidR="006B33C9" w:rsidRPr="006B33C9">
        <w:rPr>
          <w:rFonts w:asciiTheme="majorHAnsi" w:hAnsiTheme="majorHAnsi" w:cstheme="majorHAnsi"/>
          <w:sz w:val="24"/>
          <w:szCs w:val="24"/>
          <w:lang w:val="ro-MD"/>
        </w:rPr>
        <w:t>ă</w:t>
      </w:r>
      <w:r w:rsidRPr="006B33C9">
        <w:rPr>
          <w:rFonts w:asciiTheme="majorHAnsi" w:hAnsiTheme="majorHAnsi" w:cstheme="majorHAnsi"/>
          <w:sz w:val="24"/>
          <w:szCs w:val="24"/>
          <w:lang w:val="ro-MD"/>
        </w:rPr>
        <w:t xml:space="preserve"> de vârstă, </w:t>
      </w:r>
      <w:r w:rsidR="006B33C9" w:rsidRPr="006B33C9">
        <w:rPr>
          <w:rFonts w:asciiTheme="majorHAnsi" w:hAnsiTheme="majorHAnsi" w:cstheme="majorHAnsi"/>
          <w:sz w:val="24"/>
          <w:szCs w:val="24"/>
          <w:lang w:val="ro-MD"/>
        </w:rPr>
        <w:t xml:space="preserve">ceea </w:t>
      </w:r>
      <w:r w:rsidRPr="006B33C9">
        <w:rPr>
          <w:rFonts w:asciiTheme="majorHAnsi" w:hAnsiTheme="majorHAnsi" w:cstheme="majorHAnsi"/>
          <w:sz w:val="24"/>
          <w:szCs w:val="24"/>
          <w:lang w:val="ro-MD"/>
        </w:rPr>
        <w:t>ce a privat pensionarul de a primi câte 680,68 lei lunar (7 215,23 lei – cuantumul stabil</w:t>
      </w:r>
      <w:r w:rsidRPr="00390909">
        <w:rPr>
          <w:rFonts w:asciiTheme="majorHAnsi" w:hAnsiTheme="majorHAnsi" w:cstheme="majorHAnsi"/>
          <w:sz w:val="24"/>
          <w:szCs w:val="24"/>
          <w:lang w:val="ro-MD"/>
        </w:rPr>
        <w:t>it comparativ cu 7895,91 lei – cuantumul cuvenit, calculat de audit). Totodată, această sumă se majorează cu  fiecare indexare, care începând cu 01.04.2022 a ajuns până la 775,57 lei lunar. Situația a fost cauzată de neluarea în calcul la stabilirea pensiei a 5% din suma soldei</w:t>
      </w:r>
      <w:r w:rsidRPr="00617E4A">
        <w:rPr>
          <w:rStyle w:val="a5"/>
          <w:rFonts w:cstheme="majorHAnsi"/>
          <w:sz w:val="24"/>
          <w:szCs w:val="24"/>
          <w:lang w:val="ro-MD"/>
        </w:rPr>
        <w:footnoteReference w:id="59"/>
      </w:r>
      <w:r w:rsidRPr="006B33C9">
        <w:rPr>
          <w:rFonts w:asciiTheme="majorHAnsi" w:hAnsiTheme="majorHAnsi" w:cstheme="majorHAnsi"/>
          <w:sz w:val="24"/>
          <w:szCs w:val="24"/>
          <w:lang w:val="ro-MD"/>
        </w:rPr>
        <w:t xml:space="preserve">, ce se acordă pentru pensionarii care se eliberează din organele afacerilor interne pe motiv de vârstă, raportul de serviciu al persoanei </w:t>
      </w:r>
      <w:r w:rsidR="006B33C9" w:rsidRPr="006B33C9">
        <w:rPr>
          <w:rFonts w:asciiTheme="majorHAnsi" w:hAnsiTheme="majorHAnsi" w:cstheme="majorHAnsi"/>
          <w:sz w:val="24"/>
          <w:szCs w:val="24"/>
          <w:lang w:val="ro-MD"/>
        </w:rPr>
        <w:t xml:space="preserve">respective </w:t>
      </w:r>
      <w:r w:rsidRPr="006B33C9">
        <w:rPr>
          <w:rFonts w:asciiTheme="majorHAnsi" w:hAnsiTheme="majorHAnsi" w:cstheme="majorHAnsi"/>
          <w:sz w:val="24"/>
          <w:szCs w:val="24"/>
          <w:lang w:val="ro-MD"/>
        </w:rPr>
        <w:t>fiind încetat la atingerea limitei de vârstă</w:t>
      </w:r>
      <w:r w:rsidRPr="00617E4A">
        <w:rPr>
          <w:rStyle w:val="a5"/>
          <w:rFonts w:asciiTheme="majorHAnsi" w:hAnsiTheme="majorHAnsi" w:cstheme="majorHAnsi"/>
          <w:sz w:val="24"/>
          <w:szCs w:val="24"/>
          <w:lang w:val="ro-MD"/>
        </w:rPr>
        <w:footnoteReference w:id="60"/>
      </w:r>
      <w:r w:rsidRPr="006B33C9">
        <w:rPr>
          <w:rFonts w:asciiTheme="majorHAnsi" w:hAnsiTheme="majorHAnsi" w:cstheme="majorHAnsi"/>
          <w:sz w:val="24"/>
          <w:szCs w:val="24"/>
          <w:lang w:val="ro-MD"/>
        </w:rPr>
        <w:t>, respectiv a avut dreptul la 55 % din suma soldei. Prin urmare, pentru perioada noiembrie 2021 (data stabilirii pensiei) – aprilie 2022, persoana nu a primit 4,2 mii lei</w:t>
      </w:r>
      <w:r w:rsidR="006B33C9">
        <w:rPr>
          <w:rFonts w:asciiTheme="majorHAnsi" w:hAnsiTheme="majorHAnsi" w:cstheme="majorHAnsi"/>
          <w:sz w:val="24"/>
          <w:szCs w:val="24"/>
          <w:lang w:val="ro-MD"/>
        </w:rPr>
        <w:t>;</w:t>
      </w:r>
    </w:p>
    <w:p w14:paraId="0ACDE91D" w14:textId="38FFE1FE" w:rsidR="007B7642" w:rsidRPr="00E82CC1" w:rsidRDefault="007B7642" w:rsidP="00D80D78">
      <w:pPr>
        <w:pStyle w:val="a9"/>
        <w:numPr>
          <w:ilvl w:val="0"/>
          <w:numId w:val="21"/>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neincluderea în suma soldei a plăților primite de beneficiar pentru 2 luni lucrate, acestea fiind incomplete </w:t>
      </w:r>
      <w:r w:rsidR="00556D26">
        <w:rPr>
          <w:rFonts w:asciiTheme="majorHAnsi" w:hAnsiTheme="majorHAnsi" w:cstheme="majorHAnsi"/>
          <w:sz w:val="24"/>
          <w:szCs w:val="24"/>
          <w:lang w:val="ro-MD"/>
        </w:rPr>
        <w:t>din cauza</w:t>
      </w:r>
      <w:r w:rsidRPr="00E82CC1">
        <w:rPr>
          <w:rFonts w:asciiTheme="majorHAnsi" w:hAnsiTheme="majorHAnsi" w:cstheme="majorHAnsi"/>
          <w:sz w:val="24"/>
          <w:szCs w:val="24"/>
          <w:lang w:val="ro-MD"/>
        </w:rPr>
        <w:t xml:space="preserve"> aflării persoanei în concediu de paternitate. Astfel, deși persoana a realizat venituri în lunile august-septembrie 2020, care trebuia</w:t>
      </w:r>
      <w:r w:rsidR="00556D26">
        <w:rPr>
          <w:rFonts w:asciiTheme="majorHAnsi" w:hAnsiTheme="majorHAnsi" w:cstheme="majorHAnsi"/>
          <w:sz w:val="24"/>
          <w:szCs w:val="24"/>
          <w:lang w:val="ro-MD"/>
        </w:rPr>
        <w:t>u</w:t>
      </w:r>
      <w:r w:rsidRPr="00E82CC1">
        <w:rPr>
          <w:rFonts w:asciiTheme="majorHAnsi" w:hAnsiTheme="majorHAnsi" w:cstheme="majorHAnsi"/>
          <w:sz w:val="24"/>
          <w:szCs w:val="24"/>
          <w:lang w:val="ro-MD"/>
        </w:rPr>
        <w:t xml:space="preserve"> să fie incluse în solda bănească pentru perioada noiembrie 2019 – octombrie 2020, acestea au fost </w:t>
      </w:r>
      <w:r w:rsidR="00EE080F" w:rsidRPr="00E82CC1">
        <w:rPr>
          <w:rFonts w:asciiTheme="majorHAnsi" w:hAnsiTheme="majorHAnsi" w:cstheme="majorHAnsi"/>
          <w:sz w:val="24"/>
          <w:szCs w:val="24"/>
          <w:lang w:val="ro-MD"/>
        </w:rPr>
        <w:t>excluse</w:t>
      </w:r>
      <w:r w:rsidRPr="00E82CC1">
        <w:rPr>
          <w:rFonts w:asciiTheme="majorHAnsi" w:hAnsiTheme="majorHAnsi" w:cstheme="majorHAnsi"/>
          <w:sz w:val="24"/>
          <w:szCs w:val="24"/>
          <w:lang w:val="ro-MD"/>
        </w:rPr>
        <w:t xml:space="preserve"> de către CNAS la calcularea pensiei. Prin urmare, </w:t>
      </w:r>
      <w:r w:rsidR="00556D26">
        <w:rPr>
          <w:rFonts w:asciiTheme="majorHAnsi" w:hAnsiTheme="majorHAnsi" w:cstheme="majorHAnsi"/>
          <w:sz w:val="24"/>
          <w:szCs w:val="24"/>
          <w:lang w:val="ro-MD"/>
        </w:rPr>
        <w:t xml:space="preserve">ca </w:t>
      </w:r>
      <w:r w:rsidRPr="00E82CC1">
        <w:rPr>
          <w:rFonts w:asciiTheme="majorHAnsi" w:hAnsiTheme="majorHAnsi" w:cstheme="majorHAnsi"/>
          <w:sz w:val="24"/>
          <w:szCs w:val="24"/>
          <w:lang w:val="ro-MD"/>
        </w:rPr>
        <w:t>rezultat a</w:t>
      </w:r>
      <w:r w:rsidR="00556D26">
        <w:rPr>
          <w:rFonts w:asciiTheme="majorHAnsi" w:hAnsiTheme="majorHAnsi" w:cstheme="majorHAnsi"/>
          <w:sz w:val="24"/>
          <w:szCs w:val="24"/>
          <w:lang w:val="ro-MD"/>
        </w:rPr>
        <w:t>l</w:t>
      </w:r>
      <w:r w:rsidRPr="00E82CC1">
        <w:rPr>
          <w:rFonts w:asciiTheme="majorHAnsi" w:hAnsiTheme="majorHAnsi" w:cstheme="majorHAnsi"/>
          <w:sz w:val="24"/>
          <w:szCs w:val="24"/>
          <w:lang w:val="ro-MD"/>
        </w:rPr>
        <w:t xml:space="preserve"> interpretării eronate a prevederilor legale</w:t>
      </w:r>
      <w:r w:rsidRPr="00E82CC1">
        <w:rPr>
          <w:rStyle w:val="a5"/>
          <w:rFonts w:cstheme="majorHAnsi"/>
          <w:sz w:val="24"/>
          <w:szCs w:val="24"/>
        </w:rPr>
        <w:footnoteReference w:id="61"/>
      </w:r>
      <w:r w:rsidRPr="00E82CC1">
        <w:rPr>
          <w:rFonts w:asciiTheme="majorHAnsi" w:hAnsiTheme="majorHAnsi" w:cstheme="majorHAnsi"/>
          <w:sz w:val="24"/>
          <w:szCs w:val="24"/>
          <w:lang w:val="ro-MD"/>
        </w:rPr>
        <w:t xml:space="preserve"> de către specialiștii responsabili, beneficiarului i s-a stabilit o pensie mai mică cu 1 020,29 lei decât se cuvenea, în total fiind privat până la momentul actual de 19,5 mii lei. De menționat că</w:t>
      </w:r>
      <w:r w:rsidR="00556D26">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cazul dat a fost examinat ca urmare a petiției  primite de către CCRM la sfârșitul misiunii de audit financiar în anul precedent. Totodată, la sesizarea de către auditor despre   iregularitățile constatate, CNAS </w:t>
      </w:r>
      <w:r w:rsidR="00677666">
        <w:rPr>
          <w:rFonts w:asciiTheme="majorHAnsi" w:hAnsiTheme="majorHAnsi" w:cstheme="majorHAnsi"/>
          <w:sz w:val="24"/>
          <w:szCs w:val="24"/>
          <w:lang w:val="ro-MD"/>
        </w:rPr>
        <w:t>nu a re</w:t>
      </w:r>
      <w:r w:rsidR="003842FA">
        <w:rPr>
          <w:rFonts w:asciiTheme="majorHAnsi" w:hAnsiTheme="majorHAnsi" w:cstheme="majorHAnsi"/>
          <w:sz w:val="24"/>
          <w:szCs w:val="24"/>
          <w:lang w:val="ro-MD"/>
        </w:rPr>
        <w:t>calculat</w:t>
      </w:r>
      <w:r w:rsidRPr="00E82CC1">
        <w:rPr>
          <w:rFonts w:asciiTheme="majorHAnsi" w:hAnsiTheme="majorHAnsi" w:cstheme="majorHAnsi"/>
          <w:sz w:val="24"/>
          <w:szCs w:val="24"/>
          <w:lang w:val="ro-MD"/>
        </w:rPr>
        <w:t xml:space="preserve"> pensia beneficiarului. Precizăm că pensionarul a acționat CNAS în judecată, dosarul fiind în derulare, nefiind</w:t>
      </w:r>
      <w:r w:rsidR="001A3801">
        <w:rPr>
          <w:rFonts w:asciiTheme="majorHAnsi" w:hAnsiTheme="majorHAnsi" w:cstheme="majorHAnsi"/>
          <w:sz w:val="24"/>
          <w:szCs w:val="24"/>
          <w:lang w:val="ro-MD"/>
        </w:rPr>
        <w:t xml:space="preserve"> încă</w:t>
      </w:r>
      <w:r w:rsidRPr="00E82CC1">
        <w:rPr>
          <w:rFonts w:asciiTheme="majorHAnsi" w:hAnsiTheme="majorHAnsi" w:cstheme="majorHAnsi"/>
          <w:sz w:val="24"/>
          <w:szCs w:val="24"/>
          <w:lang w:val="ro-MD"/>
        </w:rPr>
        <w:t xml:space="preserve"> emisă o hotărâre finală  pe </w:t>
      </w:r>
      <w:r w:rsidR="00556D26">
        <w:rPr>
          <w:rFonts w:asciiTheme="majorHAnsi" w:hAnsiTheme="majorHAnsi" w:cstheme="majorHAnsi"/>
          <w:sz w:val="24"/>
          <w:szCs w:val="24"/>
          <w:lang w:val="ro-MD"/>
        </w:rPr>
        <w:t xml:space="preserve">acest </w:t>
      </w:r>
      <w:r w:rsidRPr="00E82CC1">
        <w:rPr>
          <w:rFonts w:asciiTheme="majorHAnsi" w:hAnsiTheme="majorHAnsi" w:cstheme="majorHAnsi"/>
          <w:sz w:val="24"/>
          <w:szCs w:val="24"/>
          <w:lang w:val="ro-MD"/>
        </w:rPr>
        <w:t>caz. În aceste condiții, lipsa acțiunilor de remediere a situației din partea CNAS, menține în continuare privarea beneficiarului de drepturile sociale cuvenite, inclusiv cu menținerea riscului de suportare</w:t>
      </w:r>
      <w:r w:rsidR="008F3612" w:rsidRPr="00E82CC1">
        <w:rPr>
          <w:rFonts w:asciiTheme="majorHAnsi" w:hAnsiTheme="majorHAnsi" w:cstheme="majorHAnsi"/>
          <w:sz w:val="24"/>
          <w:szCs w:val="24"/>
          <w:lang w:val="ro-MD"/>
        </w:rPr>
        <w:t xml:space="preserve"> </w:t>
      </w:r>
      <w:r w:rsidRPr="00E82CC1">
        <w:rPr>
          <w:rFonts w:asciiTheme="majorHAnsi" w:hAnsiTheme="majorHAnsi" w:cstheme="majorHAnsi"/>
          <w:sz w:val="24"/>
          <w:szCs w:val="24"/>
          <w:lang w:val="ro-MD"/>
        </w:rPr>
        <w:t>a cheltuielilor de judecată de către CNAS.</w:t>
      </w:r>
    </w:p>
    <w:p w14:paraId="1874A33A" w14:textId="20CCD20F" w:rsidR="007B7642" w:rsidRPr="00E82CC1" w:rsidRDefault="007B7642" w:rsidP="00D80D78">
      <w:p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Prin urmare,  1 </w:t>
      </w:r>
      <w:r w:rsidR="00FE6B4B" w:rsidRPr="00E82CC1">
        <w:rPr>
          <w:rFonts w:asciiTheme="majorHAnsi" w:hAnsiTheme="majorHAnsi" w:cstheme="majorHAnsi"/>
          <w:sz w:val="24"/>
          <w:szCs w:val="24"/>
          <w:lang w:val="ro-MD"/>
        </w:rPr>
        <w:t xml:space="preserve"> </w:t>
      </w:r>
      <w:r w:rsidRPr="00E82CC1">
        <w:rPr>
          <w:rFonts w:asciiTheme="majorHAnsi" w:hAnsiTheme="majorHAnsi" w:cstheme="majorHAnsi"/>
          <w:sz w:val="24"/>
          <w:szCs w:val="24"/>
          <w:lang w:val="ro-MD"/>
        </w:rPr>
        <w:t>beneficiar a primit plăți necuvenite în sumă de circa 25,5 mii lei, iar alți 2 au fost privați în sum</w:t>
      </w:r>
      <w:r w:rsidR="001A3801">
        <w:rPr>
          <w:rFonts w:asciiTheme="majorHAnsi" w:hAnsiTheme="majorHAnsi" w:cstheme="majorHAnsi"/>
          <w:sz w:val="24"/>
          <w:szCs w:val="24"/>
          <w:lang w:val="ro-MD"/>
        </w:rPr>
        <w:t>ă</w:t>
      </w:r>
      <w:r w:rsidRPr="00E82CC1">
        <w:rPr>
          <w:rFonts w:asciiTheme="majorHAnsi" w:hAnsiTheme="majorHAnsi" w:cstheme="majorHAnsi"/>
          <w:sz w:val="24"/>
          <w:szCs w:val="24"/>
          <w:lang w:val="ro-MD"/>
        </w:rPr>
        <w:t xml:space="preserve"> totală de 23,7 mii lei.</w:t>
      </w:r>
    </w:p>
    <w:p w14:paraId="3F6899D6" w14:textId="16151E9F" w:rsidR="00C138C9" w:rsidRPr="00E82CC1" w:rsidRDefault="007B7642" w:rsidP="00A137D6">
      <w:pPr>
        <w:autoSpaceDE w:val="0"/>
        <w:autoSpaceDN w:val="0"/>
        <w:adjustRightInd w:val="0"/>
        <w:spacing w:after="0" w:line="276" w:lineRule="auto"/>
        <w:jc w:val="both"/>
        <w:rPr>
          <w:rFonts w:asciiTheme="majorHAnsi" w:hAnsiTheme="majorHAnsi" w:cstheme="majorHAnsi"/>
          <w:i/>
          <w:sz w:val="24"/>
          <w:szCs w:val="24"/>
        </w:rPr>
      </w:pPr>
      <w:r w:rsidRPr="00E82CC1">
        <w:rPr>
          <w:rFonts w:asciiTheme="majorHAnsi" w:hAnsiTheme="majorHAnsi" w:cstheme="majorHAnsi"/>
          <w:i/>
          <w:sz w:val="24"/>
          <w:szCs w:val="24"/>
          <w:lang w:val="ro-RO"/>
        </w:rPr>
        <w:t xml:space="preserve">Notă: Pentru 2 beneficiari au fost recalculate pensiile, </w:t>
      </w:r>
      <w:r w:rsidR="009434E7">
        <w:rPr>
          <w:rFonts w:asciiTheme="majorHAnsi" w:hAnsiTheme="majorHAnsi" w:cstheme="majorHAnsi"/>
          <w:i/>
          <w:sz w:val="24"/>
          <w:szCs w:val="24"/>
          <w:lang w:val="ro-RO"/>
        </w:rPr>
        <w:t>iar pentru al treilea</w:t>
      </w:r>
      <w:r w:rsidRPr="00E82CC1">
        <w:rPr>
          <w:rFonts w:asciiTheme="majorHAnsi" w:hAnsiTheme="majorHAnsi" w:cstheme="majorHAnsi"/>
          <w:i/>
          <w:sz w:val="24"/>
          <w:szCs w:val="24"/>
          <w:lang w:val="ro-RO"/>
        </w:rPr>
        <w:t xml:space="preserve"> CNAS nu a recalculat din </w:t>
      </w:r>
      <w:r w:rsidR="001A3801">
        <w:rPr>
          <w:rFonts w:asciiTheme="majorHAnsi" w:hAnsiTheme="majorHAnsi" w:cstheme="majorHAnsi"/>
          <w:i/>
          <w:sz w:val="24"/>
          <w:szCs w:val="24"/>
          <w:lang w:val="ro-RO"/>
        </w:rPr>
        <w:t>cauza</w:t>
      </w:r>
      <w:r w:rsidR="00C138C9" w:rsidRPr="00E82CC1">
        <w:rPr>
          <w:rFonts w:asciiTheme="majorHAnsi" w:hAnsiTheme="majorHAnsi" w:cstheme="majorHAnsi"/>
          <w:i/>
          <w:sz w:val="24"/>
          <w:szCs w:val="24"/>
          <w:lang w:val="ro-RO"/>
        </w:rPr>
        <w:t xml:space="preserve"> a</w:t>
      </w:r>
      <w:r w:rsidR="001A3801">
        <w:rPr>
          <w:rFonts w:asciiTheme="majorHAnsi" w:hAnsiTheme="majorHAnsi" w:cstheme="majorHAnsi"/>
          <w:i/>
          <w:sz w:val="24"/>
          <w:szCs w:val="24"/>
          <w:lang w:val="ro-RO"/>
        </w:rPr>
        <w:t>flării</w:t>
      </w:r>
      <w:r w:rsidR="00C138C9" w:rsidRPr="00E82CC1">
        <w:rPr>
          <w:rFonts w:asciiTheme="majorHAnsi" w:hAnsiTheme="majorHAnsi" w:cstheme="majorHAnsi"/>
          <w:i/>
          <w:sz w:val="24"/>
          <w:szCs w:val="24"/>
          <w:lang w:val="ro-RO"/>
        </w:rPr>
        <w:t xml:space="preserve"> cazului pe rol în judecată</w:t>
      </w:r>
      <w:r w:rsidR="00A137D6" w:rsidRPr="00E82CC1">
        <w:rPr>
          <w:rFonts w:asciiTheme="majorHAnsi" w:hAnsiTheme="majorHAnsi" w:cstheme="majorHAnsi"/>
          <w:i/>
          <w:sz w:val="24"/>
          <w:szCs w:val="24"/>
          <w:lang w:val="ro-RO"/>
        </w:rPr>
        <w:t>, în primă instanță fiind declarată inadmisibilă acțiunea de contencios administrativ inițiată de beneficiar, cu drept de atac la Curtea de</w:t>
      </w:r>
      <w:r w:rsidR="00A137D6" w:rsidRPr="00E82CC1">
        <w:rPr>
          <w:rFonts w:asciiTheme="majorHAnsi" w:hAnsiTheme="majorHAnsi" w:cstheme="majorHAnsi"/>
          <w:i/>
          <w:sz w:val="24"/>
          <w:szCs w:val="24"/>
        </w:rPr>
        <w:t xml:space="preserve"> Apel.</w:t>
      </w:r>
    </w:p>
    <w:p w14:paraId="4BCE251D" w14:textId="77777777" w:rsidR="00A137D6" w:rsidRPr="00E82CC1" w:rsidRDefault="00A137D6" w:rsidP="00A137D6">
      <w:pPr>
        <w:autoSpaceDE w:val="0"/>
        <w:autoSpaceDN w:val="0"/>
        <w:adjustRightInd w:val="0"/>
        <w:spacing w:after="0" w:line="240" w:lineRule="auto"/>
        <w:jc w:val="both"/>
        <w:rPr>
          <w:rFonts w:ascii="Arial" w:hAnsi="Arial" w:cs="Arial"/>
          <w:sz w:val="27"/>
          <w:szCs w:val="27"/>
        </w:rPr>
      </w:pPr>
    </w:p>
    <w:p w14:paraId="291CA50E" w14:textId="77777777" w:rsidR="00A137D6" w:rsidRPr="00E82CC1" w:rsidRDefault="00A137D6" w:rsidP="00A137D6">
      <w:pPr>
        <w:autoSpaceDE w:val="0"/>
        <w:autoSpaceDN w:val="0"/>
        <w:adjustRightInd w:val="0"/>
        <w:spacing w:after="0" w:line="240" w:lineRule="auto"/>
        <w:rPr>
          <w:rFonts w:ascii="Arial" w:hAnsi="Arial" w:cs="Arial"/>
          <w:sz w:val="8"/>
          <w:szCs w:val="8"/>
        </w:rPr>
      </w:pPr>
    </w:p>
    <w:p w14:paraId="0DC3A35A" w14:textId="7E547E24" w:rsidR="00BE7CA8" w:rsidRPr="00E82CC1" w:rsidRDefault="00BE7CA8" w:rsidP="00D470AF">
      <w:pPr>
        <w:pStyle w:val="a9"/>
        <w:numPr>
          <w:ilvl w:val="1"/>
          <w:numId w:val="15"/>
        </w:numPr>
        <w:tabs>
          <w:tab w:val="left" w:pos="851"/>
        </w:tabs>
        <w:spacing w:line="276" w:lineRule="auto"/>
        <w:ind w:left="0" w:firstLine="0"/>
        <w:jc w:val="both"/>
        <w:outlineLvl w:val="1"/>
        <w:rPr>
          <w:rFonts w:asciiTheme="majorHAnsi" w:eastAsia="Times New Roman" w:hAnsiTheme="majorHAnsi" w:cstheme="majorHAnsi"/>
          <w:b/>
          <w:bCs/>
          <w:sz w:val="24"/>
          <w:szCs w:val="28"/>
          <w:lang w:val="ro-RO" w:eastAsia="ro-RO"/>
        </w:rPr>
      </w:pPr>
      <w:r w:rsidRPr="00E82CC1">
        <w:rPr>
          <w:rFonts w:asciiTheme="majorHAnsi" w:eastAsia="Times New Roman" w:hAnsiTheme="majorHAnsi" w:cstheme="majorHAnsi"/>
          <w:b/>
          <w:bCs/>
          <w:sz w:val="24"/>
          <w:szCs w:val="28"/>
          <w:lang w:val="ro-RO" w:eastAsia="ro-RO"/>
        </w:rPr>
        <w:t>Pensiile în cazul pierderii întreținătorului familiilor militarilor, persoanelor din corpul de comandă și din trupele organelor afacerilor interne, precum și funcționarilor publici cu statut special au fost stabilite conform cadrului legal.</w:t>
      </w:r>
    </w:p>
    <w:p w14:paraId="255E635A" w14:textId="4E50AAB0" w:rsidR="00BE7CA8" w:rsidRPr="009434E7" w:rsidRDefault="00BE7CA8" w:rsidP="009434E7">
      <w:pPr>
        <w:tabs>
          <w:tab w:val="left" w:pos="851"/>
        </w:tabs>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În anul 2021, cheltuielile din bugetul de stat pentru plata pensiilor în cazul pierderii întreținătorului  familiilor militarilor, persoanelor din corpul de comandă și din trupele organelor afacerilor interne, </w:t>
      </w:r>
      <w:r w:rsidRPr="009434E7">
        <w:rPr>
          <w:rFonts w:asciiTheme="majorHAnsi" w:hAnsiTheme="majorHAnsi" w:cstheme="majorHAnsi"/>
          <w:sz w:val="24"/>
          <w:szCs w:val="24"/>
          <w:lang w:val="ro-RO"/>
        </w:rPr>
        <w:t>precum și funcționarilor publici cu statut special au constituit 58,7 mil</w:t>
      </w:r>
      <w:r w:rsidR="001A3801" w:rsidRPr="009434E7">
        <w:rPr>
          <w:rFonts w:asciiTheme="majorHAnsi" w:hAnsiTheme="majorHAnsi" w:cstheme="majorHAnsi"/>
          <w:sz w:val="24"/>
          <w:szCs w:val="24"/>
          <w:lang w:val="ro-RO"/>
        </w:rPr>
        <w:t>.</w:t>
      </w:r>
      <w:r w:rsidRPr="009434E7">
        <w:rPr>
          <w:rFonts w:asciiTheme="majorHAnsi" w:hAnsiTheme="majorHAnsi" w:cstheme="majorHAnsi"/>
          <w:sz w:val="24"/>
          <w:szCs w:val="24"/>
          <w:lang w:val="ro-RO"/>
        </w:rPr>
        <w:t xml:space="preserve"> lei, </w:t>
      </w:r>
      <w:r w:rsidR="001A3801" w:rsidRPr="009434E7">
        <w:rPr>
          <w:rFonts w:asciiTheme="majorHAnsi" w:hAnsiTheme="majorHAnsi" w:cstheme="majorHAnsi"/>
          <w:sz w:val="24"/>
          <w:szCs w:val="24"/>
          <w:lang w:val="ro-RO"/>
        </w:rPr>
        <w:t xml:space="preserve">ceea </w:t>
      </w:r>
      <w:r w:rsidRPr="009434E7">
        <w:rPr>
          <w:rFonts w:asciiTheme="majorHAnsi" w:hAnsiTheme="majorHAnsi" w:cstheme="majorHAnsi"/>
          <w:sz w:val="24"/>
          <w:szCs w:val="24"/>
          <w:lang w:val="ro-RO"/>
        </w:rPr>
        <w:t>ce reprezintă 3,5% din totalul cheltuielilor privind pensiile de asistență socială (1 666,4 mil</w:t>
      </w:r>
      <w:r w:rsidR="001A3801" w:rsidRPr="009434E7">
        <w:rPr>
          <w:rFonts w:asciiTheme="majorHAnsi" w:hAnsiTheme="majorHAnsi" w:cstheme="majorHAnsi"/>
          <w:sz w:val="24"/>
          <w:szCs w:val="24"/>
          <w:lang w:val="ro-RO"/>
        </w:rPr>
        <w:t>.</w:t>
      </w:r>
      <w:r w:rsidRPr="009434E7">
        <w:rPr>
          <w:rFonts w:asciiTheme="majorHAnsi" w:hAnsiTheme="majorHAnsi" w:cstheme="majorHAnsi"/>
          <w:sz w:val="24"/>
          <w:szCs w:val="24"/>
          <w:lang w:val="ro-RO"/>
        </w:rPr>
        <w:t xml:space="preserve"> lei). </w:t>
      </w:r>
    </w:p>
    <w:p w14:paraId="31163B41" w14:textId="40FE656F" w:rsidR="00BE7CA8" w:rsidRPr="009434E7" w:rsidRDefault="00BE7CA8" w:rsidP="009434E7">
      <w:pPr>
        <w:pStyle w:val="tt"/>
        <w:spacing w:line="276" w:lineRule="auto"/>
        <w:jc w:val="both"/>
        <w:rPr>
          <w:rFonts w:asciiTheme="majorHAnsi" w:hAnsiTheme="majorHAnsi" w:cstheme="majorHAnsi"/>
          <w:b w:val="0"/>
          <w:color w:val="000000"/>
          <w:lang w:val="ro-RO"/>
        </w:rPr>
      </w:pPr>
      <w:r w:rsidRPr="009434E7">
        <w:rPr>
          <w:rFonts w:asciiTheme="majorHAnsi" w:hAnsiTheme="majorHAnsi" w:cstheme="majorHAnsi"/>
          <w:b w:val="0"/>
          <w:color w:val="000000"/>
          <w:lang w:val="ro-RO"/>
        </w:rPr>
        <w:t xml:space="preserve">Începând cu anul 2021, a fost revizuită modalitatea de stabilire a prestației, conform căreia pensia se calculează în mărime </w:t>
      </w:r>
      <w:r w:rsidR="008F3612" w:rsidRPr="009434E7">
        <w:rPr>
          <w:rFonts w:asciiTheme="majorHAnsi" w:hAnsiTheme="majorHAnsi" w:cstheme="majorHAnsi"/>
          <w:b w:val="0"/>
          <w:color w:val="000000"/>
          <w:lang w:val="ro-RO"/>
        </w:rPr>
        <w:t xml:space="preserve">de </w:t>
      </w:r>
      <w:r w:rsidRPr="009434E7">
        <w:rPr>
          <w:rFonts w:asciiTheme="majorHAnsi" w:hAnsiTheme="majorHAnsi" w:cstheme="majorHAnsi"/>
          <w:b w:val="0"/>
          <w:color w:val="000000"/>
          <w:lang w:val="ro-RO"/>
        </w:rPr>
        <w:t xml:space="preserve">50% din venitul mediu lunar al întreținătorului pentru fiecare membru de familie inapt </w:t>
      </w:r>
      <w:r w:rsidR="001A3801" w:rsidRPr="009434E7">
        <w:rPr>
          <w:rFonts w:asciiTheme="majorHAnsi" w:hAnsiTheme="majorHAnsi" w:cstheme="majorHAnsi"/>
          <w:b w:val="0"/>
          <w:color w:val="000000"/>
          <w:lang w:val="ro-RO"/>
        </w:rPr>
        <w:t>de</w:t>
      </w:r>
      <w:r w:rsidRPr="009434E7">
        <w:rPr>
          <w:rFonts w:asciiTheme="majorHAnsi" w:hAnsiTheme="majorHAnsi" w:cstheme="majorHAnsi"/>
          <w:b w:val="0"/>
          <w:color w:val="000000"/>
          <w:lang w:val="ro-RO"/>
        </w:rPr>
        <w:t xml:space="preserve"> muncă, sau 50% din cuantumul pensiei plătite pensionarului decedat</w:t>
      </w:r>
      <w:r w:rsidRPr="009434E7">
        <w:rPr>
          <w:rStyle w:val="a5"/>
          <w:rFonts w:asciiTheme="majorHAnsi" w:hAnsiTheme="majorHAnsi" w:cstheme="majorHAnsi"/>
          <w:b w:val="0"/>
          <w:color w:val="000000"/>
          <w:lang w:val="ro-RO"/>
        </w:rPr>
        <w:footnoteReference w:id="62"/>
      </w:r>
      <w:r w:rsidRPr="009434E7">
        <w:rPr>
          <w:rFonts w:asciiTheme="majorHAnsi" w:hAnsiTheme="majorHAnsi" w:cstheme="majorHAnsi"/>
          <w:b w:val="0"/>
          <w:color w:val="000000"/>
          <w:lang w:val="ro-RO"/>
        </w:rPr>
        <w:t>, scopul final fiind garantarea unui nivel de trai decent persoanelor, prin acordarea prestațiilor de asigurări sociale corespunzătoare și suficiente.</w:t>
      </w:r>
      <w:r w:rsidR="000A687C" w:rsidRPr="009434E7">
        <w:rPr>
          <w:b w:val="0"/>
        </w:rPr>
        <w:t xml:space="preserve"> </w:t>
      </w:r>
    </w:p>
    <w:p w14:paraId="3CEBF1FF" w14:textId="374308B7" w:rsidR="00BE7CA8" w:rsidRPr="00E82CC1" w:rsidRDefault="00BE7CA8" w:rsidP="00BE7CA8">
      <w:pPr>
        <w:tabs>
          <w:tab w:val="left" w:pos="851"/>
        </w:tabs>
        <w:spacing w:after="0" w:line="276" w:lineRule="auto"/>
        <w:jc w:val="both"/>
        <w:rPr>
          <w:rFonts w:asciiTheme="majorHAnsi" w:hAnsiTheme="majorHAnsi" w:cstheme="majorHAnsi"/>
          <w:color w:val="000000"/>
          <w:sz w:val="24"/>
          <w:szCs w:val="24"/>
          <w:lang w:val="ro-RO"/>
        </w:rPr>
      </w:pPr>
      <w:r w:rsidRPr="00E82CC1">
        <w:rPr>
          <w:rFonts w:asciiTheme="majorHAnsi" w:hAnsiTheme="majorHAnsi" w:cstheme="majorHAnsi"/>
          <w:color w:val="000000"/>
          <w:sz w:val="24"/>
          <w:szCs w:val="24"/>
          <w:lang w:val="ro-RO"/>
        </w:rPr>
        <w:t>Astfel, au fost recalculate peste 1</w:t>
      </w:r>
      <w:r w:rsidR="00FE5781">
        <w:rPr>
          <w:rFonts w:asciiTheme="majorHAnsi" w:hAnsiTheme="majorHAnsi" w:cstheme="majorHAnsi"/>
          <w:color w:val="000000"/>
          <w:sz w:val="24"/>
          <w:szCs w:val="24"/>
          <w:lang w:val="ro-RO"/>
        </w:rPr>
        <w:t xml:space="preserve"> </w:t>
      </w:r>
      <w:r w:rsidRPr="00E82CC1">
        <w:rPr>
          <w:rFonts w:asciiTheme="majorHAnsi" w:hAnsiTheme="majorHAnsi" w:cstheme="majorHAnsi"/>
          <w:color w:val="000000"/>
          <w:sz w:val="24"/>
          <w:szCs w:val="24"/>
          <w:lang w:val="ro-RO"/>
        </w:rPr>
        <w:t xml:space="preserve">300 </w:t>
      </w:r>
      <w:r w:rsidR="00FE5781">
        <w:rPr>
          <w:rFonts w:asciiTheme="majorHAnsi" w:hAnsiTheme="majorHAnsi" w:cstheme="majorHAnsi"/>
          <w:color w:val="000000"/>
          <w:sz w:val="24"/>
          <w:szCs w:val="24"/>
          <w:lang w:val="ro-RO"/>
        </w:rPr>
        <w:t xml:space="preserve">de </w:t>
      </w:r>
      <w:r w:rsidRPr="00E82CC1">
        <w:rPr>
          <w:rFonts w:asciiTheme="majorHAnsi" w:hAnsiTheme="majorHAnsi" w:cstheme="majorHAnsi"/>
          <w:color w:val="000000"/>
          <w:sz w:val="24"/>
          <w:szCs w:val="24"/>
          <w:lang w:val="ro-RO"/>
        </w:rPr>
        <w:t>pensii, iar media acesteia s-a majorat cu 46,2%, de la 2,4 mii în anul 2020 până la 3,6 mii lei în anul 2021</w:t>
      </w:r>
      <w:r w:rsidRPr="00E82CC1">
        <w:rPr>
          <w:rStyle w:val="a5"/>
          <w:rFonts w:asciiTheme="majorHAnsi" w:hAnsiTheme="majorHAnsi" w:cstheme="majorHAnsi"/>
          <w:color w:val="000000"/>
          <w:sz w:val="24"/>
          <w:szCs w:val="24"/>
          <w:lang w:val="ro-RO"/>
        </w:rPr>
        <w:footnoteReference w:id="63"/>
      </w:r>
      <w:r w:rsidRPr="00E82CC1">
        <w:rPr>
          <w:rFonts w:asciiTheme="majorHAnsi" w:hAnsiTheme="majorHAnsi" w:cstheme="majorHAnsi"/>
          <w:color w:val="000000"/>
          <w:sz w:val="24"/>
          <w:szCs w:val="24"/>
          <w:lang w:val="ro-RO"/>
        </w:rPr>
        <w:t xml:space="preserve">. </w:t>
      </w:r>
      <w:r w:rsidR="00FE5781">
        <w:rPr>
          <w:rFonts w:asciiTheme="majorHAnsi" w:hAnsiTheme="majorHAnsi" w:cstheme="majorHAnsi"/>
          <w:color w:val="000000"/>
          <w:sz w:val="24"/>
          <w:szCs w:val="24"/>
          <w:lang w:val="ro-RO"/>
        </w:rPr>
        <w:t>Ca</w:t>
      </w:r>
      <w:r w:rsidRPr="00E82CC1">
        <w:rPr>
          <w:rFonts w:asciiTheme="majorHAnsi" w:hAnsiTheme="majorHAnsi" w:cstheme="majorHAnsi"/>
          <w:color w:val="000000"/>
          <w:sz w:val="24"/>
          <w:szCs w:val="24"/>
          <w:lang w:val="ro-RO"/>
        </w:rPr>
        <w:t xml:space="preserve"> rezultat, cheltuielile privind executarea acestei prestații s-au majorat cu 18,5 mil.lei față de anul 2020 (de la 40,1 mil. lei până la 68,6 mil. lei).</w:t>
      </w:r>
    </w:p>
    <w:p w14:paraId="42AFA51E" w14:textId="4A1B234F" w:rsidR="00BE7CA8" w:rsidRPr="00E82CC1" w:rsidRDefault="00BE7CA8" w:rsidP="00BE7CA8">
      <w:pPr>
        <w:pStyle w:val="a9"/>
        <w:tabs>
          <w:tab w:val="left" w:pos="851"/>
        </w:tabs>
        <w:spacing w:line="276" w:lineRule="auto"/>
        <w:ind w:left="0"/>
        <w:jc w:val="both"/>
        <w:rPr>
          <w:rFonts w:asciiTheme="majorHAnsi" w:hAnsiTheme="majorHAnsi" w:cstheme="majorHAnsi"/>
          <w:sz w:val="24"/>
          <w:szCs w:val="24"/>
          <w:lang w:val="ro-RO"/>
        </w:rPr>
      </w:pPr>
      <w:r w:rsidRPr="00E82CC1">
        <w:rPr>
          <w:rFonts w:asciiTheme="majorHAnsi" w:eastAsia="Times New Roman" w:hAnsiTheme="majorHAnsi" w:cstheme="majorHAnsi"/>
          <w:bCs/>
          <w:sz w:val="24"/>
          <w:szCs w:val="28"/>
          <w:lang w:val="ro-RO" w:eastAsia="ro-RO"/>
        </w:rPr>
        <w:t>Cu referire la acest tip de prestație, auditul denotă că</w:t>
      </w:r>
      <w:r w:rsidR="00FE5781">
        <w:rPr>
          <w:rFonts w:asciiTheme="majorHAnsi" w:eastAsia="Times New Roman" w:hAnsiTheme="majorHAnsi" w:cstheme="majorHAnsi"/>
          <w:bCs/>
          <w:sz w:val="24"/>
          <w:szCs w:val="28"/>
          <w:lang w:val="ro-RO" w:eastAsia="ro-RO"/>
        </w:rPr>
        <w:t>,</w:t>
      </w:r>
      <w:r w:rsidRPr="00E82CC1">
        <w:rPr>
          <w:rFonts w:asciiTheme="majorHAnsi" w:eastAsia="Times New Roman" w:hAnsiTheme="majorHAnsi" w:cstheme="majorHAnsi"/>
          <w:bCs/>
          <w:sz w:val="24"/>
          <w:szCs w:val="28"/>
          <w:lang w:val="ro-RO" w:eastAsia="ro-RO"/>
        </w:rPr>
        <w:t xml:space="preserve"> </w:t>
      </w:r>
      <w:r w:rsidRPr="00E82CC1">
        <w:rPr>
          <w:rFonts w:asciiTheme="majorHAnsi" w:hAnsiTheme="majorHAnsi" w:cstheme="majorHAnsi"/>
          <w:sz w:val="24"/>
          <w:szCs w:val="24"/>
          <w:lang w:val="ro-RO"/>
        </w:rPr>
        <w:t>l</w:t>
      </w:r>
      <w:r w:rsidRPr="00E82CC1">
        <w:rPr>
          <w:rFonts w:asciiTheme="majorHAnsi" w:eastAsia="Calibri" w:hAnsiTheme="majorHAnsi" w:cstheme="majorHAnsi"/>
          <w:sz w:val="24"/>
          <w:szCs w:val="24"/>
          <w:lang w:val="ro-RO"/>
        </w:rPr>
        <w:t>a verificarea regularității stabilirii/recalculării acesteia</w:t>
      </w:r>
      <w:r w:rsidR="00FE5781">
        <w:rPr>
          <w:rFonts w:asciiTheme="majorHAnsi" w:eastAsia="Calibri" w:hAnsiTheme="majorHAnsi" w:cstheme="majorHAnsi"/>
          <w:sz w:val="24"/>
          <w:szCs w:val="24"/>
          <w:lang w:val="ro-RO"/>
        </w:rPr>
        <w:t>,</w:t>
      </w:r>
      <w:r w:rsidRPr="00E82CC1">
        <w:rPr>
          <w:rFonts w:asciiTheme="majorHAnsi" w:hAnsiTheme="majorHAnsi" w:cstheme="majorHAnsi"/>
          <w:sz w:val="24"/>
          <w:szCs w:val="24"/>
          <w:lang w:val="ro-RO"/>
        </w:rPr>
        <w:t xml:space="preserve"> precum și a înregistrării/raportării cheltuielilor aferente</w:t>
      </w:r>
      <w:r w:rsidR="00FE5781">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nu s-au stabilit e</w:t>
      </w:r>
      <w:r w:rsidRPr="00E82CC1">
        <w:rPr>
          <w:rFonts w:asciiTheme="majorHAnsi" w:eastAsia="Calibri" w:hAnsiTheme="majorHAnsi" w:cstheme="majorHAnsi"/>
          <w:sz w:val="24"/>
          <w:szCs w:val="24"/>
          <w:lang w:val="ro-RO"/>
        </w:rPr>
        <w:t xml:space="preserve">rori. </w:t>
      </w:r>
      <w:r w:rsidR="00FE5781">
        <w:rPr>
          <w:rFonts w:asciiTheme="majorHAnsi" w:eastAsia="Calibri" w:hAnsiTheme="majorHAnsi" w:cstheme="majorHAnsi"/>
          <w:sz w:val="24"/>
          <w:szCs w:val="24"/>
          <w:lang w:val="ro-RO"/>
        </w:rPr>
        <w:t>Ca u</w:t>
      </w:r>
      <w:r w:rsidRPr="00E82CC1">
        <w:rPr>
          <w:rFonts w:asciiTheme="majorHAnsi" w:hAnsiTheme="majorHAnsi" w:cstheme="majorHAnsi"/>
          <w:sz w:val="24"/>
          <w:szCs w:val="24"/>
          <w:lang w:val="ro-RO"/>
        </w:rPr>
        <w:t>rmare a contrapunerii datelor cu documentele ane</w:t>
      </w:r>
      <w:r w:rsidR="00C04D60" w:rsidRPr="00E82CC1">
        <w:rPr>
          <w:rFonts w:asciiTheme="majorHAnsi" w:hAnsiTheme="majorHAnsi" w:cstheme="majorHAnsi"/>
          <w:sz w:val="24"/>
          <w:szCs w:val="24"/>
          <w:lang w:val="ro-RO"/>
        </w:rPr>
        <w:t xml:space="preserve">xate la dosarul beneficiarului și </w:t>
      </w:r>
      <w:r w:rsidRPr="00E82CC1">
        <w:rPr>
          <w:rFonts w:asciiTheme="majorHAnsi" w:hAnsiTheme="majorHAnsi" w:cstheme="majorHAnsi"/>
          <w:sz w:val="24"/>
          <w:szCs w:val="24"/>
          <w:lang w:val="ro-RO"/>
        </w:rPr>
        <w:t xml:space="preserve">cele din </w:t>
      </w:r>
      <w:r w:rsidRPr="00E82CC1">
        <w:rPr>
          <w:rFonts w:asciiTheme="majorHAnsi" w:eastAsia="Calibri" w:hAnsiTheme="majorHAnsi" w:cstheme="majorHAnsi"/>
          <w:sz w:val="24"/>
          <w:szCs w:val="24"/>
          <w:lang w:val="ro-RO"/>
        </w:rPr>
        <w:t xml:space="preserve">Sistemul Informațional </w:t>
      </w:r>
      <w:r w:rsidRPr="00E82CC1">
        <w:rPr>
          <w:rFonts w:asciiTheme="majorHAnsi" w:hAnsiTheme="majorHAnsi" w:cstheme="majorHAnsi"/>
          <w:sz w:val="24"/>
          <w:szCs w:val="24"/>
          <w:lang w:val="ro-RO"/>
        </w:rPr>
        <w:t xml:space="preserve">„Protecția Socială”, nu au fost constatate divergențe în exactitatea calculelor.  Astfel, s-a confirmat corectitudinea înregistrării datelor în SI, care ulterior </w:t>
      </w:r>
      <w:r w:rsidRPr="00E82CC1">
        <w:rPr>
          <w:rFonts w:asciiTheme="majorHAnsi" w:eastAsia="Calibri" w:hAnsiTheme="majorHAnsi" w:cstheme="majorHAnsi"/>
          <w:sz w:val="24"/>
          <w:szCs w:val="24"/>
          <w:lang w:val="ro-RO"/>
        </w:rPr>
        <w:t xml:space="preserve">generează și efectuează calculele reieșind din datele introduse de specialiști la stabilirea/recalcularea </w:t>
      </w:r>
      <w:r w:rsidRPr="00E82CC1">
        <w:rPr>
          <w:rFonts w:asciiTheme="majorHAnsi" w:hAnsiTheme="majorHAnsi" w:cstheme="majorHAnsi"/>
          <w:sz w:val="24"/>
          <w:szCs w:val="24"/>
          <w:lang w:val="ro-RO"/>
        </w:rPr>
        <w:t xml:space="preserve">pensiilor în cazul pierderii întreținătorului  familiilor militarilor, persoanelor din corpul de comandă și din trupele organelor afacerilor interne, precum și funcționarilor publici cu statut special. </w:t>
      </w:r>
      <w:r w:rsidRPr="00E82CC1">
        <w:rPr>
          <w:rFonts w:asciiTheme="majorHAnsi" w:eastAsia="Calibri" w:hAnsiTheme="majorHAnsi" w:cstheme="majorHAnsi"/>
          <w:sz w:val="24"/>
          <w:szCs w:val="24"/>
          <w:lang w:val="ro-RO"/>
        </w:rPr>
        <w:t>C</w:t>
      </w:r>
      <w:r w:rsidRPr="00E82CC1">
        <w:rPr>
          <w:rFonts w:asciiTheme="majorHAnsi" w:hAnsiTheme="majorHAnsi" w:cstheme="majorHAnsi"/>
          <w:sz w:val="24"/>
          <w:szCs w:val="24"/>
          <w:lang w:val="ro-RO"/>
        </w:rPr>
        <w:t xml:space="preserve">u privire la corectitudinea și plenitudinea datelor înregistrate în evidența contabilă, auditul nu a constatat divergențe, sumele fiind reflectate în perioada corespunzătoare </w:t>
      </w:r>
      <w:r w:rsidRPr="00E82CC1">
        <w:rPr>
          <w:rFonts w:asciiTheme="majorHAnsi" w:eastAsia="Calibri" w:hAnsiTheme="majorHAnsi" w:cstheme="majorHAnsi"/>
          <w:sz w:val="24"/>
          <w:szCs w:val="24"/>
          <w:lang w:val="ro-RO"/>
        </w:rPr>
        <w:t>la conturile de evidență.</w:t>
      </w:r>
    </w:p>
    <w:p w14:paraId="675E55CD" w14:textId="1CCA407B" w:rsidR="00BE7CA8" w:rsidRPr="00E82CC1" w:rsidRDefault="00FE5781" w:rsidP="00BE7CA8">
      <w:pPr>
        <w:tabs>
          <w:tab w:val="left" w:pos="851"/>
        </w:tabs>
        <w:spacing w:after="0" w:line="276" w:lineRule="auto"/>
        <w:jc w:val="both"/>
        <w:rPr>
          <w:rFonts w:asciiTheme="majorHAnsi" w:hAnsiTheme="majorHAnsi" w:cstheme="majorHAnsi"/>
          <w:color w:val="000000"/>
          <w:sz w:val="24"/>
          <w:szCs w:val="24"/>
          <w:lang w:val="ro-RO"/>
        </w:rPr>
      </w:pPr>
      <w:r>
        <w:rPr>
          <w:rFonts w:asciiTheme="majorHAnsi" w:hAnsiTheme="majorHAnsi" w:cstheme="majorHAnsi"/>
          <w:color w:val="000000"/>
          <w:sz w:val="24"/>
          <w:szCs w:val="24"/>
          <w:lang w:val="ro-RO"/>
        </w:rPr>
        <w:t>D</w:t>
      </w:r>
      <w:r w:rsidR="00BE7CA8" w:rsidRPr="00E82CC1">
        <w:rPr>
          <w:rFonts w:asciiTheme="majorHAnsi" w:hAnsiTheme="majorHAnsi" w:cstheme="majorHAnsi"/>
          <w:color w:val="000000"/>
          <w:sz w:val="24"/>
          <w:szCs w:val="24"/>
          <w:lang w:val="ro-RO"/>
        </w:rPr>
        <w:t>e menționat că neconcordanțele dintre noțiunile utilizate conform cadrului legal de „</w:t>
      </w:r>
      <w:r w:rsidR="00BE7CA8" w:rsidRPr="00E82CC1">
        <w:rPr>
          <w:rFonts w:asciiTheme="majorHAnsi" w:hAnsiTheme="majorHAnsi" w:cstheme="majorHAnsi"/>
          <w:i/>
          <w:color w:val="000000"/>
          <w:sz w:val="24"/>
          <w:szCs w:val="24"/>
          <w:lang w:val="ro-RO"/>
        </w:rPr>
        <w:t>pensii în cazul pierderii întreținătorului</w:t>
      </w:r>
      <w:r w:rsidR="00BE7CA8" w:rsidRPr="00E82CC1">
        <w:rPr>
          <w:rFonts w:asciiTheme="majorHAnsi" w:hAnsiTheme="majorHAnsi" w:cstheme="majorHAnsi"/>
          <w:color w:val="000000"/>
          <w:sz w:val="24"/>
          <w:szCs w:val="24"/>
          <w:lang w:val="ro-RO"/>
        </w:rPr>
        <w:t xml:space="preserve"> familiilor militarilor, persoanelor din corpul de comandă și din trupele organelor afacerilor interne, precum și funcționarilor publici cu statut special”</w:t>
      </w:r>
      <w:r w:rsidR="00BE7CA8" w:rsidRPr="00E82CC1">
        <w:rPr>
          <w:rStyle w:val="a5"/>
          <w:rFonts w:asciiTheme="majorHAnsi" w:hAnsiTheme="majorHAnsi" w:cstheme="majorHAnsi"/>
          <w:color w:val="000000"/>
          <w:sz w:val="24"/>
          <w:szCs w:val="24"/>
          <w:lang w:val="ro-RO"/>
        </w:rPr>
        <w:footnoteReference w:id="64"/>
      </w:r>
      <w:r w:rsidR="00BE7CA8" w:rsidRPr="00E82CC1">
        <w:rPr>
          <w:rFonts w:asciiTheme="majorHAnsi" w:hAnsiTheme="majorHAnsi" w:cstheme="majorHAnsi"/>
          <w:color w:val="000000"/>
          <w:sz w:val="24"/>
          <w:szCs w:val="24"/>
          <w:lang w:val="ro-RO"/>
        </w:rPr>
        <w:t xml:space="preserve"> și cea utilizată în rapoartele BASS - „</w:t>
      </w:r>
      <w:r w:rsidR="00BE7CA8" w:rsidRPr="00E82CC1">
        <w:rPr>
          <w:rFonts w:asciiTheme="majorHAnsi" w:hAnsiTheme="majorHAnsi" w:cstheme="majorHAnsi"/>
          <w:i/>
          <w:color w:val="000000"/>
          <w:sz w:val="24"/>
          <w:szCs w:val="24"/>
          <w:lang w:val="ro-RO"/>
        </w:rPr>
        <w:t>pensie de urmaș</w:t>
      </w:r>
      <w:r w:rsidR="00BE7CA8" w:rsidRPr="00E82CC1">
        <w:rPr>
          <w:rFonts w:asciiTheme="majorHAnsi" w:hAnsiTheme="majorHAnsi" w:cstheme="majorHAnsi"/>
          <w:color w:val="000000"/>
          <w:sz w:val="24"/>
          <w:szCs w:val="24"/>
          <w:lang w:val="ro-RO"/>
        </w:rPr>
        <w:t xml:space="preserve"> pensionarilor din rândul militarilor </w:t>
      </w:r>
      <w:r>
        <w:rPr>
          <w:rFonts w:asciiTheme="majorHAnsi" w:hAnsiTheme="majorHAnsi" w:cstheme="majorHAnsi"/>
          <w:color w:val="000000"/>
          <w:sz w:val="24"/>
          <w:szCs w:val="24"/>
          <w:lang w:val="ro-RO"/>
        </w:rPr>
        <w:t>ș</w:t>
      </w:r>
      <w:r w:rsidR="00BE7CA8" w:rsidRPr="00E82CC1">
        <w:rPr>
          <w:rFonts w:asciiTheme="majorHAnsi" w:hAnsiTheme="majorHAnsi" w:cstheme="majorHAnsi"/>
          <w:color w:val="000000"/>
          <w:sz w:val="24"/>
          <w:szCs w:val="24"/>
          <w:lang w:val="ro-RO"/>
        </w:rPr>
        <w:t>i a persoanelor din corpul de comand</w:t>
      </w:r>
      <w:r>
        <w:rPr>
          <w:rFonts w:asciiTheme="majorHAnsi" w:hAnsiTheme="majorHAnsi" w:cstheme="majorHAnsi"/>
          <w:color w:val="000000"/>
          <w:sz w:val="24"/>
          <w:szCs w:val="24"/>
          <w:lang w:val="ro-RO"/>
        </w:rPr>
        <w:t>ă</w:t>
      </w:r>
      <w:r w:rsidR="00BE7CA8" w:rsidRPr="00E82CC1">
        <w:rPr>
          <w:rFonts w:asciiTheme="majorHAnsi" w:hAnsiTheme="majorHAnsi" w:cstheme="majorHAnsi"/>
          <w:color w:val="000000"/>
          <w:sz w:val="24"/>
          <w:szCs w:val="24"/>
          <w:lang w:val="ro-RO"/>
        </w:rPr>
        <w:t xml:space="preserve"> </w:t>
      </w:r>
      <w:r>
        <w:rPr>
          <w:rFonts w:asciiTheme="majorHAnsi" w:hAnsiTheme="majorHAnsi" w:cstheme="majorHAnsi"/>
          <w:color w:val="000000"/>
          <w:sz w:val="24"/>
          <w:szCs w:val="24"/>
          <w:lang w:val="ro-RO"/>
        </w:rPr>
        <w:t>ș</w:t>
      </w:r>
      <w:r w:rsidR="00BE7CA8" w:rsidRPr="00E82CC1">
        <w:rPr>
          <w:rFonts w:asciiTheme="majorHAnsi" w:hAnsiTheme="majorHAnsi" w:cstheme="majorHAnsi"/>
          <w:color w:val="000000"/>
          <w:sz w:val="24"/>
          <w:szCs w:val="24"/>
          <w:lang w:val="ro-RO"/>
        </w:rPr>
        <w:t xml:space="preserve">i din trupele organelor afacerilor interne” creează incertitudini </w:t>
      </w:r>
      <w:r w:rsidR="00FF656F" w:rsidRPr="00E82CC1">
        <w:rPr>
          <w:rFonts w:asciiTheme="majorHAnsi" w:hAnsiTheme="majorHAnsi" w:cstheme="majorHAnsi"/>
          <w:color w:val="000000"/>
          <w:sz w:val="24"/>
          <w:szCs w:val="24"/>
          <w:lang w:val="ro-RO"/>
        </w:rPr>
        <w:t xml:space="preserve">privind </w:t>
      </w:r>
      <w:r w:rsidR="00BE7CA8" w:rsidRPr="00E82CC1">
        <w:rPr>
          <w:rFonts w:asciiTheme="majorHAnsi" w:hAnsiTheme="majorHAnsi" w:cstheme="majorHAnsi"/>
          <w:color w:val="000000"/>
          <w:sz w:val="24"/>
          <w:szCs w:val="24"/>
          <w:lang w:val="ro-RO"/>
        </w:rPr>
        <w:t>delimitare</w:t>
      </w:r>
      <w:r w:rsidR="00FF656F" w:rsidRPr="00E82CC1">
        <w:rPr>
          <w:rFonts w:asciiTheme="majorHAnsi" w:hAnsiTheme="majorHAnsi" w:cstheme="majorHAnsi"/>
          <w:color w:val="000000"/>
          <w:sz w:val="24"/>
          <w:szCs w:val="24"/>
          <w:lang w:val="ro-RO"/>
        </w:rPr>
        <w:t>a</w:t>
      </w:r>
      <w:r w:rsidR="00BE7CA8" w:rsidRPr="00E82CC1">
        <w:rPr>
          <w:rFonts w:asciiTheme="majorHAnsi" w:hAnsiTheme="majorHAnsi" w:cstheme="majorHAnsi"/>
          <w:color w:val="000000"/>
          <w:sz w:val="24"/>
          <w:szCs w:val="24"/>
          <w:lang w:val="ro-RO"/>
        </w:rPr>
        <w:t xml:space="preserve"> distinctă pentru utilizatorii de informații.  </w:t>
      </w:r>
    </w:p>
    <w:p w14:paraId="290E7483" w14:textId="77777777" w:rsidR="00F77379" w:rsidRPr="00E82CC1" w:rsidRDefault="00F77379" w:rsidP="00F77379">
      <w:pPr>
        <w:jc w:val="both"/>
        <w:rPr>
          <w:rFonts w:asciiTheme="majorHAnsi" w:hAnsiTheme="majorHAnsi" w:cstheme="majorHAnsi"/>
          <w:sz w:val="24"/>
          <w:szCs w:val="24"/>
          <w:lang w:val="ro-RO"/>
        </w:rPr>
      </w:pPr>
    </w:p>
    <w:p w14:paraId="2A9893AB" w14:textId="76B9D466" w:rsidR="00BF6F5C" w:rsidRPr="009434E7" w:rsidRDefault="00515C61" w:rsidP="00D470AF">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sidRPr="00E82CC1">
        <w:rPr>
          <w:rFonts w:asciiTheme="majorHAnsi" w:hAnsiTheme="majorHAnsi" w:cstheme="majorHAnsi"/>
          <w:b/>
          <w:sz w:val="24"/>
          <w:szCs w:val="24"/>
          <w:lang w:val="ro-RO"/>
        </w:rPr>
        <w:t>A</w:t>
      </w:r>
      <w:r w:rsidR="009F3AEA" w:rsidRPr="00E82CC1">
        <w:rPr>
          <w:rFonts w:asciiTheme="majorHAnsi" w:hAnsiTheme="majorHAnsi" w:cstheme="majorHAnsi"/>
          <w:b/>
          <w:sz w:val="24"/>
          <w:szCs w:val="24"/>
          <w:lang w:val="ro-RO"/>
        </w:rPr>
        <w:t>ctivit</w:t>
      </w:r>
      <w:r w:rsidRPr="00E82CC1">
        <w:rPr>
          <w:rFonts w:asciiTheme="majorHAnsi" w:hAnsiTheme="majorHAnsi" w:cstheme="majorHAnsi"/>
          <w:b/>
          <w:sz w:val="24"/>
          <w:szCs w:val="24"/>
          <w:lang w:val="ro-RO"/>
        </w:rPr>
        <w:t xml:space="preserve">atea complexă a Casei Naționale este însoțită </w:t>
      </w:r>
      <w:r w:rsidRPr="009434E7">
        <w:rPr>
          <w:rFonts w:asciiTheme="majorHAnsi" w:hAnsiTheme="majorHAnsi" w:cstheme="majorHAnsi"/>
          <w:b/>
          <w:sz w:val="24"/>
          <w:szCs w:val="24"/>
          <w:lang w:val="ro-RO"/>
        </w:rPr>
        <w:t xml:space="preserve">de </w:t>
      </w:r>
      <w:r w:rsidR="00CD1F4E" w:rsidRPr="009434E7">
        <w:rPr>
          <w:rFonts w:asciiTheme="majorHAnsi" w:hAnsiTheme="majorHAnsi" w:cstheme="majorHAnsi"/>
          <w:b/>
          <w:sz w:val="24"/>
          <w:szCs w:val="24"/>
          <w:lang w:val="ro-RO"/>
        </w:rPr>
        <w:t xml:space="preserve">lipsa cadrelor și </w:t>
      </w:r>
      <w:r w:rsidR="006D5F3F" w:rsidRPr="009434E7">
        <w:rPr>
          <w:rFonts w:asciiTheme="majorHAnsi" w:hAnsiTheme="majorHAnsi" w:cstheme="majorHAnsi"/>
          <w:b/>
          <w:sz w:val="24"/>
          <w:szCs w:val="24"/>
          <w:lang w:val="ro-RO"/>
        </w:rPr>
        <w:t xml:space="preserve">o fluctuație </w:t>
      </w:r>
      <w:r w:rsidR="009F3AEA" w:rsidRPr="009434E7">
        <w:rPr>
          <w:rFonts w:asciiTheme="majorHAnsi" w:hAnsiTheme="majorHAnsi" w:cstheme="majorHAnsi"/>
          <w:b/>
          <w:sz w:val="24"/>
          <w:szCs w:val="24"/>
          <w:lang w:val="ro-RO"/>
        </w:rPr>
        <w:t xml:space="preserve">mare de </w:t>
      </w:r>
      <w:r w:rsidRPr="009434E7">
        <w:rPr>
          <w:rFonts w:asciiTheme="majorHAnsi" w:hAnsiTheme="majorHAnsi" w:cstheme="majorHAnsi"/>
          <w:b/>
          <w:sz w:val="24"/>
          <w:szCs w:val="24"/>
          <w:lang w:val="ro-RO"/>
        </w:rPr>
        <w:t xml:space="preserve">angajați, în timp ce politicile stabilesc realizarea </w:t>
      </w:r>
      <w:r w:rsidR="0007117C" w:rsidRPr="009434E7">
        <w:rPr>
          <w:rFonts w:asciiTheme="majorHAnsi" w:hAnsiTheme="majorHAnsi" w:cstheme="majorHAnsi"/>
          <w:b/>
          <w:sz w:val="24"/>
          <w:szCs w:val="24"/>
          <w:lang w:val="ro-RO"/>
        </w:rPr>
        <w:t xml:space="preserve">unor </w:t>
      </w:r>
      <w:r w:rsidRPr="009434E7">
        <w:rPr>
          <w:rFonts w:asciiTheme="majorHAnsi" w:hAnsiTheme="majorHAnsi" w:cstheme="majorHAnsi"/>
          <w:b/>
          <w:sz w:val="24"/>
          <w:szCs w:val="24"/>
          <w:lang w:val="ro-RO"/>
        </w:rPr>
        <w:t xml:space="preserve">noi procese de susținere socială a populației, ceea ce poate afecta calitatea </w:t>
      </w:r>
      <w:r w:rsidR="001F7B17" w:rsidRPr="009434E7">
        <w:rPr>
          <w:rFonts w:asciiTheme="majorHAnsi" w:hAnsiTheme="majorHAnsi" w:cstheme="majorHAnsi"/>
          <w:b/>
          <w:sz w:val="24"/>
          <w:szCs w:val="24"/>
          <w:lang w:val="ro-RO"/>
        </w:rPr>
        <w:t>serviciilor acordate</w:t>
      </w:r>
      <w:r w:rsidR="009E29F2" w:rsidRPr="009434E7">
        <w:rPr>
          <w:rFonts w:asciiTheme="majorHAnsi" w:hAnsiTheme="majorHAnsi" w:cstheme="majorHAnsi"/>
          <w:b/>
          <w:sz w:val="24"/>
          <w:szCs w:val="24"/>
          <w:lang w:val="ro-RO"/>
        </w:rPr>
        <w:t>.</w:t>
      </w:r>
    </w:p>
    <w:p w14:paraId="3A65C4F0" w14:textId="41EF4C3C" w:rsidR="009F3AEA" w:rsidRPr="00E82CC1" w:rsidRDefault="009F3AEA" w:rsidP="009F3AEA">
      <w:pPr>
        <w:spacing w:line="276" w:lineRule="auto"/>
        <w:jc w:val="both"/>
        <w:rPr>
          <w:rFonts w:asciiTheme="majorHAnsi" w:hAnsiTheme="majorHAnsi" w:cstheme="majorHAnsi"/>
          <w:sz w:val="24"/>
          <w:szCs w:val="24"/>
          <w:lang w:val="ro-RO"/>
        </w:rPr>
      </w:pPr>
      <w:r w:rsidRPr="00E82CC1">
        <w:rPr>
          <w:rFonts w:asciiTheme="majorHAnsi" w:eastAsia="Times New Roman" w:hAnsiTheme="majorHAnsi" w:cstheme="majorHAnsi"/>
          <w:color w:val="000000"/>
          <w:sz w:val="24"/>
          <w:szCs w:val="24"/>
          <w:lang w:val="ro-RO"/>
        </w:rPr>
        <w:t xml:space="preserve">La 1 ianuarie 2021 numărul </w:t>
      </w:r>
      <w:r w:rsidR="009E29F2">
        <w:rPr>
          <w:rFonts w:asciiTheme="majorHAnsi" w:eastAsia="Times New Roman" w:hAnsiTheme="majorHAnsi" w:cstheme="majorHAnsi"/>
          <w:color w:val="000000"/>
          <w:sz w:val="24"/>
          <w:szCs w:val="24"/>
          <w:lang w:val="ro-RO"/>
        </w:rPr>
        <w:t xml:space="preserve">total al </w:t>
      </w:r>
      <w:r w:rsidRPr="00E82CC1">
        <w:rPr>
          <w:rFonts w:asciiTheme="majorHAnsi" w:eastAsia="Times New Roman" w:hAnsiTheme="majorHAnsi" w:cstheme="majorHAnsi"/>
          <w:color w:val="000000"/>
          <w:sz w:val="24"/>
          <w:szCs w:val="24"/>
          <w:lang w:val="ro-RO"/>
        </w:rPr>
        <w:t>salariaților pe instituție</w:t>
      </w:r>
      <w:r w:rsidR="009E29F2">
        <w:rPr>
          <w:rFonts w:asciiTheme="majorHAnsi" w:eastAsia="Times New Roman" w:hAnsiTheme="majorHAnsi" w:cstheme="majorHAnsi"/>
          <w:color w:val="000000"/>
          <w:sz w:val="24"/>
          <w:szCs w:val="24"/>
          <w:lang w:val="ro-RO"/>
        </w:rPr>
        <w:t>,</w:t>
      </w:r>
      <w:r w:rsidRPr="00E82CC1">
        <w:rPr>
          <w:rFonts w:asciiTheme="majorHAnsi" w:eastAsia="Times New Roman" w:hAnsiTheme="majorHAnsi" w:cstheme="majorHAnsi"/>
          <w:color w:val="000000"/>
          <w:sz w:val="24"/>
          <w:szCs w:val="24"/>
          <w:lang w:val="ro-RO"/>
        </w:rPr>
        <w:t xml:space="preserve"> conform statelor de personal apr</w:t>
      </w:r>
      <w:r w:rsidR="008967EB" w:rsidRPr="00E82CC1">
        <w:rPr>
          <w:rFonts w:asciiTheme="majorHAnsi" w:eastAsia="Times New Roman" w:hAnsiTheme="majorHAnsi" w:cstheme="majorHAnsi"/>
          <w:color w:val="000000"/>
          <w:sz w:val="24"/>
          <w:szCs w:val="24"/>
          <w:lang w:val="ro-RO"/>
        </w:rPr>
        <w:t>obate</w:t>
      </w:r>
      <w:r w:rsidR="009E29F2">
        <w:rPr>
          <w:rFonts w:asciiTheme="majorHAnsi" w:eastAsia="Times New Roman" w:hAnsiTheme="majorHAnsi" w:cstheme="majorHAnsi"/>
          <w:color w:val="000000"/>
          <w:sz w:val="24"/>
          <w:szCs w:val="24"/>
          <w:lang w:val="ro-RO"/>
        </w:rPr>
        <w:t>,</w:t>
      </w:r>
      <w:r w:rsidR="008967EB" w:rsidRPr="00E82CC1">
        <w:rPr>
          <w:rFonts w:asciiTheme="majorHAnsi" w:eastAsia="Times New Roman" w:hAnsiTheme="majorHAnsi" w:cstheme="majorHAnsi"/>
          <w:color w:val="000000"/>
          <w:sz w:val="24"/>
          <w:szCs w:val="24"/>
          <w:lang w:val="ro-RO"/>
        </w:rPr>
        <w:t xml:space="preserve"> a constituit 1</w:t>
      </w:r>
      <w:r w:rsidR="00C12743" w:rsidRPr="00E82CC1">
        <w:rPr>
          <w:rFonts w:asciiTheme="majorHAnsi" w:eastAsia="Times New Roman" w:hAnsiTheme="majorHAnsi" w:cstheme="majorHAnsi"/>
          <w:color w:val="000000"/>
          <w:sz w:val="24"/>
          <w:szCs w:val="24"/>
          <w:lang w:val="ro-RO"/>
        </w:rPr>
        <w:t xml:space="preserve"> </w:t>
      </w:r>
      <w:r w:rsidR="008967EB" w:rsidRPr="00E82CC1">
        <w:rPr>
          <w:rFonts w:asciiTheme="majorHAnsi" w:eastAsia="Times New Roman" w:hAnsiTheme="majorHAnsi" w:cstheme="majorHAnsi"/>
          <w:color w:val="000000"/>
          <w:sz w:val="24"/>
          <w:szCs w:val="24"/>
          <w:lang w:val="ro-RO"/>
        </w:rPr>
        <w:t xml:space="preserve">348 </w:t>
      </w:r>
      <w:r w:rsidR="009E29F2">
        <w:rPr>
          <w:rFonts w:asciiTheme="majorHAnsi" w:eastAsia="Times New Roman" w:hAnsiTheme="majorHAnsi" w:cstheme="majorHAnsi"/>
          <w:color w:val="000000"/>
          <w:sz w:val="24"/>
          <w:szCs w:val="24"/>
          <w:lang w:val="ro-RO"/>
        </w:rPr>
        <w:t xml:space="preserve">de </w:t>
      </w:r>
      <w:r w:rsidR="008967EB" w:rsidRPr="00E82CC1">
        <w:rPr>
          <w:rFonts w:asciiTheme="majorHAnsi" w:eastAsia="Times New Roman" w:hAnsiTheme="majorHAnsi" w:cstheme="majorHAnsi"/>
          <w:color w:val="000000"/>
          <w:sz w:val="24"/>
          <w:szCs w:val="24"/>
          <w:lang w:val="ro-RO"/>
        </w:rPr>
        <w:t>unități, iar</w:t>
      </w:r>
      <w:r w:rsidRPr="00E82CC1">
        <w:rPr>
          <w:rFonts w:asciiTheme="majorHAnsi" w:eastAsia="Times New Roman" w:hAnsiTheme="majorHAnsi" w:cstheme="majorHAnsi"/>
          <w:color w:val="000000"/>
          <w:sz w:val="24"/>
          <w:szCs w:val="24"/>
          <w:lang w:val="ro-RO"/>
        </w:rPr>
        <w:t xml:space="preserve"> efectiv </w:t>
      </w:r>
      <w:r w:rsidR="009E29F2">
        <w:rPr>
          <w:rFonts w:asciiTheme="majorHAnsi" w:eastAsia="Times New Roman" w:hAnsiTheme="majorHAnsi" w:cstheme="majorHAnsi"/>
          <w:color w:val="000000"/>
          <w:sz w:val="24"/>
          <w:szCs w:val="24"/>
          <w:lang w:val="ro-RO"/>
        </w:rPr>
        <w:t>erau</w:t>
      </w:r>
      <w:r w:rsidR="008967EB" w:rsidRPr="00E82CC1">
        <w:rPr>
          <w:rFonts w:asciiTheme="majorHAnsi" w:eastAsia="Times New Roman" w:hAnsiTheme="majorHAnsi" w:cstheme="majorHAnsi"/>
          <w:color w:val="000000"/>
          <w:sz w:val="24"/>
          <w:szCs w:val="24"/>
          <w:lang w:val="ro-RO"/>
        </w:rPr>
        <w:t xml:space="preserve"> angajați 1 061 </w:t>
      </w:r>
      <w:r w:rsidR="009E29F2">
        <w:rPr>
          <w:rFonts w:asciiTheme="majorHAnsi" w:eastAsia="Times New Roman" w:hAnsiTheme="majorHAnsi" w:cstheme="majorHAnsi"/>
          <w:color w:val="000000"/>
          <w:sz w:val="24"/>
          <w:szCs w:val="24"/>
          <w:lang w:val="ro-RO"/>
        </w:rPr>
        <w:t xml:space="preserve">de </w:t>
      </w:r>
      <w:r w:rsidR="008967EB" w:rsidRPr="00E82CC1">
        <w:rPr>
          <w:rFonts w:asciiTheme="majorHAnsi" w:eastAsia="Times New Roman" w:hAnsiTheme="majorHAnsi" w:cstheme="majorHAnsi"/>
          <w:color w:val="000000"/>
          <w:sz w:val="24"/>
          <w:szCs w:val="24"/>
          <w:lang w:val="ro-RO"/>
        </w:rPr>
        <w:t xml:space="preserve">salariați, ceea ce constituie o rată a angajării de 78,7%. </w:t>
      </w:r>
      <w:r w:rsidRPr="00E82CC1">
        <w:rPr>
          <w:rFonts w:asciiTheme="majorHAnsi" w:hAnsiTheme="majorHAnsi" w:cstheme="majorHAnsi"/>
          <w:sz w:val="24"/>
          <w:szCs w:val="24"/>
          <w:lang w:val="ro-RO"/>
        </w:rPr>
        <w:t>Cheltuielile efective pentru retri</w:t>
      </w:r>
      <w:r w:rsidR="008967EB" w:rsidRPr="00E82CC1">
        <w:rPr>
          <w:rFonts w:asciiTheme="majorHAnsi" w:hAnsiTheme="majorHAnsi" w:cstheme="majorHAnsi"/>
          <w:sz w:val="24"/>
          <w:szCs w:val="24"/>
          <w:lang w:val="ro-RO"/>
        </w:rPr>
        <w:t>buirea muncii au constituit 134,</w:t>
      </w:r>
      <w:r w:rsidRPr="00E82CC1">
        <w:rPr>
          <w:rFonts w:asciiTheme="majorHAnsi" w:hAnsiTheme="majorHAnsi" w:cstheme="majorHAnsi"/>
          <w:sz w:val="24"/>
          <w:szCs w:val="24"/>
          <w:lang w:val="ro-RO"/>
        </w:rPr>
        <w:t xml:space="preserve">1 mil.lei. </w:t>
      </w:r>
    </w:p>
    <w:p w14:paraId="6D40FF68" w14:textId="159D224F" w:rsidR="00C03D36" w:rsidRPr="00E82CC1" w:rsidRDefault="00C03D36" w:rsidP="00C03D36">
      <w:pPr>
        <w:spacing w:after="0" w:line="240" w:lineRule="auto"/>
        <w:jc w:val="right"/>
        <w:rPr>
          <w:rFonts w:asciiTheme="majorHAnsi" w:hAnsiTheme="majorHAnsi" w:cstheme="majorHAnsi"/>
          <w:b/>
          <w:sz w:val="24"/>
          <w:szCs w:val="24"/>
          <w:lang w:val="ro-RO"/>
        </w:rPr>
      </w:pPr>
      <w:r w:rsidRPr="00E82CC1">
        <w:rPr>
          <w:rFonts w:asciiTheme="majorHAnsi" w:hAnsiTheme="majorHAnsi" w:cstheme="majorHAnsi"/>
          <w:b/>
          <w:sz w:val="24"/>
          <w:szCs w:val="24"/>
          <w:lang w:val="ro-RO"/>
        </w:rPr>
        <w:t>Tabel</w:t>
      </w:r>
      <w:r w:rsidR="009E29F2">
        <w:rPr>
          <w:rFonts w:asciiTheme="majorHAnsi" w:hAnsiTheme="majorHAnsi" w:cstheme="majorHAnsi"/>
          <w:b/>
          <w:sz w:val="24"/>
          <w:szCs w:val="24"/>
          <w:lang w:val="ro-RO"/>
        </w:rPr>
        <w:t>ul</w:t>
      </w:r>
      <w:r w:rsidRPr="00E82CC1">
        <w:rPr>
          <w:rFonts w:asciiTheme="majorHAnsi" w:hAnsiTheme="majorHAnsi" w:cstheme="majorHAnsi"/>
          <w:b/>
          <w:sz w:val="24"/>
          <w:szCs w:val="24"/>
          <w:lang w:val="ro-RO"/>
        </w:rPr>
        <w:t xml:space="preserve"> nr. </w:t>
      </w:r>
      <w:r w:rsidR="00FE6B4B" w:rsidRPr="00E82CC1">
        <w:rPr>
          <w:rFonts w:asciiTheme="majorHAnsi" w:hAnsiTheme="majorHAnsi" w:cstheme="majorHAnsi"/>
          <w:b/>
          <w:sz w:val="24"/>
          <w:szCs w:val="24"/>
          <w:lang w:val="ro-RO"/>
        </w:rPr>
        <w:t>6</w:t>
      </w:r>
    </w:p>
    <w:p w14:paraId="719318E9" w14:textId="144C6507" w:rsidR="00C03D36" w:rsidRPr="00E82CC1" w:rsidRDefault="00C03D36" w:rsidP="00C03D36">
      <w:pPr>
        <w:spacing w:after="0" w:line="240" w:lineRule="auto"/>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Date privind încadrarea personalului în cadrul Casei Naționale</w:t>
      </w:r>
    </w:p>
    <w:tbl>
      <w:tblPr>
        <w:tblStyle w:val="af0"/>
        <w:tblW w:w="9849" w:type="dxa"/>
        <w:tblLook w:val="04A0" w:firstRow="1" w:lastRow="0" w:firstColumn="1" w:lastColumn="0" w:noHBand="0" w:noVBand="1"/>
      </w:tblPr>
      <w:tblGrid>
        <w:gridCol w:w="2547"/>
        <w:gridCol w:w="1134"/>
        <w:gridCol w:w="992"/>
        <w:gridCol w:w="1276"/>
        <w:gridCol w:w="1134"/>
        <w:gridCol w:w="1383"/>
        <w:gridCol w:w="1383"/>
      </w:tblGrid>
      <w:tr w:rsidR="00C03D36" w:rsidRPr="00E82CC1" w14:paraId="56BE11EA" w14:textId="77777777" w:rsidTr="00C03D36">
        <w:trPr>
          <w:trHeight w:val="308"/>
        </w:trPr>
        <w:tc>
          <w:tcPr>
            <w:tcW w:w="2547" w:type="dxa"/>
            <w:vMerge w:val="restart"/>
            <w:vAlign w:val="center"/>
          </w:tcPr>
          <w:p w14:paraId="332FA4A5" w14:textId="77777777" w:rsidR="00C03D36" w:rsidRPr="00E82CC1" w:rsidRDefault="00C03D36" w:rsidP="00C03D36">
            <w:pPr>
              <w:spacing w:line="276" w:lineRule="auto"/>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Categorii de personal</w:t>
            </w:r>
          </w:p>
        </w:tc>
        <w:tc>
          <w:tcPr>
            <w:tcW w:w="2126" w:type="dxa"/>
            <w:gridSpan w:val="2"/>
            <w:vAlign w:val="center"/>
          </w:tcPr>
          <w:p w14:paraId="45CC2D7A" w14:textId="77777777" w:rsidR="00C03D36" w:rsidRPr="00E82CC1" w:rsidRDefault="00C03D36" w:rsidP="00C03D36">
            <w:pPr>
              <w:spacing w:line="276" w:lineRule="auto"/>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Anul 2020</w:t>
            </w:r>
          </w:p>
        </w:tc>
        <w:tc>
          <w:tcPr>
            <w:tcW w:w="2410" w:type="dxa"/>
            <w:gridSpan w:val="2"/>
            <w:vAlign w:val="center"/>
          </w:tcPr>
          <w:p w14:paraId="44F96B80" w14:textId="77777777" w:rsidR="00C03D36" w:rsidRPr="00E82CC1" w:rsidRDefault="00C03D36" w:rsidP="00C03D36">
            <w:pPr>
              <w:spacing w:line="276" w:lineRule="auto"/>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Anul 2021</w:t>
            </w:r>
          </w:p>
        </w:tc>
        <w:tc>
          <w:tcPr>
            <w:tcW w:w="2766" w:type="dxa"/>
            <w:gridSpan w:val="2"/>
            <w:vAlign w:val="center"/>
          </w:tcPr>
          <w:p w14:paraId="2F9DE099" w14:textId="77777777" w:rsidR="00C03D36" w:rsidRPr="00E82CC1" w:rsidRDefault="00C03D36" w:rsidP="00C03D36">
            <w:pPr>
              <w:spacing w:line="276" w:lineRule="auto"/>
              <w:jc w:val="center"/>
              <w:rPr>
                <w:rFonts w:asciiTheme="majorHAnsi" w:hAnsiTheme="majorHAnsi" w:cstheme="majorHAnsi"/>
                <w:b/>
                <w:sz w:val="20"/>
                <w:szCs w:val="20"/>
                <w:lang w:val="ro-MD"/>
              </w:rPr>
            </w:pPr>
            <w:r w:rsidRPr="00E82CC1">
              <w:rPr>
                <w:rFonts w:asciiTheme="majorHAnsi" w:hAnsiTheme="majorHAnsi" w:cstheme="majorHAnsi"/>
                <w:b/>
                <w:sz w:val="20"/>
                <w:szCs w:val="20"/>
                <w:lang w:val="ro-RO"/>
              </w:rPr>
              <w:t>Diferen</w:t>
            </w:r>
            <w:r w:rsidRPr="00E82CC1">
              <w:rPr>
                <w:rFonts w:asciiTheme="majorHAnsi" w:hAnsiTheme="majorHAnsi" w:cstheme="majorHAnsi"/>
                <w:b/>
                <w:sz w:val="20"/>
                <w:szCs w:val="20"/>
                <w:lang w:val="ro-MD"/>
              </w:rPr>
              <w:t>ța</w:t>
            </w:r>
          </w:p>
        </w:tc>
      </w:tr>
      <w:tr w:rsidR="00C03D36" w:rsidRPr="00E82CC1" w14:paraId="654B0F5E" w14:textId="77777777" w:rsidTr="00C03D36">
        <w:tc>
          <w:tcPr>
            <w:tcW w:w="2547" w:type="dxa"/>
            <w:vMerge/>
            <w:vAlign w:val="center"/>
          </w:tcPr>
          <w:p w14:paraId="54C23106" w14:textId="77777777" w:rsidR="00C03D36" w:rsidRPr="00E82CC1" w:rsidRDefault="00C03D36" w:rsidP="00C03D36">
            <w:pPr>
              <w:spacing w:line="276" w:lineRule="auto"/>
              <w:jc w:val="center"/>
              <w:rPr>
                <w:rFonts w:asciiTheme="majorHAnsi" w:hAnsiTheme="majorHAnsi" w:cstheme="majorHAnsi"/>
                <w:b/>
                <w:sz w:val="20"/>
                <w:szCs w:val="20"/>
                <w:lang w:val="ro-RO"/>
              </w:rPr>
            </w:pPr>
          </w:p>
        </w:tc>
        <w:tc>
          <w:tcPr>
            <w:tcW w:w="1134" w:type="dxa"/>
            <w:vAlign w:val="center"/>
          </w:tcPr>
          <w:p w14:paraId="38DF860D" w14:textId="77777777" w:rsidR="00C03D36" w:rsidRPr="00E82CC1" w:rsidRDefault="00C03D36" w:rsidP="00C03D36">
            <w:pPr>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aprobat</w:t>
            </w:r>
          </w:p>
        </w:tc>
        <w:tc>
          <w:tcPr>
            <w:tcW w:w="992" w:type="dxa"/>
            <w:vAlign w:val="center"/>
          </w:tcPr>
          <w:p w14:paraId="72267683" w14:textId="77777777" w:rsidR="00C03D36" w:rsidRPr="00E82CC1" w:rsidRDefault="00C03D36" w:rsidP="00C03D36">
            <w:pPr>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efectiv</w:t>
            </w:r>
          </w:p>
        </w:tc>
        <w:tc>
          <w:tcPr>
            <w:tcW w:w="1276" w:type="dxa"/>
            <w:vAlign w:val="center"/>
          </w:tcPr>
          <w:p w14:paraId="489D7EF8" w14:textId="77777777" w:rsidR="00C03D36" w:rsidRPr="00E82CC1" w:rsidRDefault="00C03D36" w:rsidP="00C03D36">
            <w:pPr>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aprobat</w:t>
            </w:r>
          </w:p>
        </w:tc>
        <w:tc>
          <w:tcPr>
            <w:tcW w:w="1134" w:type="dxa"/>
            <w:vAlign w:val="center"/>
          </w:tcPr>
          <w:p w14:paraId="5D1CC1D7" w14:textId="77777777" w:rsidR="00C03D36" w:rsidRPr="00E82CC1" w:rsidRDefault="00C03D36" w:rsidP="00C03D36">
            <w:pPr>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efectiv</w:t>
            </w:r>
          </w:p>
        </w:tc>
        <w:tc>
          <w:tcPr>
            <w:tcW w:w="1383" w:type="dxa"/>
            <w:vAlign w:val="center"/>
          </w:tcPr>
          <w:p w14:paraId="33453577" w14:textId="77777777" w:rsidR="00C03D36" w:rsidRPr="00E82CC1" w:rsidRDefault="00C03D36" w:rsidP="00C03D36">
            <w:pPr>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Efectiv 2021 față de anul precedent</w:t>
            </w:r>
          </w:p>
        </w:tc>
        <w:tc>
          <w:tcPr>
            <w:tcW w:w="1383" w:type="dxa"/>
            <w:vAlign w:val="center"/>
          </w:tcPr>
          <w:p w14:paraId="0120E057" w14:textId="77777777" w:rsidR="00C03D36" w:rsidRPr="00E82CC1" w:rsidRDefault="00C03D36" w:rsidP="00C03D36">
            <w:pPr>
              <w:jc w:val="center"/>
              <w:rPr>
                <w:rFonts w:asciiTheme="majorHAnsi" w:hAnsiTheme="majorHAnsi" w:cstheme="majorHAnsi"/>
                <w:b/>
                <w:sz w:val="20"/>
                <w:szCs w:val="20"/>
                <w:lang w:val="ro-RO"/>
              </w:rPr>
            </w:pPr>
            <w:r w:rsidRPr="00E82CC1">
              <w:rPr>
                <w:rFonts w:asciiTheme="majorHAnsi" w:hAnsiTheme="majorHAnsi" w:cstheme="majorHAnsi"/>
                <w:b/>
                <w:sz w:val="20"/>
                <w:szCs w:val="20"/>
                <w:lang w:val="ro-RO"/>
              </w:rPr>
              <w:t>Efectiv față de nivelul programat</w:t>
            </w:r>
          </w:p>
        </w:tc>
      </w:tr>
      <w:tr w:rsidR="00C03D36" w:rsidRPr="00E82CC1" w14:paraId="4F1D5943" w14:textId="77777777" w:rsidTr="00C03D36">
        <w:tc>
          <w:tcPr>
            <w:tcW w:w="2547" w:type="dxa"/>
            <w:vAlign w:val="center"/>
          </w:tcPr>
          <w:p w14:paraId="0B9977F9" w14:textId="77777777" w:rsidR="00C03D36" w:rsidRPr="00E82CC1" w:rsidRDefault="00C03D36" w:rsidP="00C03D36">
            <w:pPr>
              <w:rPr>
                <w:rFonts w:asciiTheme="majorHAnsi" w:hAnsiTheme="majorHAnsi" w:cstheme="majorHAnsi"/>
                <w:b/>
                <w:sz w:val="20"/>
                <w:szCs w:val="20"/>
                <w:lang w:val="ro-RO"/>
              </w:rPr>
            </w:pPr>
            <w:r w:rsidRPr="00E82CC1">
              <w:rPr>
                <w:rFonts w:asciiTheme="majorHAnsi" w:hAnsiTheme="majorHAnsi" w:cstheme="majorHAnsi"/>
                <w:b/>
                <w:sz w:val="20"/>
                <w:szCs w:val="20"/>
                <w:lang w:val="ro-RO"/>
              </w:rPr>
              <w:t>1. Numărul mediu al salariaților - total</w:t>
            </w:r>
          </w:p>
        </w:tc>
        <w:tc>
          <w:tcPr>
            <w:tcW w:w="1134" w:type="dxa"/>
            <w:vAlign w:val="center"/>
          </w:tcPr>
          <w:p w14:paraId="199C3CD6"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w:t>
            </w:r>
            <w:r w:rsidR="004D7171" w:rsidRPr="00E82CC1">
              <w:rPr>
                <w:rFonts w:asciiTheme="majorHAnsi" w:hAnsiTheme="majorHAnsi" w:cstheme="majorHAnsi"/>
                <w:sz w:val="20"/>
                <w:szCs w:val="20"/>
                <w:lang w:val="ro-RO"/>
              </w:rPr>
              <w:t xml:space="preserve"> </w:t>
            </w:r>
            <w:r w:rsidRPr="00E82CC1">
              <w:rPr>
                <w:rFonts w:asciiTheme="majorHAnsi" w:hAnsiTheme="majorHAnsi" w:cstheme="majorHAnsi"/>
                <w:sz w:val="20"/>
                <w:szCs w:val="20"/>
                <w:lang w:val="ro-RO"/>
              </w:rPr>
              <w:t>348</w:t>
            </w:r>
          </w:p>
        </w:tc>
        <w:tc>
          <w:tcPr>
            <w:tcW w:w="992" w:type="dxa"/>
            <w:vAlign w:val="center"/>
          </w:tcPr>
          <w:p w14:paraId="19D6AC1F"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w:t>
            </w:r>
            <w:r w:rsidR="004D7171" w:rsidRPr="00E82CC1">
              <w:rPr>
                <w:rFonts w:asciiTheme="majorHAnsi" w:hAnsiTheme="majorHAnsi" w:cstheme="majorHAnsi"/>
                <w:sz w:val="20"/>
                <w:szCs w:val="20"/>
                <w:lang w:val="ro-RO"/>
              </w:rPr>
              <w:t xml:space="preserve"> </w:t>
            </w:r>
            <w:r w:rsidRPr="00E82CC1">
              <w:rPr>
                <w:rFonts w:asciiTheme="majorHAnsi" w:hAnsiTheme="majorHAnsi" w:cstheme="majorHAnsi"/>
                <w:sz w:val="20"/>
                <w:szCs w:val="20"/>
                <w:lang w:val="ro-RO"/>
              </w:rPr>
              <w:t>030</w:t>
            </w:r>
          </w:p>
        </w:tc>
        <w:tc>
          <w:tcPr>
            <w:tcW w:w="1276" w:type="dxa"/>
            <w:vAlign w:val="center"/>
          </w:tcPr>
          <w:p w14:paraId="5B95D496"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w:t>
            </w:r>
            <w:r w:rsidR="004D7171" w:rsidRPr="00E82CC1">
              <w:rPr>
                <w:rFonts w:asciiTheme="majorHAnsi" w:hAnsiTheme="majorHAnsi" w:cstheme="majorHAnsi"/>
                <w:color w:val="000000" w:themeColor="text1"/>
                <w:sz w:val="20"/>
                <w:szCs w:val="20"/>
                <w:lang w:val="ro-RO"/>
              </w:rPr>
              <w:t xml:space="preserve"> </w:t>
            </w:r>
            <w:r w:rsidRPr="00E82CC1">
              <w:rPr>
                <w:rFonts w:asciiTheme="majorHAnsi" w:hAnsiTheme="majorHAnsi" w:cstheme="majorHAnsi"/>
                <w:color w:val="000000" w:themeColor="text1"/>
                <w:sz w:val="20"/>
                <w:szCs w:val="20"/>
                <w:lang w:val="ro-RO"/>
              </w:rPr>
              <w:t>348</w:t>
            </w:r>
          </w:p>
        </w:tc>
        <w:tc>
          <w:tcPr>
            <w:tcW w:w="1134" w:type="dxa"/>
            <w:vAlign w:val="center"/>
          </w:tcPr>
          <w:p w14:paraId="1E096898"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w:t>
            </w:r>
            <w:r w:rsidR="004D7171" w:rsidRPr="00E82CC1">
              <w:rPr>
                <w:rFonts w:asciiTheme="majorHAnsi" w:hAnsiTheme="majorHAnsi" w:cstheme="majorHAnsi"/>
                <w:color w:val="000000" w:themeColor="text1"/>
                <w:sz w:val="20"/>
                <w:szCs w:val="20"/>
                <w:lang w:val="ro-RO"/>
              </w:rPr>
              <w:t xml:space="preserve"> </w:t>
            </w:r>
            <w:r w:rsidRPr="00E82CC1">
              <w:rPr>
                <w:rFonts w:asciiTheme="majorHAnsi" w:hAnsiTheme="majorHAnsi" w:cstheme="majorHAnsi"/>
                <w:color w:val="000000" w:themeColor="text1"/>
                <w:sz w:val="20"/>
                <w:szCs w:val="20"/>
                <w:lang w:val="ro-RO"/>
              </w:rPr>
              <w:t>086</w:t>
            </w:r>
          </w:p>
        </w:tc>
        <w:tc>
          <w:tcPr>
            <w:tcW w:w="1383" w:type="dxa"/>
            <w:vAlign w:val="center"/>
          </w:tcPr>
          <w:p w14:paraId="69FE4A7C"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+56</w:t>
            </w:r>
          </w:p>
        </w:tc>
        <w:tc>
          <w:tcPr>
            <w:tcW w:w="1383" w:type="dxa"/>
            <w:vAlign w:val="center"/>
          </w:tcPr>
          <w:p w14:paraId="5B7C6AE2"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-262</w:t>
            </w:r>
          </w:p>
        </w:tc>
      </w:tr>
      <w:tr w:rsidR="00C03D36" w:rsidRPr="00E82CC1" w14:paraId="73C7C47B" w14:textId="77777777" w:rsidTr="00C03D36">
        <w:tc>
          <w:tcPr>
            <w:tcW w:w="2547" w:type="dxa"/>
            <w:vAlign w:val="center"/>
          </w:tcPr>
          <w:p w14:paraId="33F62E2A" w14:textId="77777777" w:rsidR="00C03D36" w:rsidRPr="00E82CC1" w:rsidRDefault="00C03D36" w:rsidP="00C03D36">
            <w:pPr>
              <w:rPr>
                <w:rFonts w:asciiTheme="majorHAnsi" w:hAnsiTheme="majorHAnsi" w:cstheme="majorHAnsi"/>
                <w:b/>
                <w:sz w:val="20"/>
                <w:szCs w:val="20"/>
                <w:lang w:val="ro-RO"/>
              </w:rPr>
            </w:pPr>
            <w:r w:rsidRPr="00E82CC1">
              <w:rPr>
                <w:rFonts w:asciiTheme="majorHAnsi" w:hAnsiTheme="majorHAnsi" w:cstheme="majorHAnsi"/>
                <w:b/>
                <w:sz w:val="20"/>
                <w:szCs w:val="20"/>
                <w:lang w:val="ro-RO"/>
              </w:rPr>
              <w:t>2. Conducerea</w:t>
            </w:r>
          </w:p>
        </w:tc>
        <w:tc>
          <w:tcPr>
            <w:tcW w:w="1134" w:type="dxa"/>
            <w:vAlign w:val="center"/>
          </w:tcPr>
          <w:p w14:paraId="0655DE66"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312</w:t>
            </w:r>
          </w:p>
        </w:tc>
        <w:tc>
          <w:tcPr>
            <w:tcW w:w="992" w:type="dxa"/>
            <w:vAlign w:val="center"/>
          </w:tcPr>
          <w:p w14:paraId="27419A11"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298</w:t>
            </w:r>
          </w:p>
        </w:tc>
        <w:tc>
          <w:tcPr>
            <w:tcW w:w="1276" w:type="dxa"/>
            <w:vAlign w:val="center"/>
          </w:tcPr>
          <w:p w14:paraId="1AC03BB2"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312</w:t>
            </w:r>
          </w:p>
        </w:tc>
        <w:tc>
          <w:tcPr>
            <w:tcW w:w="1134" w:type="dxa"/>
            <w:vAlign w:val="center"/>
          </w:tcPr>
          <w:p w14:paraId="5BBED402"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299</w:t>
            </w:r>
          </w:p>
        </w:tc>
        <w:tc>
          <w:tcPr>
            <w:tcW w:w="1383" w:type="dxa"/>
            <w:vAlign w:val="center"/>
          </w:tcPr>
          <w:p w14:paraId="42D84158"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w:t>
            </w:r>
          </w:p>
        </w:tc>
        <w:tc>
          <w:tcPr>
            <w:tcW w:w="1383" w:type="dxa"/>
            <w:vAlign w:val="center"/>
          </w:tcPr>
          <w:p w14:paraId="7D4FA707"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-13</w:t>
            </w:r>
          </w:p>
        </w:tc>
      </w:tr>
      <w:tr w:rsidR="00C03D36" w:rsidRPr="00E82CC1" w14:paraId="37EA8241" w14:textId="77777777" w:rsidTr="00C03D36">
        <w:tc>
          <w:tcPr>
            <w:tcW w:w="2547" w:type="dxa"/>
            <w:vAlign w:val="center"/>
          </w:tcPr>
          <w:p w14:paraId="51C99626" w14:textId="77777777" w:rsidR="00C03D36" w:rsidRPr="00E82CC1" w:rsidRDefault="00C03D36" w:rsidP="00C03D36">
            <w:pPr>
              <w:rPr>
                <w:rFonts w:asciiTheme="majorHAnsi" w:hAnsiTheme="majorHAnsi" w:cstheme="majorHAnsi"/>
                <w:b/>
                <w:sz w:val="20"/>
                <w:szCs w:val="20"/>
                <w:lang w:val="ro-RO"/>
              </w:rPr>
            </w:pPr>
            <w:r w:rsidRPr="00E82CC1">
              <w:rPr>
                <w:rFonts w:asciiTheme="majorHAnsi" w:hAnsiTheme="majorHAnsi" w:cstheme="majorHAnsi"/>
                <w:b/>
                <w:sz w:val="20"/>
                <w:szCs w:val="20"/>
                <w:lang w:val="ro-RO"/>
              </w:rPr>
              <w:t>3. Personal de execuție</w:t>
            </w:r>
          </w:p>
        </w:tc>
        <w:tc>
          <w:tcPr>
            <w:tcW w:w="1134" w:type="dxa"/>
            <w:vAlign w:val="center"/>
          </w:tcPr>
          <w:p w14:paraId="3D920633"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904</w:t>
            </w:r>
          </w:p>
        </w:tc>
        <w:tc>
          <w:tcPr>
            <w:tcW w:w="992" w:type="dxa"/>
            <w:vAlign w:val="center"/>
          </w:tcPr>
          <w:p w14:paraId="26049690"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622</w:t>
            </w:r>
          </w:p>
        </w:tc>
        <w:tc>
          <w:tcPr>
            <w:tcW w:w="1276" w:type="dxa"/>
            <w:vAlign w:val="center"/>
          </w:tcPr>
          <w:p w14:paraId="1910E975"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904</w:t>
            </w:r>
          </w:p>
        </w:tc>
        <w:tc>
          <w:tcPr>
            <w:tcW w:w="1134" w:type="dxa"/>
            <w:vAlign w:val="center"/>
          </w:tcPr>
          <w:p w14:paraId="38D8EA7F"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668</w:t>
            </w:r>
          </w:p>
        </w:tc>
        <w:tc>
          <w:tcPr>
            <w:tcW w:w="1383" w:type="dxa"/>
            <w:vAlign w:val="center"/>
          </w:tcPr>
          <w:p w14:paraId="74A8DE6E"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+46</w:t>
            </w:r>
          </w:p>
        </w:tc>
        <w:tc>
          <w:tcPr>
            <w:tcW w:w="1383" w:type="dxa"/>
            <w:vAlign w:val="center"/>
          </w:tcPr>
          <w:p w14:paraId="0D6A0911"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-236</w:t>
            </w:r>
          </w:p>
        </w:tc>
      </w:tr>
      <w:tr w:rsidR="00C03D36" w:rsidRPr="00E82CC1" w14:paraId="1E57B315" w14:textId="77777777" w:rsidTr="00C03D36">
        <w:tc>
          <w:tcPr>
            <w:tcW w:w="2547" w:type="dxa"/>
            <w:vAlign w:val="center"/>
          </w:tcPr>
          <w:p w14:paraId="3A93D07B" w14:textId="77777777" w:rsidR="00C03D36" w:rsidRPr="00E82CC1" w:rsidRDefault="00C03D36" w:rsidP="00C03D36">
            <w:pPr>
              <w:rPr>
                <w:rFonts w:asciiTheme="majorHAnsi" w:hAnsiTheme="majorHAnsi" w:cstheme="majorHAnsi"/>
                <w:b/>
                <w:sz w:val="20"/>
                <w:szCs w:val="20"/>
                <w:lang w:val="ro-RO"/>
              </w:rPr>
            </w:pPr>
            <w:r w:rsidRPr="00E82CC1">
              <w:rPr>
                <w:rFonts w:asciiTheme="majorHAnsi" w:hAnsiTheme="majorHAnsi" w:cstheme="majorHAnsi"/>
                <w:b/>
                <w:sz w:val="20"/>
                <w:szCs w:val="20"/>
                <w:lang w:val="ro-RO"/>
              </w:rPr>
              <w:t>4. Personal din activitatea</w:t>
            </w:r>
          </w:p>
          <w:p w14:paraId="53B1C27E" w14:textId="51CC7F1B" w:rsidR="00C03D36" w:rsidRPr="00E82CC1" w:rsidRDefault="00C03D36" w:rsidP="0007117C">
            <w:pPr>
              <w:rPr>
                <w:rFonts w:asciiTheme="majorHAnsi" w:hAnsiTheme="majorHAnsi" w:cstheme="majorHAnsi"/>
                <w:b/>
                <w:sz w:val="20"/>
                <w:szCs w:val="20"/>
                <w:lang w:val="ro-RO"/>
              </w:rPr>
            </w:pPr>
            <w:r w:rsidRPr="00E82CC1">
              <w:rPr>
                <w:rFonts w:asciiTheme="majorHAnsi" w:hAnsiTheme="majorHAnsi" w:cstheme="majorHAnsi"/>
                <w:b/>
                <w:sz w:val="20"/>
                <w:szCs w:val="20"/>
                <w:lang w:val="ro-RO"/>
              </w:rPr>
              <w:t>auxiliară, din care personal netitular</w:t>
            </w:r>
          </w:p>
        </w:tc>
        <w:tc>
          <w:tcPr>
            <w:tcW w:w="1134" w:type="dxa"/>
            <w:vAlign w:val="center"/>
          </w:tcPr>
          <w:p w14:paraId="657F445F"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132</w:t>
            </w:r>
          </w:p>
        </w:tc>
        <w:tc>
          <w:tcPr>
            <w:tcW w:w="992" w:type="dxa"/>
            <w:vAlign w:val="center"/>
          </w:tcPr>
          <w:p w14:paraId="5E6EE03A"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110</w:t>
            </w:r>
          </w:p>
        </w:tc>
        <w:tc>
          <w:tcPr>
            <w:tcW w:w="1276" w:type="dxa"/>
            <w:vAlign w:val="center"/>
          </w:tcPr>
          <w:p w14:paraId="5E9D0A9A"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132</w:t>
            </w:r>
          </w:p>
        </w:tc>
        <w:tc>
          <w:tcPr>
            <w:tcW w:w="1134" w:type="dxa"/>
            <w:vAlign w:val="center"/>
          </w:tcPr>
          <w:p w14:paraId="49ACA79C"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119</w:t>
            </w:r>
          </w:p>
        </w:tc>
        <w:tc>
          <w:tcPr>
            <w:tcW w:w="1383" w:type="dxa"/>
            <w:vAlign w:val="center"/>
          </w:tcPr>
          <w:p w14:paraId="7FA6FA90"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+9</w:t>
            </w:r>
          </w:p>
        </w:tc>
        <w:tc>
          <w:tcPr>
            <w:tcW w:w="1383" w:type="dxa"/>
            <w:vAlign w:val="center"/>
          </w:tcPr>
          <w:p w14:paraId="43E75FEC"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-13</w:t>
            </w:r>
          </w:p>
        </w:tc>
      </w:tr>
    </w:tbl>
    <w:p w14:paraId="257DF802" w14:textId="2D35062D" w:rsidR="00C03D36" w:rsidRPr="00E82CC1" w:rsidRDefault="00C03D36" w:rsidP="009F3AEA">
      <w:pPr>
        <w:spacing w:line="276" w:lineRule="auto"/>
        <w:jc w:val="both"/>
        <w:rPr>
          <w:rFonts w:asciiTheme="majorHAnsi" w:hAnsiTheme="majorHAnsi" w:cstheme="majorHAnsi"/>
          <w:i/>
          <w:sz w:val="24"/>
          <w:szCs w:val="24"/>
          <w:lang w:val="ro-RO"/>
        </w:rPr>
      </w:pPr>
      <w:r w:rsidRPr="00E82CC1">
        <w:rPr>
          <w:rFonts w:asciiTheme="majorHAnsi" w:hAnsiTheme="majorHAnsi" w:cstheme="majorHAnsi"/>
          <w:i/>
          <w:sz w:val="24"/>
          <w:szCs w:val="24"/>
          <w:lang w:val="ro-RO"/>
        </w:rPr>
        <w:t>Sursa: Statele de personal al</w:t>
      </w:r>
      <w:r w:rsidR="0007117C">
        <w:rPr>
          <w:rFonts w:asciiTheme="majorHAnsi" w:hAnsiTheme="majorHAnsi" w:cstheme="majorHAnsi"/>
          <w:i/>
          <w:sz w:val="24"/>
          <w:szCs w:val="24"/>
          <w:lang w:val="ro-RO"/>
        </w:rPr>
        <w:t>e</w:t>
      </w:r>
      <w:r w:rsidRPr="00E82CC1">
        <w:rPr>
          <w:rFonts w:asciiTheme="majorHAnsi" w:hAnsiTheme="majorHAnsi" w:cstheme="majorHAnsi"/>
          <w:i/>
          <w:sz w:val="24"/>
          <w:szCs w:val="24"/>
          <w:lang w:val="ro-RO"/>
        </w:rPr>
        <w:t xml:space="preserve"> CNAS</w:t>
      </w:r>
      <w:r w:rsidR="0007117C">
        <w:rPr>
          <w:rFonts w:asciiTheme="majorHAnsi" w:hAnsiTheme="majorHAnsi" w:cstheme="majorHAnsi"/>
          <w:i/>
          <w:sz w:val="24"/>
          <w:szCs w:val="24"/>
          <w:lang w:val="ro-RO"/>
        </w:rPr>
        <w:t>.</w:t>
      </w:r>
      <w:r w:rsidRPr="00E82CC1">
        <w:rPr>
          <w:rFonts w:asciiTheme="majorHAnsi" w:hAnsiTheme="majorHAnsi" w:cstheme="majorHAnsi"/>
          <w:i/>
          <w:sz w:val="24"/>
          <w:szCs w:val="24"/>
          <w:lang w:val="ro-RO"/>
        </w:rPr>
        <w:t xml:space="preserve"> </w:t>
      </w:r>
      <w:r w:rsidR="0007117C">
        <w:rPr>
          <w:rFonts w:asciiTheme="majorHAnsi" w:hAnsiTheme="majorHAnsi" w:cstheme="majorHAnsi"/>
          <w:i/>
          <w:sz w:val="24"/>
          <w:szCs w:val="24"/>
          <w:lang w:val="ro-RO"/>
        </w:rPr>
        <w:t>R</w:t>
      </w:r>
      <w:r w:rsidRPr="00E82CC1">
        <w:rPr>
          <w:rFonts w:asciiTheme="majorHAnsi" w:hAnsiTheme="majorHAnsi" w:cstheme="majorHAnsi"/>
          <w:i/>
          <w:sz w:val="24"/>
          <w:szCs w:val="24"/>
          <w:lang w:val="ro-RO"/>
        </w:rPr>
        <w:t>aport statistic</w:t>
      </w:r>
    </w:p>
    <w:p w14:paraId="6CA03439" w14:textId="22F3C027" w:rsidR="009F3AEA" w:rsidRPr="00E82CC1" w:rsidRDefault="00276A33" w:rsidP="00362056">
      <w:p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Verificările de către auditor a </w:t>
      </w:r>
      <w:r w:rsidR="0007117C">
        <w:rPr>
          <w:rFonts w:asciiTheme="majorHAnsi" w:hAnsiTheme="majorHAnsi" w:cstheme="majorHAnsi"/>
          <w:sz w:val="24"/>
          <w:szCs w:val="24"/>
          <w:lang w:val="ro-MD"/>
        </w:rPr>
        <w:t xml:space="preserve">salariilor </w:t>
      </w:r>
      <w:r w:rsidRPr="00E82CC1">
        <w:rPr>
          <w:rFonts w:asciiTheme="majorHAnsi" w:hAnsiTheme="majorHAnsi" w:cstheme="majorHAnsi"/>
          <w:sz w:val="24"/>
          <w:szCs w:val="24"/>
          <w:lang w:val="ro-MD"/>
        </w:rPr>
        <w:t xml:space="preserve">unui eșantion de 65 </w:t>
      </w:r>
      <w:r w:rsidR="0007117C">
        <w:rPr>
          <w:rFonts w:asciiTheme="majorHAnsi" w:hAnsiTheme="majorHAnsi" w:cstheme="majorHAnsi"/>
          <w:sz w:val="24"/>
          <w:szCs w:val="24"/>
          <w:lang w:val="ro-MD"/>
        </w:rPr>
        <w:t xml:space="preserve">de </w:t>
      </w:r>
      <w:r w:rsidRPr="00E82CC1">
        <w:rPr>
          <w:rFonts w:asciiTheme="majorHAnsi" w:hAnsiTheme="majorHAnsi" w:cstheme="majorHAnsi"/>
          <w:sz w:val="24"/>
          <w:szCs w:val="24"/>
          <w:lang w:val="ro-MD"/>
        </w:rPr>
        <w:t>angajați au constatat că acestea au fost stabilite în conformitate cu legislația în vigoare</w:t>
      </w:r>
      <w:r w:rsidRPr="00E82CC1">
        <w:rPr>
          <w:rStyle w:val="a5"/>
          <w:rFonts w:asciiTheme="majorHAnsi" w:hAnsiTheme="majorHAnsi" w:cstheme="majorHAnsi"/>
          <w:color w:val="000000"/>
          <w:sz w:val="24"/>
          <w:szCs w:val="24"/>
          <w:shd w:val="clear" w:color="auto" w:fill="FFFFFF"/>
          <w:lang w:val="ro-RO"/>
        </w:rPr>
        <w:footnoteReference w:id="65"/>
      </w:r>
      <w:r w:rsidRPr="00E82CC1">
        <w:rPr>
          <w:rFonts w:asciiTheme="majorHAnsi" w:hAnsiTheme="majorHAnsi" w:cstheme="majorHAnsi"/>
          <w:sz w:val="24"/>
          <w:szCs w:val="24"/>
          <w:lang w:val="ro-MD"/>
        </w:rPr>
        <w:t>, salarii</w:t>
      </w:r>
      <w:r w:rsidR="00362056" w:rsidRPr="00E82CC1">
        <w:rPr>
          <w:rFonts w:asciiTheme="majorHAnsi" w:hAnsiTheme="majorHAnsi" w:cstheme="majorHAnsi"/>
          <w:sz w:val="24"/>
          <w:szCs w:val="24"/>
          <w:lang w:val="ro-MD"/>
        </w:rPr>
        <w:t>le</w:t>
      </w:r>
      <w:r w:rsidRPr="00E82CC1">
        <w:rPr>
          <w:rFonts w:asciiTheme="majorHAnsi" w:hAnsiTheme="majorHAnsi" w:cstheme="majorHAnsi"/>
          <w:sz w:val="24"/>
          <w:szCs w:val="24"/>
          <w:lang w:val="ro-MD"/>
        </w:rPr>
        <w:t xml:space="preserve"> de funcții ale personalului CNAS fiind aprobate prin ordine, iar lunar a fost întocmită documentația </w:t>
      </w:r>
      <w:r w:rsidRPr="006B205A">
        <w:rPr>
          <w:rFonts w:asciiTheme="majorHAnsi" w:hAnsiTheme="majorHAnsi" w:cstheme="majorHAnsi"/>
          <w:sz w:val="24"/>
          <w:szCs w:val="24"/>
          <w:lang w:val="ro-MD"/>
        </w:rPr>
        <w:t>aferentă.</w:t>
      </w:r>
      <w:r w:rsidR="00C7722B" w:rsidRPr="006B205A">
        <w:rPr>
          <w:rFonts w:asciiTheme="majorHAnsi" w:hAnsiTheme="majorHAnsi" w:cstheme="majorHAnsi"/>
          <w:sz w:val="24"/>
          <w:szCs w:val="24"/>
          <w:lang w:val="ro-MD"/>
        </w:rPr>
        <w:t xml:space="preserve"> </w:t>
      </w:r>
      <w:r w:rsidR="00152FDB" w:rsidRPr="006B205A">
        <w:rPr>
          <w:rFonts w:asciiTheme="majorHAnsi" w:hAnsiTheme="majorHAnsi" w:cstheme="majorHAnsi"/>
          <w:sz w:val="24"/>
          <w:szCs w:val="24"/>
          <w:lang w:val="ro-MD"/>
        </w:rPr>
        <w:t xml:space="preserve">Totodată, îndeplinirea/cumularea funcțiilor vacante din cadrul altei subdiviziuni decât cea </w:t>
      </w:r>
      <w:r w:rsidR="0007117C">
        <w:rPr>
          <w:rFonts w:asciiTheme="majorHAnsi" w:hAnsiTheme="majorHAnsi" w:cstheme="majorHAnsi"/>
          <w:sz w:val="24"/>
          <w:szCs w:val="24"/>
          <w:lang w:val="ro-MD"/>
        </w:rPr>
        <w:t xml:space="preserve">în </w:t>
      </w:r>
      <w:r w:rsidR="00152FDB" w:rsidRPr="006B205A">
        <w:rPr>
          <w:rFonts w:asciiTheme="majorHAnsi" w:hAnsiTheme="majorHAnsi" w:cstheme="majorHAnsi"/>
          <w:sz w:val="24"/>
          <w:szCs w:val="24"/>
          <w:lang w:val="ro-MD"/>
        </w:rPr>
        <w:t>care persoana își desfășoară activitatea de bază, creează incertitudini privind utilizarea a 357,0 mii lei. Deși CNAS se bazează pe experiența anterioară a specialiștilor, aceasta nu este argumentată în demersurile/notele de cumulare.</w:t>
      </w:r>
    </w:p>
    <w:p w14:paraId="59006432" w14:textId="7C1F651E" w:rsidR="00983329" w:rsidRPr="00E82CC1" w:rsidRDefault="00983329" w:rsidP="00983329">
      <w:pPr>
        <w:spacing w:after="0"/>
        <w:jc w:val="both"/>
        <w:rPr>
          <w:rFonts w:asciiTheme="majorHAnsi" w:hAnsiTheme="majorHAnsi" w:cstheme="majorHAnsi"/>
          <w:sz w:val="24"/>
          <w:szCs w:val="24"/>
          <w:lang w:val="ro-MD" w:eastAsia="ro-RO"/>
        </w:rPr>
      </w:pPr>
      <w:r w:rsidRPr="00E82CC1">
        <w:rPr>
          <w:rFonts w:asciiTheme="majorHAnsi" w:hAnsiTheme="majorHAnsi" w:cstheme="majorHAnsi"/>
          <w:sz w:val="24"/>
          <w:szCs w:val="24"/>
          <w:lang w:val="ro-MD" w:eastAsia="ro-RO"/>
        </w:rPr>
        <w:t>În figura de mai jos se prezintă desfășurat descifrarea datelor privind retribuirea muncii.</w:t>
      </w:r>
    </w:p>
    <w:p w14:paraId="7F10A4CE" w14:textId="77777777" w:rsidR="00983329" w:rsidRPr="00E82CC1" w:rsidRDefault="00983329" w:rsidP="00983329">
      <w:pPr>
        <w:spacing w:after="0"/>
        <w:ind w:left="-90" w:hanging="90"/>
        <w:jc w:val="right"/>
        <w:rPr>
          <w:rFonts w:asciiTheme="majorHAnsi" w:hAnsiTheme="majorHAnsi" w:cstheme="majorHAnsi"/>
          <w:b/>
          <w:sz w:val="24"/>
          <w:szCs w:val="24"/>
          <w:lang w:val="ro-MD" w:eastAsia="ro-RO"/>
        </w:rPr>
      </w:pPr>
      <w:r w:rsidRPr="00E82CC1">
        <w:rPr>
          <w:rFonts w:asciiTheme="majorHAnsi" w:hAnsiTheme="majorHAnsi" w:cstheme="majorHAnsi"/>
          <w:noProof/>
          <w:sz w:val="20"/>
          <w:szCs w:val="20"/>
          <w:lang w:val="ru-RU" w:eastAsia="ru-RU"/>
        </w:rPr>
        <w:drawing>
          <wp:inline distT="0" distB="0" distL="0" distR="0" wp14:anchorId="53876231" wp14:editId="26D291ED">
            <wp:extent cx="6132195" cy="2331720"/>
            <wp:effectExtent l="38100" t="0" r="190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8F8073" w14:textId="77777777" w:rsidR="00983329" w:rsidRPr="00E82CC1" w:rsidRDefault="00983329" w:rsidP="004D7171">
      <w:pPr>
        <w:spacing w:after="0"/>
        <w:ind w:left="720" w:hanging="720"/>
        <w:jc w:val="center"/>
        <w:rPr>
          <w:rFonts w:asciiTheme="majorHAnsi" w:hAnsiTheme="majorHAnsi" w:cstheme="majorHAnsi"/>
          <w:b/>
          <w:i/>
          <w:sz w:val="24"/>
          <w:szCs w:val="24"/>
          <w:lang w:val="ro-MD"/>
        </w:rPr>
      </w:pPr>
      <w:r w:rsidRPr="00E82CC1">
        <w:rPr>
          <w:rFonts w:asciiTheme="majorHAnsi" w:hAnsiTheme="majorHAnsi" w:cstheme="majorHAnsi"/>
          <w:b/>
          <w:i/>
          <w:sz w:val="24"/>
          <w:szCs w:val="24"/>
          <w:lang w:val="ro-MD"/>
        </w:rPr>
        <w:t>Figura nr.</w:t>
      </w:r>
      <w:r w:rsidR="00C12743" w:rsidRPr="00E82CC1">
        <w:rPr>
          <w:rFonts w:asciiTheme="majorHAnsi" w:hAnsiTheme="majorHAnsi" w:cstheme="majorHAnsi"/>
          <w:b/>
          <w:i/>
          <w:sz w:val="24"/>
          <w:szCs w:val="24"/>
          <w:lang w:val="ro-MD"/>
        </w:rPr>
        <w:t>5</w:t>
      </w:r>
      <w:r w:rsidRPr="00E82CC1">
        <w:rPr>
          <w:rFonts w:asciiTheme="majorHAnsi" w:hAnsiTheme="majorHAnsi" w:cstheme="majorHAnsi"/>
          <w:b/>
          <w:i/>
          <w:sz w:val="24"/>
          <w:szCs w:val="24"/>
          <w:lang w:val="ro-MD"/>
        </w:rPr>
        <w:t xml:space="preserve"> Informație privind re</w:t>
      </w:r>
      <w:r w:rsidR="006D4780" w:rsidRPr="00E82CC1">
        <w:rPr>
          <w:rFonts w:asciiTheme="majorHAnsi" w:hAnsiTheme="majorHAnsi" w:cstheme="majorHAnsi"/>
          <w:b/>
          <w:i/>
          <w:sz w:val="24"/>
          <w:szCs w:val="24"/>
          <w:lang w:val="ro-MD"/>
        </w:rPr>
        <w:t>t</w:t>
      </w:r>
      <w:r w:rsidR="00B94212" w:rsidRPr="00E82CC1">
        <w:rPr>
          <w:rFonts w:asciiTheme="majorHAnsi" w:hAnsiTheme="majorHAnsi" w:cstheme="majorHAnsi"/>
          <w:b/>
          <w:i/>
          <w:sz w:val="24"/>
          <w:szCs w:val="24"/>
          <w:lang w:val="ro-MD"/>
        </w:rPr>
        <w:t>r</w:t>
      </w:r>
      <w:r w:rsidRPr="00E82CC1">
        <w:rPr>
          <w:rFonts w:asciiTheme="majorHAnsi" w:hAnsiTheme="majorHAnsi" w:cstheme="majorHAnsi"/>
          <w:b/>
          <w:i/>
          <w:sz w:val="24"/>
          <w:szCs w:val="24"/>
          <w:lang w:val="ro-MD"/>
        </w:rPr>
        <w:t>ibuirea muncii</w:t>
      </w:r>
    </w:p>
    <w:p w14:paraId="683FA14E" w14:textId="77777777" w:rsidR="00983329" w:rsidRPr="00E82CC1" w:rsidRDefault="00983329" w:rsidP="00C12743">
      <w:pPr>
        <w:jc w:val="center"/>
        <w:rPr>
          <w:rFonts w:asciiTheme="majorHAnsi" w:hAnsiTheme="majorHAnsi" w:cstheme="majorHAnsi"/>
          <w:i/>
          <w:sz w:val="24"/>
          <w:szCs w:val="24"/>
          <w:lang w:val="ro-MD"/>
        </w:rPr>
      </w:pPr>
      <w:r w:rsidRPr="00E82CC1">
        <w:rPr>
          <w:rFonts w:asciiTheme="majorHAnsi" w:hAnsiTheme="majorHAnsi" w:cstheme="majorHAnsi"/>
          <w:i/>
          <w:sz w:val="24"/>
          <w:szCs w:val="24"/>
          <w:lang w:val="ro-MD"/>
        </w:rPr>
        <w:t>Sursă: Informație prezentată de către entitatea auditată</w:t>
      </w:r>
    </w:p>
    <w:p w14:paraId="6C1C0BE5" w14:textId="123605A8" w:rsidR="00983329" w:rsidRPr="00E82CC1" w:rsidRDefault="00983329" w:rsidP="00983329">
      <w:p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RO"/>
        </w:rPr>
        <w:t>Activitatea CNAS este una complex</w:t>
      </w:r>
      <w:r w:rsidRPr="00E82CC1">
        <w:rPr>
          <w:rFonts w:asciiTheme="majorHAnsi" w:hAnsiTheme="majorHAnsi" w:cstheme="majorHAnsi"/>
          <w:sz w:val="24"/>
          <w:szCs w:val="24"/>
          <w:lang w:val="ro-MD"/>
        </w:rPr>
        <w:t xml:space="preserve">ă </w:t>
      </w:r>
      <w:r w:rsidR="0007117C">
        <w:rPr>
          <w:rFonts w:asciiTheme="majorHAnsi" w:hAnsiTheme="majorHAnsi" w:cstheme="majorHAnsi"/>
          <w:sz w:val="24"/>
          <w:szCs w:val="24"/>
          <w:lang w:val="ro-MD"/>
        </w:rPr>
        <w:t>și</w:t>
      </w:r>
      <w:r w:rsidR="0007117C" w:rsidRPr="00E82CC1">
        <w:rPr>
          <w:rFonts w:asciiTheme="majorHAnsi" w:hAnsiTheme="majorHAnsi" w:cstheme="majorHAnsi"/>
          <w:sz w:val="24"/>
          <w:szCs w:val="24"/>
          <w:lang w:val="ro-MD"/>
        </w:rPr>
        <w:t xml:space="preserve"> </w:t>
      </w:r>
      <w:r w:rsidRPr="00E82CC1">
        <w:rPr>
          <w:rFonts w:asciiTheme="majorHAnsi" w:hAnsiTheme="majorHAnsi" w:cstheme="majorHAnsi"/>
          <w:sz w:val="24"/>
          <w:szCs w:val="24"/>
          <w:lang w:val="ro-MD"/>
        </w:rPr>
        <w:t xml:space="preserve">include multe procese sistemice, în cadrul entității </w:t>
      </w:r>
      <w:r w:rsidR="0007117C">
        <w:rPr>
          <w:rFonts w:asciiTheme="majorHAnsi" w:hAnsiTheme="majorHAnsi" w:cstheme="majorHAnsi"/>
          <w:sz w:val="24"/>
          <w:szCs w:val="24"/>
          <w:lang w:val="ro-MD"/>
        </w:rPr>
        <w:t>fiind</w:t>
      </w:r>
      <w:r w:rsidRPr="00E82CC1">
        <w:rPr>
          <w:rFonts w:asciiTheme="majorHAnsi" w:hAnsiTheme="majorHAnsi" w:cstheme="majorHAnsi"/>
          <w:sz w:val="24"/>
          <w:szCs w:val="24"/>
          <w:lang w:val="ro-MD"/>
        </w:rPr>
        <w:t xml:space="preserve"> gestionate/acordate/calculate/achitate mai multe tipuri de prestații, iar fiecare prestație dispune de o bază legală separată și </w:t>
      </w:r>
      <w:r w:rsidR="0007117C">
        <w:rPr>
          <w:rFonts w:asciiTheme="majorHAnsi" w:hAnsiTheme="majorHAnsi" w:cstheme="majorHAnsi"/>
          <w:sz w:val="24"/>
          <w:szCs w:val="24"/>
          <w:lang w:val="ro-MD"/>
        </w:rPr>
        <w:t xml:space="preserve">de </w:t>
      </w:r>
      <w:r w:rsidRPr="00E82CC1">
        <w:rPr>
          <w:rFonts w:asciiTheme="majorHAnsi" w:hAnsiTheme="majorHAnsi" w:cstheme="majorHAnsi"/>
          <w:sz w:val="24"/>
          <w:szCs w:val="24"/>
          <w:lang w:val="ro-MD"/>
        </w:rPr>
        <w:t>un proces de acordare distinct pe fiecare tip. Totodată, în contextul multiplelor funcții vacante</w:t>
      </w:r>
      <w:r w:rsidR="0007117C">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auditorul menționează că în anul auditat au rămas ne</w:t>
      </w:r>
      <w:r w:rsidR="00004C4B">
        <w:rPr>
          <w:rFonts w:asciiTheme="majorHAnsi" w:hAnsiTheme="majorHAnsi" w:cstheme="majorHAnsi"/>
          <w:sz w:val="24"/>
          <w:szCs w:val="24"/>
          <w:lang w:val="ro-MD"/>
        </w:rPr>
        <w:t>utilizate 2 074,</w:t>
      </w:r>
      <w:r w:rsidRPr="00E82CC1">
        <w:rPr>
          <w:rFonts w:asciiTheme="majorHAnsi" w:hAnsiTheme="majorHAnsi" w:cstheme="majorHAnsi"/>
          <w:sz w:val="24"/>
          <w:szCs w:val="24"/>
          <w:lang w:val="ro-MD"/>
        </w:rPr>
        <w:t>3 mii lei în contul economiei mijloacelor alocate pentru retribuirea muncii pe anul respectiv, fapt ce nu a permis împărțirea stimulentelor angajaților, deoarece acestea se plătesc nu mai mult de 5% din fondul anual de salarizare la nivel de unitate bugetară.</w:t>
      </w:r>
    </w:p>
    <w:p w14:paraId="0B0132E0" w14:textId="3F71A55B" w:rsidR="00983329" w:rsidRPr="00E82CC1" w:rsidRDefault="00983329" w:rsidP="009F3AEA">
      <w:pPr>
        <w:spacing w:before="240" w:after="0" w:line="276" w:lineRule="auto"/>
        <w:jc w:val="both"/>
        <w:rPr>
          <w:rFonts w:ascii="Calibri Light" w:hAnsi="Calibri Light" w:cs="Calibri Light"/>
          <w:color w:val="000000"/>
          <w:sz w:val="24"/>
          <w:szCs w:val="24"/>
          <w:lang w:val="ro-RO"/>
        </w:rPr>
      </w:pPr>
      <w:r w:rsidRPr="00E82CC1">
        <w:rPr>
          <w:rStyle w:val="af"/>
          <w:rFonts w:asciiTheme="majorHAnsi" w:hAnsiTheme="majorHAnsi" w:cstheme="majorHAnsi"/>
          <w:b w:val="0"/>
          <w:color w:val="000000"/>
          <w:sz w:val="24"/>
          <w:szCs w:val="24"/>
          <w:lang w:val="ro-RO" w:eastAsia="ru-RU"/>
        </w:rPr>
        <w:t xml:space="preserve">O problemă majoră pentru CNAS </w:t>
      </w:r>
      <w:r w:rsidRPr="00617E4A">
        <w:rPr>
          <w:rStyle w:val="af"/>
          <w:rFonts w:asciiTheme="majorHAnsi" w:hAnsiTheme="majorHAnsi" w:cstheme="majorHAnsi"/>
          <w:b w:val="0"/>
          <w:color w:val="000000"/>
          <w:sz w:val="24"/>
          <w:szCs w:val="24"/>
          <w:lang w:val="ro-MD" w:eastAsia="ru-RU"/>
        </w:rPr>
        <w:t>este lipsa specialiștilor și fluctuația cadrelor. Astfel, v</w:t>
      </w:r>
      <w:r w:rsidR="00AC6724" w:rsidRPr="00617E4A">
        <w:rPr>
          <w:rStyle w:val="af"/>
          <w:rFonts w:asciiTheme="majorHAnsi" w:hAnsiTheme="majorHAnsi" w:cstheme="majorHAnsi"/>
          <w:b w:val="0"/>
          <w:color w:val="000000"/>
          <w:sz w:val="24"/>
          <w:szCs w:val="24"/>
          <w:lang w:val="ro-MD" w:eastAsia="ru-RU"/>
        </w:rPr>
        <w:t xml:space="preserve">olumul de lucru, responsabilitatea și intensitatea crescândă, necesitatea activității peste orele de program, contingentul specific de cetățeni deserviți, remunerarea  necorespunzătoare eforturilor </w:t>
      </w:r>
      <w:r w:rsidR="00AC6724" w:rsidRPr="003C0BC5">
        <w:rPr>
          <w:rFonts w:asciiTheme="majorHAnsi" w:hAnsiTheme="majorHAnsi" w:cstheme="majorHAnsi"/>
          <w:color w:val="000000"/>
          <w:sz w:val="24"/>
          <w:szCs w:val="24"/>
          <w:lang w:val="ro-MD" w:eastAsia="ru-RU"/>
        </w:rPr>
        <w:t>depuse nu contribuie la menținerea și atragerea specialiștilor. </w:t>
      </w:r>
      <w:r w:rsidR="009F3AEA" w:rsidRPr="003C0BC5">
        <w:rPr>
          <w:rFonts w:asciiTheme="majorHAnsi" w:hAnsiTheme="majorHAnsi" w:cstheme="majorHAnsi"/>
          <w:sz w:val="24"/>
          <w:szCs w:val="24"/>
          <w:lang w:val="ro-MD"/>
        </w:rPr>
        <w:t xml:space="preserve">Totodată, anual </w:t>
      </w:r>
      <w:r w:rsidR="009F3AEA" w:rsidRPr="003C0BC5">
        <w:rPr>
          <w:rFonts w:asciiTheme="majorHAnsi" w:hAnsiTheme="majorHAnsi" w:cstheme="majorHAnsi"/>
          <w:color w:val="000000"/>
          <w:sz w:val="24"/>
          <w:szCs w:val="24"/>
          <w:lang w:val="ro-MD" w:eastAsia="ru-RU"/>
        </w:rPr>
        <w:t>activitatea CNAS se suplimentează cu noi procese</w:t>
      </w:r>
      <w:r w:rsidR="005A7FC1" w:rsidRPr="003C0BC5">
        <w:rPr>
          <w:rFonts w:asciiTheme="majorHAnsi" w:hAnsiTheme="majorHAnsi" w:cstheme="majorHAnsi"/>
          <w:color w:val="000000"/>
          <w:sz w:val="24"/>
          <w:szCs w:val="24"/>
          <w:lang w:val="ro-MD" w:eastAsia="ru-RU"/>
        </w:rPr>
        <w:t xml:space="preserve"> și noi prestații</w:t>
      </w:r>
      <w:r w:rsidR="009F3AEA" w:rsidRPr="003C0BC5">
        <w:rPr>
          <w:rFonts w:asciiTheme="majorHAnsi" w:hAnsiTheme="majorHAnsi" w:cstheme="majorHAnsi"/>
          <w:color w:val="000000"/>
          <w:sz w:val="24"/>
          <w:szCs w:val="24"/>
          <w:lang w:val="ro-MD" w:eastAsia="ru-RU"/>
        </w:rPr>
        <w:t>, noi responsabi</w:t>
      </w:r>
      <w:r w:rsidR="009F3AEA" w:rsidRPr="00E82CC1">
        <w:rPr>
          <w:rFonts w:asciiTheme="majorHAnsi" w:hAnsiTheme="majorHAnsi" w:cstheme="majorHAnsi"/>
          <w:color w:val="000000"/>
          <w:sz w:val="24"/>
          <w:szCs w:val="24"/>
          <w:lang w:val="ro-MD" w:eastAsia="ru-RU"/>
        </w:rPr>
        <w:t>lități</w:t>
      </w:r>
      <w:r w:rsidR="003C0BC5">
        <w:rPr>
          <w:rFonts w:asciiTheme="majorHAnsi" w:hAnsiTheme="majorHAnsi" w:cstheme="majorHAnsi"/>
          <w:color w:val="000000"/>
          <w:sz w:val="24"/>
          <w:szCs w:val="24"/>
          <w:lang w:val="ro-MD" w:eastAsia="ru-RU"/>
        </w:rPr>
        <w:t>,</w:t>
      </w:r>
      <w:r w:rsidR="009F3AEA" w:rsidRPr="00E82CC1">
        <w:rPr>
          <w:rFonts w:asciiTheme="majorHAnsi" w:hAnsiTheme="majorHAnsi" w:cstheme="majorHAnsi"/>
          <w:color w:val="000000"/>
          <w:sz w:val="24"/>
          <w:szCs w:val="24"/>
          <w:lang w:val="ro-MD" w:eastAsia="ru-RU"/>
        </w:rPr>
        <w:t xml:space="preserve"> fără a majora efectivul de personal, astfel crescând considerabil intensitatea</w:t>
      </w:r>
      <w:r w:rsidRPr="00E82CC1">
        <w:rPr>
          <w:rFonts w:asciiTheme="majorHAnsi" w:hAnsiTheme="majorHAnsi" w:cstheme="majorHAnsi"/>
          <w:color w:val="000000"/>
          <w:sz w:val="24"/>
          <w:szCs w:val="24"/>
          <w:lang w:val="ro-MD" w:eastAsia="ru-RU"/>
        </w:rPr>
        <w:t xml:space="preserve"> asupra specialiștilor activi. </w:t>
      </w:r>
      <w:r w:rsidRPr="00E82CC1">
        <w:rPr>
          <w:rFonts w:ascii="Calibri Light" w:hAnsi="Calibri Light" w:cs="Calibri Light"/>
          <w:color w:val="000000"/>
          <w:sz w:val="24"/>
          <w:szCs w:val="24"/>
          <w:lang w:val="ro-RO"/>
        </w:rPr>
        <w:t xml:space="preserve">La moment se înregistrează </w:t>
      </w:r>
      <w:r w:rsidR="003C0BC5">
        <w:rPr>
          <w:rFonts w:ascii="Calibri Light" w:hAnsi="Calibri Light" w:cs="Calibri Light"/>
          <w:color w:val="000000"/>
          <w:sz w:val="24"/>
          <w:szCs w:val="24"/>
          <w:lang w:val="ro-RO"/>
        </w:rPr>
        <w:t xml:space="preserve">o </w:t>
      </w:r>
      <w:r w:rsidRPr="00E82CC1">
        <w:rPr>
          <w:rFonts w:ascii="Calibri Light" w:hAnsi="Calibri Light" w:cs="Calibri Light"/>
          <w:color w:val="000000"/>
          <w:sz w:val="24"/>
          <w:szCs w:val="24"/>
          <w:lang w:val="ro-RO"/>
        </w:rPr>
        <w:t xml:space="preserve">lipsă de personal în subdiviziunile structurale ale CNAS </w:t>
      </w:r>
      <w:r w:rsidR="003C0BC5">
        <w:rPr>
          <w:rFonts w:ascii="Calibri Light" w:hAnsi="Calibri Light" w:cs="Calibri Light"/>
          <w:color w:val="000000"/>
          <w:sz w:val="24"/>
          <w:szCs w:val="24"/>
          <w:lang w:val="ro-RO"/>
        </w:rPr>
        <w:t xml:space="preserve">– </w:t>
      </w:r>
      <w:r w:rsidRPr="00E82CC1">
        <w:rPr>
          <w:rFonts w:ascii="Calibri Light" w:hAnsi="Calibri Light" w:cs="Calibri Light"/>
          <w:color w:val="000000"/>
          <w:sz w:val="24"/>
          <w:szCs w:val="24"/>
          <w:lang w:val="ro-RO"/>
        </w:rPr>
        <w:t xml:space="preserve">de 20%, în CTAS municipiul Chișinău – 25%, aparatul central – 30%, </w:t>
      </w:r>
      <w:r w:rsidR="003C0BC5">
        <w:rPr>
          <w:rFonts w:ascii="Calibri Light" w:hAnsi="Calibri Light" w:cs="Calibri Light"/>
          <w:color w:val="000000"/>
          <w:sz w:val="24"/>
          <w:szCs w:val="24"/>
          <w:lang w:val="ro-RO"/>
        </w:rPr>
        <w:t xml:space="preserve">iar </w:t>
      </w:r>
      <w:r w:rsidRPr="00E82CC1">
        <w:rPr>
          <w:rFonts w:ascii="Calibri Light" w:hAnsi="Calibri Light" w:cs="Calibri Light"/>
          <w:color w:val="000000"/>
          <w:sz w:val="24"/>
          <w:szCs w:val="24"/>
          <w:lang w:val="ro-RO"/>
        </w:rPr>
        <w:t xml:space="preserve">în unele structuri ale aparatului central </w:t>
      </w:r>
      <w:r w:rsidR="003C0BC5">
        <w:rPr>
          <w:rFonts w:ascii="Calibri Light" w:hAnsi="Calibri Light" w:cs="Calibri Light"/>
          <w:color w:val="000000"/>
          <w:sz w:val="24"/>
          <w:szCs w:val="24"/>
          <w:lang w:val="ro-RO"/>
        </w:rPr>
        <w:t xml:space="preserve">al </w:t>
      </w:r>
      <w:r w:rsidRPr="00E82CC1">
        <w:rPr>
          <w:rFonts w:ascii="Calibri Light" w:hAnsi="Calibri Light" w:cs="Calibri Light"/>
          <w:color w:val="000000"/>
          <w:sz w:val="24"/>
          <w:szCs w:val="24"/>
          <w:lang w:val="ro-RO"/>
        </w:rPr>
        <w:t>CNAS este înregistrată o lipsă de 50%.</w:t>
      </w:r>
    </w:p>
    <w:p w14:paraId="48097764" w14:textId="18256D65" w:rsidR="00983329" w:rsidRPr="00E82CC1" w:rsidRDefault="00983329" w:rsidP="00983329">
      <w:pPr>
        <w:autoSpaceDE w:val="0"/>
        <w:autoSpaceDN w:val="0"/>
        <w:adjustRightInd w:val="0"/>
        <w:spacing w:before="240" w:after="0" w:line="276" w:lineRule="auto"/>
        <w:jc w:val="both"/>
        <w:rPr>
          <w:rFonts w:asciiTheme="majorHAnsi" w:hAnsiTheme="majorHAnsi" w:cstheme="majorHAnsi"/>
          <w:color w:val="000000"/>
          <w:sz w:val="24"/>
          <w:szCs w:val="24"/>
          <w:lang w:val="ro-MD" w:eastAsia="ru-RU"/>
        </w:rPr>
      </w:pPr>
      <w:r w:rsidRPr="00E82CC1">
        <w:rPr>
          <w:rFonts w:asciiTheme="majorHAnsi" w:hAnsiTheme="majorHAnsi" w:cstheme="majorHAnsi"/>
          <w:color w:val="000000"/>
          <w:sz w:val="24"/>
          <w:szCs w:val="24"/>
          <w:lang w:val="ro-MD" w:eastAsia="ru-RU"/>
        </w:rPr>
        <w:t xml:space="preserve">Problema lipsei personalului este legată de nivelul salarizării. Astfel, salariul mediu </w:t>
      </w:r>
      <w:r w:rsidR="003C0BC5">
        <w:rPr>
          <w:rFonts w:asciiTheme="majorHAnsi" w:hAnsiTheme="majorHAnsi" w:cstheme="majorHAnsi"/>
          <w:color w:val="000000"/>
          <w:sz w:val="24"/>
          <w:szCs w:val="24"/>
          <w:lang w:val="ro-MD" w:eastAsia="ru-RU"/>
        </w:rPr>
        <w:t>pentru</w:t>
      </w:r>
      <w:r w:rsidRPr="00E82CC1">
        <w:rPr>
          <w:rFonts w:asciiTheme="majorHAnsi" w:hAnsiTheme="majorHAnsi" w:cstheme="majorHAnsi"/>
          <w:color w:val="000000"/>
          <w:sz w:val="24"/>
          <w:szCs w:val="24"/>
          <w:lang w:val="ro-MD" w:eastAsia="ru-RU"/>
        </w:rPr>
        <w:t xml:space="preserve"> funcțiil</w:t>
      </w:r>
      <w:r w:rsidR="003C0BC5">
        <w:rPr>
          <w:rFonts w:asciiTheme="majorHAnsi" w:hAnsiTheme="majorHAnsi" w:cstheme="majorHAnsi"/>
          <w:color w:val="000000"/>
          <w:sz w:val="24"/>
          <w:szCs w:val="24"/>
          <w:lang w:val="ro-MD" w:eastAsia="ru-RU"/>
        </w:rPr>
        <w:t>e</w:t>
      </w:r>
      <w:r w:rsidRPr="00E82CC1">
        <w:rPr>
          <w:rFonts w:asciiTheme="majorHAnsi" w:hAnsiTheme="majorHAnsi" w:cstheme="majorHAnsi"/>
          <w:color w:val="000000"/>
          <w:sz w:val="24"/>
          <w:szCs w:val="24"/>
          <w:lang w:val="ro-MD" w:eastAsia="ru-RU"/>
        </w:rPr>
        <w:t xml:space="preserve"> de execuție</w:t>
      </w:r>
      <w:r w:rsidR="004428A8" w:rsidRPr="00E82CC1">
        <w:rPr>
          <w:rFonts w:asciiTheme="majorHAnsi" w:hAnsiTheme="majorHAnsi" w:cstheme="majorHAnsi"/>
          <w:color w:val="000000"/>
          <w:sz w:val="24"/>
          <w:szCs w:val="24"/>
          <w:lang w:val="ro-MD" w:eastAsia="ru-RU"/>
        </w:rPr>
        <w:t xml:space="preserve"> (domeniu cu cele mai multe cadre lipsă – 236 </w:t>
      </w:r>
      <w:r w:rsidR="003C0BC5">
        <w:rPr>
          <w:rFonts w:asciiTheme="majorHAnsi" w:hAnsiTheme="majorHAnsi" w:cstheme="majorHAnsi"/>
          <w:color w:val="000000"/>
          <w:sz w:val="24"/>
          <w:szCs w:val="24"/>
          <w:lang w:val="ro-MD" w:eastAsia="ru-RU"/>
        </w:rPr>
        <w:t xml:space="preserve">de </w:t>
      </w:r>
      <w:r w:rsidR="004428A8" w:rsidRPr="00E82CC1">
        <w:rPr>
          <w:rFonts w:asciiTheme="majorHAnsi" w:hAnsiTheme="majorHAnsi" w:cstheme="majorHAnsi"/>
          <w:color w:val="000000"/>
          <w:sz w:val="24"/>
          <w:szCs w:val="24"/>
          <w:lang w:val="ro-MD" w:eastAsia="ru-RU"/>
        </w:rPr>
        <w:t xml:space="preserve">persoane) este cu 3,6 mii lei mai </w:t>
      </w:r>
      <w:r w:rsidR="003C0BC5">
        <w:rPr>
          <w:rFonts w:asciiTheme="majorHAnsi" w:hAnsiTheme="majorHAnsi" w:cstheme="majorHAnsi"/>
          <w:color w:val="000000"/>
          <w:sz w:val="24"/>
          <w:szCs w:val="24"/>
          <w:lang w:val="ro-MD" w:eastAsia="ru-RU"/>
        </w:rPr>
        <w:t>mic</w:t>
      </w:r>
      <w:r w:rsidR="003C0BC5" w:rsidRPr="00E82CC1">
        <w:rPr>
          <w:rFonts w:asciiTheme="majorHAnsi" w:hAnsiTheme="majorHAnsi" w:cstheme="majorHAnsi"/>
          <w:color w:val="000000"/>
          <w:sz w:val="24"/>
          <w:szCs w:val="24"/>
          <w:lang w:val="ro-MD" w:eastAsia="ru-RU"/>
        </w:rPr>
        <w:t xml:space="preserve"> </w:t>
      </w:r>
      <w:r w:rsidR="004428A8" w:rsidRPr="00E82CC1">
        <w:rPr>
          <w:rFonts w:asciiTheme="majorHAnsi" w:hAnsiTheme="majorHAnsi" w:cstheme="majorHAnsi"/>
          <w:color w:val="000000"/>
          <w:sz w:val="24"/>
          <w:szCs w:val="24"/>
          <w:lang w:val="ro-MD" w:eastAsia="ru-RU"/>
        </w:rPr>
        <w:t>decât salariu</w:t>
      </w:r>
      <w:r w:rsidR="003C0BC5">
        <w:rPr>
          <w:rFonts w:asciiTheme="majorHAnsi" w:hAnsiTheme="majorHAnsi" w:cstheme="majorHAnsi"/>
          <w:color w:val="000000"/>
          <w:sz w:val="24"/>
          <w:szCs w:val="24"/>
          <w:lang w:val="ro-MD" w:eastAsia="ru-RU"/>
        </w:rPr>
        <w:t>l</w:t>
      </w:r>
      <w:r w:rsidR="004428A8" w:rsidRPr="00E82CC1">
        <w:rPr>
          <w:rFonts w:asciiTheme="majorHAnsi" w:hAnsiTheme="majorHAnsi" w:cstheme="majorHAnsi"/>
          <w:color w:val="000000"/>
          <w:sz w:val="24"/>
          <w:szCs w:val="24"/>
          <w:lang w:val="ro-MD" w:eastAsia="ru-RU"/>
        </w:rPr>
        <w:t xml:space="preserve"> mediu pe economie pe anul respectiv, situație redată în tabelul de mai jos.</w:t>
      </w:r>
    </w:p>
    <w:p w14:paraId="2AC684B1"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045502EC"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7A00797F"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5615305F"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5ABE3194"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312E1098"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0CCE0297" w14:textId="77777777" w:rsidR="009434E7" w:rsidRDefault="009434E7"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p>
    <w:p w14:paraId="07EE4F17" w14:textId="63674BA6" w:rsidR="004428A8" w:rsidRPr="00E82CC1" w:rsidRDefault="004428A8"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r w:rsidRPr="00E82CC1">
        <w:rPr>
          <w:rFonts w:asciiTheme="majorHAnsi" w:hAnsiTheme="majorHAnsi" w:cstheme="majorHAnsi"/>
          <w:b/>
          <w:color w:val="000000"/>
          <w:sz w:val="24"/>
          <w:szCs w:val="24"/>
          <w:lang w:val="ro-MD" w:eastAsia="ru-RU"/>
        </w:rPr>
        <w:t>Tabel</w:t>
      </w:r>
      <w:r w:rsidR="003C0BC5">
        <w:rPr>
          <w:rFonts w:asciiTheme="majorHAnsi" w:hAnsiTheme="majorHAnsi" w:cstheme="majorHAnsi"/>
          <w:b/>
          <w:color w:val="000000"/>
          <w:sz w:val="24"/>
          <w:szCs w:val="24"/>
          <w:lang w:val="ro-MD" w:eastAsia="ru-RU"/>
        </w:rPr>
        <w:t>ul</w:t>
      </w:r>
      <w:r w:rsidRPr="00E82CC1">
        <w:rPr>
          <w:rFonts w:asciiTheme="majorHAnsi" w:hAnsiTheme="majorHAnsi" w:cstheme="majorHAnsi"/>
          <w:b/>
          <w:color w:val="000000"/>
          <w:sz w:val="24"/>
          <w:szCs w:val="24"/>
          <w:lang w:val="ro-MD" w:eastAsia="ru-RU"/>
        </w:rPr>
        <w:t xml:space="preserve"> nr.</w:t>
      </w:r>
      <w:r w:rsidR="00E35E2B" w:rsidRPr="00E82CC1">
        <w:rPr>
          <w:rFonts w:asciiTheme="majorHAnsi" w:hAnsiTheme="majorHAnsi" w:cstheme="majorHAnsi"/>
          <w:b/>
          <w:color w:val="000000"/>
          <w:sz w:val="24"/>
          <w:szCs w:val="24"/>
          <w:lang w:val="ro-MD" w:eastAsia="ru-RU"/>
        </w:rPr>
        <w:t>7</w:t>
      </w:r>
    </w:p>
    <w:p w14:paraId="5C5CE305" w14:textId="77777777" w:rsidR="004428A8" w:rsidRPr="00E82CC1" w:rsidRDefault="004428A8" w:rsidP="004428A8">
      <w:pPr>
        <w:autoSpaceDE w:val="0"/>
        <w:autoSpaceDN w:val="0"/>
        <w:adjustRightInd w:val="0"/>
        <w:spacing w:after="0" w:line="276" w:lineRule="auto"/>
        <w:jc w:val="center"/>
        <w:rPr>
          <w:rFonts w:asciiTheme="majorHAnsi" w:hAnsiTheme="majorHAnsi" w:cstheme="majorHAnsi"/>
          <w:b/>
          <w:color w:val="000000"/>
          <w:sz w:val="24"/>
          <w:szCs w:val="24"/>
          <w:lang w:val="ro-RO"/>
        </w:rPr>
      </w:pPr>
      <w:r w:rsidRPr="00E82CC1">
        <w:rPr>
          <w:rFonts w:asciiTheme="majorHAnsi" w:hAnsiTheme="majorHAnsi" w:cstheme="majorHAnsi"/>
          <w:b/>
          <w:color w:val="000000"/>
          <w:sz w:val="24"/>
          <w:szCs w:val="24"/>
          <w:lang w:val="ro-RO"/>
        </w:rPr>
        <w:t>Date privind nivelul salarizării în cadrul CNAS/CTAS comparativ cu salariul mediu pe economie în anul 2021</w:t>
      </w:r>
    </w:p>
    <w:tbl>
      <w:tblPr>
        <w:tblW w:w="98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496"/>
        <w:gridCol w:w="1496"/>
        <w:gridCol w:w="1738"/>
        <w:gridCol w:w="1666"/>
        <w:gridCol w:w="1643"/>
      </w:tblGrid>
      <w:tr w:rsidR="00983329" w:rsidRPr="00E82CC1" w14:paraId="0638B6FF" w14:textId="77777777" w:rsidTr="00045716">
        <w:trPr>
          <w:trHeight w:val="752"/>
        </w:trPr>
        <w:tc>
          <w:tcPr>
            <w:tcW w:w="1832" w:type="dxa"/>
            <w:shd w:val="clear" w:color="auto" w:fill="auto"/>
            <w:vAlign w:val="center"/>
            <w:hideMark/>
          </w:tcPr>
          <w:p w14:paraId="727E2376"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p>
        </w:tc>
        <w:tc>
          <w:tcPr>
            <w:tcW w:w="1496" w:type="dxa"/>
            <w:shd w:val="clear" w:color="auto" w:fill="auto"/>
            <w:vAlign w:val="center"/>
            <w:hideMark/>
          </w:tcPr>
          <w:p w14:paraId="6C234E3D"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CNAS</w:t>
            </w:r>
          </w:p>
        </w:tc>
        <w:tc>
          <w:tcPr>
            <w:tcW w:w="1496" w:type="dxa"/>
            <w:shd w:val="clear" w:color="auto" w:fill="auto"/>
            <w:vAlign w:val="center"/>
            <w:hideMark/>
          </w:tcPr>
          <w:p w14:paraId="217D7B6A"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CTAS</w:t>
            </w:r>
          </w:p>
        </w:tc>
        <w:tc>
          <w:tcPr>
            <w:tcW w:w="1738" w:type="dxa"/>
            <w:shd w:val="clear" w:color="auto" w:fill="auto"/>
            <w:vAlign w:val="center"/>
            <w:hideMark/>
          </w:tcPr>
          <w:p w14:paraId="65F451B8"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Salariu mediu pe economie</w:t>
            </w:r>
          </w:p>
        </w:tc>
        <w:tc>
          <w:tcPr>
            <w:tcW w:w="1666" w:type="dxa"/>
            <w:shd w:val="clear" w:color="auto" w:fill="auto"/>
            <w:vAlign w:val="center"/>
            <w:hideMark/>
          </w:tcPr>
          <w:p w14:paraId="68EFF33B"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Diferența CNAS</w:t>
            </w:r>
            <w:r w:rsidR="005A7FC1" w:rsidRPr="00E82CC1">
              <w:rPr>
                <w:rFonts w:ascii="Calibri Light" w:eastAsia="Times New Roman" w:hAnsi="Calibri Light" w:cs="Calibri Light"/>
                <w:b/>
                <w:bCs/>
                <w:color w:val="000000"/>
                <w:sz w:val="20"/>
                <w:szCs w:val="20"/>
                <w:lang w:val="ro-RO"/>
              </w:rPr>
              <w:t xml:space="preserve"> </w:t>
            </w:r>
          </w:p>
        </w:tc>
        <w:tc>
          <w:tcPr>
            <w:tcW w:w="1643" w:type="dxa"/>
            <w:shd w:val="clear" w:color="auto" w:fill="auto"/>
            <w:noWrap/>
            <w:vAlign w:val="center"/>
            <w:hideMark/>
          </w:tcPr>
          <w:p w14:paraId="58531425" w14:textId="77777777" w:rsidR="00983329" w:rsidRPr="00E82CC1" w:rsidRDefault="00983329" w:rsidP="00983329">
            <w:pPr>
              <w:spacing w:after="0" w:line="240" w:lineRule="auto"/>
              <w:jc w:val="center"/>
              <w:rPr>
                <w:rFonts w:ascii="Calibri" w:eastAsia="Times New Roman" w:hAnsi="Calibri" w:cs="Calibri"/>
                <w:color w:val="000000"/>
              </w:rPr>
            </w:pPr>
            <w:r w:rsidRPr="00E82CC1">
              <w:rPr>
                <w:rFonts w:ascii="Calibri Light" w:eastAsia="Times New Roman" w:hAnsi="Calibri Light" w:cs="Calibri Light"/>
                <w:b/>
                <w:bCs/>
                <w:color w:val="000000"/>
                <w:sz w:val="20"/>
                <w:szCs w:val="20"/>
                <w:lang w:val="ro-RO"/>
              </w:rPr>
              <w:t>Diferența CTAS</w:t>
            </w:r>
          </w:p>
        </w:tc>
      </w:tr>
      <w:tr w:rsidR="00983329" w:rsidRPr="00E82CC1" w14:paraId="0994B906" w14:textId="77777777" w:rsidTr="00045716">
        <w:trPr>
          <w:trHeight w:val="752"/>
        </w:trPr>
        <w:tc>
          <w:tcPr>
            <w:tcW w:w="1832" w:type="dxa"/>
            <w:shd w:val="clear" w:color="auto" w:fill="auto"/>
            <w:vAlign w:val="center"/>
            <w:hideMark/>
          </w:tcPr>
          <w:p w14:paraId="48D10929" w14:textId="3069F692"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Salariu</w:t>
            </w:r>
            <w:r w:rsidR="003C0BC5">
              <w:rPr>
                <w:rFonts w:ascii="Calibri Light" w:eastAsia="Times New Roman" w:hAnsi="Calibri Light" w:cs="Calibri Light"/>
                <w:b/>
                <w:bCs/>
                <w:color w:val="000000"/>
                <w:sz w:val="20"/>
                <w:szCs w:val="20"/>
                <w:lang w:val="ro-RO"/>
              </w:rPr>
              <w:t xml:space="preserve"> pentru </w:t>
            </w:r>
            <w:r w:rsidRPr="00E82CC1">
              <w:rPr>
                <w:rFonts w:ascii="Calibri Light" w:eastAsia="Times New Roman" w:hAnsi="Calibri Light" w:cs="Calibri Light"/>
                <w:b/>
                <w:bCs/>
                <w:color w:val="000000"/>
                <w:sz w:val="20"/>
                <w:szCs w:val="20"/>
                <w:lang w:val="ro-RO"/>
              </w:rPr>
              <w:t xml:space="preserve"> funcție de conducere</w:t>
            </w:r>
          </w:p>
        </w:tc>
        <w:tc>
          <w:tcPr>
            <w:tcW w:w="1496" w:type="dxa"/>
            <w:shd w:val="clear" w:color="auto" w:fill="auto"/>
            <w:vAlign w:val="center"/>
            <w:hideMark/>
          </w:tcPr>
          <w:p w14:paraId="16595066"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10</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616,7</w:t>
            </w:r>
          </w:p>
        </w:tc>
        <w:tc>
          <w:tcPr>
            <w:tcW w:w="1496" w:type="dxa"/>
            <w:shd w:val="clear" w:color="auto" w:fill="auto"/>
            <w:vAlign w:val="center"/>
            <w:hideMark/>
          </w:tcPr>
          <w:p w14:paraId="7B6E1F1C"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9</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768,57</w:t>
            </w:r>
          </w:p>
        </w:tc>
        <w:tc>
          <w:tcPr>
            <w:tcW w:w="1738" w:type="dxa"/>
            <w:vMerge w:val="restart"/>
            <w:shd w:val="clear" w:color="auto" w:fill="auto"/>
            <w:vAlign w:val="center"/>
            <w:hideMark/>
          </w:tcPr>
          <w:p w14:paraId="4AAC6F01"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8</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716</w:t>
            </w:r>
          </w:p>
        </w:tc>
        <w:tc>
          <w:tcPr>
            <w:tcW w:w="1666" w:type="dxa"/>
            <w:shd w:val="clear" w:color="auto" w:fill="auto"/>
            <w:noWrap/>
            <w:vAlign w:val="center"/>
            <w:hideMark/>
          </w:tcPr>
          <w:p w14:paraId="542B60B0" w14:textId="77777777" w:rsidR="00983329" w:rsidRPr="00E82CC1" w:rsidRDefault="00983329" w:rsidP="004D7171">
            <w:pPr>
              <w:spacing w:after="0" w:line="240" w:lineRule="auto"/>
              <w:jc w:val="right"/>
              <w:rPr>
                <w:rFonts w:ascii="Calibri" w:eastAsia="Times New Roman" w:hAnsi="Calibri" w:cs="Calibri"/>
                <w:color w:val="000000"/>
              </w:rPr>
            </w:pPr>
            <w:r w:rsidRPr="00E82CC1">
              <w:rPr>
                <w:rFonts w:ascii="Calibri" w:eastAsia="Times New Roman" w:hAnsi="Calibri" w:cs="Calibri"/>
                <w:color w:val="000000"/>
              </w:rPr>
              <w:t>1</w:t>
            </w:r>
            <w:r w:rsidR="004D7171" w:rsidRPr="00E82CC1">
              <w:rPr>
                <w:rFonts w:ascii="Calibri" w:eastAsia="Times New Roman" w:hAnsi="Calibri" w:cs="Calibri"/>
                <w:color w:val="000000"/>
              </w:rPr>
              <w:t xml:space="preserve"> </w:t>
            </w:r>
            <w:r w:rsidRPr="00E82CC1">
              <w:rPr>
                <w:rFonts w:ascii="Calibri" w:eastAsia="Times New Roman" w:hAnsi="Calibri" w:cs="Calibri"/>
                <w:color w:val="000000"/>
              </w:rPr>
              <w:t>900,66</w:t>
            </w:r>
          </w:p>
        </w:tc>
        <w:tc>
          <w:tcPr>
            <w:tcW w:w="1643" w:type="dxa"/>
            <w:shd w:val="clear" w:color="auto" w:fill="auto"/>
            <w:vAlign w:val="center"/>
            <w:hideMark/>
          </w:tcPr>
          <w:p w14:paraId="1F292C49"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1</w:t>
            </w:r>
            <w:r w:rsidR="004D7171" w:rsidRPr="00E82CC1">
              <w:rPr>
                <w:rFonts w:ascii="Calibri Light" w:eastAsia="Times New Roman" w:hAnsi="Calibri Light" w:cs="Calibri Light"/>
                <w:b/>
                <w:bCs/>
                <w:color w:val="000000"/>
                <w:sz w:val="20"/>
                <w:szCs w:val="20"/>
              </w:rPr>
              <w:t xml:space="preserve"> </w:t>
            </w:r>
            <w:r w:rsidRPr="00E82CC1">
              <w:rPr>
                <w:rFonts w:ascii="Calibri Light" w:eastAsia="Times New Roman" w:hAnsi="Calibri Light" w:cs="Calibri Light"/>
                <w:b/>
                <w:bCs/>
                <w:color w:val="000000"/>
                <w:sz w:val="20"/>
                <w:szCs w:val="20"/>
              </w:rPr>
              <w:t>052,57</w:t>
            </w:r>
          </w:p>
        </w:tc>
      </w:tr>
      <w:tr w:rsidR="00983329" w:rsidRPr="00E82CC1" w14:paraId="45749AA4" w14:textId="77777777" w:rsidTr="00045716">
        <w:trPr>
          <w:trHeight w:val="603"/>
        </w:trPr>
        <w:tc>
          <w:tcPr>
            <w:tcW w:w="1832" w:type="dxa"/>
            <w:shd w:val="clear" w:color="auto" w:fill="auto"/>
            <w:vAlign w:val="center"/>
            <w:hideMark/>
          </w:tcPr>
          <w:p w14:paraId="298AE01E" w14:textId="529DCE48"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 xml:space="preserve">Salariu </w:t>
            </w:r>
            <w:r w:rsidR="003C0BC5">
              <w:rPr>
                <w:rFonts w:ascii="Calibri Light" w:eastAsia="Times New Roman" w:hAnsi="Calibri Light" w:cs="Calibri Light"/>
                <w:b/>
                <w:bCs/>
                <w:color w:val="000000"/>
                <w:sz w:val="20"/>
                <w:szCs w:val="20"/>
                <w:lang w:val="ro-RO"/>
              </w:rPr>
              <w:t xml:space="preserve">pentru </w:t>
            </w:r>
            <w:r w:rsidRPr="00E82CC1">
              <w:rPr>
                <w:rFonts w:ascii="Calibri Light" w:eastAsia="Times New Roman" w:hAnsi="Calibri Light" w:cs="Calibri Light"/>
                <w:b/>
                <w:bCs/>
                <w:color w:val="000000"/>
                <w:sz w:val="20"/>
                <w:szCs w:val="20"/>
                <w:lang w:val="ro-RO"/>
              </w:rPr>
              <w:t>funcție de execuție</w:t>
            </w:r>
          </w:p>
        </w:tc>
        <w:tc>
          <w:tcPr>
            <w:tcW w:w="1496" w:type="dxa"/>
            <w:shd w:val="clear" w:color="auto" w:fill="auto"/>
            <w:vAlign w:val="center"/>
            <w:hideMark/>
          </w:tcPr>
          <w:p w14:paraId="4FC49692"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6</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380</w:t>
            </w:r>
          </w:p>
        </w:tc>
        <w:tc>
          <w:tcPr>
            <w:tcW w:w="1496" w:type="dxa"/>
            <w:shd w:val="clear" w:color="auto" w:fill="auto"/>
            <w:vAlign w:val="center"/>
            <w:hideMark/>
          </w:tcPr>
          <w:p w14:paraId="43D1374E"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5</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093,33</w:t>
            </w:r>
          </w:p>
        </w:tc>
        <w:tc>
          <w:tcPr>
            <w:tcW w:w="1738" w:type="dxa"/>
            <w:vMerge/>
            <w:vAlign w:val="center"/>
            <w:hideMark/>
          </w:tcPr>
          <w:p w14:paraId="4C438420"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p>
        </w:tc>
        <w:tc>
          <w:tcPr>
            <w:tcW w:w="1666" w:type="dxa"/>
            <w:shd w:val="clear" w:color="auto" w:fill="auto"/>
            <w:noWrap/>
            <w:vAlign w:val="center"/>
            <w:hideMark/>
          </w:tcPr>
          <w:p w14:paraId="5530A2D4" w14:textId="77777777" w:rsidR="00983329" w:rsidRPr="00E82CC1" w:rsidRDefault="00983329" w:rsidP="004D7171">
            <w:pPr>
              <w:spacing w:after="0" w:line="240" w:lineRule="auto"/>
              <w:jc w:val="right"/>
              <w:rPr>
                <w:rFonts w:ascii="Calibri" w:eastAsia="Times New Roman" w:hAnsi="Calibri" w:cs="Calibri"/>
                <w:color w:val="000000"/>
              </w:rPr>
            </w:pPr>
            <w:r w:rsidRPr="00E82CC1">
              <w:rPr>
                <w:rFonts w:ascii="Calibri" w:eastAsia="Times New Roman" w:hAnsi="Calibri" w:cs="Calibri"/>
                <w:color w:val="000000"/>
              </w:rPr>
              <w:t>-2</w:t>
            </w:r>
            <w:r w:rsidR="004D7171" w:rsidRPr="00E82CC1">
              <w:rPr>
                <w:rFonts w:ascii="Calibri" w:eastAsia="Times New Roman" w:hAnsi="Calibri" w:cs="Calibri"/>
                <w:color w:val="000000"/>
              </w:rPr>
              <w:t xml:space="preserve"> </w:t>
            </w:r>
            <w:r w:rsidRPr="00E82CC1">
              <w:rPr>
                <w:rFonts w:ascii="Calibri" w:eastAsia="Times New Roman" w:hAnsi="Calibri" w:cs="Calibri"/>
                <w:color w:val="000000"/>
              </w:rPr>
              <w:t>336</w:t>
            </w:r>
          </w:p>
        </w:tc>
        <w:tc>
          <w:tcPr>
            <w:tcW w:w="1643" w:type="dxa"/>
            <w:shd w:val="clear" w:color="auto" w:fill="auto"/>
            <w:vAlign w:val="center"/>
            <w:hideMark/>
          </w:tcPr>
          <w:p w14:paraId="45E38BBD"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-3</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622,7</w:t>
            </w:r>
          </w:p>
        </w:tc>
      </w:tr>
    </w:tbl>
    <w:p w14:paraId="255D5C46" w14:textId="77777777" w:rsidR="00983329" w:rsidRPr="00E82CC1" w:rsidRDefault="005A7FC1" w:rsidP="00E35E2B">
      <w:pPr>
        <w:spacing w:after="0" w:line="276" w:lineRule="auto"/>
        <w:rPr>
          <w:rFonts w:ascii="Calibri Light" w:hAnsi="Calibri Light" w:cs="Calibri Light"/>
          <w:i/>
          <w:color w:val="000000"/>
          <w:sz w:val="24"/>
          <w:szCs w:val="24"/>
          <w:lang w:val="ro-RO"/>
        </w:rPr>
      </w:pPr>
      <w:r w:rsidRPr="00E82CC1">
        <w:rPr>
          <w:rFonts w:ascii="Calibri Light" w:hAnsi="Calibri Light" w:cs="Calibri Light"/>
          <w:i/>
          <w:color w:val="000000"/>
          <w:sz w:val="24"/>
          <w:szCs w:val="24"/>
          <w:lang w:val="ro-RO"/>
        </w:rPr>
        <w:t>Sursa: Elaborat de audit</w:t>
      </w:r>
    </w:p>
    <w:p w14:paraId="09A9A2FA" w14:textId="7E3BFADA" w:rsidR="005A7FC1" w:rsidRPr="00E82CC1" w:rsidRDefault="005A7FC1" w:rsidP="00993AE1">
      <w:pPr>
        <w:autoSpaceDE w:val="0"/>
        <w:autoSpaceDN w:val="0"/>
        <w:adjustRightInd w:val="0"/>
        <w:spacing w:before="240" w:line="276" w:lineRule="auto"/>
        <w:jc w:val="both"/>
        <w:rPr>
          <w:rFonts w:asciiTheme="majorHAnsi" w:hAnsiTheme="majorHAnsi" w:cstheme="majorHAnsi"/>
          <w:color w:val="000000"/>
          <w:sz w:val="24"/>
          <w:szCs w:val="24"/>
          <w:lang w:val="ro-MD" w:eastAsia="ru-RU"/>
        </w:rPr>
      </w:pPr>
      <w:r w:rsidRPr="00E82CC1">
        <w:rPr>
          <w:rFonts w:asciiTheme="majorHAnsi" w:hAnsiTheme="majorHAnsi" w:cstheme="majorHAnsi"/>
          <w:sz w:val="24"/>
          <w:szCs w:val="24"/>
          <w:lang w:val="ro-RO"/>
        </w:rPr>
        <w:t xml:space="preserve">În scopul soluționării problemelor ce țin de insuficiența de personal, în anul 2021 au fost desfășurate </w:t>
      </w:r>
      <w:r w:rsidRPr="00E82CC1">
        <w:rPr>
          <w:rFonts w:asciiTheme="majorHAnsi" w:hAnsiTheme="majorHAnsi" w:cstheme="majorHAnsi"/>
          <w:i/>
          <w:sz w:val="24"/>
          <w:szCs w:val="24"/>
          <w:lang w:val="ro-RO"/>
        </w:rPr>
        <w:t>39 de concursuri</w:t>
      </w:r>
      <w:r w:rsidR="008B108E" w:rsidRPr="00E82CC1">
        <w:rPr>
          <w:rFonts w:asciiTheme="majorHAnsi" w:hAnsiTheme="majorHAnsi" w:cstheme="majorHAnsi"/>
          <w:sz w:val="24"/>
          <w:szCs w:val="24"/>
          <w:lang w:val="ro-RO"/>
        </w:rPr>
        <w:t xml:space="preserve"> pentru 1</w:t>
      </w:r>
      <w:r w:rsidR="00CB7C38">
        <w:rPr>
          <w:rFonts w:asciiTheme="majorHAnsi" w:hAnsiTheme="majorHAnsi" w:cstheme="majorHAnsi"/>
          <w:sz w:val="24"/>
          <w:szCs w:val="24"/>
          <w:lang w:val="ro-RO"/>
        </w:rPr>
        <w:t>93</w:t>
      </w:r>
      <w:r w:rsidR="008B108E" w:rsidRPr="00E82CC1">
        <w:rPr>
          <w:rFonts w:asciiTheme="majorHAnsi" w:hAnsiTheme="majorHAnsi" w:cstheme="majorHAnsi"/>
          <w:sz w:val="24"/>
          <w:szCs w:val="24"/>
          <w:lang w:val="ro-RO"/>
        </w:rPr>
        <w:t xml:space="preserve"> </w:t>
      </w:r>
      <w:r w:rsidR="003C0BC5">
        <w:rPr>
          <w:rFonts w:asciiTheme="majorHAnsi" w:hAnsiTheme="majorHAnsi" w:cstheme="majorHAnsi"/>
          <w:sz w:val="24"/>
          <w:szCs w:val="24"/>
          <w:lang w:val="ro-RO"/>
        </w:rPr>
        <w:t xml:space="preserve">de </w:t>
      </w:r>
      <w:r w:rsidR="008B108E" w:rsidRPr="00E82CC1">
        <w:rPr>
          <w:rFonts w:asciiTheme="majorHAnsi" w:hAnsiTheme="majorHAnsi" w:cstheme="majorHAnsi"/>
          <w:sz w:val="24"/>
          <w:szCs w:val="24"/>
          <w:lang w:val="ro-RO"/>
        </w:rPr>
        <w:t>funcții vacante</w:t>
      </w:r>
      <w:r w:rsidR="003C0BC5">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în urma cărora au fost </w:t>
      </w:r>
      <w:r w:rsidRPr="00E82CC1">
        <w:rPr>
          <w:rFonts w:asciiTheme="majorHAnsi" w:hAnsiTheme="majorHAnsi" w:cstheme="majorHAnsi"/>
          <w:i/>
          <w:sz w:val="24"/>
          <w:szCs w:val="24"/>
          <w:lang w:val="ro-RO"/>
        </w:rPr>
        <w:t xml:space="preserve">angajați 92 </w:t>
      </w:r>
      <w:r w:rsidR="003C0BC5">
        <w:rPr>
          <w:rFonts w:asciiTheme="majorHAnsi" w:hAnsiTheme="majorHAnsi" w:cstheme="majorHAnsi"/>
          <w:i/>
          <w:sz w:val="24"/>
          <w:szCs w:val="24"/>
          <w:lang w:val="ro-RO"/>
        </w:rPr>
        <w:t xml:space="preserve">de </w:t>
      </w:r>
      <w:r w:rsidRPr="00E82CC1">
        <w:rPr>
          <w:rFonts w:asciiTheme="majorHAnsi" w:hAnsiTheme="majorHAnsi" w:cstheme="majorHAnsi"/>
          <w:i/>
          <w:sz w:val="24"/>
          <w:szCs w:val="24"/>
          <w:lang w:val="ro-RO"/>
        </w:rPr>
        <w:t>specialiști</w:t>
      </w:r>
      <w:r w:rsidRPr="00E82CC1">
        <w:rPr>
          <w:rFonts w:asciiTheme="majorHAnsi" w:hAnsiTheme="majorHAnsi" w:cstheme="majorHAnsi"/>
          <w:sz w:val="24"/>
          <w:szCs w:val="24"/>
          <w:lang w:val="ro-RO"/>
        </w:rPr>
        <w:t>.</w:t>
      </w:r>
      <w:r w:rsidRPr="00E82CC1">
        <w:rPr>
          <w:rFonts w:asciiTheme="majorHAnsi" w:hAnsiTheme="majorHAnsi" w:cstheme="majorHAnsi"/>
          <w:color w:val="000000"/>
          <w:sz w:val="24"/>
          <w:szCs w:val="24"/>
          <w:lang w:val="ro-RO"/>
        </w:rPr>
        <w:t xml:space="preserve"> În același timp, pe parcursul anului s-au eliberat </w:t>
      </w:r>
      <w:r w:rsidR="00663ADA" w:rsidRPr="00E82CC1">
        <w:rPr>
          <w:rFonts w:asciiTheme="majorHAnsi" w:hAnsiTheme="majorHAnsi" w:cstheme="majorHAnsi"/>
          <w:color w:val="000000"/>
          <w:sz w:val="24"/>
          <w:szCs w:val="24"/>
          <w:lang w:val="ro-RO"/>
        </w:rPr>
        <w:t>94</w:t>
      </w:r>
      <w:r w:rsidRPr="00E82CC1">
        <w:rPr>
          <w:rFonts w:asciiTheme="majorHAnsi" w:hAnsiTheme="majorHAnsi" w:cstheme="majorHAnsi"/>
          <w:color w:val="000000"/>
          <w:sz w:val="24"/>
          <w:szCs w:val="24"/>
          <w:lang w:val="ro-RO"/>
        </w:rPr>
        <w:t xml:space="preserve"> </w:t>
      </w:r>
      <w:r w:rsidR="003C0BC5">
        <w:rPr>
          <w:rFonts w:asciiTheme="majorHAnsi" w:hAnsiTheme="majorHAnsi" w:cstheme="majorHAnsi"/>
          <w:color w:val="000000"/>
          <w:sz w:val="24"/>
          <w:szCs w:val="24"/>
          <w:lang w:val="ro-RO"/>
        </w:rPr>
        <w:t xml:space="preserve">de </w:t>
      </w:r>
      <w:r w:rsidRPr="00E82CC1">
        <w:rPr>
          <w:rFonts w:asciiTheme="majorHAnsi" w:hAnsiTheme="majorHAnsi" w:cstheme="majorHAnsi"/>
          <w:color w:val="000000"/>
          <w:sz w:val="24"/>
          <w:szCs w:val="24"/>
          <w:lang w:val="ro-RO"/>
        </w:rPr>
        <w:t xml:space="preserve">angajați cu experiență de la </w:t>
      </w:r>
      <w:r w:rsidR="00663ADA" w:rsidRPr="00E82CC1">
        <w:rPr>
          <w:rFonts w:asciiTheme="majorHAnsi" w:hAnsiTheme="majorHAnsi" w:cstheme="majorHAnsi"/>
          <w:color w:val="000000"/>
          <w:sz w:val="24"/>
          <w:szCs w:val="24"/>
          <w:lang w:val="ro-RO"/>
        </w:rPr>
        <w:t>o zi</w:t>
      </w:r>
      <w:r w:rsidRPr="00E82CC1">
        <w:rPr>
          <w:rFonts w:asciiTheme="majorHAnsi" w:hAnsiTheme="majorHAnsi" w:cstheme="majorHAnsi"/>
          <w:color w:val="000000"/>
          <w:sz w:val="24"/>
          <w:szCs w:val="24"/>
          <w:lang w:val="ro-RO"/>
        </w:rPr>
        <w:t xml:space="preserve"> până la </w:t>
      </w:r>
      <w:r w:rsidR="00663ADA" w:rsidRPr="00E82CC1">
        <w:rPr>
          <w:rFonts w:asciiTheme="majorHAnsi" w:hAnsiTheme="majorHAnsi" w:cstheme="majorHAnsi"/>
          <w:color w:val="000000"/>
          <w:sz w:val="24"/>
          <w:szCs w:val="24"/>
          <w:lang w:val="ro-RO"/>
        </w:rPr>
        <w:t xml:space="preserve">20 </w:t>
      </w:r>
      <w:r w:rsidR="003C0BC5">
        <w:rPr>
          <w:rFonts w:asciiTheme="majorHAnsi" w:hAnsiTheme="majorHAnsi" w:cstheme="majorHAnsi"/>
          <w:color w:val="000000"/>
          <w:sz w:val="24"/>
          <w:szCs w:val="24"/>
          <w:lang w:val="ro-RO"/>
        </w:rPr>
        <w:t xml:space="preserve">de </w:t>
      </w:r>
      <w:r w:rsidR="00663ADA" w:rsidRPr="00E82CC1">
        <w:rPr>
          <w:rFonts w:asciiTheme="majorHAnsi" w:hAnsiTheme="majorHAnsi" w:cstheme="majorHAnsi"/>
          <w:color w:val="000000"/>
          <w:sz w:val="24"/>
          <w:szCs w:val="24"/>
          <w:lang w:val="ro-RO"/>
        </w:rPr>
        <w:t>ani</w:t>
      </w:r>
      <w:r w:rsidRPr="00E82CC1">
        <w:rPr>
          <w:rFonts w:asciiTheme="majorHAnsi" w:hAnsiTheme="majorHAnsi" w:cstheme="majorHAnsi"/>
          <w:color w:val="000000"/>
          <w:sz w:val="24"/>
          <w:szCs w:val="24"/>
          <w:lang w:val="ro-RO"/>
        </w:rPr>
        <w:t>. Totodată, se menționează că l</w:t>
      </w:r>
      <w:r w:rsidRPr="00E82CC1">
        <w:rPr>
          <w:rStyle w:val="af"/>
          <w:rFonts w:asciiTheme="majorHAnsi" w:hAnsiTheme="majorHAnsi" w:cstheme="majorHAnsi"/>
          <w:b w:val="0"/>
          <w:color w:val="000000"/>
          <w:sz w:val="24"/>
          <w:szCs w:val="24"/>
          <w:lang w:val="ro-RO" w:eastAsia="ru-RU"/>
        </w:rPr>
        <w:t>a concursurile anunțate pentru angajare, pe durată lungă nu sunt candidați, iar li</w:t>
      </w:r>
      <w:r w:rsidRPr="00E82CC1">
        <w:rPr>
          <w:rFonts w:asciiTheme="majorHAnsi" w:hAnsiTheme="majorHAnsi" w:cstheme="majorHAnsi"/>
          <w:color w:val="000000"/>
          <w:sz w:val="24"/>
          <w:szCs w:val="24"/>
          <w:lang w:val="ro-RO" w:eastAsia="ru-RU"/>
        </w:rPr>
        <w:t>psa</w:t>
      </w:r>
      <w:r w:rsidRPr="00E82CC1">
        <w:rPr>
          <w:rFonts w:asciiTheme="majorHAnsi" w:hAnsiTheme="majorHAnsi" w:cstheme="majorHAnsi"/>
          <w:color w:val="000000"/>
          <w:sz w:val="24"/>
          <w:szCs w:val="24"/>
          <w:lang w:val="ro-MD" w:eastAsia="ru-RU"/>
        </w:rPr>
        <w:t xml:space="preserve"> specialiștilor în domeniul asigurărilor sociale va genera imposibilitatea asigurării continuității transmiterii experienței instituționale către următoarea generație de specialiști.</w:t>
      </w:r>
      <w:r w:rsidR="008B108E" w:rsidRPr="00E82CC1">
        <w:rPr>
          <w:rFonts w:asciiTheme="majorHAnsi" w:hAnsiTheme="majorHAnsi" w:cstheme="majorHAnsi"/>
          <w:color w:val="000000"/>
          <w:sz w:val="24"/>
          <w:szCs w:val="24"/>
          <w:lang w:val="ro-MD" w:eastAsia="ru-RU"/>
        </w:rPr>
        <w:t xml:space="preserve"> Menționăm că la momentul actual, în cadrul CNAS se denotă un deficit de c</w:t>
      </w:r>
      <w:r w:rsidR="00220CC8">
        <w:rPr>
          <w:rFonts w:asciiTheme="majorHAnsi" w:hAnsiTheme="majorHAnsi" w:cstheme="majorHAnsi"/>
          <w:color w:val="000000"/>
          <w:sz w:val="24"/>
          <w:szCs w:val="24"/>
          <w:lang w:val="ro-MD" w:eastAsia="ru-RU"/>
        </w:rPr>
        <w:t>adre de 20</w:t>
      </w:r>
      <w:r w:rsidR="008B108E" w:rsidRPr="00E82CC1">
        <w:rPr>
          <w:rFonts w:asciiTheme="majorHAnsi" w:hAnsiTheme="majorHAnsi" w:cstheme="majorHAnsi"/>
          <w:color w:val="000000"/>
          <w:sz w:val="24"/>
          <w:szCs w:val="24"/>
          <w:lang w:val="ro-MD" w:eastAsia="ru-RU"/>
        </w:rPr>
        <w:t>%, iar rata fluctuației personalului pe parcu</w:t>
      </w:r>
      <w:r w:rsidR="008F0132">
        <w:rPr>
          <w:rFonts w:asciiTheme="majorHAnsi" w:hAnsiTheme="majorHAnsi" w:cstheme="majorHAnsi"/>
          <w:color w:val="000000"/>
          <w:sz w:val="24"/>
          <w:szCs w:val="24"/>
          <w:lang w:val="ro-MD" w:eastAsia="ru-RU"/>
        </w:rPr>
        <w:t>rsul anului 2021 a fost de</w:t>
      </w:r>
      <w:r w:rsidR="00B96086">
        <w:rPr>
          <w:rFonts w:asciiTheme="majorHAnsi" w:hAnsiTheme="majorHAnsi" w:cstheme="majorHAnsi"/>
          <w:color w:val="000000"/>
          <w:sz w:val="24"/>
          <w:szCs w:val="24"/>
          <w:lang w:val="ro-MD" w:eastAsia="ru-RU"/>
        </w:rPr>
        <w:t xml:space="preserve"> 9</w:t>
      </w:r>
      <w:r w:rsidR="008F0132">
        <w:rPr>
          <w:rFonts w:asciiTheme="majorHAnsi" w:hAnsiTheme="majorHAnsi" w:cstheme="majorHAnsi"/>
          <w:color w:val="000000"/>
          <w:sz w:val="24"/>
          <w:szCs w:val="24"/>
          <w:lang w:val="ro-MD" w:eastAsia="ru-RU"/>
        </w:rPr>
        <w:t xml:space="preserve">% (Anexa nr. </w:t>
      </w:r>
      <w:r w:rsidR="0017066D">
        <w:rPr>
          <w:rFonts w:asciiTheme="majorHAnsi" w:hAnsiTheme="majorHAnsi" w:cstheme="majorHAnsi"/>
          <w:color w:val="000000"/>
          <w:sz w:val="24"/>
          <w:szCs w:val="24"/>
          <w:lang w:val="ro-MD" w:eastAsia="ru-RU"/>
        </w:rPr>
        <w:t>15</w:t>
      </w:r>
      <w:r w:rsidR="00502141">
        <w:rPr>
          <w:rFonts w:asciiTheme="majorHAnsi" w:hAnsiTheme="majorHAnsi" w:cstheme="majorHAnsi"/>
          <w:color w:val="000000"/>
          <w:sz w:val="24"/>
          <w:szCs w:val="24"/>
          <w:lang w:val="ro-MD" w:eastAsia="ru-RU"/>
        </w:rPr>
        <w:t>).</w:t>
      </w:r>
    </w:p>
    <w:tbl>
      <w:tblPr>
        <w:tblStyle w:val="af0"/>
        <w:tblW w:w="0" w:type="auto"/>
        <w:tblLook w:val="04A0" w:firstRow="1" w:lastRow="0" w:firstColumn="1" w:lastColumn="0" w:noHBand="0" w:noVBand="1"/>
      </w:tblPr>
      <w:tblGrid>
        <w:gridCol w:w="9659"/>
      </w:tblGrid>
      <w:tr w:rsidR="00993AE1" w:rsidRPr="00E82CC1" w14:paraId="184FBE9E" w14:textId="77777777" w:rsidTr="00866B53">
        <w:tc>
          <w:tcPr>
            <w:tcW w:w="9679"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auto"/>
          </w:tcPr>
          <w:p w14:paraId="4BDE177A" w14:textId="2F0FC312" w:rsidR="00993AE1" w:rsidRPr="00E82CC1" w:rsidRDefault="003C0BC5" w:rsidP="00866B53">
            <w:pPr>
              <w:pStyle w:val="a9"/>
              <w:spacing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993AE1" w:rsidRPr="00E82CC1">
              <w:rPr>
                <w:rFonts w:asciiTheme="majorHAnsi" w:hAnsiTheme="majorHAnsi" w:cstheme="majorHAnsi"/>
                <w:sz w:val="24"/>
                <w:szCs w:val="24"/>
                <w:lang w:val="ro-MD"/>
              </w:rPr>
              <w:t>e parcursul anilor 2019-2021 CNAS a preluat procese noi de activitate în domeniul stabilirii și evidenței plății prestațiilor sociale,</w:t>
            </w:r>
            <w:r w:rsidR="00663ADA" w:rsidRPr="00E82CC1">
              <w:rPr>
                <w:rFonts w:asciiTheme="majorHAnsi" w:hAnsiTheme="majorHAnsi" w:cstheme="majorHAnsi"/>
                <w:sz w:val="24"/>
                <w:szCs w:val="24"/>
                <w:lang w:val="ro-MD"/>
              </w:rPr>
              <w:t xml:space="preserve"> iar</w:t>
            </w:r>
            <w:r w:rsidR="00993AE1" w:rsidRPr="00E82CC1">
              <w:rPr>
                <w:rFonts w:asciiTheme="majorHAnsi" w:hAnsiTheme="majorHAnsi" w:cstheme="majorHAnsi"/>
                <w:sz w:val="24"/>
                <w:szCs w:val="24"/>
                <w:lang w:val="ro-MD"/>
              </w:rPr>
              <w:t xml:space="preserve"> personal suplimentar nu a fost </w:t>
            </w:r>
            <w:r w:rsidR="00663ADA" w:rsidRPr="00E82CC1">
              <w:rPr>
                <w:rFonts w:asciiTheme="majorHAnsi" w:hAnsiTheme="majorHAnsi" w:cstheme="majorHAnsi"/>
                <w:sz w:val="24"/>
                <w:szCs w:val="24"/>
                <w:lang w:val="ro-MD"/>
              </w:rPr>
              <w:t>prevăzut</w:t>
            </w:r>
            <w:r w:rsidR="00993AE1" w:rsidRPr="00E82CC1">
              <w:rPr>
                <w:rFonts w:asciiTheme="majorHAnsi" w:hAnsiTheme="majorHAnsi" w:cstheme="majorHAnsi"/>
                <w:sz w:val="24"/>
                <w:szCs w:val="24"/>
                <w:lang w:val="ro-MD"/>
              </w:rPr>
              <w:t>. Astfel, implementarea noilor procese complexe, sistemice și unice se efectuează în condițiile personalului existent. Prin urmare</w:t>
            </w:r>
            <w:r w:rsidR="00CB5ABF">
              <w:rPr>
                <w:rFonts w:asciiTheme="majorHAnsi" w:hAnsiTheme="majorHAnsi" w:cstheme="majorHAnsi"/>
                <w:sz w:val="24"/>
                <w:szCs w:val="24"/>
                <w:lang w:val="ro-MD"/>
              </w:rPr>
              <w:t>,</w:t>
            </w:r>
            <w:r w:rsidR="00993AE1" w:rsidRPr="00E82CC1">
              <w:rPr>
                <w:rFonts w:asciiTheme="majorHAnsi" w:hAnsiTheme="majorHAnsi" w:cstheme="majorHAnsi"/>
                <w:sz w:val="24"/>
                <w:szCs w:val="24"/>
                <w:lang w:val="ro-MD"/>
              </w:rPr>
              <w:t xml:space="preserve"> a fost introdusă:</w:t>
            </w:r>
          </w:p>
          <w:p w14:paraId="2237882D" w14:textId="0ABB5A9D"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reexaminarea pensiilor pentru limită de vârstă stabilite până la 01.01.1999 cu un stagiu de cotizare după realizarea dreptului la pensie</w:t>
            </w:r>
            <w:r w:rsidR="00CB5ABF">
              <w:rPr>
                <w:rFonts w:asciiTheme="majorHAnsi" w:hAnsiTheme="majorHAnsi" w:cstheme="majorHAnsi"/>
                <w:sz w:val="24"/>
                <w:szCs w:val="24"/>
                <w:lang w:val="ro-MD"/>
              </w:rPr>
              <w:t>;</w:t>
            </w:r>
          </w:p>
          <w:p w14:paraId="476FEC8E" w14:textId="5090010A"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RO"/>
              </w:rPr>
              <w:t>reexaminarea pensiilor de dizabilitate pentru stagiul de cotizare realizat după stabilirea pensiei (de la 01.01.2022)</w:t>
            </w:r>
            <w:r w:rsidR="00CB5ABF">
              <w:rPr>
                <w:rFonts w:asciiTheme="majorHAnsi" w:hAnsiTheme="majorHAnsi" w:cstheme="majorHAnsi"/>
                <w:sz w:val="24"/>
                <w:szCs w:val="24"/>
                <w:lang w:val="ro-RO"/>
              </w:rPr>
              <w:t>;</w:t>
            </w:r>
          </w:p>
          <w:p w14:paraId="2BD2E4FF" w14:textId="3F84CBD4"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stabilirea și evidența plății indemnizațiilor pentru incapacitate temporară de muncă</w:t>
            </w:r>
            <w:r w:rsidR="00CB5ABF">
              <w:rPr>
                <w:rFonts w:asciiTheme="majorHAnsi" w:hAnsiTheme="majorHAnsi" w:cstheme="majorHAnsi"/>
                <w:sz w:val="24"/>
                <w:szCs w:val="24"/>
                <w:lang w:val="ro-MD"/>
              </w:rPr>
              <w:t>;</w:t>
            </w:r>
          </w:p>
          <w:p w14:paraId="54A7C335" w14:textId="648C4CC5"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 xml:space="preserve">stabilirea și evidența plății indemnizațiilor adresate familiilor cu copii </w:t>
            </w:r>
            <w:r w:rsidR="00CB5ABF">
              <w:rPr>
                <w:rFonts w:asciiTheme="majorHAnsi" w:hAnsiTheme="majorHAnsi" w:cstheme="majorHAnsi"/>
                <w:sz w:val="24"/>
                <w:szCs w:val="24"/>
                <w:lang w:val="ro-MD"/>
              </w:rPr>
              <w:t xml:space="preserve">ale </w:t>
            </w:r>
            <w:r w:rsidRPr="00E82CC1">
              <w:rPr>
                <w:rFonts w:asciiTheme="majorHAnsi" w:hAnsiTheme="majorHAnsi" w:cstheme="majorHAnsi"/>
                <w:sz w:val="24"/>
                <w:szCs w:val="24"/>
                <w:lang w:val="ro-MD"/>
              </w:rPr>
              <w:t>angajaților structurilor de forță</w:t>
            </w:r>
            <w:r w:rsidR="00CB5ABF">
              <w:rPr>
                <w:rFonts w:asciiTheme="majorHAnsi" w:hAnsiTheme="majorHAnsi" w:cstheme="majorHAnsi"/>
                <w:sz w:val="24"/>
                <w:szCs w:val="24"/>
                <w:lang w:val="ro-MD"/>
              </w:rPr>
              <w:t>;</w:t>
            </w:r>
            <w:r w:rsidRPr="00E82CC1">
              <w:rPr>
                <w:rFonts w:asciiTheme="majorHAnsi" w:hAnsiTheme="majorHAnsi" w:cstheme="majorHAnsi"/>
                <w:sz w:val="24"/>
                <w:szCs w:val="24"/>
                <w:lang w:val="ro-MD"/>
              </w:rPr>
              <w:t xml:space="preserve"> </w:t>
            </w:r>
          </w:p>
          <w:p w14:paraId="42F8A76A" w14:textId="756A09B7"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stabilirea și evidența plății indemnizațiilor de maternitate angajaților structurilor de forță</w:t>
            </w:r>
            <w:r w:rsidR="00CB5ABF">
              <w:rPr>
                <w:rFonts w:asciiTheme="majorHAnsi" w:hAnsiTheme="majorHAnsi" w:cstheme="majorHAnsi"/>
                <w:sz w:val="24"/>
                <w:szCs w:val="24"/>
                <w:lang w:val="ro-MD"/>
              </w:rPr>
              <w:t>;</w:t>
            </w:r>
          </w:p>
          <w:p w14:paraId="583B5B35" w14:textId="00039DC2"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stabilirea și evidența plății indemnizațiilor paternale angajaților structurilor de forță</w:t>
            </w:r>
            <w:r w:rsidR="00CB5ABF">
              <w:rPr>
                <w:rFonts w:asciiTheme="majorHAnsi" w:hAnsiTheme="majorHAnsi" w:cstheme="majorHAnsi"/>
                <w:sz w:val="24"/>
                <w:szCs w:val="24"/>
                <w:lang w:val="ro-MD"/>
              </w:rPr>
              <w:t>;</w:t>
            </w:r>
          </w:p>
          <w:p w14:paraId="7826E7F4" w14:textId="25C7BAB9"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sz w:val="24"/>
                <w:szCs w:val="24"/>
                <w:lang w:val="ro-MD"/>
              </w:rPr>
              <w:t>stabilirea cuantumului și evidența plății ajutorului de șomaj și alocației de integrare sau reintegrare profesională a șomerilor</w:t>
            </w:r>
            <w:r w:rsidR="00CB5ABF">
              <w:rPr>
                <w:rFonts w:asciiTheme="majorHAnsi" w:hAnsiTheme="majorHAnsi" w:cstheme="majorHAnsi"/>
                <w:sz w:val="24"/>
                <w:szCs w:val="24"/>
                <w:lang w:val="ro-MD"/>
              </w:rPr>
              <w:t>;</w:t>
            </w:r>
          </w:p>
          <w:p w14:paraId="079D6478" w14:textId="7A531B3B" w:rsidR="00993AE1" w:rsidRPr="00617E4A" w:rsidRDefault="00993AE1" w:rsidP="00993AE1">
            <w:pPr>
              <w:pStyle w:val="a9"/>
              <w:numPr>
                <w:ilvl w:val="0"/>
                <w:numId w:val="34"/>
              </w:numPr>
              <w:spacing w:line="276" w:lineRule="auto"/>
              <w:jc w:val="both"/>
              <w:rPr>
                <w:rFonts w:asciiTheme="majorHAnsi" w:eastAsia="Calibri" w:hAnsiTheme="majorHAnsi" w:cstheme="majorHAnsi"/>
                <w:sz w:val="24"/>
                <w:szCs w:val="24"/>
                <w:lang w:val="ro-MD" w:eastAsia="ru-RU"/>
              </w:rPr>
            </w:pPr>
            <w:r w:rsidRPr="00617E4A">
              <w:rPr>
                <w:rFonts w:asciiTheme="majorHAnsi" w:eastAsia="Calibri" w:hAnsiTheme="majorHAnsi" w:cstheme="majorHAnsi"/>
                <w:sz w:val="24"/>
                <w:szCs w:val="24"/>
                <w:lang w:val="ro-MD" w:eastAsia="ru-RU"/>
              </w:rPr>
              <w:t>stabilirea şi evidenţa plății indemnizaţiilor urmașilor personalului medical decedat ca urmare a desfășurării activității medicale în lupta cu COVID</w:t>
            </w:r>
            <w:r w:rsidR="00CB5ABF">
              <w:rPr>
                <w:rFonts w:asciiTheme="majorHAnsi" w:eastAsia="Calibri" w:hAnsiTheme="majorHAnsi" w:cstheme="majorHAnsi"/>
                <w:sz w:val="24"/>
                <w:szCs w:val="24"/>
                <w:lang w:val="ro-MD" w:eastAsia="ru-RU"/>
              </w:rPr>
              <w:t>-</w:t>
            </w:r>
            <w:r w:rsidRPr="00617E4A">
              <w:rPr>
                <w:rFonts w:asciiTheme="majorHAnsi" w:eastAsia="Calibri" w:hAnsiTheme="majorHAnsi" w:cstheme="majorHAnsi"/>
                <w:sz w:val="24"/>
                <w:szCs w:val="24"/>
                <w:lang w:val="ro-MD" w:eastAsia="ru-RU"/>
              </w:rPr>
              <w:t>19</w:t>
            </w:r>
            <w:r w:rsidR="00CB5ABF">
              <w:rPr>
                <w:rFonts w:asciiTheme="majorHAnsi" w:eastAsia="Calibri" w:hAnsiTheme="majorHAnsi" w:cstheme="majorHAnsi"/>
                <w:sz w:val="24"/>
                <w:szCs w:val="24"/>
                <w:lang w:val="ro-MD" w:eastAsia="ru-RU"/>
              </w:rPr>
              <w:t>;</w:t>
            </w:r>
          </w:p>
          <w:p w14:paraId="3C240791" w14:textId="77777777" w:rsidR="00993AE1" w:rsidRPr="00CB5ABF" w:rsidRDefault="00993AE1" w:rsidP="00993AE1">
            <w:pPr>
              <w:pStyle w:val="a9"/>
              <w:numPr>
                <w:ilvl w:val="0"/>
                <w:numId w:val="34"/>
              </w:numPr>
              <w:spacing w:line="276" w:lineRule="auto"/>
              <w:jc w:val="both"/>
              <w:rPr>
                <w:rFonts w:asciiTheme="majorHAnsi" w:eastAsia="Calibri" w:hAnsiTheme="majorHAnsi" w:cstheme="majorHAnsi"/>
                <w:sz w:val="24"/>
                <w:szCs w:val="24"/>
                <w:lang w:val="ro-MD" w:eastAsia="ru-RU"/>
              </w:rPr>
            </w:pPr>
            <w:r w:rsidRPr="00617E4A">
              <w:rPr>
                <w:rFonts w:asciiTheme="majorHAnsi" w:hAnsiTheme="majorHAnsi" w:cstheme="majorHAnsi"/>
                <w:color w:val="000000"/>
                <w:sz w:val="24"/>
                <w:szCs w:val="24"/>
                <w:shd w:val="clear" w:color="auto" w:fill="FFFFFF"/>
                <w:lang w:val="ro-MD"/>
              </w:rPr>
              <w:t xml:space="preserve">stabilirea și evidența </w:t>
            </w:r>
            <w:r w:rsidRPr="00CB5ABF">
              <w:rPr>
                <w:rFonts w:asciiTheme="majorHAnsi" w:hAnsiTheme="majorHAnsi" w:cstheme="majorHAnsi"/>
                <w:color w:val="000000"/>
                <w:sz w:val="24"/>
                <w:szCs w:val="24"/>
                <w:shd w:val="clear" w:color="auto" w:fill="FFFFFF"/>
                <w:lang w:val="ro-MD"/>
              </w:rPr>
              <w:t>plății indemnizaţiilor în cazul decesului unuia dintre soți;</w:t>
            </w:r>
          </w:p>
          <w:p w14:paraId="4D431373" w14:textId="61488DCC" w:rsidR="00993AE1" w:rsidRPr="00CB5ABF" w:rsidRDefault="00993AE1" w:rsidP="00993AE1">
            <w:pPr>
              <w:pStyle w:val="a9"/>
              <w:numPr>
                <w:ilvl w:val="0"/>
                <w:numId w:val="34"/>
              </w:numPr>
              <w:tabs>
                <w:tab w:val="left" w:pos="142"/>
              </w:tabs>
              <w:spacing w:line="276" w:lineRule="auto"/>
              <w:jc w:val="both"/>
              <w:rPr>
                <w:rFonts w:asciiTheme="majorHAnsi" w:eastAsia="Calibri" w:hAnsiTheme="majorHAnsi" w:cstheme="majorHAnsi"/>
                <w:sz w:val="24"/>
                <w:szCs w:val="24"/>
                <w:lang w:val="ro-MD" w:eastAsia="ru-RU"/>
              </w:rPr>
            </w:pPr>
            <w:r w:rsidRPr="00CB5ABF">
              <w:rPr>
                <w:rFonts w:asciiTheme="majorHAnsi" w:hAnsiTheme="majorHAnsi" w:cstheme="majorHAnsi"/>
                <w:color w:val="000000"/>
                <w:sz w:val="24"/>
                <w:szCs w:val="24"/>
                <w:shd w:val="clear" w:color="auto" w:fill="FFFFFF"/>
                <w:lang w:val="ro-MD"/>
              </w:rPr>
              <w:t>stabilirea și evidența plății alocaţiilor lunare de stat  persoanelor care au participat la lichidarea consecinţelor avariei de la CAE Cernob</w:t>
            </w:r>
            <w:r w:rsidR="00CB5ABF">
              <w:rPr>
                <w:rFonts w:asciiTheme="majorHAnsi" w:hAnsiTheme="majorHAnsi" w:cstheme="majorHAnsi"/>
                <w:color w:val="000000"/>
                <w:sz w:val="24"/>
                <w:szCs w:val="24"/>
                <w:shd w:val="clear" w:color="auto" w:fill="FFFFFF"/>
                <w:lang w:val="ro-MD"/>
              </w:rPr>
              <w:t>â</w:t>
            </w:r>
            <w:r w:rsidRPr="00CB5ABF">
              <w:rPr>
                <w:rFonts w:asciiTheme="majorHAnsi" w:hAnsiTheme="majorHAnsi" w:cstheme="majorHAnsi"/>
                <w:color w:val="000000"/>
                <w:sz w:val="24"/>
                <w:szCs w:val="24"/>
                <w:shd w:val="clear" w:color="auto" w:fill="FFFFFF"/>
                <w:lang w:val="ro-MD"/>
              </w:rPr>
              <w:t>l</w:t>
            </w:r>
            <w:r w:rsidRPr="00CB5ABF">
              <w:rPr>
                <w:rStyle w:val="a5"/>
                <w:rFonts w:asciiTheme="majorHAnsi" w:hAnsiTheme="majorHAnsi" w:cstheme="majorHAnsi"/>
                <w:color w:val="000000"/>
                <w:sz w:val="24"/>
                <w:szCs w:val="24"/>
                <w:shd w:val="clear" w:color="auto" w:fill="FFFFFF"/>
                <w:lang w:val="ro-MD"/>
              </w:rPr>
              <w:footnoteReference w:id="66"/>
            </w:r>
            <w:r w:rsidRPr="00CB5ABF">
              <w:rPr>
                <w:rFonts w:asciiTheme="majorHAnsi" w:hAnsiTheme="majorHAnsi" w:cstheme="majorHAnsi"/>
                <w:color w:val="000000"/>
                <w:sz w:val="24"/>
                <w:szCs w:val="24"/>
                <w:shd w:val="clear" w:color="auto" w:fill="FFFFFF"/>
                <w:lang w:val="ro-MD"/>
              </w:rPr>
              <w:t>, persoanelor care au venit în anul 1986 din zona de înstrăinare şi au primit cetăţenia Republicii Moldova</w:t>
            </w:r>
            <w:r w:rsidRPr="00CB5ABF">
              <w:rPr>
                <w:rStyle w:val="a5"/>
                <w:rFonts w:asciiTheme="majorHAnsi" w:hAnsiTheme="majorHAnsi" w:cstheme="majorHAnsi"/>
                <w:color w:val="000000"/>
                <w:sz w:val="24"/>
                <w:szCs w:val="24"/>
                <w:shd w:val="clear" w:color="auto" w:fill="FFFFFF"/>
                <w:lang w:val="ro-MD"/>
              </w:rPr>
              <w:footnoteReference w:id="67"/>
            </w:r>
            <w:r w:rsidRPr="00CB5ABF">
              <w:rPr>
                <w:rFonts w:asciiTheme="majorHAnsi" w:hAnsiTheme="majorHAnsi" w:cstheme="majorHAnsi"/>
                <w:color w:val="000000"/>
                <w:sz w:val="24"/>
                <w:szCs w:val="24"/>
                <w:shd w:val="clear" w:color="auto" w:fill="FFFFFF"/>
                <w:lang w:val="ro-MD"/>
              </w:rPr>
              <w:t xml:space="preserve">; </w:t>
            </w:r>
          </w:p>
          <w:p w14:paraId="214E1173" w14:textId="77777777" w:rsidR="00993AE1" w:rsidRPr="00E82CC1" w:rsidRDefault="00993AE1" w:rsidP="00C12743">
            <w:pPr>
              <w:pStyle w:val="a9"/>
              <w:numPr>
                <w:ilvl w:val="0"/>
                <w:numId w:val="34"/>
              </w:numPr>
              <w:jc w:val="both"/>
              <w:rPr>
                <w:rFonts w:asciiTheme="majorHAnsi" w:hAnsiTheme="majorHAnsi" w:cstheme="majorHAnsi"/>
                <w:color w:val="000000"/>
                <w:sz w:val="24"/>
                <w:szCs w:val="24"/>
                <w:shd w:val="clear" w:color="auto" w:fill="FFFFFF"/>
                <w:lang w:val="ro-MD"/>
              </w:rPr>
            </w:pPr>
            <w:r w:rsidRPr="00CB5ABF">
              <w:rPr>
                <w:rFonts w:asciiTheme="majorHAnsi" w:hAnsiTheme="majorHAnsi" w:cstheme="majorHAnsi"/>
                <w:color w:val="000000"/>
                <w:sz w:val="24"/>
                <w:szCs w:val="24"/>
                <w:shd w:val="clear" w:color="auto" w:fill="FFFFFF"/>
                <w:lang w:val="ro-MD"/>
              </w:rPr>
              <w:t>stabilirea și evidența plății alocațiilor nominale pentru  cetățenii Republicii Moldova decorați cu distincții de stat</w:t>
            </w:r>
            <w:r w:rsidRPr="00CB5ABF">
              <w:rPr>
                <w:rStyle w:val="a5"/>
                <w:rFonts w:asciiTheme="majorHAnsi" w:hAnsiTheme="majorHAnsi" w:cstheme="majorHAnsi"/>
                <w:color w:val="000000"/>
                <w:sz w:val="24"/>
                <w:szCs w:val="24"/>
                <w:shd w:val="clear" w:color="auto" w:fill="FFFFFF"/>
                <w:lang w:val="ro-MD"/>
              </w:rPr>
              <w:footnoteReference w:id="68"/>
            </w:r>
            <w:r w:rsidRPr="00CB5ABF">
              <w:rPr>
                <w:rFonts w:asciiTheme="majorHAnsi" w:hAnsiTheme="majorHAnsi" w:cstheme="majorHAnsi"/>
                <w:color w:val="000000"/>
                <w:sz w:val="24"/>
                <w:szCs w:val="24"/>
                <w:shd w:val="clear" w:color="auto" w:fill="FFFFFF"/>
                <w:lang w:val="ro-MD"/>
              </w:rPr>
              <w:t xml:space="preserve"> sau decorați cu distincții de stat ale fostei URSS echivalate cu distincțiile de stat ale Republicii</w:t>
            </w:r>
            <w:r w:rsidRPr="00E82CC1">
              <w:rPr>
                <w:rFonts w:asciiTheme="majorHAnsi" w:hAnsiTheme="majorHAnsi" w:cstheme="majorHAnsi"/>
                <w:color w:val="000000"/>
                <w:sz w:val="24"/>
                <w:szCs w:val="24"/>
                <w:shd w:val="clear" w:color="auto" w:fill="FFFFFF"/>
                <w:lang w:val="ro-MD"/>
              </w:rPr>
              <w:t xml:space="preserve"> Moldova</w:t>
            </w:r>
            <w:r w:rsidRPr="00E82CC1">
              <w:rPr>
                <w:rStyle w:val="a5"/>
                <w:rFonts w:asciiTheme="majorHAnsi" w:hAnsiTheme="majorHAnsi" w:cstheme="majorHAnsi"/>
                <w:color w:val="000000"/>
                <w:sz w:val="24"/>
                <w:szCs w:val="24"/>
                <w:shd w:val="clear" w:color="auto" w:fill="FFFFFF"/>
                <w:lang w:val="ro-MD"/>
              </w:rPr>
              <w:footnoteReference w:id="69"/>
            </w:r>
            <w:r w:rsidRPr="00E82CC1">
              <w:rPr>
                <w:rFonts w:asciiTheme="majorHAnsi" w:hAnsiTheme="majorHAnsi" w:cstheme="majorHAnsi"/>
                <w:color w:val="000000"/>
                <w:sz w:val="24"/>
                <w:szCs w:val="24"/>
                <w:shd w:val="clear" w:color="auto" w:fill="FFFFFF"/>
                <w:lang w:val="ro-MD"/>
              </w:rPr>
              <w:t>, beneficiari de pensie sau de alocație socială de stat, inclusiv în alte state, indiferent de faptul dacă au sau nu au domiciliu în Republica Moldova</w:t>
            </w:r>
            <w:r w:rsidRPr="00E82CC1">
              <w:rPr>
                <w:rStyle w:val="a5"/>
                <w:rFonts w:asciiTheme="majorHAnsi" w:hAnsiTheme="majorHAnsi" w:cstheme="majorHAnsi"/>
                <w:color w:val="000000"/>
                <w:sz w:val="24"/>
                <w:szCs w:val="24"/>
                <w:shd w:val="clear" w:color="auto" w:fill="FFFFFF"/>
                <w:lang w:val="ro-MD"/>
              </w:rPr>
              <w:footnoteReference w:id="70"/>
            </w:r>
            <w:r w:rsidRPr="00E82CC1">
              <w:rPr>
                <w:rFonts w:asciiTheme="majorHAnsi" w:hAnsiTheme="majorHAnsi" w:cstheme="majorHAnsi"/>
                <w:color w:val="000000"/>
                <w:sz w:val="24"/>
                <w:szCs w:val="24"/>
                <w:shd w:val="clear" w:color="auto" w:fill="FFFFFF"/>
                <w:lang w:val="ro-MD"/>
              </w:rPr>
              <w:t xml:space="preserve"> (de la 01.01.2022);</w:t>
            </w:r>
          </w:p>
          <w:p w14:paraId="4B00271E" w14:textId="3774A7CC" w:rsidR="00993AE1" w:rsidRPr="00E82CC1" w:rsidRDefault="00993AE1" w:rsidP="00993AE1">
            <w:pPr>
              <w:pStyle w:val="a9"/>
              <w:numPr>
                <w:ilvl w:val="0"/>
                <w:numId w:val="34"/>
              </w:numPr>
              <w:spacing w:line="276" w:lineRule="auto"/>
              <w:jc w:val="both"/>
              <w:rPr>
                <w:rFonts w:asciiTheme="majorHAnsi" w:hAnsiTheme="majorHAnsi" w:cstheme="majorHAnsi"/>
                <w:color w:val="000000"/>
                <w:spacing w:val="-4"/>
                <w:sz w:val="24"/>
                <w:szCs w:val="24"/>
                <w:shd w:val="clear" w:color="auto" w:fill="FFFFFF"/>
                <w:lang w:val="ro-RO"/>
              </w:rPr>
            </w:pPr>
            <w:r w:rsidRPr="00E82CC1">
              <w:rPr>
                <w:rFonts w:asciiTheme="majorHAnsi" w:hAnsiTheme="majorHAnsi" w:cstheme="majorHAnsi"/>
                <w:color w:val="000000"/>
                <w:sz w:val="24"/>
                <w:szCs w:val="24"/>
                <w:shd w:val="clear" w:color="auto" w:fill="FFFFFF"/>
                <w:lang w:val="ro-RO"/>
              </w:rPr>
              <w:t>evidența plății</w:t>
            </w:r>
            <w:r w:rsidRPr="00E82CC1">
              <w:rPr>
                <w:rFonts w:asciiTheme="majorHAnsi" w:hAnsiTheme="majorHAnsi" w:cstheme="majorHAnsi"/>
                <w:color w:val="000000"/>
                <w:spacing w:val="-4"/>
                <w:sz w:val="24"/>
                <w:szCs w:val="24"/>
                <w:shd w:val="clear" w:color="auto" w:fill="FFFFFF"/>
                <w:lang w:val="ro-RO"/>
              </w:rPr>
              <w:t> indemnizațiilor salariaților cu copii în vârstă de până la 12 ani și copii cu dizabilități (de la 01.01.2022)</w:t>
            </w:r>
            <w:r w:rsidR="00CB5ABF">
              <w:rPr>
                <w:rFonts w:asciiTheme="majorHAnsi" w:hAnsiTheme="majorHAnsi" w:cstheme="majorHAnsi"/>
                <w:color w:val="000000"/>
                <w:spacing w:val="-4"/>
                <w:sz w:val="24"/>
                <w:szCs w:val="24"/>
                <w:shd w:val="clear" w:color="auto" w:fill="FFFFFF"/>
                <w:lang w:val="ro-RO"/>
              </w:rPr>
              <w:t>;</w:t>
            </w:r>
          </w:p>
          <w:p w14:paraId="5FE98888" w14:textId="11560B0A"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color w:val="000000"/>
                <w:sz w:val="24"/>
                <w:szCs w:val="24"/>
                <w:shd w:val="clear" w:color="auto" w:fill="FFFFFF"/>
                <w:lang w:val="ro-MD"/>
              </w:rPr>
              <w:t>evidența plății</w:t>
            </w:r>
            <w:r w:rsidRPr="00E82CC1">
              <w:rPr>
                <w:rFonts w:asciiTheme="majorHAnsi" w:hAnsiTheme="majorHAnsi" w:cstheme="majorHAnsi"/>
                <w:color w:val="000000"/>
                <w:spacing w:val="-4"/>
                <w:sz w:val="24"/>
                <w:szCs w:val="24"/>
                <w:shd w:val="clear" w:color="auto" w:fill="FFFFFF"/>
                <w:lang w:val="ro-MD"/>
              </w:rPr>
              <w:t> indemnizației pentru șomaj tehnic (de la 01.01.2022)</w:t>
            </w:r>
            <w:r w:rsidR="00CB5ABF">
              <w:rPr>
                <w:rFonts w:asciiTheme="majorHAnsi" w:hAnsiTheme="majorHAnsi" w:cstheme="majorHAnsi"/>
                <w:color w:val="000000"/>
                <w:spacing w:val="-4"/>
                <w:sz w:val="24"/>
                <w:szCs w:val="24"/>
                <w:shd w:val="clear" w:color="auto" w:fill="FFFFFF"/>
                <w:lang w:val="ro-MD"/>
              </w:rPr>
              <w:t>;</w:t>
            </w:r>
            <w:r w:rsidRPr="00E82CC1">
              <w:rPr>
                <w:rFonts w:asciiTheme="majorHAnsi" w:hAnsiTheme="majorHAnsi" w:cstheme="majorHAnsi"/>
                <w:sz w:val="24"/>
                <w:szCs w:val="24"/>
                <w:lang w:val="ro-MD"/>
              </w:rPr>
              <w:t xml:space="preserve"> </w:t>
            </w:r>
          </w:p>
          <w:p w14:paraId="1D27B30F" w14:textId="2CF22E83" w:rsidR="00993AE1" w:rsidRPr="00E82CC1" w:rsidRDefault="00993AE1" w:rsidP="00993AE1">
            <w:pPr>
              <w:pStyle w:val="a9"/>
              <w:numPr>
                <w:ilvl w:val="0"/>
                <w:numId w:val="34"/>
              </w:numPr>
              <w:spacing w:line="276" w:lineRule="auto"/>
              <w:jc w:val="both"/>
              <w:rPr>
                <w:rFonts w:asciiTheme="majorHAnsi" w:hAnsiTheme="majorHAnsi" w:cstheme="majorHAnsi"/>
                <w:color w:val="000000"/>
                <w:spacing w:val="-4"/>
                <w:sz w:val="24"/>
                <w:szCs w:val="24"/>
                <w:shd w:val="clear" w:color="auto" w:fill="FFFFFF"/>
                <w:lang w:val="ro-MD"/>
              </w:rPr>
            </w:pPr>
            <w:r w:rsidRPr="00E82CC1">
              <w:rPr>
                <w:rFonts w:asciiTheme="majorHAnsi" w:hAnsiTheme="majorHAnsi" w:cstheme="majorHAnsi"/>
                <w:color w:val="000000"/>
                <w:sz w:val="24"/>
                <w:szCs w:val="24"/>
                <w:lang w:val="ro-MD"/>
              </w:rPr>
              <w:t xml:space="preserve">pensie anticipată pentru carieră lungă </w:t>
            </w:r>
            <w:r w:rsidRPr="00E82CC1">
              <w:rPr>
                <w:rFonts w:asciiTheme="majorHAnsi" w:hAnsiTheme="majorHAnsi" w:cstheme="majorHAnsi"/>
                <w:color w:val="000000"/>
                <w:spacing w:val="-4"/>
                <w:sz w:val="24"/>
                <w:szCs w:val="24"/>
                <w:shd w:val="clear" w:color="auto" w:fill="FFFFFF"/>
                <w:lang w:val="ro-MD"/>
              </w:rPr>
              <w:t>(de la 01.01.2022)</w:t>
            </w:r>
            <w:r w:rsidR="00CB5ABF">
              <w:rPr>
                <w:rFonts w:asciiTheme="majorHAnsi" w:hAnsiTheme="majorHAnsi" w:cstheme="majorHAnsi"/>
                <w:color w:val="000000"/>
                <w:spacing w:val="-4"/>
                <w:sz w:val="24"/>
                <w:szCs w:val="24"/>
                <w:shd w:val="clear" w:color="auto" w:fill="FFFFFF"/>
                <w:lang w:val="ro-MD"/>
              </w:rPr>
              <w:t>;</w:t>
            </w:r>
          </w:p>
          <w:p w14:paraId="170CFE46" w14:textId="61EF340D" w:rsidR="00993AE1" w:rsidRPr="00E82CC1" w:rsidRDefault="00993AE1" w:rsidP="00993AE1">
            <w:pPr>
              <w:pStyle w:val="a9"/>
              <w:numPr>
                <w:ilvl w:val="0"/>
                <w:numId w:val="34"/>
              </w:numPr>
              <w:spacing w:line="276" w:lineRule="auto"/>
              <w:jc w:val="both"/>
              <w:rPr>
                <w:rFonts w:asciiTheme="majorHAnsi" w:hAnsiTheme="majorHAnsi" w:cstheme="majorHAnsi"/>
                <w:sz w:val="24"/>
                <w:szCs w:val="24"/>
                <w:lang w:val="ro-MD"/>
              </w:rPr>
            </w:pPr>
            <w:r w:rsidRPr="00E82CC1">
              <w:rPr>
                <w:rFonts w:asciiTheme="majorHAnsi" w:hAnsiTheme="majorHAnsi" w:cstheme="majorHAnsi"/>
                <w:color w:val="000000"/>
                <w:sz w:val="24"/>
                <w:szCs w:val="24"/>
                <w:shd w:val="clear" w:color="auto" w:fill="FFFFFF"/>
                <w:lang w:val="ro-MD"/>
              </w:rPr>
              <w:t>ajutor material unic pentru unele categorii de beneficiari de alocații lunare de stat</w:t>
            </w:r>
            <w:r w:rsidRPr="00E82CC1">
              <w:rPr>
                <w:rStyle w:val="a5"/>
                <w:rFonts w:asciiTheme="majorHAnsi" w:hAnsiTheme="majorHAnsi" w:cstheme="majorHAnsi"/>
                <w:color w:val="000000"/>
                <w:sz w:val="24"/>
                <w:szCs w:val="24"/>
                <w:shd w:val="clear" w:color="auto" w:fill="FFFFFF"/>
                <w:lang w:val="ro-MD"/>
              </w:rPr>
              <w:footnoteReference w:id="71"/>
            </w:r>
            <w:r w:rsidRPr="00E82CC1">
              <w:rPr>
                <w:rFonts w:asciiTheme="majorHAnsi" w:hAnsiTheme="majorHAnsi" w:cstheme="majorHAnsi"/>
                <w:color w:val="000000"/>
                <w:sz w:val="24"/>
                <w:szCs w:val="24"/>
                <w:shd w:val="clear" w:color="auto" w:fill="FFFFFF"/>
                <w:lang w:val="ro-MD"/>
              </w:rPr>
              <w:t xml:space="preserve"> </w:t>
            </w:r>
            <w:r w:rsidRPr="00E82CC1">
              <w:rPr>
                <w:rFonts w:asciiTheme="majorHAnsi" w:hAnsiTheme="majorHAnsi" w:cstheme="majorHAnsi"/>
                <w:color w:val="000000"/>
                <w:spacing w:val="-4"/>
                <w:sz w:val="24"/>
                <w:szCs w:val="24"/>
                <w:shd w:val="clear" w:color="auto" w:fill="FFFFFF"/>
                <w:lang w:val="ro-MD"/>
              </w:rPr>
              <w:t>(de la 01.01.2022).</w:t>
            </w:r>
          </w:p>
          <w:p w14:paraId="68838344" w14:textId="77777777" w:rsidR="00993AE1" w:rsidRPr="00E82CC1" w:rsidRDefault="00993AE1" w:rsidP="00866B53">
            <w:pPr>
              <w:pStyle w:val="a9"/>
              <w:spacing w:line="276" w:lineRule="auto"/>
              <w:ind w:left="0"/>
              <w:contextualSpacing w:val="0"/>
              <w:jc w:val="both"/>
              <w:rPr>
                <w:rFonts w:asciiTheme="majorHAnsi" w:hAnsiTheme="majorHAnsi" w:cstheme="majorHAnsi"/>
                <w:sz w:val="24"/>
                <w:szCs w:val="24"/>
                <w:lang w:val="ro-MD"/>
              </w:rPr>
            </w:pPr>
          </w:p>
        </w:tc>
      </w:tr>
    </w:tbl>
    <w:p w14:paraId="465070FD" w14:textId="779019D8" w:rsidR="00C74FFB" w:rsidRPr="00E82CC1" w:rsidRDefault="00C74FFB" w:rsidP="005A7FC1">
      <w:pPr>
        <w:autoSpaceDE w:val="0"/>
        <w:autoSpaceDN w:val="0"/>
        <w:adjustRightInd w:val="0"/>
        <w:spacing w:before="240" w:after="0" w:line="276" w:lineRule="auto"/>
        <w:jc w:val="both"/>
        <w:rPr>
          <w:rFonts w:asciiTheme="majorHAnsi" w:hAnsiTheme="majorHAnsi" w:cstheme="majorHAnsi"/>
          <w:sz w:val="24"/>
          <w:szCs w:val="24"/>
          <w:lang w:val="ro-RO"/>
        </w:rPr>
      </w:pPr>
      <w:r w:rsidRPr="0095623A">
        <w:rPr>
          <w:rFonts w:asciiTheme="majorHAnsi" w:hAnsiTheme="majorHAnsi" w:cstheme="majorHAnsi"/>
          <w:color w:val="000000"/>
          <w:sz w:val="24"/>
          <w:szCs w:val="24"/>
          <w:lang w:val="ro-RO"/>
        </w:rPr>
        <w:t>De menționat că conducerea CNAS s-a adre</w:t>
      </w:r>
      <w:r w:rsidR="00A137D6" w:rsidRPr="00EA7642">
        <w:rPr>
          <w:rFonts w:asciiTheme="majorHAnsi" w:hAnsiTheme="majorHAnsi" w:cstheme="majorHAnsi"/>
          <w:color w:val="000000"/>
          <w:sz w:val="24"/>
          <w:szCs w:val="24"/>
          <w:lang w:val="ro-RO"/>
        </w:rPr>
        <w:t>sat cu solicitări</w:t>
      </w:r>
      <w:r w:rsidR="00016F14" w:rsidRPr="0095623A">
        <w:rPr>
          <w:rStyle w:val="a5"/>
          <w:rFonts w:asciiTheme="majorHAnsi" w:hAnsiTheme="majorHAnsi" w:cstheme="majorHAnsi"/>
          <w:color w:val="000000"/>
          <w:sz w:val="24"/>
          <w:szCs w:val="24"/>
          <w:lang w:val="ro-RO"/>
        </w:rPr>
        <w:footnoteReference w:id="72"/>
      </w:r>
      <w:r w:rsidRPr="0095623A">
        <w:rPr>
          <w:rFonts w:asciiTheme="majorHAnsi" w:hAnsiTheme="majorHAnsi" w:cstheme="majorHAnsi"/>
          <w:color w:val="000000"/>
          <w:sz w:val="24"/>
          <w:szCs w:val="24"/>
          <w:lang w:val="ro-RO"/>
        </w:rPr>
        <w:t>, motivând necesitatea de a revedea nivelul de salarizare a</w:t>
      </w:r>
      <w:r w:rsidR="00EA7642">
        <w:rPr>
          <w:rFonts w:asciiTheme="majorHAnsi" w:hAnsiTheme="majorHAnsi" w:cstheme="majorHAnsi"/>
          <w:color w:val="000000"/>
          <w:sz w:val="24"/>
          <w:szCs w:val="24"/>
          <w:lang w:val="ro-RO"/>
        </w:rPr>
        <w:t>l</w:t>
      </w:r>
      <w:r w:rsidRPr="0095623A">
        <w:rPr>
          <w:rFonts w:asciiTheme="majorHAnsi" w:hAnsiTheme="majorHAnsi" w:cstheme="majorHAnsi"/>
          <w:color w:val="000000"/>
          <w:sz w:val="24"/>
          <w:szCs w:val="24"/>
          <w:lang w:val="ro-RO"/>
        </w:rPr>
        <w:t xml:space="preserve"> </w:t>
      </w:r>
      <w:r w:rsidRPr="0095623A">
        <w:rPr>
          <w:rFonts w:asciiTheme="majorHAnsi" w:hAnsiTheme="majorHAnsi" w:cstheme="majorHAnsi"/>
          <w:color w:val="000000"/>
          <w:sz w:val="24"/>
          <w:szCs w:val="24"/>
        </w:rPr>
        <w:t>angajaților</w:t>
      </w:r>
      <w:r w:rsidRPr="00EA7642">
        <w:rPr>
          <w:rFonts w:asciiTheme="majorHAnsi" w:hAnsiTheme="majorHAnsi" w:cstheme="majorHAnsi"/>
          <w:color w:val="000000"/>
          <w:sz w:val="24"/>
          <w:szCs w:val="24"/>
          <w:lang w:val="ro-RO"/>
        </w:rPr>
        <w:t xml:space="preserve">, considerând </w:t>
      </w:r>
      <w:r w:rsidRPr="00EA7642">
        <w:rPr>
          <w:rFonts w:asciiTheme="majorHAnsi" w:hAnsiTheme="majorHAnsi" w:cstheme="majorHAnsi"/>
          <w:sz w:val="24"/>
          <w:szCs w:val="24"/>
          <w:lang w:val="ro-RO"/>
        </w:rPr>
        <w:t xml:space="preserve">că doar motivarea financiară </w:t>
      </w:r>
      <w:r w:rsidR="00EA7642">
        <w:rPr>
          <w:rFonts w:asciiTheme="majorHAnsi" w:hAnsiTheme="majorHAnsi" w:cstheme="majorHAnsi"/>
          <w:sz w:val="24"/>
          <w:szCs w:val="24"/>
          <w:lang w:val="ro-RO"/>
        </w:rPr>
        <w:t xml:space="preserve">ar </w:t>
      </w:r>
      <w:r w:rsidRPr="00EA7642">
        <w:rPr>
          <w:rFonts w:asciiTheme="majorHAnsi" w:hAnsiTheme="majorHAnsi" w:cstheme="majorHAnsi"/>
          <w:sz w:val="24"/>
          <w:szCs w:val="24"/>
          <w:lang w:val="ro-RO"/>
        </w:rPr>
        <w:t xml:space="preserve">convinge actualul personal să rămână în sistemul național al asigurărilor sociale. Ulterior, Ministerul Finanțelor a precizat că, </w:t>
      </w:r>
      <w:r w:rsidRPr="00EA7642">
        <w:rPr>
          <w:rFonts w:asciiTheme="majorHAnsi" w:hAnsiTheme="majorHAnsi" w:cstheme="majorHAnsi"/>
          <w:sz w:val="24"/>
          <w:szCs w:val="24"/>
        </w:rPr>
        <w:t>î</w:t>
      </w:r>
      <w:r w:rsidRPr="00EA7642">
        <w:rPr>
          <w:rFonts w:asciiTheme="majorHAnsi" w:hAnsiTheme="majorHAnsi" w:cstheme="majorHAnsi"/>
          <w:sz w:val="24"/>
          <w:szCs w:val="24"/>
          <w:lang w:val="ro-RO"/>
        </w:rPr>
        <w:t xml:space="preserve">n scopul depășirii situației actuale și creșterii salariale a tuturor angajaților </w:t>
      </w:r>
      <w:r w:rsidRPr="00EA7642">
        <w:rPr>
          <w:rFonts w:asciiTheme="majorHAnsi" w:hAnsiTheme="majorHAnsi" w:cstheme="majorHAnsi"/>
          <w:sz w:val="24"/>
          <w:szCs w:val="24"/>
        </w:rPr>
        <w:t xml:space="preserve">din </w:t>
      </w:r>
      <w:r w:rsidRPr="00EA7642">
        <w:rPr>
          <w:rFonts w:asciiTheme="majorHAnsi" w:hAnsiTheme="majorHAnsi" w:cstheme="majorHAnsi"/>
          <w:sz w:val="24"/>
          <w:szCs w:val="24"/>
          <w:lang w:val="ro-RO"/>
        </w:rPr>
        <w:t>sectorul bugetar, în Legea</w:t>
      </w:r>
      <w:r w:rsidRPr="00E82CC1">
        <w:rPr>
          <w:rFonts w:asciiTheme="majorHAnsi" w:hAnsiTheme="majorHAnsi" w:cstheme="majorHAnsi"/>
          <w:sz w:val="24"/>
          <w:szCs w:val="24"/>
          <w:lang w:val="ro-RO"/>
        </w:rPr>
        <w:t xml:space="preserve"> bugetului de stat pentru anul 2022 a fost prevăzută majorarea valorilor de referință actuale. Astfel, pentru angajații CNAS</w:t>
      </w:r>
      <w:r w:rsidRPr="00617E4A">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 xml:space="preserve">începând cu ianuarie </w:t>
      </w:r>
      <w:r w:rsidRPr="00617E4A">
        <w:rPr>
          <w:rFonts w:asciiTheme="majorHAnsi" w:hAnsiTheme="majorHAnsi" w:cstheme="majorHAnsi"/>
          <w:sz w:val="24"/>
          <w:szCs w:val="24"/>
          <w:lang w:val="ro-RO"/>
        </w:rPr>
        <w:t>2022, este</w:t>
      </w:r>
      <w:r w:rsidRPr="00E82CC1">
        <w:rPr>
          <w:rFonts w:asciiTheme="majorHAnsi" w:hAnsiTheme="majorHAnsi" w:cstheme="majorHAnsi"/>
          <w:sz w:val="24"/>
          <w:szCs w:val="24"/>
          <w:lang w:val="ro-RO"/>
        </w:rPr>
        <w:t xml:space="preserve"> pusă în vigoare valoare</w:t>
      </w:r>
      <w:r w:rsidR="00EA7642">
        <w:rPr>
          <w:rFonts w:asciiTheme="majorHAnsi" w:hAnsiTheme="majorHAnsi" w:cstheme="majorHAnsi"/>
          <w:sz w:val="24"/>
          <w:szCs w:val="24"/>
          <w:lang w:val="ro-RO"/>
        </w:rPr>
        <w:t>a</w:t>
      </w:r>
      <w:r w:rsidRPr="00E82CC1">
        <w:rPr>
          <w:rFonts w:asciiTheme="majorHAnsi" w:hAnsiTheme="majorHAnsi" w:cstheme="majorHAnsi"/>
          <w:sz w:val="24"/>
          <w:szCs w:val="24"/>
          <w:lang w:val="ro-RO"/>
        </w:rPr>
        <w:t xml:space="preserve"> de referință în mărime de 1800 lei, ceea ce </w:t>
      </w:r>
      <w:r w:rsidRPr="00617E4A">
        <w:rPr>
          <w:rFonts w:asciiTheme="majorHAnsi" w:hAnsiTheme="majorHAnsi" w:cstheme="majorHAnsi"/>
          <w:sz w:val="24"/>
          <w:szCs w:val="24"/>
          <w:lang w:val="ro-RO"/>
        </w:rPr>
        <w:t>oferă</w:t>
      </w:r>
      <w:r w:rsidRPr="00E82CC1">
        <w:rPr>
          <w:rFonts w:asciiTheme="majorHAnsi" w:hAnsiTheme="majorHAnsi" w:cstheme="majorHAnsi"/>
          <w:sz w:val="24"/>
          <w:szCs w:val="24"/>
          <w:lang w:val="ro-RO"/>
        </w:rPr>
        <w:t xml:space="preserve"> o creș</w:t>
      </w:r>
      <w:r w:rsidRPr="00617E4A">
        <w:rPr>
          <w:rFonts w:asciiTheme="majorHAnsi" w:hAnsiTheme="majorHAnsi" w:cstheme="majorHAnsi"/>
          <w:sz w:val="24"/>
          <w:szCs w:val="24"/>
          <w:lang w:val="ro-RO"/>
        </w:rPr>
        <w:t xml:space="preserve">tere </w:t>
      </w:r>
      <w:r w:rsidRPr="00E82CC1">
        <w:rPr>
          <w:rFonts w:asciiTheme="majorHAnsi" w:hAnsiTheme="majorHAnsi" w:cstheme="majorHAnsi"/>
          <w:sz w:val="24"/>
          <w:szCs w:val="24"/>
          <w:lang w:val="ro-RO"/>
        </w:rPr>
        <w:t xml:space="preserve">la salariu cu circa 5,9%, </w:t>
      </w:r>
      <w:r w:rsidR="00EA7642">
        <w:rPr>
          <w:rFonts w:asciiTheme="majorHAnsi" w:hAnsiTheme="majorHAnsi" w:cstheme="majorHAnsi"/>
          <w:sz w:val="24"/>
          <w:szCs w:val="24"/>
          <w:lang w:val="ro-RO"/>
        </w:rPr>
        <w:t>sau cu</w:t>
      </w:r>
      <w:r w:rsidRPr="00E82CC1">
        <w:rPr>
          <w:rFonts w:asciiTheme="majorHAnsi" w:hAnsiTheme="majorHAnsi" w:cstheme="majorHAnsi"/>
          <w:sz w:val="24"/>
          <w:szCs w:val="24"/>
          <w:lang w:val="ro-RO"/>
        </w:rPr>
        <w:t xml:space="preserve"> aproximativ 300 lei.</w:t>
      </w:r>
    </w:p>
    <w:p w14:paraId="170B7F97" w14:textId="77777777" w:rsidR="005A7FC1" w:rsidRPr="00E82CC1" w:rsidRDefault="005A7FC1" w:rsidP="00C03D36">
      <w:pPr>
        <w:pStyle w:val="a9"/>
        <w:spacing w:line="276" w:lineRule="auto"/>
        <w:ind w:left="0"/>
        <w:jc w:val="both"/>
        <w:rPr>
          <w:rFonts w:asciiTheme="majorHAnsi" w:hAnsiTheme="majorHAnsi" w:cstheme="majorHAnsi"/>
          <w:b/>
          <w:sz w:val="24"/>
          <w:szCs w:val="24"/>
          <w:lang w:val="ro-RO"/>
        </w:rPr>
      </w:pPr>
    </w:p>
    <w:p w14:paraId="2F2A89FD" w14:textId="2C9DCB3B" w:rsidR="005278A8" w:rsidRPr="00E82CC1" w:rsidRDefault="00792CF6" w:rsidP="00D470AF">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Pr>
          <w:rFonts w:asciiTheme="majorHAnsi" w:hAnsiTheme="majorHAnsi" w:cstheme="majorHAnsi"/>
          <w:b/>
          <w:sz w:val="24"/>
          <w:lang w:val="ro-MD"/>
        </w:rPr>
        <w:t>P</w:t>
      </w:r>
      <w:r w:rsidR="005278A8" w:rsidRPr="00E82CC1">
        <w:rPr>
          <w:rFonts w:asciiTheme="majorHAnsi" w:hAnsiTheme="majorHAnsi" w:cstheme="majorHAnsi"/>
          <w:b/>
          <w:sz w:val="24"/>
          <w:lang w:val="ro-MD"/>
        </w:rPr>
        <w:t xml:space="preserve">e parcursul anului 2021 a fost menținută situația epidemiologica nefavorabilă în urma răspândirii infecției COVID-19, </w:t>
      </w:r>
      <w:r>
        <w:rPr>
          <w:rFonts w:asciiTheme="majorHAnsi" w:hAnsiTheme="majorHAnsi" w:cstheme="majorHAnsi"/>
          <w:b/>
          <w:sz w:val="24"/>
          <w:lang w:val="ro-MD"/>
        </w:rPr>
        <w:t xml:space="preserve">concomitent </w:t>
      </w:r>
      <w:r w:rsidR="005278A8" w:rsidRPr="00E82CC1">
        <w:rPr>
          <w:rFonts w:asciiTheme="majorHAnsi" w:hAnsiTheme="majorHAnsi" w:cstheme="majorHAnsi"/>
          <w:b/>
          <w:sz w:val="24"/>
          <w:lang w:val="ro-MD"/>
        </w:rPr>
        <w:t xml:space="preserve">cheltuielile efective pentru procurarea biletelor </w:t>
      </w:r>
      <w:r w:rsidR="004E794E">
        <w:rPr>
          <w:rFonts w:asciiTheme="majorHAnsi" w:hAnsiTheme="majorHAnsi" w:cstheme="majorHAnsi"/>
          <w:b/>
          <w:sz w:val="24"/>
          <w:lang w:val="ro-MD"/>
        </w:rPr>
        <w:t xml:space="preserve">de tratament </w:t>
      </w:r>
      <w:r w:rsidR="003953D8">
        <w:rPr>
          <w:rFonts w:asciiTheme="majorHAnsi" w:hAnsiTheme="majorHAnsi" w:cstheme="majorHAnsi"/>
          <w:b/>
          <w:sz w:val="24"/>
          <w:lang w:val="ro-MD"/>
        </w:rPr>
        <w:t>balneo-</w:t>
      </w:r>
      <w:r w:rsidR="004E794E">
        <w:rPr>
          <w:rFonts w:asciiTheme="majorHAnsi" w:hAnsiTheme="majorHAnsi" w:cstheme="majorHAnsi"/>
          <w:b/>
          <w:sz w:val="24"/>
          <w:lang w:val="ro-MD"/>
        </w:rPr>
        <w:t xml:space="preserve">sanatorial </w:t>
      </w:r>
      <w:r w:rsidR="005278A8" w:rsidRPr="00E82CC1">
        <w:rPr>
          <w:rFonts w:asciiTheme="majorHAnsi" w:hAnsiTheme="majorHAnsi" w:cstheme="majorHAnsi"/>
          <w:b/>
          <w:sz w:val="24"/>
          <w:lang w:val="ro-MD"/>
        </w:rPr>
        <w:t>au crescut de peste 4 ori în comparație cu cele din anul 2020</w:t>
      </w:r>
      <w:r w:rsidR="00EA7642">
        <w:rPr>
          <w:rFonts w:asciiTheme="majorHAnsi" w:hAnsiTheme="majorHAnsi" w:cstheme="majorHAnsi"/>
          <w:b/>
          <w:sz w:val="24"/>
          <w:lang w:val="ro-MD"/>
        </w:rPr>
        <w:t>.</w:t>
      </w:r>
    </w:p>
    <w:p w14:paraId="0DFC895A" w14:textId="2A21EC5E" w:rsidR="005278A8" w:rsidRPr="00E82CC1" w:rsidRDefault="005278A8" w:rsidP="002B42D1">
      <w:pPr>
        <w:spacing w:line="276" w:lineRule="auto"/>
        <w:jc w:val="both"/>
        <w:rPr>
          <w:rFonts w:asciiTheme="majorHAnsi" w:hAnsiTheme="majorHAnsi" w:cstheme="majorHAnsi"/>
          <w:sz w:val="24"/>
          <w:lang w:val="ro-MD"/>
        </w:rPr>
      </w:pPr>
      <w:r w:rsidRPr="00E82CC1">
        <w:rPr>
          <w:rFonts w:asciiTheme="majorHAnsi" w:hAnsiTheme="majorHAnsi" w:cstheme="majorHAnsi"/>
          <w:sz w:val="24"/>
          <w:lang w:val="ro-MD"/>
        </w:rPr>
        <w:t>Pentru tratamentul balneo-sanatorial</w:t>
      </w:r>
      <w:r w:rsidR="004E794E">
        <w:rPr>
          <w:rFonts w:asciiTheme="majorHAnsi" w:hAnsiTheme="majorHAnsi" w:cstheme="majorHAnsi"/>
          <w:sz w:val="24"/>
          <w:lang w:val="ro-MD"/>
        </w:rPr>
        <w:t xml:space="preserve"> al</w:t>
      </w:r>
      <w:r w:rsidRPr="00E82CC1">
        <w:rPr>
          <w:rFonts w:asciiTheme="majorHAnsi" w:hAnsiTheme="majorHAnsi" w:cstheme="majorHAnsi"/>
          <w:sz w:val="24"/>
          <w:lang w:val="ro-MD"/>
        </w:rPr>
        <w:t xml:space="preserve"> veteranilor au fost prevăzute mijloace financia</w:t>
      </w:r>
      <w:r w:rsidR="00E35E2B" w:rsidRPr="00E82CC1">
        <w:rPr>
          <w:rFonts w:asciiTheme="majorHAnsi" w:hAnsiTheme="majorHAnsi" w:cstheme="majorHAnsi"/>
          <w:sz w:val="24"/>
          <w:lang w:val="ro-MD"/>
        </w:rPr>
        <w:t>re în sumă de 56 840,3 mii lei</w:t>
      </w:r>
      <w:r w:rsidR="004E794E">
        <w:rPr>
          <w:rFonts w:asciiTheme="majorHAnsi" w:hAnsiTheme="majorHAnsi" w:cstheme="majorHAnsi"/>
          <w:sz w:val="24"/>
          <w:lang w:val="ro-MD"/>
        </w:rPr>
        <w:t>,</w:t>
      </w:r>
      <w:r w:rsidR="00E35E2B" w:rsidRPr="00E82CC1">
        <w:rPr>
          <w:rFonts w:asciiTheme="majorHAnsi" w:hAnsiTheme="majorHAnsi" w:cstheme="majorHAnsi"/>
          <w:sz w:val="24"/>
          <w:lang w:val="ro-MD"/>
        </w:rPr>
        <w:t xml:space="preserve"> </w:t>
      </w:r>
      <w:r w:rsidR="004E794E">
        <w:rPr>
          <w:rFonts w:asciiTheme="majorHAnsi" w:hAnsiTheme="majorHAnsi" w:cstheme="majorHAnsi"/>
          <w:sz w:val="24"/>
          <w:lang w:val="ro-MD"/>
        </w:rPr>
        <w:t xml:space="preserve">acestea </w:t>
      </w:r>
      <w:r w:rsidR="00E35E2B" w:rsidRPr="00E82CC1">
        <w:rPr>
          <w:rFonts w:asciiTheme="majorHAnsi" w:hAnsiTheme="majorHAnsi" w:cstheme="majorHAnsi"/>
          <w:sz w:val="24"/>
          <w:lang w:val="ro-MD"/>
        </w:rPr>
        <w:t xml:space="preserve">fiind executate în mărime de </w:t>
      </w:r>
      <w:r w:rsidRPr="00E82CC1">
        <w:rPr>
          <w:rFonts w:asciiTheme="majorHAnsi" w:hAnsiTheme="majorHAnsi" w:cstheme="majorHAnsi"/>
          <w:sz w:val="24"/>
          <w:lang w:val="ro-MD"/>
        </w:rPr>
        <w:t>86,1%. Cheltuielile executate au constituit 44 851,5 mii lei, din care cheltuielile pentru achiziționarea biletelor de tratament – 42 934,1 mii lei</w:t>
      </w:r>
      <w:r w:rsidR="004E794E">
        <w:rPr>
          <w:rFonts w:asciiTheme="majorHAnsi" w:hAnsiTheme="majorHAnsi" w:cstheme="majorHAnsi"/>
          <w:sz w:val="24"/>
          <w:lang w:val="ro-MD"/>
        </w:rPr>
        <w:t>,</w:t>
      </w:r>
      <w:r w:rsidRPr="00E82CC1">
        <w:rPr>
          <w:rFonts w:asciiTheme="majorHAnsi" w:hAnsiTheme="majorHAnsi" w:cstheme="majorHAnsi"/>
          <w:sz w:val="24"/>
          <w:lang w:val="ro-MD"/>
        </w:rPr>
        <w:t xml:space="preserve"> și pentru achitarea compensațiilor bănești în locul biletelor de tratament sanatorial gratuit – 1 917,4 mii lei. În anul 2021 au fost procurate 7 699 bilete de tratament în sumă de 54 585,8 mii lei, prețul mediu al unui bilet de tratament </w:t>
      </w:r>
      <w:r w:rsidR="00A938EF" w:rsidRPr="00E82CC1">
        <w:rPr>
          <w:rFonts w:asciiTheme="majorHAnsi" w:hAnsiTheme="majorHAnsi" w:cstheme="majorHAnsi"/>
          <w:sz w:val="24"/>
          <w:lang w:val="ro-MD"/>
        </w:rPr>
        <w:t>fiind de</w:t>
      </w:r>
      <w:r w:rsidRPr="00E82CC1">
        <w:rPr>
          <w:rFonts w:asciiTheme="majorHAnsi" w:hAnsiTheme="majorHAnsi" w:cstheme="majorHAnsi"/>
          <w:sz w:val="24"/>
          <w:lang w:val="ro-MD"/>
        </w:rPr>
        <w:t xml:space="preserve"> 7 089,97 lei.</w:t>
      </w:r>
    </w:p>
    <w:p w14:paraId="2C2DFE64" w14:textId="7DBDEC09" w:rsidR="00993AE1" w:rsidRPr="00E82CC1" w:rsidRDefault="005278A8" w:rsidP="002B42D1">
      <w:pPr>
        <w:spacing w:line="276" w:lineRule="auto"/>
        <w:jc w:val="both"/>
        <w:rPr>
          <w:rFonts w:asciiTheme="majorHAnsi" w:hAnsiTheme="majorHAnsi" w:cstheme="majorHAnsi"/>
          <w:sz w:val="24"/>
          <w:lang w:val="ro-MD"/>
        </w:rPr>
      </w:pPr>
      <w:r w:rsidRPr="00E82CC1">
        <w:rPr>
          <w:rFonts w:asciiTheme="majorHAnsi" w:hAnsiTheme="majorHAnsi" w:cstheme="majorHAnsi"/>
          <w:sz w:val="24"/>
          <w:lang w:val="ro-MD"/>
        </w:rPr>
        <w:t xml:space="preserve">Cheltuielile efective pentru procurarea biletelor de tratament sanatorial în anul 2020 au fost în sumă de 11 011,8 mii lei, deși </w:t>
      </w:r>
      <w:r w:rsidR="004E794E" w:rsidRPr="00E82CC1">
        <w:rPr>
          <w:rFonts w:asciiTheme="majorHAnsi" w:hAnsiTheme="majorHAnsi" w:cstheme="majorHAnsi"/>
          <w:sz w:val="24"/>
          <w:lang w:val="ro-MD"/>
        </w:rPr>
        <w:t xml:space="preserve">au fost </w:t>
      </w:r>
      <w:r w:rsidRPr="00E82CC1">
        <w:rPr>
          <w:rFonts w:asciiTheme="majorHAnsi" w:hAnsiTheme="majorHAnsi" w:cstheme="majorHAnsi"/>
          <w:sz w:val="24"/>
          <w:lang w:val="ro-MD"/>
        </w:rPr>
        <w:t>prevăzute în sumă de 53 562,3 mii lei,</w:t>
      </w:r>
      <w:r w:rsidRPr="00E82CC1">
        <w:t xml:space="preserve"> </w:t>
      </w:r>
      <w:r w:rsidRPr="00E82CC1">
        <w:rPr>
          <w:rFonts w:asciiTheme="majorHAnsi" w:hAnsiTheme="majorHAnsi" w:cstheme="majorHAnsi"/>
          <w:sz w:val="24"/>
          <w:lang w:val="ro-MD"/>
        </w:rPr>
        <w:t>rata mic</w:t>
      </w:r>
      <w:r w:rsidR="004E794E">
        <w:rPr>
          <w:rFonts w:asciiTheme="majorHAnsi" w:hAnsiTheme="majorHAnsi" w:cstheme="majorHAnsi"/>
          <w:sz w:val="24"/>
          <w:lang w:val="ro-MD"/>
        </w:rPr>
        <w:t>ă</w:t>
      </w:r>
      <w:r w:rsidRPr="00E82CC1">
        <w:rPr>
          <w:rFonts w:asciiTheme="majorHAnsi" w:hAnsiTheme="majorHAnsi" w:cstheme="majorHAnsi"/>
          <w:sz w:val="24"/>
          <w:lang w:val="ro-MD"/>
        </w:rPr>
        <w:t xml:space="preserve"> de 20,6</w:t>
      </w:r>
      <w:r w:rsidRPr="00E82CC1">
        <w:rPr>
          <w:rFonts w:asciiTheme="majorHAnsi" w:hAnsiTheme="majorHAnsi" w:cstheme="majorHAnsi"/>
          <w:sz w:val="24"/>
          <w:lang w:val="ro-RO"/>
        </w:rPr>
        <w:t xml:space="preserve">%  fiind </w:t>
      </w:r>
      <w:r w:rsidR="004E794E">
        <w:rPr>
          <w:rFonts w:asciiTheme="majorHAnsi" w:hAnsiTheme="majorHAnsi" w:cstheme="majorHAnsi"/>
          <w:sz w:val="24"/>
          <w:lang w:val="ro-RO"/>
        </w:rPr>
        <w:t>cauzată</w:t>
      </w:r>
      <w:r w:rsidR="004E794E" w:rsidRPr="00E82CC1">
        <w:rPr>
          <w:rFonts w:asciiTheme="majorHAnsi" w:hAnsiTheme="majorHAnsi" w:cstheme="majorHAnsi"/>
          <w:sz w:val="24"/>
          <w:lang w:val="ro-RO"/>
        </w:rPr>
        <w:t xml:space="preserve"> </w:t>
      </w:r>
      <w:r w:rsidR="0027651F">
        <w:rPr>
          <w:rFonts w:asciiTheme="majorHAnsi" w:hAnsiTheme="majorHAnsi" w:cstheme="majorHAnsi"/>
          <w:sz w:val="24"/>
          <w:lang w:val="ro-RO"/>
        </w:rPr>
        <w:t xml:space="preserve">de </w:t>
      </w:r>
      <w:r w:rsidRPr="00E82CC1">
        <w:rPr>
          <w:rFonts w:asciiTheme="majorHAnsi" w:hAnsiTheme="majorHAnsi" w:cstheme="majorHAnsi"/>
          <w:sz w:val="24"/>
          <w:lang w:val="ro-RO"/>
        </w:rPr>
        <w:t>menținer</w:t>
      </w:r>
      <w:r w:rsidR="0027651F">
        <w:rPr>
          <w:rFonts w:asciiTheme="majorHAnsi" w:hAnsiTheme="majorHAnsi" w:cstheme="majorHAnsi"/>
          <w:sz w:val="24"/>
          <w:lang w:val="ro-RO"/>
        </w:rPr>
        <w:t>ea</w:t>
      </w:r>
      <w:r w:rsidRPr="00E82CC1">
        <w:rPr>
          <w:rFonts w:asciiTheme="majorHAnsi" w:hAnsiTheme="majorHAnsi" w:cstheme="majorHAnsi"/>
          <w:sz w:val="24"/>
          <w:lang w:val="ro-RO"/>
        </w:rPr>
        <w:t xml:space="preserve"> situației epidemiologice extrem de îngrijorătoare la nivel național, conform multiplelor hotărâri ale Comisiei Naționale de Sănătate Publică. Totuși, în anul 2021 cheltuielile efective pentru procurarea biletelor au crescut de peste 4 ori în comparație cu cele din anul 2020. În mare parte</w:t>
      </w:r>
      <w:r w:rsidR="0027651F">
        <w:rPr>
          <w:rFonts w:asciiTheme="majorHAnsi" w:hAnsiTheme="majorHAnsi" w:cstheme="majorHAnsi"/>
          <w:sz w:val="24"/>
          <w:lang w:val="ro-RO"/>
        </w:rPr>
        <w:t>,</w:t>
      </w:r>
      <w:r w:rsidRPr="00E82CC1">
        <w:rPr>
          <w:rFonts w:asciiTheme="majorHAnsi" w:hAnsiTheme="majorHAnsi" w:cstheme="majorHAnsi"/>
          <w:sz w:val="24"/>
          <w:lang w:val="ro-RO"/>
        </w:rPr>
        <w:t xml:space="preserve"> această majorare se datorează modificărilor </w:t>
      </w:r>
      <w:r w:rsidR="0027651F">
        <w:rPr>
          <w:rFonts w:asciiTheme="majorHAnsi" w:hAnsiTheme="majorHAnsi" w:cstheme="majorHAnsi"/>
          <w:sz w:val="24"/>
          <w:lang w:val="ro-RO"/>
        </w:rPr>
        <w:t xml:space="preserve">la </w:t>
      </w:r>
      <w:r w:rsidRPr="00E82CC1">
        <w:rPr>
          <w:rFonts w:asciiTheme="majorHAnsi" w:hAnsiTheme="majorHAnsi" w:cstheme="majorHAnsi"/>
          <w:sz w:val="24"/>
          <w:lang w:val="ro-RO"/>
        </w:rPr>
        <w:t>cadrul normativ, conform căror</w:t>
      </w:r>
      <w:r w:rsidR="0027651F">
        <w:rPr>
          <w:rFonts w:asciiTheme="majorHAnsi" w:hAnsiTheme="majorHAnsi" w:cstheme="majorHAnsi"/>
          <w:sz w:val="24"/>
          <w:lang w:val="ro-RO"/>
        </w:rPr>
        <w:t>a</w:t>
      </w:r>
      <w:r w:rsidRPr="00E82CC1">
        <w:rPr>
          <w:rStyle w:val="a5"/>
          <w:rFonts w:cstheme="majorHAnsi"/>
          <w:sz w:val="24"/>
          <w:lang w:val="ro-RO"/>
        </w:rPr>
        <w:footnoteReference w:id="73"/>
      </w:r>
      <w:r w:rsidRPr="00E82CC1">
        <w:rPr>
          <w:rFonts w:asciiTheme="majorHAnsi" w:hAnsiTheme="majorHAnsi" w:cstheme="majorHAnsi"/>
          <w:sz w:val="24"/>
          <w:lang w:val="ro-RO"/>
        </w:rPr>
        <w:t xml:space="preserve"> persoanele care au pneumofibroze, drept consecință a COVID-19, în primele 9 luni după boală beneficiază peste rând de bilet</w:t>
      </w:r>
      <w:r w:rsidR="0027651F">
        <w:rPr>
          <w:rFonts w:asciiTheme="majorHAnsi" w:hAnsiTheme="majorHAnsi" w:cstheme="majorHAnsi"/>
          <w:sz w:val="24"/>
          <w:lang w:val="ro-RO"/>
        </w:rPr>
        <w:t>e</w:t>
      </w:r>
      <w:r w:rsidRPr="00E82CC1">
        <w:rPr>
          <w:rFonts w:asciiTheme="majorHAnsi" w:hAnsiTheme="majorHAnsi" w:cstheme="majorHAnsi"/>
          <w:sz w:val="24"/>
          <w:lang w:val="ro-RO"/>
        </w:rPr>
        <w:t xml:space="preserve"> de trata</w:t>
      </w:r>
      <w:r w:rsidRPr="00E82CC1">
        <w:rPr>
          <w:rFonts w:asciiTheme="majorHAnsi" w:hAnsiTheme="majorHAnsi" w:cstheme="majorHAnsi"/>
          <w:sz w:val="24"/>
          <w:lang w:val="ro-MD"/>
        </w:rPr>
        <w:t xml:space="preserve">ment sanatorial, indiferent dacă anterior au beneficiat în modul stabilit, scopul acestora fiind  sporirea accesului persoanelor asigurate la tratament de reabilitare, în vederea reducerii sechelelor pulmonare, </w:t>
      </w:r>
      <w:r w:rsidR="0097546D">
        <w:rPr>
          <w:rFonts w:asciiTheme="majorHAnsi" w:hAnsiTheme="majorHAnsi" w:cstheme="majorHAnsi"/>
          <w:sz w:val="24"/>
          <w:lang w:val="ro-MD"/>
        </w:rPr>
        <w:t xml:space="preserve">ceea </w:t>
      </w:r>
      <w:r w:rsidRPr="00E82CC1">
        <w:rPr>
          <w:rFonts w:asciiTheme="majorHAnsi" w:hAnsiTheme="majorHAnsi" w:cstheme="majorHAnsi"/>
          <w:sz w:val="24"/>
          <w:lang w:val="ro-MD"/>
        </w:rPr>
        <w:t>ce va avea un impact major pentru sănătatea publică și va contribui la îmbunătățirea calității vieții acestora.</w:t>
      </w:r>
      <w:r w:rsidR="00A938EF" w:rsidRPr="00E82CC1">
        <w:rPr>
          <w:rFonts w:asciiTheme="majorHAnsi" w:hAnsiTheme="majorHAnsi" w:cstheme="majorHAnsi"/>
          <w:sz w:val="24"/>
          <w:lang w:val="ro-MD"/>
        </w:rPr>
        <w:t xml:space="preserve"> Testările de audit privind utilizarea mijloacelor financiare pentru foile de tratament balneo-sanatorial nu au stabilit devieri.</w:t>
      </w:r>
      <w:r w:rsidR="00E44D56" w:rsidRPr="00E82CC1">
        <w:rPr>
          <w:rFonts w:asciiTheme="majorHAnsi" w:hAnsiTheme="majorHAnsi" w:cstheme="majorHAnsi"/>
          <w:sz w:val="24"/>
          <w:lang w:val="ro-MD"/>
        </w:rPr>
        <w:t xml:space="preserve"> </w:t>
      </w:r>
    </w:p>
    <w:p w14:paraId="4EC1B630" w14:textId="13BDAD8A" w:rsidR="008C1355" w:rsidRPr="00E82CC1" w:rsidRDefault="00C12743" w:rsidP="002B42D1">
      <w:pPr>
        <w:spacing w:line="276" w:lineRule="auto"/>
        <w:jc w:val="both"/>
        <w:rPr>
          <w:rFonts w:asciiTheme="majorHAnsi" w:hAnsiTheme="majorHAnsi" w:cstheme="majorHAnsi"/>
          <w:sz w:val="24"/>
          <w:lang w:val="ro-MD"/>
        </w:rPr>
      </w:pPr>
      <w:r w:rsidRPr="00E82CC1">
        <w:rPr>
          <w:rFonts w:asciiTheme="majorHAnsi" w:hAnsiTheme="majorHAnsi" w:cstheme="majorHAnsi"/>
          <w:sz w:val="24"/>
          <w:lang w:val="ro-MD"/>
        </w:rPr>
        <w:t>Totodată, în urma analizei a 60 de</w:t>
      </w:r>
      <w:r w:rsidR="00993AE1" w:rsidRPr="00E82CC1">
        <w:rPr>
          <w:rFonts w:asciiTheme="majorHAnsi" w:hAnsiTheme="majorHAnsi" w:cstheme="majorHAnsi"/>
          <w:sz w:val="24"/>
          <w:lang w:val="ro-MD"/>
        </w:rPr>
        <w:t xml:space="preserve"> dosare a</w:t>
      </w:r>
      <w:r w:rsidR="00F5387A">
        <w:rPr>
          <w:rFonts w:asciiTheme="majorHAnsi" w:hAnsiTheme="majorHAnsi" w:cstheme="majorHAnsi"/>
          <w:sz w:val="24"/>
          <w:lang w:val="ro-MD"/>
        </w:rPr>
        <w:t>le</w:t>
      </w:r>
      <w:r w:rsidR="00993AE1" w:rsidRPr="00E82CC1">
        <w:rPr>
          <w:rFonts w:asciiTheme="majorHAnsi" w:hAnsiTheme="majorHAnsi" w:cstheme="majorHAnsi"/>
          <w:sz w:val="24"/>
          <w:lang w:val="ro-MD"/>
        </w:rPr>
        <w:t xml:space="preserve"> beneficiarilor de bilete de tratament balneo-sanatorial pentru veterani </w:t>
      </w:r>
      <w:r w:rsidR="00670FD9">
        <w:rPr>
          <w:rFonts w:asciiTheme="majorHAnsi" w:hAnsiTheme="majorHAnsi" w:cstheme="majorHAnsi"/>
          <w:sz w:val="24"/>
          <w:lang w:val="ro-MD"/>
        </w:rPr>
        <w:t xml:space="preserve">întocmite </w:t>
      </w:r>
      <w:r w:rsidR="00993AE1" w:rsidRPr="00E82CC1">
        <w:rPr>
          <w:rFonts w:asciiTheme="majorHAnsi" w:hAnsiTheme="majorHAnsi" w:cstheme="majorHAnsi"/>
          <w:sz w:val="24"/>
          <w:lang w:val="ro-MD"/>
        </w:rPr>
        <w:t>pe parcursul anilor 2018-2021, în unele din ele s-a constatat lips</w:t>
      </w:r>
      <w:r w:rsidR="00F5387A">
        <w:rPr>
          <w:rFonts w:asciiTheme="majorHAnsi" w:hAnsiTheme="majorHAnsi" w:cstheme="majorHAnsi"/>
          <w:sz w:val="24"/>
          <w:lang w:val="ro-MD"/>
        </w:rPr>
        <w:t>a</w:t>
      </w:r>
      <w:r w:rsidR="00993AE1" w:rsidRPr="00E82CC1">
        <w:rPr>
          <w:rFonts w:asciiTheme="majorHAnsi" w:hAnsiTheme="majorHAnsi" w:cstheme="majorHAnsi"/>
          <w:sz w:val="24"/>
          <w:lang w:val="ro-MD"/>
        </w:rPr>
        <w:t xml:space="preserve"> documente</w:t>
      </w:r>
      <w:r w:rsidR="00F5387A">
        <w:rPr>
          <w:rFonts w:asciiTheme="majorHAnsi" w:hAnsiTheme="majorHAnsi" w:cstheme="majorHAnsi"/>
          <w:sz w:val="24"/>
          <w:lang w:val="ro-MD"/>
        </w:rPr>
        <w:t>lor</w:t>
      </w:r>
      <w:r w:rsidR="00993AE1" w:rsidRPr="00E82CC1">
        <w:rPr>
          <w:rFonts w:asciiTheme="majorHAnsi" w:hAnsiTheme="majorHAnsi" w:cstheme="majorHAnsi"/>
          <w:sz w:val="24"/>
          <w:lang w:val="ro-MD"/>
        </w:rPr>
        <w:t xml:space="preserve"> justificative</w:t>
      </w:r>
      <w:r w:rsidR="008C1355" w:rsidRPr="00E82CC1">
        <w:rPr>
          <w:rFonts w:asciiTheme="majorHAnsi" w:hAnsiTheme="majorHAnsi" w:cstheme="majorHAnsi"/>
          <w:sz w:val="24"/>
          <w:lang w:val="ro-MD"/>
        </w:rPr>
        <w:t xml:space="preserve"> pentru eliberarea acestora.</w:t>
      </w:r>
    </w:p>
    <w:p w14:paraId="7B84FABF" w14:textId="22BCF12E" w:rsidR="005278A8" w:rsidRPr="00E82CC1" w:rsidRDefault="008C1355" w:rsidP="002B42D1">
      <w:pPr>
        <w:spacing w:line="276" w:lineRule="auto"/>
        <w:jc w:val="both"/>
        <w:rPr>
          <w:rFonts w:asciiTheme="majorHAnsi" w:hAnsiTheme="majorHAnsi" w:cstheme="majorHAnsi"/>
          <w:i/>
          <w:sz w:val="24"/>
          <w:lang w:val="ro-RO"/>
        </w:rPr>
      </w:pPr>
      <w:r w:rsidRPr="00E82CC1">
        <w:rPr>
          <w:rFonts w:asciiTheme="majorHAnsi" w:hAnsiTheme="majorHAnsi" w:cstheme="majorHAnsi"/>
          <w:b/>
          <w:i/>
          <w:sz w:val="24"/>
          <w:lang w:val="ro-MD"/>
        </w:rPr>
        <w:t>Notă:</w:t>
      </w:r>
      <w:r w:rsidRPr="00E82CC1">
        <w:rPr>
          <w:rFonts w:asciiTheme="majorHAnsi" w:hAnsiTheme="majorHAnsi" w:cstheme="majorHAnsi"/>
          <w:i/>
          <w:sz w:val="24"/>
          <w:lang w:val="ro-MD"/>
        </w:rPr>
        <w:t xml:space="preserve"> Pe parcursul auditului documentele lipsă au fost</w:t>
      </w:r>
      <w:r w:rsidR="00C12743" w:rsidRPr="00E82CC1">
        <w:rPr>
          <w:rFonts w:asciiTheme="majorHAnsi" w:hAnsiTheme="majorHAnsi" w:cstheme="majorHAnsi"/>
          <w:i/>
          <w:sz w:val="24"/>
          <w:lang w:val="ro-MD"/>
        </w:rPr>
        <w:t xml:space="preserve"> prezentate echipei de audit</w:t>
      </w:r>
      <w:r w:rsidR="00993AE1" w:rsidRPr="00E82CC1">
        <w:rPr>
          <w:rFonts w:asciiTheme="majorHAnsi" w:hAnsiTheme="majorHAnsi" w:cstheme="majorHAnsi"/>
          <w:i/>
          <w:sz w:val="24"/>
          <w:lang w:val="ro-MD"/>
        </w:rPr>
        <w:t>, astfel asigurând eliminarea suspiciunilor</w:t>
      </w:r>
      <w:r w:rsidR="00C12743" w:rsidRPr="00E82CC1">
        <w:rPr>
          <w:rFonts w:asciiTheme="majorHAnsi" w:hAnsiTheme="majorHAnsi" w:cstheme="majorHAnsi"/>
          <w:i/>
          <w:sz w:val="24"/>
          <w:lang w:val="ro-MD"/>
        </w:rPr>
        <w:t>.</w:t>
      </w:r>
    </w:p>
    <w:p w14:paraId="379468F9" w14:textId="6E61A395" w:rsidR="00923C6D" w:rsidRPr="00E82CC1" w:rsidRDefault="00782C67" w:rsidP="00923C6D">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sidRPr="00E82CC1">
        <w:rPr>
          <w:rFonts w:asciiTheme="majorHAnsi" w:eastAsia="Times New Roman" w:hAnsiTheme="majorHAnsi" w:cstheme="majorHAnsi"/>
          <w:b/>
          <w:color w:val="000000" w:themeColor="text1"/>
          <w:sz w:val="24"/>
          <w:szCs w:val="24"/>
          <w:lang w:val="ro-RO"/>
        </w:rPr>
        <w:t xml:space="preserve">Serviciul Guvernamental de Plăți Electronice </w:t>
      </w:r>
      <w:r w:rsidRPr="00E82CC1">
        <w:rPr>
          <w:rFonts w:asciiTheme="majorHAnsi" w:hAnsiTheme="majorHAnsi" w:cstheme="majorHAnsi"/>
          <w:b/>
          <w:color w:val="000000" w:themeColor="text1"/>
          <w:sz w:val="24"/>
          <w:szCs w:val="24"/>
          <w:lang w:val="ro-RO"/>
        </w:rPr>
        <w:t xml:space="preserve">a dezvoltat o platformă (MPay) care va facilita realizarea dreptului de ridicare a tuturor prestațiilor aferente lunilor precedente și promite beneficiarilor libertatea şi convenienţa de a alege orice metodă de plată disponibilă. </w:t>
      </w:r>
    </w:p>
    <w:p w14:paraId="538BEE66" w14:textId="6EB732D0" w:rsidR="00782C67" w:rsidRPr="00E82CC1" w:rsidRDefault="00DA4B42" w:rsidP="00923C6D">
      <w:pPr>
        <w:pStyle w:val="a9"/>
        <w:spacing w:line="276" w:lineRule="auto"/>
        <w:ind w:left="0"/>
        <w:jc w:val="both"/>
        <w:rPr>
          <w:rFonts w:asciiTheme="majorHAnsi" w:hAnsiTheme="majorHAnsi" w:cstheme="majorHAnsi"/>
          <w:sz w:val="24"/>
          <w:szCs w:val="24"/>
          <w:lang w:val="ro-RO"/>
        </w:rPr>
      </w:pPr>
      <w:r>
        <w:rPr>
          <w:rFonts w:asciiTheme="majorHAnsi" w:hAnsiTheme="majorHAnsi" w:cstheme="majorHAnsi"/>
          <w:color w:val="000000" w:themeColor="text1"/>
          <w:sz w:val="24"/>
          <w:szCs w:val="24"/>
          <w:lang w:val="ro-RO"/>
        </w:rPr>
        <w:t>Încep</w:t>
      </w:r>
      <w:r w:rsidR="00CF5CC8">
        <w:rPr>
          <w:rFonts w:asciiTheme="majorHAnsi" w:hAnsiTheme="majorHAnsi" w:cstheme="majorHAnsi"/>
          <w:color w:val="000000" w:themeColor="text1"/>
          <w:sz w:val="24"/>
          <w:szCs w:val="24"/>
          <w:lang w:val="ro-RO"/>
        </w:rPr>
        <w:t>â</w:t>
      </w:r>
      <w:r>
        <w:rPr>
          <w:rFonts w:asciiTheme="majorHAnsi" w:hAnsiTheme="majorHAnsi" w:cstheme="majorHAnsi"/>
          <w:color w:val="000000" w:themeColor="text1"/>
          <w:sz w:val="24"/>
          <w:szCs w:val="24"/>
          <w:lang w:val="ro-RO"/>
        </w:rPr>
        <w:t>nd cu anul 2021</w:t>
      </w:r>
      <w:r w:rsidR="00782C67" w:rsidRPr="00E82CC1">
        <w:rPr>
          <w:rFonts w:asciiTheme="majorHAnsi" w:hAnsiTheme="majorHAnsi" w:cstheme="majorHAnsi"/>
          <w:color w:val="000000" w:themeColor="text1"/>
          <w:sz w:val="24"/>
          <w:szCs w:val="24"/>
          <w:lang w:val="ro-RO"/>
        </w:rPr>
        <w:t>, toate prestaţiile sociale sunt comasate într-o singură platformă, unde beneficiarul va furniza IDNP-ul său, necesar pentru verificarea disponibilităţii tuturor prestaţiilor sociale cuvenite. În cazul în care se confirmă disponibilitatea, beneficiarului îi sunt eliberate toate prestaţiile sociale</w:t>
      </w:r>
      <w:r w:rsidR="00CF5CC8">
        <w:rPr>
          <w:rFonts w:asciiTheme="majorHAnsi" w:hAnsiTheme="majorHAnsi" w:cstheme="majorHAnsi"/>
          <w:color w:val="000000" w:themeColor="text1"/>
          <w:sz w:val="24"/>
          <w:szCs w:val="24"/>
          <w:lang w:val="ro-RO"/>
        </w:rPr>
        <w:t>.</w:t>
      </w:r>
    </w:p>
    <w:p w14:paraId="3A45A602" w14:textId="6D246B4C" w:rsidR="00782C67" w:rsidRPr="00E82CC1" w:rsidRDefault="00B73807" w:rsidP="00923C6D">
      <w:pPr>
        <w:pStyle w:val="Default"/>
        <w:spacing w:line="276" w:lineRule="auto"/>
        <w:jc w:val="both"/>
        <w:rPr>
          <w:rFonts w:asciiTheme="majorHAnsi" w:hAnsiTheme="majorHAnsi" w:cstheme="majorHAnsi"/>
          <w:lang w:val="ro-RO"/>
        </w:rPr>
      </w:pPr>
      <w:r w:rsidRPr="00E82CC1">
        <w:rPr>
          <w:rFonts w:asciiTheme="majorHAnsi" w:hAnsiTheme="majorHAnsi" w:cstheme="majorHAnsi"/>
          <w:lang w:val="ro-RO"/>
        </w:rPr>
        <w:t>La începutul anului 2021</w:t>
      </w:r>
      <w:r w:rsidR="00CF5CC8">
        <w:rPr>
          <w:rFonts w:asciiTheme="majorHAnsi" w:hAnsiTheme="majorHAnsi" w:cstheme="majorHAnsi"/>
          <w:lang w:val="ro-RO"/>
        </w:rPr>
        <w:t>,</w:t>
      </w:r>
      <w:r w:rsidRPr="00E82CC1">
        <w:rPr>
          <w:rFonts w:asciiTheme="majorHAnsi" w:hAnsiTheme="majorHAnsi" w:cstheme="majorHAnsi"/>
          <w:lang w:val="ro-RO"/>
        </w:rPr>
        <w:t xml:space="preserve"> </w:t>
      </w:r>
      <w:r w:rsidR="00923C6D" w:rsidRPr="00E82CC1">
        <w:rPr>
          <w:rFonts w:asciiTheme="majorHAnsi" w:hAnsiTheme="majorHAnsi" w:cstheme="majorHAnsi"/>
          <w:lang w:val="ro-RO"/>
        </w:rPr>
        <w:t>Casa Națională de Asigurări Sociale a reziliat contractele cu prestatorii de servicii de plată, iar d</w:t>
      </w:r>
      <w:r w:rsidR="00782C67" w:rsidRPr="00E82CC1">
        <w:rPr>
          <w:rFonts w:asciiTheme="majorHAnsi" w:hAnsiTheme="majorHAnsi" w:cstheme="majorHAnsi"/>
          <w:lang w:val="ro-RO"/>
        </w:rPr>
        <w:t xml:space="preserve">istribuirea plăților are loc în </w:t>
      </w:r>
      <w:r w:rsidR="00923C6D" w:rsidRPr="00E82CC1">
        <w:rPr>
          <w:rFonts w:asciiTheme="majorHAnsi" w:hAnsiTheme="majorHAnsi" w:cstheme="majorHAnsi"/>
          <w:lang w:val="ro-RO"/>
        </w:rPr>
        <w:t xml:space="preserve">baza unui contract trilateral încheiat între Casa Națională cu </w:t>
      </w:r>
      <w:r w:rsidR="00923C6D" w:rsidRPr="00E82CC1">
        <w:rPr>
          <w:rFonts w:asciiTheme="majorHAnsi" w:hAnsiTheme="majorHAnsi" w:cstheme="majorHAnsi"/>
          <w:bCs/>
          <w:lang w:val="ro-RO"/>
        </w:rPr>
        <w:t>Instituția Publică „Agenția de Guvernare Electronică”</w:t>
      </w:r>
      <w:r w:rsidR="00923C6D" w:rsidRPr="00E82CC1">
        <w:rPr>
          <w:rFonts w:asciiTheme="majorHAnsi" w:hAnsiTheme="majorHAnsi" w:cstheme="majorHAnsi"/>
          <w:lang w:val="ro-RO"/>
        </w:rPr>
        <w:t xml:space="preserve"> și Ministerul Finanțelor. </w:t>
      </w:r>
      <w:r w:rsidR="00782C67" w:rsidRPr="00E82CC1">
        <w:rPr>
          <w:rFonts w:asciiTheme="majorHAnsi" w:hAnsiTheme="majorHAnsi" w:cstheme="majorHAnsi"/>
          <w:lang w:val="ro-RO"/>
        </w:rPr>
        <w:t xml:space="preserve">Procesul de organizare a plății prestațiilor sociale îi revine IP AGE </w:t>
      </w:r>
      <w:r w:rsidR="00CF5CC8">
        <w:rPr>
          <w:rFonts w:asciiTheme="majorHAnsi" w:hAnsiTheme="majorHAnsi" w:cstheme="majorHAnsi"/>
          <w:lang w:val="ro-RO"/>
        </w:rPr>
        <w:t>–</w:t>
      </w:r>
      <w:r w:rsidR="00782C67" w:rsidRPr="00E82CC1">
        <w:rPr>
          <w:rFonts w:asciiTheme="majorHAnsi" w:hAnsiTheme="majorHAnsi" w:cstheme="majorHAnsi"/>
          <w:lang w:val="ro-RO"/>
        </w:rPr>
        <w:t xml:space="preserve"> posesorul și deținătorul</w:t>
      </w:r>
      <w:r w:rsidR="00CF5CC8">
        <w:rPr>
          <w:rFonts w:asciiTheme="majorHAnsi" w:hAnsiTheme="majorHAnsi" w:cstheme="majorHAnsi"/>
          <w:lang w:val="ro-RO"/>
        </w:rPr>
        <w:t xml:space="preserve"> al</w:t>
      </w:r>
      <w:r w:rsidR="00782C67" w:rsidRPr="00E82CC1">
        <w:rPr>
          <w:rFonts w:asciiTheme="majorHAnsi" w:hAnsiTheme="majorHAnsi" w:cstheme="majorHAnsi"/>
          <w:lang w:val="ro-RO"/>
        </w:rPr>
        <w:t xml:space="preserve"> serviciului MPay, care a încheiat în acest scop contracte cu fiecare prestator de servicii de plată.</w:t>
      </w:r>
    </w:p>
    <w:p w14:paraId="3DA3D455" w14:textId="29354177" w:rsidR="00864330" w:rsidRPr="00E82CC1" w:rsidRDefault="00864330" w:rsidP="00E51996">
      <w:pPr>
        <w:pStyle w:val="Default"/>
        <w:spacing w:line="276" w:lineRule="auto"/>
        <w:jc w:val="both"/>
        <w:rPr>
          <w:rFonts w:asciiTheme="majorHAnsi" w:hAnsiTheme="majorHAnsi" w:cstheme="majorHAnsi"/>
          <w:shd w:val="clear" w:color="auto" w:fill="FFFFFF"/>
          <w:lang w:val="ro-RO"/>
        </w:rPr>
      </w:pPr>
      <w:r w:rsidRPr="00E82CC1">
        <w:rPr>
          <w:rFonts w:asciiTheme="majorHAnsi" w:hAnsiTheme="majorHAnsi" w:cstheme="majorHAnsi"/>
          <w:bCs/>
          <w:lang w:val="ro-RO"/>
        </w:rPr>
        <w:t xml:space="preserve">Conținutul datelor, conform noii modalități de plată, a rămas neschimbat, </w:t>
      </w:r>
      <w:r w:rsidR="00CF5CC8">
        <w:rPr>
          <w:rFonts w:asciiTheme="majorHAnsi" w:hAnsiTheme="majorHAnsi" w:cstheme="majorHAnsi"/>
          <w:bCs/>
          <w:lang w:val="ro-RO"/>
        </w:rPr>
        <w:t xml:space="preserve">însă </w:t>
      </w:r>
      <w:r w:rsidRPr="00E82CC1">
        <w:rPr>
          <w:rFonts w:asciiTheme="majorHAnsi" w:hAnsiTheme="majorHAnsi" w:cstheme="majorHAnsi"/>
          <w:bCs/>
          <w:lang w:val="ro-RO"/>
        </w:rPr>
        <w:t xml:space="preserve">a </w:t>
      </w:r>
      <w:r w:rsidR="00CF5CC8">
        <w:rPr>
          <w:rFonts w:asciiTheme="majorHAnsi" w:hAnsiTheme="majorHAnsi" w:cstheme="majorHAnsi"/>
          <w:bCs/>
          <w:lang w:val="ro-RO"/>
        </w:rPr>
        <w:t xml:space="preserve">fost </w:t>
      </w:r>
      <w:r w:rsidRPr="00E82CC1">
        <w:rPr>
          <w:rFonts w:asciiTheme="majorHAnsi" w:hAnsiTheme="majorHAnsi" w:cstheme="majorHAnsi"/>
          <w:bCs/>
          <w:lang w:val="ro-RO"/>
        </w:rPr>
        <w:t xml:space="preserve">modificat mecanismul de transmitere a datelor. Astfel, dacă anterior CNAS forma listele de plată și le remitea direct prestatorilor de servicii de plată, atunci în prezent, conform noului proces, informația cu privire la plata prestațiilor sociale ce urmează a fi distribuită beneficiarului de plăți se înregistrează în Registrul de conturi personale. Ulterior, prin intermediul platformei MConnect, datele sunt transmise în mod automatizat către serviciului MPay, la care dețin accesul prestatorii de servicii de plată, iar la </w:t>
      </w:r>
      <w:r w:rsidRPr="00E82CC1">
        <w:rPr>
          <w:rFonts w:asciiTheme="majorHAnsi" w:hAnsiTheme="majorHAnsi" w:cstheme="majorHAnsi"/>
          <w:shd w:val="clear" w:color="auto" w:fill="FFFFFF"/>
          <w:lang w:val="ro-RO"/>
        </w:rPr>
        <w:t>solicitarea beneficiarului eliberează sumele ce i se cuvin.</w:t>
      </w:r>
    </w:p>
    <w:p w14:paraId="1CFE643C" w14:textId="498BB29F" w:rsidR="00923C6D" w:rsidRPr="00E82CC1" w:rsidRDefault="00923C6D" w:rsidP="00864330">
      <w:pPr>
        <w:jc w:val="both"/>
        <w:rPr>
          <w:rFonts w:asciiTheme="majorHAnsi" w:hAnsiTheme="majorHAnsi" w:cstheme="majorHAnsi"/>
          <w:color w:val="000000"/>
          <w:sz w:val="24"/>
          <w:szCs w:val="24"/>
          <w:shd w:val="clear" w:color="auto" w:fill="FFFFFF"/>
          <w:lang w:val="ro-RO"/>
        </w:rPr>
      </w:pPr>
      <w:r w:rsidRPr="00E82CC1">
        <w:rPr>
          <w:rFonts w:asciiTheme="majorHAnsi" w:hAnsiTheme="majorHAnsi" w:cstheme="majorHAnsi"/>
          <w:color w:val="000000"/>
          <w:sz w:val="24"/>
          <w:szCs w:val="24"/>
          <w:shd w:val="clear" w:color="auto" w:fill="FFFFFF"/>
          <w:lang w:val="ro-RO"/>
        </w:rPr>
        <w:t>Implementarea acestui concept permite realizarea obiectivelor în termen privind încasarea și distribuirea plăților</w:t>
      </w:r>
      <w:r w:rsidR="00E17CB4">
        <w:rPr>
          <w:rFonts w:asciiTheme="majorHAnsi" w:hAnsiTheme="majorHAnsi" w:cstheme="majorHAnsi"/>
          <w:color w:val="000000"/>
          <w:sz w:val="24"/>
          <w:szCs w:val="24"/>
          <w:shd w:val="clear" w:color="auto" w:fill="FFFFFF"/>
          <w:lang w:val="ro-RO"/>
        </w:rPr>
        <w:t>,</w:t>
      </w:r>
      <w:r w:rsidRPr="00E82CC1">
        <w:rPr>
          <w:rFonts w:asciiTheme="majorHAnsi" w:hAnsiTheme="majorHAnsi" w:cstheme="majorHAnsi"/>
          <w:color w:val="000000"/>
          <w:sz w:val="24"/>
          <w:szCs w:val="24"/>
          <w:shd w:val="clear" w:color="auto" w:fill="FFFFFF"/>
          <w:lang w:val="ro-RO"/>
        </w:rPr>
        <w:t xml:space="preserve"> precum și monitorizarea permanent</w:t>
      </w:r>
      <w:r w:rsidR="00864330" w:rsidRPr="00E82CC1">
        <w:rPr>
          <w:rFonts w:asciiTheme="majorHAnsi" w:hAnsiTheme="majorHAnsi" w:cstheme="majorHAnsi"/>
          <w:color w:val="000000"/>
          <w:sz w:val="24"/>
          <w:szCs w:val="24"/>
          <w:shd w:val="clear" w:color="auto" w:fill="FFFFFF"/>
          <w:lang w:val="ro-RO"/>
        </w:rPr>
        <w:t>ă a proceselor, CNAS fiind unica instituție publică care</w:t>
      </w:r>
      <w:r w:rsidR="00E17CB4">
        <w:rPr>
          <w:rFonts w:asciiTheme="majorHAnsi" w:hAnsiTheme="majorHAnsi" w:cstheme="majorHAnsi"/>
          <w:color w:val="000000"/>
          <w:sz w:val="24"/>
          <w:szCs w:val="24"/>
          <w:shd w:val="clear" w:color="auto" w:fill="FFFFFF"/>
          <w:lang w:val="ro-RO"/>
        </w:rPr>
        <w:t>,</w:t>
      </w:r>
      <w:r w:rsidR="00864330" w:rsidRPr="00E82CC1">
        <w:rPr>
          <w:rFonts w:asciiTheme="majorHAnsi" w:hAnsiTheme="majorHAnsi" w:cstheme="majorHAnsi"/>
          <w:color w:val="000000"/>
          <w:sz w:val="24"/>
          <w:szCs w:val="24"/>
          <w:shd w:val="clear" w:color="auto" w:fill="FFFFFF"/>
          <w:lang w:val="ro-RO"/>
        </w:rPr>
        <w:t xml:space="preserve"> încep</w:t>
      </w:r>
      <w:r w:rsidR="00E17CB4">
        <w:rPr>
          <w:rFonts w:asciiTheme="majorHAnsi" w:hAnsiTheme="majorHAnsi" w:cstheme="majorHAnsi"/>
          <w:color w:val="000000"/>
          <w:sz w:val="24"/>
          <w:szCs w:val="24"/>
          <w:shd w:val="clear" w:color="auto" w:fill="FFFFFF"/>
          <w:lang w:val="ro-RO"/>
        </w:rPr>
        <w:t>â</w:t>
      </w:r>
      <w:r w:rsidR="00864330" w:rsidRPr="00E82CC1">
        <w:rPr>
          <w:rFonts w:asciiTheme="majorHAnsi" w:hAnsiTheme="majorHAnsi" w:cstheme="majorHAnsi"/>
          <w:color w:val="000000"/>
          <w:sz w:val="24"/>
          <w:szCs w:val="24"/>
          <w:shd w:val="clear" w:color="auto" w:fill="FFFFFF"/>
          <w:lang w:val="ro-RO"/>
        </w:rPr>
        <w:t>nd cu anul 2021</w:t>
      </w:r>
      <w:r w:rsidR="00E17CB4">
        <w:rPr>
          <w:rFonts w:asciiTheme="majorHAnsi" w:hAnsiTheme="majorHAnsi" w:cstheme="majorHAnsi"/>
          <w:color w:val="000000"/>
          <w:sz w:val="24"/>
          <w:szCs w:val="24"/>
          <w:shd w:val="clear" w:color="auto" w:fill="FFFFFF"/>
          <w:lang w:val="ro-RO"/>
        </w:rPr>
        <w:t>,</w:t>
      </w:r>
      <w:r w:rsidR="00864330" w:rsidRPr="00E82CC1">
        <w:rPr>
          <w:rFonts w:asciiTheme="majorHAnsi" w:hAnsiTheme="majorHAnsi" w:cstheme="majorHAnsi"/>
          <w:color w:val="000000"/>
          <w:sz w:val="24"/>
          <w:szCs w:val="24"/>
          <w:shd w:val="clear" w:color="auto" w:fill="FFFFFF"/>
          <w:lang w:val="ro-RO"/>
        </w:rPr>
        <w:t xml:space="preserve"> a reușit să integreze și </w:t>
      </w:r>
      <w:r w:rsidR="00E17CB4">
        <w:rPr>
          <w:rFonts w:asciiTheme="majorHAnsi" w:hAnsiTheme="majorHAnsi" w:cstheme="majorHAnsi"/>
          <w:color w:val="000000"/>
          <w:sz w:val="24"/>
          <w:szCs w:val="24"/>
          <w:shd w:val="clear" w:color="auto" w:fill="FFFFFF"/>
          <w:lang w:val="ro-RO"/>
        </w:rPr>
        <w:t xml:space="preserve">să </w:t>
      </w:r>
      <w:r w:rsidR="00864330" w:rsidRPr="00E82CC1">
        <w:rPr>
          <w:rFonts w:asciiTheme="majorHAnsi" w:hAnsiTheme="majorHAnsi" w:cstheme="majorHAnsi"/>
          <w:color w:val="000000"/>
          <w:sz w:val="24"/>
          <w:szCs w:val="24"/>
          <w:shd w:val="clear" w:color="auto" w:fill="FFFFFF"/>
          <w:lang w:val="ro-RO"/>
        </w:rPr>
        <w:t>utilizeze serviciul guvernamental de plăți electronice (MPay) pentru distribuirea prestațiilor sociale.</w:t>
      </w:r>
    </w:p>
    <w:p w14:paraId="66580C8A" w14:textId="77777777" w:rsidR="00A938EF" w:rsidRPr="00E82CC1" w:rsidRDefault="003F736D" w:rsidP="00A938EF">
      <w:pPr>
        <w:tabs>
          <w:tab w:val="left" w:pos="426"/>
          <w:tab w:val="left" w:pos="709"/>
          <w:tab w:val="left" w:pos="851"/>
          <w:tab w:val="left" w:pos="993"/>
        </w:tabs>
        <w:spacing w:line="276" w:lineRule="auto"/>
        <w:jc w:val="both"/>
        <w:rPr>
          <w:rFonts w:asciiTheme="majorHAnsi" w:eastAsia="Times New Roman" w:hAnsiTheme="majorHAnsi" w:cstheme="majorHAnsi"/>
          <w:color w:val="000000"/>
          <w:sz w:val="24"/>
          <w:szCs w:val="24"/>
          <w:lang w:val="ro-RO"/>
        </w:rPr>
      </w:pPr>
      <w:r w:rsidRPr="00E82CC1">
        <w:rPr>
          <w:rFonts w:asciiTheme="majorHAnsi" w:hAnsiTheme="majorHAnsi" w:cstheme="majorHAnsi"/>
          <w:color w:val="000000"/>
          <w:sz w:val="24"/>
          <w:szCs w:val="24"/>
          <w:shd w:val="clear" w:color="auto" w:fill="FFFFFF"/>
          <w:lang w:val="ro-RO"/>
        </w:rPr>
        <w:t>Se menționează că, deși a fost implementat un mecanism nou de distribuire a prestațiilor, în Contractul de prestare a serviciilor de distribuire a prestațiilor sociale</w:t>
      </w:r>
      <w:r w:rsidRPr="00E82CC1">
        <w:rPr>
          <w:rStyle w:val="a5"/>
          <w:rFonts w:asciiTheme="majorHAnsi" w:hAnsiTheme="majorHAnsi" w:cstheme="majorHAnsi"/>
          <w:color w:val="000000"/>
          <w:sz w:val="24"/>
          <w:szCs w:val="24"/>
          <w:shd w:val="clear" w:color="auto" w:fill="FFFFFF"/>
          <w:lang w:val="ro-RO"/>
        </w:rPr>
        <w:footnoteReference w:id="74"/>
      </w:r>
      <w:r w:rsidRPr="00E82CC1">
        <w:rPr>
          <w:rFonts w:asciiTheme="majorHAnsi" w:hAnsiTheme="majorHAnsi" w:cstheme="majorHAnsi"/>
          <w:color w:val="000000"/>
          <w:sz w:val="24"/>
          <w:szCs w:val="24"/>
          <w:shd w:val="clear" w:color="auto" w:fill="FFFFFF"/>
          <w:lang w:val="ro-RO"/>
        </w:rPr>
        <w:t>, încheiat între CNAS, Agenția de Guvernare Electronică și Ministerul Finanțelor (participant mandatat), nu</w:t>
      </w:r>
      <w:r w:rsidRPr="00E82CC1">
        <w:rPr>
          <w:rFonts w:asciiTheme="majorHAnsi" w:eastAsia="Times New Roman" w:hAnsiTheme="majorHAnsi" w:cstheme="majorHAnsi"/>
          <w:color w:val="000000"/>
          <w:sz w:val="24"/>
          <w:szCs w:val="24"/>
          <w:lang w:val="ro-RO"/>
        </w:rPr>
        <w:t xml:space="preserve"> este indicată exhaustiv data când va avea loc transferul mijloacelor bănești către prestator, Casa Națională obligându-se </w:t>
      </w:r>
      <w:r w:rsidRPr="00E82CC1">
        <w:rPr>
          <w:rFonts w:asciiTheme="majorHAnsi" w:eastAsia="Times New Roman" w:hAnsiTheme="majorHAnsi" w:cstheme="majorHAnsi"/>
          <w:i/>
          <w:color w:val="000000"/>
          <w:sz w:val="24"/>
          <w:szCs w:val="24"/>
          <w:lang w:val="ro-RO"/>
        </w:rPr>
        <w:t xml:space="preserve">„să asigure suficiența și disponibilitatea mijloacelor financiare pe conturile sale asociate prestațiilor sociale, pentru executarea ordinelor de debitare directă inițiate de către participantul mandatat în scopul distribuirii plăților în conturi de plăți sau în numerar, conform informațiilor înregistrate (publicate) în Registrul de conturi personale. În caz contrar, prestatorul va fi în imposibilitate de a asigura distribuirea </w:t>
      </w:r>
      <w:r w:rsidR="00A938EF" w:rsidRPr="00E82CC1">
        <w:rPr>
          <w:rFonts w:asciiTheme="majorHAnsi" w:eastAsia="Times New Roman" w:hAnsiTheme="majorHAnsi" w:cstheme="majorHAnsi"/>
          <w:i/>
          <w:color w:val="000000"/>
          <w:sz w:val="24"/>
          <w:szCs w:val="24"/>
          <w:lang w:val="ro-RO"/>
        </w:rPr>
        <w:t xml:space="preserve">plăților conform contractului”. </w:t>
      </w:r>
      <w:r w:rsidRPr="00E82CC1">
        <w:rPr>
          <w:rFonts w:asciiTheme="majorHAnsi" w:eastAsia="Times New Roman" w:hAnsiTheme="majorHAnsi" w:cstheme="majorHAnsi"/>
          <w:color w:val="000000"/>
          <w:sz w:val="24"/>
          <w:szCs w:val="24"/>
          <w:lang w:val="ro-RO"/>
        </w:rPr>
        <w:t xml:space="preserve">Deciziile luate asupra graficului de transfer al mijloacelor bănești sunt influențate de disponibilitatea veniturilor proprii pentru acoperirea contravalorii prestațiilor de asigurări sociale și disponibilitatea mijloacelor financiare de la bugetul de stat pentru acoperirea prin transferuri a decalajului temporar de casă sau contractarea împrumuturilor de la bugetul de </w:t>
      </w:r>
      <w:r w:rsidRPr="00E82CC1">
        <w:rPr>
          <w:rFonts w:asciiTheme="majorHAnsi" w:eastAsia="Times New Roman" w:hAnsiTheme="majorHAnsi" w:cstheme="majorHAnsi"/>
          <w:sz w:val="24"/>
          <w:szCs w:val="24"/>
          <w:lang w:val="ro-RO"/>
        </w:rPr>
        <w:t>stat</w:t>
      </w:r>
      <w:r w:rsidR="00A938EF" w:rsidRPr="00E82CC1">
        <w:rPr>
          <w:rFonts w:asciiTheme="majorHAnsi" w:eastAsia="Times New Roman" w:hAnsiTheme="majorHAnsi" w:cstheme="majorHAnsi"/>
          <w:sz w:val="24"/>
          <w:szCs w:val="24"/>
          <w:lang w:val="ro-RO"/>
        </w:rPr>
        <w:t>.</w:t>
      </w:r>
      <w:r w:rsidR="00A938EF" w:rsidRPr="00E82CC1">
        <w:rPr>
          <w:rFonts w:asciiTheme="majorHAnsi" w:hAnsiTheme="majorHAnsi" w:cstheme="majorHAnsi"/>
          <w:color w:val="000000"/>
          <w:sz w:val="24"/>
          <w:szCs w:val="24"/>
          <w:shd w:val="clear" w:color="auto" w:fill="FFFFFF"/>
          <w:lang w:val="ro-RO"/>
        </w:rPr>
        <w:t xml:space="preserve"> </w:t>
      </w:r>
    </w:p>
    <w:p w14:paraId="5AE5F38E" w14:textId="77777777" w:rsidR="001E4C86" w:rsidRPr="00E82CC1" w:rsidRDefault="001E4C86" w:rsidP="00160C57">
      <w:pPr>
        <w:pStyle w:val="1"/>
        <w:numPr>
          <w:ilvl w:val="0"/>
          <w:numId w:val="15"/>
        </w:numPr>
        <w:ind w:left="0" w:firstLine="0"/>
        <w:jc w:val="left"/>
        <w:rPr>
          <w:rFonts w:asciiTheme="majorHAnsi" w:eastAsia="Times New Roman" w:hAnsiTheme="majorHAnsi" w:cstheme="majorHAnsi"/>
          <w:b w:val="0"/>
          <w:bCs/>
          <w:sz w:val="28"/>
          <w:szCs w:val="24"/>
          <w:lang w:val="ro-RO"/>
        </w:rPr>
      </w:pPr>
      <w:r w:rsidRPr="00E82CC1">
        <w:rPr>
          <w:rFonts w:asciiTheme="majorHAnsi" w:eastAsia="Times New Roman" w:hAnsiTheme="majorHAnsi" w:cstheme="majorHAnsi"/>
          <w:bCs/>
          <w:sz w:val="28"/>
          <w:szCs w:val="24"/>
          <w:lang w:val="ro-RO"/>
        </w:rPr>
        <w:t>PREZENTAREA BUGETULUI</w:t>
      </w:r>
    </w:p>
    <w:p w14:paraId="42BD7E3B" w14:textId="34EB1844" w:rsidR="00EC3591" w:rsidRPr="00E82CC1" w:rsidRDefault="00EC3591" w:rsidP="00B050E3">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eastAsia="ru-RU"/>
        </w:rPr>
        <w:t xml:space="preserve">Bugetul asigurărilor sociale de stat reprezintă </w:t>
      </w:r>
      <w:r w:rsidRPr="00E82CC1">
        <w:rPr>
          <w:rFonts w:asciiTheme="majorHAnsi" w:hAnsiTheme="majorHAnsi" w:cstheme="majorHAnsi"/>
          <w:color w:val="333333"/>
          <w:sz w:val="24"/>
          <w:szCs w:val="24"/>
          <w:shd w:val="clear" w:color="auto" w:fill="FFFFFF"/>
          <w:lang w:val="ro-RO"/>
        </w:rPr>
        <w:t>totalitatea veniturilor, cheltuielilor şi a surselor de finanţare destinate pentru realizarea funcţiilor şi gestionarea sistemului public de asigurări sociale</w:t>
      </w:r>
      <w:r w:rsidRPr="00E82CC1">
        <w:rPr>
          <w:rStyle w:val="a5"/>
          <w:rFonts w:asciiTheme="majorHAnsi" w:hAnsiTheme="majorHAnsi" w:cstheme="majorHAnsi"/>
          <w:color w:val="333333"/>
          <w:sz w:val="24"/>
          <w:szCs w:val="24"/>
          <w:shd w:val="clear" w:color="auto" w:fill="FFFFFF"/>
          <w:lang w:val="ro-RO"/>
        </w:rPr>
        <w:footnoteReference w:id="75"/>
      </w:r>
      <w:r w:rsidRPr="00E82CC1">
        <w:rPr>
          <w:rFonts w:asciiTheme="majorHAnsi" w:hAnsiTheme="majorHAnsi" w:cstheme="majorHAnsi"/>
          <w:sz w:val="24"/>
          <w:szCs w:val="24"/>
          <w:lang w:val="ro-RO"/>
        </w:rPr>
        <w:t>. Acesta face parte din bugetul public național și se administrează independent de alte bugete componente ale bugetului public național</w:t>
      </w:r>
      <w:r w:rsidRPr="00E82CC1">
        <w:rPr>
          <w:rStyle w:val="a5"/>
          <w:rFonts w:asciiTheme="majorHAnsi" w:hAnsiTheme="majorHAnsi" w:cstheme="majorHAnsi"/>
          <w:sz w:val="24"/>
          <w:szCs w:val="24"/>
          <w:lang w:val="ro-RO"/>
        </w:rPr>
        <w:footnoteReference w:id="76"/>
      </w:r>
      <w:r w:rsidRPr="00E82CC1">
        <w:rPr>
          <w:rFonts w:asciiTheme="majorHAnsi" w:hAnsiTheme="majorHAnsi" w:cstheme="majorHAnsi"/>
          <w:sz w:val="24"/>
          <w:szCs w:val="24"/>
          <w:lang w:val="ro-RO"/>
        </w:rPr>
        <w:t>. Administrarea bugetului asigurărilor sociale de stat și implementarea programelor în conformitate cu obiectivele și indicatorii de performanță asumați i-a</w:t>
      </w:r>
      <w:r w:rsidR="00E17CB4">
        <w:rPr>
          <w:rFonts w:asciiTheme="majorHAnsi" w:hAnsiTheme="majorHAnsi" w:cstheme="majorHAnsi"/>
          <w:sz w:val="24"/>
          <w:szCs w:val="24"/>
          <w:lang w:val="ro-RO"/>
        </w:rPr>
        <w:t>u</w:t>
      </w:r>
      <w:r w:rsidRPr="00E82CC1">
        <w:rPr>
          <w:rFonts w:asciiTheme="majorHAnsi" w:hAnsiTheme="majorHAnsi" w:cstheme="majorHAnsi"/>
          <w:sz w:val="24"/>
          <w:szCs w:val="24"/>
          <w:lang w:val="ro-RO"/>
        </w:rPr>
        <w:t xml:space="preserve"> revenit Casei Naționale de Asigurări Sociale</w:t>
      </w:r>
      <w:r w:rsidRPr="00E82CC1">
        <w:rPr>
          <w:rStyle w:val="a5"/>
          <w:rFonts w:asciiTheme="majorHAnsi" w:hAnsiTheme="majorHAnsi" w:cstheme="majorHAnsi"/>
          <w:sz w:val="24"/>
          <w:szCs w:val="24"/>
          <w:lang w:val="ro-RO"/>
        </w:rPr>
        <w:footnoteReference w:id="77"/>
      </w:r>
      <w:r w:rsidRPr="00E82CC1">
        <w:rPr>
          <w:rFonts w:asciiTheme="majorHAnsi" w:hAnsiTheme="majorHAnsi" w:cstheme="majorHAnsi"/>
          <w:sz w:val="24"/>
          <w:szCs w:val="24"/>
          <w:lang w:val="ro-RO"/>
        </w:rPr>
        <w:t>. Astfel, această entitate are misiunea de a realiza politicile statului orientate spre garantarea drepturilor sociale ale cetățenilor prin administrarea sistemului public de asigurări sociale și gestionarea bugetului asigurărilor sociale de stat.</w:t>
      </w:r>
    </w:p>
    <w:p w14:paraId="7AA069A2" w14:textId="6386668B" w:rsidR="00EC3591" w:rsidRPr="00E82CC1" w:rsidRDefault="00EC3591" w:rsidP="00B050E3">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Bugetul asigurărilor sociale de stat este planul financiar anual, care reflectă constituirea, repartizarea și utilizarea fondurilor bănești necesare ocrotirii pensionarilor, salariaților și membrilor </w:t>
      </w:r>
      <w:r w:rsidR="00E17CB4">
        <w:rPr>
          <w:rFonts w:asciiTheme="majorHAnsi" w:hAnsiTheme="majorHAnsi" w:cstheme="majorHAnsi"/>
          <w:sz w:val="24"/>
          <w:szCs w:val="24"/>
          <w:lang w:val="ro-RO"/>
        </w:rPr>
        <w:t xml:space="preserve">lor </w:t>
      </w:r>
      <w:r w:rsidRPr="00E82CC1">
        <w:rPr>
          <w:rFonts w:asciiTheme="majorHAnsi" w:hAnsiTheme="majorHAnsi" w:cstheme="majorHAnsi"/>
          <w:sz w:val="24"/>
          <w:szCs w:val="24"/>
          <w:lang w:val="ro-RO"/>
        </w:rPr>
        <w:t>de familie. Prin intermediul sistemului public de asigurări sociale, statul garantează cetățenilor dreptul la protecț</w:t>
      </w:r>
      <w:r w:rsidR="00E35E2B" w:rsidRPr="00E82CC1">
        <w:rPr>
          <w:rFonts w:asciiTheme="majorHAnsi" w:hAnsiTheme="majorHAnsi" w:cstheme="majorHAnsi"/>
          <w:sz w:val="24"/>
          <w:szCs w:val="24"/>
          <w:lang w:val="ro-RO"/>
        </w:rPr>
        <w:t>ie socială în cazurile de bătrâ</w:t>
      </w:r>
      <w:r w:rsidRPr="00E82CC1">
        <w:rPr>
          <w:rFonts w:asciiTheme="majorHAnsi" w:hAnsiTheme="majorHAnsi" w:cstheme="majorHAnsi"/>
          <w:sz w:val="24"/>
          <w:szCs w:val="24"/>
          <w:lang w:val="ro-RO"/>
        </w:rPr>
        <w:t>nețe, șomaj, boală, invaliditate, de pierdere a întreținătorului prin plăți sociale – pensii, indemnizații și alte prestații de asigurări sociale. Totodată, prin intermediul CNAS se acordă unor anumite categorii de cetățeni, prestații de asistență socială, a căror finanțare se efectuează din mijloacele bugetului de stat.</w:t>
      </w:r>
    </w:p>
    <w:p w14:paraId="770161A3" w14:textId="0F504EB0" w:rsidR="00EC3591" w:rsidRPr="00E82CC1" w:rsidRDefault="00EC3591" w:rsidP="00B050E3">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 acest context, se relevă importanța semnif</w:t>
      </w:r>
      <w:r w:rsidR="00E35E2B" w:rsidRPr="00E82CC1">
        <w:rPr>
          <w:rFonts w:asciiTheme="majorHAnsi" w:hAnsiTheme="majorHAnsi" w:cstheme="majorHAnsi"/>
          <w:sz w:val="24"/>
          <w:szCs w:val="24"/>
          <w:lang w:val="ro-RO"/>
        </w:rPr>
        <w:t>i</w:t>
      </w:r>
      <w:r w:rsidRPr="00E82CC1">
        <w:rPr>
          <w:rFonts w:asciiTheme="majorHAnsi" w:hAnsiTheme="majorHAnsi" w:cstheme="majorHAnsi"/>
          <w:sz w:val="24"/>
          <w:szCs w:val="24"/>
          <w:lang w:val="ro-RO"/>
        </w:rPr>
        <w:t>cativă/calitativă a acestui buget, deoarece este orientat spre cetățeni în vederea asigurării riscurilor survenite p</w:t>
      </w:r>
      <w:r w:rsidR="00E35E2B" w:rsidRPr="00E82CC1">
        <w:rPr>
          <w:rFonts w:asciiTheme="majorHAnsi" w:hAnsiTheme="majorHAnsi" w:cstheme="majorHAnsi"/>
          <w:sz w:val="24"/>
          <w:szCs w:val="24"/>
          <w:lang w:val="ro-RO"/>
        </w:rPr>
        <w:t>e parcursul vieții (boală, bătrâ</w:t>
      </w:r>
      <w:r w:rsidRPr="00E82CC1">
        <w:rPr>
          <w:rFonts w:asciiTheme="majorHAnsi" w:hAnsiTheme="majorHAnsi" w:cstheme="majorHAnsi"/>
          <w:sz w:val="24"/>
          <w:szCs w:val="24"/>
          <w:lang w:val="ro-RO"/>
        </w:rPr>
        <w:t>nețe etc.). BASS are în admin</w:t>
      </w:r>
      <w:r w:rsidR="00E35E2B" w:rsidRPr="00E82CC1">
        <w:rPr>
          <w:rFonts w:asciiTheme="majorHAnsi" w:hAnsiTheme="majorHAnsi" w:cstheme="majorHAnsi"/>
          <w:sz w:val="24"/>
          <w:szCs w:val="24"/>
          <w:lang w:val="ro-RO"/>
        </w:rPr>
        <w:t>is</w:t>
      </w:r>
      <w:r w:rsidRPr="00E82CC1">
        <w:rPr>
          <w:rFonts w:asciiTheme="majorHAnsi" w:hAnsiTheme="majorHAnsi" w:cstheme="majorHAnsi"/>
          <w:sz w:val="24"/>
          <w:szCs w:val="24"/>
          <w:lang w:val="ro-RO"/>
        </w:rPr>
        <w:t xml:space="preserve">trarea lui peste </w:t>
      </w:r>
      <w:r w:rsidR="006868F5" w:rsidRPr="00E82CC1">
        <w:rPr>
          <w:rFonts w:asciiTheme="majorHAnsi" w:hAnsiTheme="majorHAnsi" w:cstheme="majorHAnsi"/>
          <w:sz w:val="24"/>
          <w:szCs w:val="24"/>
          <w:lang w:val="ro-RO"/>
        </w:rPr>
        <w:t>2,37 mil</w:t>
      </w:r>
      <w:r w:rsidR="00E17CB4">
        <w:rPr>
          <w:rFonts w:asciiTheme="majorHAnsi" w:hAnsiTheme="majorHAnsi" w:cstheme="majorHAnsi"/>
          <w:sz w:val="24"/>
          <w:szCs w:val="24"/>
          <w:lang w:val="ro-RO"/>
        </w:rPr>
        <w:t>ioane de</w:t>
      </w:r>
      <w:r w:rsidR="006868F5" w:rsidRPr="00E82CC1">
        <w:rPr>
          <w:rFonts w:asciiTheme="majorHAnsi" w:hAnsiTheme="majorHAnsi" w:cstheme="majorHAnsi"/>
          <w:sz w:val="24"/>
          <w:szCs w:val="24"/>
          <w:lang w:val="ro-RO"/>
        </w:rPr>
        <w:t xml:space="preserve"> beneficiari</w:t>
      </w:r>
      <w:r w:rsidRPr="00E82CC1">
        <w:rPr>
          <w:rFonts w:asciiTheme="majorHAnsi" w:hAnsiTheme="majorHAnsi" w:cstheme="majorHAnsi"/>
          <w:sz w:val="24"/>
          <w:szCs w:val="24"/>
          <w:lang w:val="ro-RO"/>
        </w:rPr>
        <w:t xml:space="preserve"> de prestații, care pe parcursul anului 2021 au avut tangență cu acest buget și au beneficiat cel puțin de o prestație.</w:t>
      </w:r>
    </w:p>
    <w:p w14:paraId="0B0B98BD" w14:textId="0FE9700F" w:rsidR="00B050E3" w:rsidRPr="00E82CC1" w:rsidRDefault="00EC3591" w:rsidP="00EC3591">
      <w:pPr>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Bugetul asigurărilor sociale de stat pe anul 2021 a fost aprobat inițial la venituri și cheltuieli în sume egale de 25 791,9 mil.lei. Ca rezultat al operării modificărilor și completărilor, para</w:t>
      </w:r>
      <w:r w:rsidR="00B050E3" w:rsidRPr="00E82CC1">
        <w:rPr>
          <w:rFonts w:asciiTheme="majorHAnsi" w:hAnsiTheme="majorHAnsi" w:cstheme="majorHAnsi"/>
          <w:sz w:val="24"/>
          <w:szCs w:val="24"/>
          <w:lang w:val="ro-RO"/>
        </w:rPr>
        <w:t>metrii BASS au fost precizați p</w:t>
      </w:r>
      <w:r w:rsidR="00B050E3" w:rsidRPr="00E82CC1">
        <w:rPr>
          <w:rFonts w:asciiTheme="majorHAnsi" w:hAnsiTheme="majorHAnsi" w:cstheme="majorHAnsi"/>
          <w:sz w:val="24"/>
          <w:szCs w:val="24"/>
          <w:lang w:val="ro-MD"/>
        </w:rPr>
        <w:t>â</w:t>
      </w:r>
      <w:r w:rsidRPr="00E82CC1">
        <w:rPr>
          <w:rFonts w:asciiTheme="majorHAnsi" w:hAnsiTheme="majorHAnsi" w:cstheme="majorHAnsi"/>
          <w:sz w:val="24"/>
          <w:szCs w:val="24"/>
          <w:lang w:val="ro-RO"/>
        </w:rPr>
        <w:t>nă la 27 629,0 m</w:t>
      </w:r>
      <w:r w:rsidR="0073024A">
        <w:rPr>
          <w:rFonts w:asciiTheme="majorHAnsi" w:hAnsiTheme="majorHAnsi" w:cstheme="majorHAnsi"/>
          <w:sz w:val="24"/>
          <w:szCs w:val="24"/>
          <w:lang w:val="ro-RO"/>
        </w:rPr>
        <w:t>il.lei, cu 1 837,1 mil. lei mai mult.</w:t>
      </w:r>
    </w:p>
    <w:p w14:paraId="5C40CFFB" w14:textId="332DA4A8" w:rsidR="001F113B" w:rsidRPr="00E82CC1" w:rsidRDefault="001F113B" w:rsidP="001F113B">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Cu referire la ponderea cheltuielilor totale executate ale bugetului asigurărilor sociale de stat în BPN</w:t>
      </w:r>
      <w:r w:rsidR="00E17CB4">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se denotă că acestea au constituit 33,2%, şi ca pondere în PIB </w:t>
      </w:r>
      <w:r w:rsidR="00E17CB4">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11,6%. Faţă de anul 2020, ponderea cheltuielilor bugetului asigurărilor sociale de stat în BPN s-a majorat cu 0,1%, iar ponderea în PIB s-a micșorat cu 0,2%, situație prezentată în tabelul de mai jos.</w:t>
      </w:r>
    </w:p>
    <w:p w14:paraId="3D77A66D" w14:textId="5CADCA61" w:rsidR="001F113B" w:rsidRPr="00E82CC1" w:rsidRDefault="001F113B" w:rsidP="001F113B">
      <w:pPr>
        <w:pStyle w:val="a6"/>
        <w:tabs>
          <w:tab w:val="left" w:pos="162"/>
        </w:tabs>
        <w:spacing w:line="276" w:lineRule="auto"/>
        <w:ind w:firstLine="0"/>
        <w:jc w:val="right"/>
        <w:rPr>
          <w:rFonts w:asciiTheme="majorHAnsi" w:hAnsiTheme="majorHAnsi" w:cstheme="majorHAnsi"/>
          <w:b/>
          <w:lang w:val="ro-RO"/>
        </w:rPr>
      </w:pPr>
      <w:r w:rsidRPr="00E82CC1">
        <w:rPr>
          <w:rFonts w:asciiTheme="majorHAnsi" w:hAnsiTheme="majorHAnsi" w:cstheme="majorHAnsi"/>
          <w:b/>
          <w:lang w:val="ro-RO"/>
        </w:rPr>
        <w:t>Tabelul nr. 8</w:t>
      </w:r>
    </w:p>
    <w:p w14:paraId="3238800F" w14:textId="3A60BFC6" w:rsidR="001F113B" w:rsidRPr="00E82CC1" w:rsidRDefault="001F113B" w:rsidP="001F113B">
      <w:pPr>
        <w:pStyle w:val="a6"/>
        <w:tabs>
          <w:tab w:val="left" w:pos="162"/>
        </w:tabs>
        <w:spacing w:line="276" w:lineRule="auto"/>
        <w:ind w:firstLine="0"/>
        <w:jc w:val="center"/>
        <w:rPr>
          <w:rFonts w:asciiTheme="majorHAnsi" w:hAnsiTheme="majorHAnsi" w:cstheme="majorHAnsi"/>
          <w:b/>
          <w:lang w:val="ro-RO"/>
        </w:rPr>
      </w:pPr>
      <w:r w:rsidRPr="00E82CC1">
        <w:rPr>
          <w:rFonts w:asciiTheme="majorHAnsi" w:hAnsiTheme="majorHAnsi" w:cstheme="majorHAnsi"/>
          <w:b/>
          <w:lang w:val="ro-RO"/>
        </w:rPr>
        <w:t>Evoluția executării bugetului asigurărilor sociale de</w:t>
      </w:r>
      <w:r w:rsidR="002C3835">
        <w:rPr>
          <w:rFonts w:asciiTheme="majorHAnsi" w:hAnsiTheme="majorHAnsi" w:cstheme="majorHAnsi"/>
          <w:b/>
          <w:lang w:val="ro-RO"/>
        </w:rPr>
        <w:t xml:space="preserve"> stat în perioada 2018-2021 </w:t>
      </w:r>
    </w:p>
    <w:tbl>
      <w:tblPr>
        <w:tblStyle w:val="af0"/>
        <w:tblW w:w="9783" w:type="dxa"/>
        <w:tblLayout w:type="fixed"/>
        <w:tblLook w:val="04A0" w:firstRow="1" w:lastRow="0" w:firstColumn="1" w:lastColumn="0" w:noHBand="0" w:noVBand="1"/>
      </w:tblPr>
      <w:tblGrid>
        <w:gridCol w:w="2399"/>
        <w:gridCol w:w="1201"/>
        <w:gridCol w:w="1718"/>
        <w:gridCol w:w="1481"/>
        <w:gridCol w:w="1560"/>
        <w:gridCol w:w="1424"/>
      </w:tblGrid>
      <w:tr w:rsidR="00246B21" w:rsidRPr="00863BF0" w14:paraId="238F3F4B" w14:textId="77777777" w:rsidTr="00426C1F">
        <w:trPr>
          <w:trHeight w:val="18"/>
        </w:trPr>
        <w:tc>
          <w:tcPr>
            <w:tcW w:w="2399" w:type="dxa"/>
            <w:vMerge w:val="restart"/>
            <w:hideMark/>
          </w:tcPr>
          <w:p w14:paraId="7037618A"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 </w:t>
            </w:r>
          </w:p>
        </w:tc>
        <w:tc>
          <w:tcPr>
            <w:tcW w:w="1201" w:type="dxa"/>
            <w:vMerge w:val="restart"/>
            <w:hideMark/>
          </w:tcPr>
          <w:p w14:paraId="17A5D981" w14:textId="77777777" w:rsidR="00246B21" w:rsidRPr="00E17CB4" w:rsidRDefault="00246B21" w:rsidP="00426C1F">
            <w:pPr>
              <w:spacing w:line="276" w:lineRule="auto"/>
              <w:jc w:val="both"/>
              <w:rPr>
                <w:rFonts w:asciiTheme="majorHAnsi" w:hAnsiTheme="majorHAnsi" w:cstheme="majorHAnsi"/>
                <w:b/>
                <w:bCs/>
                <w:i/>
                <w:sz w:val="20"/>
                <w:szCs w:val="24"/>
              </w:rPr>
            </w:pPr>
            <w:r w:rsidRPr="00E17CB4">
              <w:rPr>
                <w:rFonts w:asciiTheme="majorHAnsi" w:hAnsiTheme="majorHAnsi" w:cstheme="majorHAnsi"/>
                <w:b/>
                <w:bCs/>
                <w:i/>
                <w:sz w:val="20"/>
                <w:szCs w:val="24"/>
                <w:lang w:val="ro-RO"/>
              </w:rPr>
              <w:t>Unitatea de măsură</w:t>
            </w:r>
          </w:p>
        </w:tc>
        <w:tc>
          <w:tcPr>
            <w:tcW w:w="6183" w:type="dxa"/>
            <w:gridSpan w:val="4"/>
            <w:hideMark/>
          </w:tcPr>
          <w:p w14:paraId="5095F2C5" w14:textId="77777777" w:rsidR="00246B21" w:rsidRPr="003953D8" w:rsidRDefault="00246B21" w:rsidP="00426C1F">
            <w:pPr>
              <w:spacing w:line="276" w:lineRule="auto"/>
              <w:jc w:val="center"/>
              <w:rPr>
                <w:rFonts w:asciiTheme="majorHAnsi" w:hAnsiTheme="majorHAnsi" w:cstheme="majorHAnsi"/>
                <w:b/>
                <w:bCs/>
                <w:i/>
                <w:sz w:val="20"/>
                <w:szCs w:val="24"/>
              </w:rPr>
            </w:pPr>
            <w:r w:rsidRPr="008362B9">
              <w:rPr>
                <w:rFonts w:asciiTheme="majorHAnsi" w:hAnsiTheme="majorHAnsi" w:cstheme="majorHAnsi"/>
                <w:b/>
                <w:bCs/>
                <w:i/>
                <w:sz w:val="20"/>
                <w:szCs w:val="24"/>
                <w:lang w:val="ro-RO"/>
              </w:rPr>
              <w:t>Executat</w:t>
            </w:r>
          </w:p>
        </w:tc>
      </w:tr>
      <w:tr w:rsidR="00246B21" w:rsidRPr="00863BF0" w14:paraId="4316FA30" w14:textId="77777777" w:rsidTr="00426C1F">
        <w:trPr>
          <w:trHeight w:val="18"/>
        </w:trPr>
        <w:tc>
          <w:tcPr>
            <w:tcW w:w="2399" w:type="dxa"/>
            <w:vMerge/>
            <w:hideMark/>
          </w:tcPr>
          <w:p w14:paraId="497BDDE9" w14:textId="77777777" w:rsidR="00246B21" w:rsidRPr="00863BF0" w:rsidRDefault="00246B21" w:rsidP="00426C1F">
            <w:pPr>
              <w:spacing w:line="276" w:lineRule="auto"/>
              <w:jc w:val="both"/>
              <w:rPr>
                <w:rFonts w:asciiTheme="majorHAnsi" w:hAnsiTheme="majorHAnsi" w:cstheme="majorHAnsi"/>
                <w:b/>
                <w:i/>
                <w:sz w:val="20"/>
                <w:szCs w:val="24"/>
              </w:rPr>
            </w:pPr>
          </w:p>
        </w:tc>
        <w:tc>
          <w:tcPr>
            <w:tcW w:w="1201" w:type="dxa"/>
            <w:vMerge/>
            <w:hideMark/>
          </w:tcPr>
          <w:p w14:paraId="2FFD204B" w14:textId="77777777" w:rsidR="00246B21" w:rsidRPr="00E17CB4" w:rsidRDefault="00246B21" w:rsidP="00426C1F">
            <w:pPr>
              <w:spacing w:line="276" w:lineRule="auto"/>
              <w:jc w:val="both"/>
              <w:rPr>
                <w:rFonts w:asciiTheme="majorHAnsi" w:hAnsiTheme="majorHAnsi" w:cstheme="majorHAnsi"/>
                <w:b/>
                <w:bCs/>
                <w:i/>
                <w:sz w:val="20"/>
                <w:szCs w:val="24"/>
              </w:rPr>
            </w:pPr>
          </w:p>
        </w:tc>
        <w:tc>
          <w:tcPr>
            <w:tcW w:w="1718" w:type="dxa"/>
            <w:hideMark/>
          </w:tcPr>
          <w:p w14:paraId="1CCC9F43" w14:textId="77777777" w:rsidR="00246B21" w:rsidRPr="00E17CB4" w:rsidRDefault="00246B21" w:rsidP="00426C1F">
            <w:pPr>
              <w:spacing w:line="276" w:lineRule="auto"/>
              <w:jc w:val="center"/>
              <w:rPr>
                <w:rFonts w:asciiTheme="majorHAnsi" w:hAnsiTheme="majorHAnsi" w:cstheme="majorHAnsi"/>
                <w:b/>
                <w:bCs/>
                <w:i/>
                <w:sz w:val="20"/>
                <w:szCs w:val="24"/>
              </w:rPr>
            </w:pPr>
            <w:r w:rsidRPr="00E17CB4">
              <w:rPr>
                <w:rFonts w:asciiTheme="majorHAnsi" w:hAnsiTheme="majorHAnsi" w:cstheme="majorHAnsi"/>
                <w:b/>
                <w:bCs/>
                <w:i/>
                <w:sz w:val="20"/>
                <w:szCs w:val="24"/>
                <w:lang w:val="ro-RO"/>
              </w:rPr>
              <w:t>2018</w:t>
            </w:r>
          </w:p>
        </w:tc>
        <w:tc>
          <w:tcPr>
            <w:tcW w:w="1481" w:type="dxa"/>
            <w:hideMark/>
          </w:tcPr>
          <w:p w14:paraId="710681C9" w14:textId="77777777" w:rsidR="00246B21" w:rsidRPr="00E17CB4" w:rsidRDefault="00246B21" w:rsidP="00426C1F">
            <w:pPr>
              <w:spacing w:line="276" w:lineRule="auto"/>
              <w:jc w:val="center"/>
              <w:rPr>
                <w:rFonts w:asciiTheme="majorHAnsi" w:hAnsiTheme="majorHAnsi" w:cstheme="majorHAnsi"/>
                <w:b/>
                <w:bCs/>
                <w:i/>
                <w:sz w:val="20"/>
                <w:szCs w:val="24"/>
              </w:rPr>
            </w:pPr>
            <w:r w:rsidRPr="00E17CB4">
              <w:rPr>
                <w:rFonts w:asciiTheme="majorHAnsi" w:hAnsiTheme="majorHAnsi" w:cstheme="majorHAnsi"/>
                <w:b/>
                <w:bCs/>
                <w:i/>
                <w:sz w:val="20"/>
                <w:szCs w:val="24"/>
                <w:lang w:val="ro-RO"/>
              </w:rPr>
              <w:t>2019</w:t>
            </w:r>
          </w:p>
        </w:tc>
        <w:tc>
          <w:tcPr>
            <w:tcW w:w="1560" w:type="dxa"/>
            <w:hideMark/>
          </w:tcPr>
          <w:p w14:paraId="21AE01EB" w14:textId="77777777" w:rsidR="00246B21" w:rsidRPr="00E17CB4" w:rsidRDefault="00246B21" w:rsidP="00426C1F">
            <w:pPr>
              <w:spacing w:line="276" w:lineRule="auto"/>
              <w:jc w:val="center"/>
              <w:rPr>
                <w:rFonts w:asciiTheme="majorHAnsi" w:hAnsiTheme="majorHAnsi" w:cstheme="majorHAnsi"/>
                <w:b/>
                <w:bCs/>
                <w:i/>
                <w:sz w:val="20"/>
                <w:szCs w:val="24"/>
              </w:rPr>
            </w:pPr>
            <w:r w:rsidRPr="00E17CB4">
              <w:rPr>
                <w:rFonts w:asciiTheme="majorHAnsi" w:hAnsiTheme="majorHAnsi" w:cstheme="majorHAnsi"/>
                <w:b/>
                <w:bCs/>
                <w:i/>
                <w:sz w:val="20"/>
                <w:szCs w:val="24"/>
                <w:lang w:val="ro-RO"/>
              </w:rPr>
              <w:t>2020</w:t>
            </w:r>
          </w:p>
        </w:tc>
        <w:tc>
          <w:tcPr>
            <w:tcW w:w="1424" w:type="dxa"/>
            <w:hideMark/>
          </w:tcPr>
          <w:p w14:paraId="2B8C5EA0" w14:textId="77777777" w:rsidR="00246B21" w:rsidRPr="00E17CB4" w:rsidRDefault="00246B21" w:rsidP="00426C1F">
            <w:pPr>
              <w:spacing w:line="276" w:lineRule="auto"/>
              <w:jc w:val="center"/>
              <w:rPr>
                <w:rFonts w:asciiTheme="majorHAnsi" w:hAnsiTheme="majorHAnsi" w:cstheme="majorHAnsi"/>
                <w:b/>
                <w:bCs/>
                <w:i/>
                <w:sz w:val="20"/>
                <w:szCs w:val="24"/>
              </w:rPr>
            </w:pPr>
            <w:r w:rsidRPr="00E17CB4">
              <w:rPr>
                <w:rFonts w:asciiTheme="majorHAnsi" w:hAnsiTheme="majorHAnsi" w:cstheme="majorHAnsi"/>
                <w:b/>
                <w:bCs/>
                <w:i/>
                <w:sz w:val="20"/>
                <w:szCs w:val="24"/>
                <w:lang w:val="ro-RO"/>
              </w:rPr>
              <w:t>2021</w:t>
            </w:r>
          </w:p>
        </w:tc>
      </w:tr>
      <w:tr w:rsidR="00246B21" w:rsidRPr="00863BF0" w14:paraId="5DA4EE6F" w14:textId="77777777" w:rsidTr="00426C1F">
        <w:trPr>
          <w:trHeight w:val="18"/>
        </w:trPr>
        <w:tc>
          <w:tcPr>
            <w:tcW w:w="2399" w:type="dxa"/>
            <w:hideMark/>
          </w:tcPr>
          <w:p w14:paraId="6388EA03" w14:textId="77777777" w:rsidR="00246B21" w:rsidRPr="00863BF0" w:rsidRDefault="00246B21" w:rsidP="00426C1F">
            <w:pPr>
              <w:spacing w:line="276" w:lineRule="auto"/>
              <w:jc w:val="both"/>
              <w:rPr>
                <w:rFonts w:asciiTheme="majorHAnsi" w:hAnsiTheme="majorHAnsi" w:cstheme="majorHAnsi"/>
                <w:b/>
                <w:bCs/>
                <w:i/>
                <w:iCs/>
                <w:sz w:val="20"/>
                <w:szCs w:val="24"/>
              </w:rPr>
            </w:pPr>
            <w:r w:rsidRPr="00863BF0">
              <w:rPr>
                <w:rFonts w:asciiTheme="majorHAnsi" w:hAnsiTheme="majorHAnsi" w:cstheme="majorHAnsi"/>
                <w:b/>
                <w:bCs/>
                <w:i/>
                <w:iCs/>
                <w:sz w:val="20"/>
                <w:szCs w:val="24"/>
                <w:lang w:val="ro-RO"/>
              </w:rPr>
              <w:t>PIB</w:t>
            </w:r>
          </w:p>
        </w:tc>
        <w:tc>
          <w:tcPr>
            <w:tcW w:w="1201" w:type="dxa"/>
            <w:hideMark/>
          </w:tcPr>
          <w:p w14:paraId="1686687B" w14:textId="77777777" w:rsidR="00246B21" w:rsidRPr="00617E4A" w:rsidRDefault="00246B21" w:rsidP="00426C1F">
            <w:pPr>
              <w:spacing w:line="276" w:lineRule="auto"/>
              <w:jc w:val="both"/>
              <w:rPr>
                <w:rFonts w:asciiTheme="majorHAnsi" w:hAnsiTheme="majorHAnsi" w:cstheme="majorHAnsi"/>
                <w:bCs/>
                <w:i/>
                <w:iCs/>
                <w:sz w:val="20"/>
                <w:szCs w:val="24"/>
              </w:rPr>
            </w:pPr>
            <w:r w:rsidRPr="00617E4A">
              <w:rPr>
                <w:rFonts w:asciiTheme="majorHAnsi" w:hAnsiTheme="majorHAnsi" w:cstheme="majorHAnsi"/>
                <w:bCs/>
                <w:i/>
                <w:iCs/>
                <w:sz w:val="20"/>
                <w:szCs w:val="24"/>
                <w:lang w:val="ro-RO"/>
              </w:rPr>
              <w:t xml:space="preserve">   mil.lei</w:t>
            </w:r>
          </w:p>
        </w:tc>
        <w:tc>
          <w:tcPr>
            <w:tcW w:w="1718" w:type="dxa"/>
            <w:noWrap/>
            <w:hideMark/>
          </w:tcPr>
          <w:p w14:paraId="3D630608" w14:textId="4AFB6737" w:rsidR="00246B21" w:rsidRPr="00617E4A" w:rsidRDefault="00E13753" w:rsidP="00E13753">
            <w:pPr>
              <w:spacing w:line="276" w:lineRule="auto"/>
              <w:jc w:val="center"/>
              <w:rPr>
                <w:rFonts w:asciiTheme="majorHAnsi" w:hAnsiTheme="majorHAnsi" w:cstheme="majorHAnsi"/>
                <w:bCs/>
                <w:i/>
                <w:iCs/>
                <w:sz w:val="20"/>
                <w:szCs w:val="24"/>
              </w:rPr>
            </w:pPr>
            <w:r>
              <w:rPr>
                <w:rFonts w:asciiTheme="majorHAnsi" w:hAnsiTheme="majorHAnsi" w:cstheme="majorHAnsi"/>
                <w:bCs/>
                <w:i/>
                <w:iCs/>
                <w:sz w:val="20"/>
                <w:szCs w:val="24"/>
              </w:rPr>
              <w:t>192 508,5</w:t>
            </w:r>
          </w:p>
        </w:tc>
        <w:tc>
          <w:tcPr>
            <w:tcW w:w="1481" w:type="dxa"/>
            <w:noWrap/>
            <w:hideMark/>
          </w:tcPr>
          <w:p w14:paraId="1AEB4876" w14:textId="20F5D133"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rPr>
              <w:t>2</w:t>
            </w:r>
            <w:r w:rsidR="00E13753">
              <w:rPr>
                <w:rFonts w:asciiTheme="majorHAnsi" w:hAnsiTheme="majorHAnsi" w:cstheme="majorHAnsi"/>
                <w:bCs/>
                <w:i/>
                <w:iCs/>
                <w:sz w:val="20"/>
                <w:szCs w:val="24"/>
              </w:rPr>
              <w:t>10 378,0</w:t>
            </w:r>
          </w:p>
        </w:tc>
        <w:tc>
          <w:tcPr>
            <w:tcW w:w="1560" w:type="dxa"/>
            <w:noWrap/>
            <w:hideMark/>
          </w:tcPr>
          <w:p w14:paraId="4F478B64" w14:textId="3F1FB310" w:rsidR="00246B21" w:rsidRPr="00617E4A" w:rsidRDefault="00246B21" w:rsidP="00E13753">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rPr>
              <w:t>205</w:t>
            </w:r>
            <w:r w:rsidR="00E13753">
              <w:rPr>
                <w:rFonts w:asciiTheme="majorHAnsi" w:hAnsiTheme="majorHAnsi" w:cstheme="majorHAnsi"/>
                <w:bCs/>
                <w:i/>
                <w:iCs/>
                <w:sz w:val="20"/>
                <w:szCs w:val="24"/>
              </w:rPr>
              <w:t xml:space="preserve"> 432,3</w:t>
            </w:r>
          </w:p>
        </w:tc>
        <w:tc>
          <w:tcPr>
            <w:tcW w:w="1424" w:type="dxa"/>
            <w:hideMark/>
          </w:tcPr>
          <w:p w14:paraId="06BB61D5" w14:textId="4F5F6B35"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w:t>
            </w:r>
            <w:r w:rsidR="00E13753">
              <w:rPr>
                <w:rFonts w:asciiTheme="majorHAnsi" w:hAnsiTheme="majorHAnsi" w:cstheme="majorHAnsi"/>
                <w:bCs/>
                <w:i/>
                <w:iCs/>
                <w:sz w:val="20"/>
                <w:szCs w:val="24"/>
                <w:lang w:val="ro-RO"/>
              </w:rPr>
              <w:t xml:space="preserve">41 </w:t>
            </w:r>
            <w:r w:rsidRPr="00617E4A">
              <w:rPr>
                <w:rFonts w:asciiTheme="majorHAnsi" w:hAnsiTheme="majorHAnsi" w:cstheme="majorHAnsi"/>
                <w:bCs/>
                <w:i/>
                <w:iCs/>
                <w:sz w:val="20"/>
                <w:szCs w:val="24"/>
                <w:lang w:val="ro-RO"/>
              </w:rPr>
              <w:t>871,0</w:t>
            </w:r>
          </w:p>
        </w:tc>
      </w:tr>
      <w:tr w:rsidR="00246B21" w:rsidRPr="00863BF0" w14:paraId="1FFE504D" w14:textId="77777777" w:rsidTr="00426C1F">
        <w:trPr>
          <w:trHeight w:val="18"/>
        </w:trPr>
        <w:tc>
          <w:tcPr>
            <w:tcW w:w="2399" w:type="dxa"/>
            <w:hideMark/>
          </w:tcPr>
          <w:p w14:paraId="1B5C1229" w14:textId="77777777" w:rsidR="00246B21" w:rsidRPr="00863BF0" w:rsidRDefault="00246B21" w:rsidP="00426C1F">
            <w:pPr>
              <w:spacing w:line="276" w:lineRule="auto"/>
              <w:jc w:val="both"/>
              <w:rPr>
                <w:rFonts w:asciiTheme="majorHAnsi" w:hAnsiTheme="majorHAnsi" w:cstheme="majorHAnsi"/>
                <w:b/>
                <w:bCs/>
                <w:i/>
                <w:iCs/>
                <w:sz w:val="20"/>
                <w:szCs w:val="24"/>
              </w:rPr>
            </w:pPr>
            <w:r w:rsidRPr="00863BF0">
              <w:rPr>
                <w:rFonts w:asciiTheme="majorHAnsi" w:hAnsiTheme="majorHAnsi" w:cstheme="majorHAnsi"/>
                <w:b/>
                <w:bCs/>
                <w:i/>
                <w:iCs/>
                <w:sz w:val="20"/>
                <w:szCs w:val="24"/>
                <w:lang w:val="ro-RO"/>
              </w:rPr>
              <w:t>BPN, venituri</w:t>
            </w:r>
          </w:p>
        </w:tc>
        <w:tc>
          <w:tcPr>
            <w:tcW w:w="1201" w:type="dxa"/>
            <w:hideMark/>
          </w:tcPr>
          <w:p w14:paraId="36316FB5" w14:textId="77777777" w:rsidR="00246B21" w:rsidRPr="00617E4A" w:rsidRDefault="00246B21" w:rsidP="00426C1F">
            <w:pPr>
              <w:spacing w:line="276" w:lineRule="auto"/>
              <w:jc w:val="both"/>
              <w:rPr>
                <w:rFonts w:asciiTheme="majorHAnsi" w:hAnsiTheme="majorHAnsi" w:cstheme="majorHAnsi"/>
                <w:bCs/>
                <w:i/>
                <w:iCs/>
                <w:sz w:val="20"/>
                <w:szCs w:val="24"/>
              </w:rPr>
            </w:pPr>
            <w:r w:rsidRPr="00617E4A">
              <w:rPr>
                <w:rFonts w:asciiTheme="majorHAnsi" w:hAnsiTheme="majorHAnsi" w:cstheme="majorHAnsi"/>
                <w:bCs/>
                <w:i/>
                <w:iCs/>
                <w:sz w:val="20"/>
                <w:szCs w:val="24"/>
                <w:lang w:val="ro-RO"/>
              </w:rPr>
              <w:t xml:space="preserve">   mil.lei</w:t>
            </w:r>
          </w:p>
        </w:tc>
        <w:tc>
          <w:tcPr>
            <w:tcW w:w="1718" w:type="dxa"/>
            <w:hideMark/>
          </w:tcPr>
          <w:p w14:paraId="2197512A" w14:textId="7A0EAED2"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57</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964,90</w:t>
            </w:r>
          </w:p>
        </w:tc>
        <w:tc>
          <w:tcPr>
            <w:tcW w:w="1481" w:type="dxa"/>
            <w:hideMark/>
          </w:tcPr>
          <w:p w14:paraId="45118D00" w14:textId="6A4EDD95" w:rsidR="00246B21" w:rsidRPr="00617E4A" w:rsidRDefault="00500BB5" w:rsidP="00426C1F">
            <w:pPr>
              <w:spacing w:line="276" w:lineRule="auto"/>
              <w:jc w:val="center"/>
              <w:rPr>
                <w:rFonts w:asciiTheme="majorHAnsi" w:hAnsiTheme="majorHAnsi" w:cstheme="majorHAnsi"/>
                <w:bCs/>
                <w:i/>
                <w:iCs/>
                <w:sz w:val="20"/>
                <w:szCs w:val="24"/>
              </w:rPr>
            </w:pPr>
            <w:r>
              <w:rPr>
                <w:rFonts w:asciiTheme="majorHAnsi" w:hAnsiTheme="majorHAnsi" w:cstheme="majorHAnsi"/>
                <w:bCs/>
                <w:i/>
                <w:iCs/>
                <w:sz w:val="20"/>
                <w:szCs w:val="24"/>
              </w:rPr>
              <w:t xml:space="preserve">62 </w:t>
            </w:r>
            <w:r w:rsidR="00246B21" w:rsidRPr="00617E4A">
              <w:rPr>
                <w:rFonts w:asciiTheme="majorHAnsi" w:hAnsiTheme="majorHAnsi" w:cstheme="majorHAnsi"/>
                <w:bCs/>
                <w:i/>
                <w:iCs/>
                <w:sz w:val="20"/>
                <w:szCs w:val="24"/>
              </w:rPr>
              <w:t>949,2</w:t>
            </w:r>
          </w:p>
        </w:tc>
        <w:tc>
          <w:tcPr>
            <w:tcW w:w="1560" w:type="dxa"/>
            <w:noWrap/>
            <w:hideMark/>
          </w:tcPr>
          <w:p w14:paraId="4D5B238C" w14:textId="034E0A13"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rPr>
              <w:t>62</w:t>
            </w:r>
            <w:r w:rsidR="00500BB5">
              <w:rPr>
                <w:rFonts w:asciiTheme="majorHAnsi" w:hAnsiTheme="majorHAnsi" w:cstheme="majorHAnsi"/>
                <w:bCs/>
                <w:i/>
                <w:iCs/>
                <w:sz w:val="20"/>
                <w:szCs w:val="24"/>
              </w:rPr>
              <w:t xml:space="preserve"> </w:t>
            </w:r>
            <w:r w:rsidRPr="00617E4A">
              <w:rPr>
                <w:rFonts w:asciiTheme="majorHAnsi" w:hAnsiTheme="majorHAnsi" w:cstheme="majorHAnsi"/>
                <w:bCs/>
                <w:i/>
                <w:iCs/>
                <w:sz w:val="20"/>
                <w:szCs w:val="24"/>
              </w:rPr>
              <w:t>650,00</w:t>
            </w:r>
          </w:p>
        </w:tc>
        <w:tc>
          <w:tcPr>
            <w:tcW w:w="1424" w:type="dxa"/>
            <w:hideMark/>
          </w:tcPr>
          <w:p w14:paraId="3C6F96F0" w14:textId="67E0C990"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77</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373,10</w:t>
            </w:r>
          </w:p>
        </w:tc>
      </w:tr>
      <w:tr w:rsidR="00246B21" w:rsidRPr="00863BF0" w14:paraId="1FFBFC6A" w14:textId="77777777" w:rsidTr="00426C1F">
        <w:trPr>
          <w:trHeight w:val="18"/>
        </w:trPr>
        <w:tc>
          <w:tcPr>
            <w:tcW w:w="2399" w:type="dxa"/>
            <w:hideMark/>
          </w:tcPr>
          <w:p w14:paraId="7A5B6F03" w14:textId="77777777" w:rsidR="00246B21" w:rsidRPr="00863BF0" w:rsidRDefault="00246B21" w:rsidP="00426C1F">
            <w:pPr>
              <w:spacing w:line="276" w:lineRule="auto"/>
              <w:jc w:val="both"/>
              <w:rPr>
                <w:rFonts w:asciiTheme="majorHAnsi" w:hAnsiTheme="majorHAnsi" w:cstheme="majorHAnsi"/>
                <w:b/>
                <w:bCs/>
                <w:i/>
                <w:iCs/>
                <w:sz w:val="20"/>
                <w:szCs w:val="24"/>
              </w:rPr>
            </w:pPr>
            <w:r w:rsidRPr="00863BF0">
              <w:rPr>
                <w:rFonts w:asciiTheme="majorHAnsi" w:hAnsiTheme="majorHAnsi" w:cstheme="majorHAnsi"/>
                <w:b/>
                <w:bCs/>
                <w:i/>
                <w:iCs/>
                <w:sz w:val="20"/>
                <w:szCs w:val="24"/>
                <w:lang w:val="ro-RO"/>
              </w:rPr>
              <w:t>Venituri, total</w:t>
            </w:r>
          </w:p>
        </w:tc>
        <w:tc>
          <w:tcPr>
            <w:tcW w:w="1201" w:type="dxa"/>
            <w:hideMark/>
          </w:tcPr>
          <w:p w14:paraId="20BECC83" w14:textId="77777777" w:rsidR="00246B21" w:rsidRPr="00617E4A" w:rsidRDefault="00246B21" w:rsidP="00426C1F">
            <w:pPr>
              <w:spacing w:line="276" w:lineRule="auto"/>
              <w:jc w:val="both"/>
              <w:rPr>
                <w:rFonts w:asciiTheme="majorHAnsi" w:hAnsiTheme="majorHAnsi" w:cstheme="majorHAnsi"/>
                <w:bCs/>
                <w:i/>
                <w:iCs/>
                <w:sz w:val="20"/>
                <w:szCs w:val="24"/>
              </w:rPr>
            </w:pPr>
            <w:r w:rsidRPr="00617E4A">
              <w:rPr>
                <w:rFonts w:asciiTheme="majorHAnsi" w:hAnsiTheme="majorHAnsi" w:cstheme="majorHAnsi"/>
                <w:bCs/>
                <w:i/>
                <w:iCs/>
                <w:sz w:val="20"/>
                <w:szCs w:val="24"/>
                <w:lang w:val="ro-RO"/>
              </w:rPr>
              <w:t>mil. lei</w:t>
            </w:r>
          </w:p>
        </w:tc>
        <w:tc>
          <w:tcPr>
            <w:tcW w:w="1718" w:type="dxa"/>
            <w:hideMark/>
          </w:tcPr>
          <w:p w14:paraId="52B89255" w14:textId="5283E399"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19</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790,30</w:t>
            </w:r>
          </w:p>
        </w:tc>
        <w:tc>
          <w:tcPr>
            <w:tcW w:w="1481" w:type="dxa"/>
            <w:hideMark/>
          </w:tcPr>
          <w:p w14:paraId="0DD2B16E" w14:textId="6978F6EC"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21</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748,30</w:t>
            </w:r>
          </w:p>
        </w:tc>
        <w:tc>
          <w:tcPr>
            <w:tcW w:w="1560" w:type="dxa"/>
            <w:hideMark/>
          </w:tcPr>
          <w:p w14:paraId="66ED87AD" w14:textId="4F6DAE24"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24</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285,50</w:t>
            </w:r>
          </w:p>
        </w:tc>
        <w:tc>
          <w:tcPr>
            <w:tcW w:w="1424" w:type="dxa"/>
            <w:hideMark/>
          </w:tcPr>
          <w:p w14:paraId="417AD2F6" w14:textId="6DC9E21B"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27</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246,80</w:t>
            </w:r>
          </w:p>
        </w:tc>
      </w:tr>
      <w:tr w:rsidR="00246B21" w:rsidRPr="00863BF0" w14:paraId="7FD6D090" w14:textId="77777777" w:rsidTr="00426C1F">
        <w:trPr>
          <w:trHeight w:val="18"/>
        </w:trPr>
        <w:tc>
          <w:tcPr>
            <w:tcW w:w="2399" w:type="dxa"/>
            <w:hideMark/>
          </w:tcPr>
          <w:p w14:paraId="210F2834"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Devieri +/- față de anul precedent</w:t>
            </w:r>
          </w:p>
        </w:tc>
        <w:tc>
          <w:tcPr>
            <w:tcW w:w="1201" w:type="dxa"/>
            <w:hideMark/>
          </w:tcPr>
          <w:p w14:paraId="5D86277C"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mil. lei</w:t>
            </w:r>
          </w:p>
        </w:tc>
        <w:tc>
          <w:tcPr>
            <w:tcW w:w="1718" w:type="dxa"/>
            <w:hideMark/>
          </w:tcPr>
          <w:p w14:paraId="7EA59CA8"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1 971,6</w:t>
            </w:r>
          </w:p>
        </w:tc>
        <w:tc>
          <w:tcPr>
            <w:tcW w:w="1481" w:type="dxa"/>
            <w:hideMark/>
          </w:tcPr>
          <w:p w14:paraId="3277C65A"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1 958,0</w:t>
            </w:r>
          </w:p>
        </w:tc>
        <w:tc>
          <w:tcPr>
            <w:tcW w:w="1560" w:type="dxa"/>
            <w:hideMark/>
          </w:tcPr>
          <w:p w14:paraId="38014522"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2 537,2</w:t>
            </w:r>
          </w:p>
        </w:tc>
        <w:tc>
          <w:tcPr>
            <w:tcW w:w="1424" w:type="dxa"/>
            <w:hideMark/>
          </w:tcPr>
          <w:p w14:paraId="23C60C69"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2 961,3</w:t>
            </w:r>
          </w:p>
        </w:tc>
      </w:tr>
      <w:tr w:rsidR="00246B21" w:rsidRPr="00863BF0" w14:paraId="46905EBE" w14:textId="77777777" w:rsidTr="00426C1F">
        <w:trPr>
          <w:trHeight w:val="18"/>
        </w:trPr>
        <w:tc>
          <w:tcPr>
            <w:tcW w:w="2399" w:type="dxa"/>
            <w:hideMark/>
          </w:tcPr>
          <w:p w14:paraId="6F0C1BE5"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Ponderea în BPN</w:t>
            </w:r>
          </w:p>
        </w:tc>
        <w:tc>
          <w:tcPr>
            <w:tcW w:w="1201" w:type="dxa"/>
            <w:hideMark/>
          </w:tcPr>
          <w:p w14:paraId="3E971C7F"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w:t>
            </w:r>
          </w:p>
        </w:tc>
        <w:tc>
          <w:tcPr>
            <w:tcW w:w="1718" w:type="dxa"/>
            <w:hideMark/>
          </w:tcPr>
          <w:p w14:paraId="462D1B2A"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34,10</w:t>
            </w:r>
          </w:p>
        </w:tc>
        <w:tc>
          <w:tcPr>
            <w:tcW w:w="1481" w:type="dxa"/>
            <w:hideMark/>
          </w:tcPr>
          <w:p w14:paraId="4B77EABB"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34,50</w:t>
            </w:r>
          </w:p>
        </w:tc>
        <w:tc>
          <w:tcPr>
            <w:tcW w:w="1560" w:type="dxa"/>
            <w:hideMark/>
          </w:tcPr>
          <w:p w14:paraId="5274E4E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38,80</w:t>
            </w:r>
          </w:p>
        </w:tc>
        <w:tc>
          <w:tcPr>
            <w:tcW w:w="1424" w:type="dxa"/>
            <w:hideMark/>
          </w:tcPr>
          <w:p w14:paraId="697EF52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0,35</w:t>
            </w:r>
          </w:p>
        </w:tc>
      </w:tr>
      <w:tr w:rsidR="00246B21" w:rsidRPr="00863BF0" w14:paraId="57556E10" w14:textId="77777777" w:rsidTr="00426C1F">
        <w:trPr>
          <w:trHeight w:val="18"/>
        </w:trPr>
        <w:tc>
          <w:tcPr>
            <w:tcW w:w="2399" w:type="dxa"/>
            <w:hideMark/>
          </w:tcPr>
          <w:p w14:paraId="2B8F7CFC"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Ponderea în PIB</w:t>
            </w:r>
          </w:p>
        </w:tc>
        <w:tc>
          <w:tcPr>
            <w:tcW w:w="1201" w:type="dxa"/>
            <w:hideMark/>
          </w:tcPr>
          <w:p w14:paraId="3ABAA0D8"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w:t>
            </w:r>
          </w:p>
        </w:tc>
        <w:tc>
          <w:tcPr>
            <w:tcW w:w="1718" w:type="dxa"/>
            <w:hideMark/>
          </w:tcPr>
          <w:p w14:paraId="24B95B62"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10,30</w:t>
            </w:r>
          </w:p>
        </w:tc>
        <w:tc>
          <w:tcPr>
            <w:tcW w:w="1481" w:type="dxa"/>
            <w:hideMark/>
          </w:tcPr>
          <w:p w14:paraId="75F37B11"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10,40</w:t>
            </w:r>
          </w:p>
        </w:tc>
        <w:tc>
          <w:tcPr>
            <w:tcW w:w="1560" w:type="dxa"/>
            <w:hideMark/>
          </w:tcPr>
          <w:p w14:paraId="18C52B6C"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11,80</w:t>
            </w:r>
          </w:p>
        </w:tc>
        <w:tc>
          <w:tcPr>
            <w:tcW w:w="1424" w:type="dxa"/>
            <w:hideMark/>
          </w:tcPr>
          <w:p w14:paraId="5F1F859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11,70</w:t>
            </w:r>
          </w:p>
        </w:tc>
      </w:tr>
      <w:tr w:rsidR="00246B21" w:rsidRPr="00863BF0" w14:paraId="5D044F9D" w14:textId="77777777" w:rsidTr="00426C1F">
        <w:trPr>
          <w:trHeight w:val="18"/>
        </w:trPr>
        <w:tc>
          <w:tcPr>
            <w:tcW w:w="2399" w:type="dxa"/>
            <w:hideMark/>
          </w:tcPr>
          <w:p w14:paraId="036C4517" w14:textId="77777777" w:rsidR="00246B21" w:rsidRPr="00863BF0" w:rsidRDefault="00246B21" w:rsidP="00426C1F">
            <w:pPr>
              <w:spacing w:line="276" w:lineRule="auto"/>
              <w:jc w:val="both"/>
              <w:rPr>
                <w:rFonts w:asciiTheme="majorHAnsi" w:hAnsiTheme="majorHAnsi" w:cstheme="majorHAnsi"/>
                <w:b/>
                <w:bCs/>
                <w:i/>
                <w:iCs/>
                <w:sz w:val="20"/>
                <w:szCs w:val="24"/>
              </w:rPr>
            </w:pPr>
            <w:r w:rsidRPr="00863BF0">
              <w:rPr>
                <w:rFonts w:asciiTheme="majorHAnsi" w:hAnsiTheme="majorHAnsi" w:cstheme="majorHAnsi"/>
                <w:b/>
                <w:bCs/>
                <w:i/>
                <w:iCs/>
                <w:sz w:val="20"/>
                <w:szCs w:val="24"/>
                <w:lang w:val="ro-RO"/>
              </w:rPr>
              <w:t>BPN, cheltuieli</w:t>
            </w:r>
          </w:p>
        </w:tc>
        <w:tc>
          <w:tcPr>
            <w:tcW w:w="1201" w:type="dxa"/>
            <w:hideMark/>
          </w:tcPr>
          <w:p w14:paraId="6BA33EB2" w14:textId="77777777" w:rsidR="00246B21" w:rsidRPr="00617E4A" w:rsidRDefault="00246B21" w:rsidP="00426C1F">
            <w:pPr>
              <w:spacing w:line="276" w:lineRule="auto"/>
              <w:jc w:val="both"/>
              <w:rPr>
                <w:rFonts w:asciiTheme="majorHAnsi" w:hAnsiTheme="majorHAnsi" w:cstheme="majorHAnsi"/>
                <w:bCs/>
                <w:i/>
                <w:iCs/>
                <w:sz w:val="20"/>
                <w:szCs w:val="24"/>
              </w:rPr>
            </w:pPr>
            <w:r w:rsidRPr="00617E4A">
              <w:rPr>
                <w:rFonts w:asciiTheme="majorHAnsi" w:hAnsiTheme="majorHAnsi" w:cstheme="majorHAnsi"/>
                <w:bCs/>
                <w:i/>
                <w:iCs/>
                <w:sz w:val="20"/>
                <w:szCs w:val="24"/>
                <w:lang w:val="ro-RO"/>
              </w:rPr>
              <w:t xml:space="preserve">   mil.lei</w:t>
            </w:r>
          </w:p>
        </w:tc>
        <w:tc>
          <w:tcPr>
            <w:tcW w:w="1718" w:type="dxa"/>
            <w:hideMark/>
          </w:tcPr>
          <w:p w14:paraId="70A92D78" w14:textId="5436D711"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59</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576,90</w:t>
            </w:r>
          </w:p>
        </w:tc>
        <w:tc>
          <w:tcPr>
            <w:tcW w:w="1481" w:type="dxa"/>
            <w:hideMark/>
          </w:tcPr>
          <w:p w14:paraId="254249B5" w14:textId="5983B96F" w:rsidR="00246B21" w:rsidRPr="00617E4A" w:rsidRDefault="00500BB5" w:rsidP="00426C1F">
            <w:pPr>
              <w:spacing w:line="276" w:lineRule="auto"/>
              <w:jc w:val="center"/>
              <w:rPr>
                <w:rFonts w:asciiTheme="majorHAnsi" w:hAnsiTheme="majorHAnsi" w:cstheme="majorHAnsi"/>
                <w:bCs/>
                <w:i/>
                <w:iCs/>
                <w:sz w:val="20"/>
                <w:szCs w:val="24"/>
              </w:rPr>
            </w:pPr>
            <w:r>
              <w:rPr>
                <w:rFonts w:asciiTheme="majorHAnsi" w:hAnsiTheme="majorHAnsi" w:cstheme="majorHAnsi"/>
                <w:bCs/>
                <w:i/>
                <w:iCs/>
                <w:sz w:val="20"/>
                <w:szCs w:val="24"/>
              </w:rPr>
              <w:t xml:space="preserve">65 </w:t>
            </w:r>
            <w:r w:rsidR="00246B21" w:rsidRPr="00617E4A">
              <w:rPr>
                <w:rFonts w:asciiTheme="majorHAnsi" w:hAnsiTheme="majorHAnsi" w:cstheme="majorHAnsi"/>
                <w:bCs/>
                <w:i/>
                <w:iCs/>
                <w:sz w:val="20"/>
                <w:szCs w:val="24"/>
              </w:rPr>
              <w:t>975,6</w:t>
            </w:r>
          </w:p>
        </w:tc>
        <w:tc>
          <w:tcPr>
            <w:tcW w:w="1560" w:type="dxa"/>
            <w:noWrap/>
            <w:hideMark/>
          </w:tcPr>
          <w:p w14:paraId="7B127AFE" w14:textId="68BD60F6"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rPr>
              <w:t>73</w:t>
            </w:r>
            <w:r w:rsidR="00500BB5">
              <w:rPr>
                <w:rFonts w:asciiTheme="majorHAnsi" w:hAnsiTheme="majorHAnsi" w:cstheme="majorHAnsi"/>
                <w:bCs/>
                <w:i/>
                <w:iCs/>
                <w:sz w:val="20"/>
                <w:szCs w:val="24"/>
              </w:rPr>
              <w:t xml:space="preserve"> </w:t>
            </w:r>
            <w:r w:rsidRPr="00617E4A">
              <w:rPr>
                <w:rFonts w:asciiTheme="majorHAnsi" w:hAnsiTheme="majorHAnsi" w:cstheme="majorHAnsi"/>
                <w:bCs/>
                <w:i/>
                <w:iCs/>
                <w:sz w:val="20"/>
                <w:szCs w:val="24"/>
              </w:rPr>
              <w:t>269,80</w:t>
            </w:r>
          </w:p>
        </w:tc>
        <w:tc>
          <w:tcPr>
            <w:tcW w:w="1424" w:type="dxa"/>
            <w:noWrap/>
            <w:hideMark/>
          </w:tcPr>
          <w:p w14:paraId="0F05651A" w14:textId="7765A881"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rPr>
              <w:t>82</w:t>
            </w:r>
            <w:r w:rsidR="00500BB5">
              <w:rPr>
                <w:rFonts w:asciiTheme="majorHAnsi" w:hAnsiTheme="majorHAnsi" w:cstheme="majorHAnsi"/>
                <w:bCs/>
                <w:i/>
                <w:iCs/>
                <w:sz w:val="20"/>
                <w:szCs w:val="24"/>
              </w:rPr>
              <w:t xml:space="preserve"> </w:t>
            </w:r>
            <w:r w:rsidRPr="00617E4A">
              <w:rPr>
                <w:rFonts w:asciiTheme="majorHAnsi" w:hAnsiTheme="majorHAnsi" w:cstheme="majorHAnsi"/>
                <w:bCs/>
                <w:i/>
                <w:iCs/>
                <w:sz w:val="20"/>
                <w:szCs w:val="24"/>
              </w:rPr>
              <w:t>013,60</w:t>
            </w:r>
          </w:p>
        </w:tc>
      </w:tr>
      <w:tr w:rsidR="00246B21" w:rsidRPr="00863BF0" w14:paraId="4707D1D0" w14:textId="77777777" w:rsidTr="00426C1F">
        <w:trPr>
          <w:trHeight w:val="18"/>
        </w:trPr>
        <w:tc>
          <w:tcPr>
            <w:tcW w:w="2399" w:type="dxa"/>
            <w:hideMark/>
          </w:tcPr>
          <w:p w14:paraId="096F2A95" w14:textId="77777777" w:rsidR="00246B21" w:rsidRPr="00863BF0" w:rsidRDefault="00246B21" w:rsidP="00426C1F">
            <w:pPr>
              <w:spacing w:line="276" w:lineRule="auto"/>
              <w:jc w:val="both"/>
              <w:rPr>
                <w:rFonts w:asciiTheme="majorHAnsi" w:hAnsiTheme="majorHAnsi" w:cstheme="majorHAnsi"/>
                <w:b/>
                <w:bCs/>
                <w:i/>
                <w:iCs/>
                <w:sz w:val="20"/>
                <w:szCs w:val="24"/>
              </w:rPr>
            </w:pPr>
            <w:r w:rsidRPr="00863BF0">
              <w:rPr>
                <w:rFonts w:asciiTheme="majorHAnsi" w:hAnsiTheme="majorHAnsi" w:cstheme="majorHAnsi"/>
                <w:b/>
                <w:bCs/>
                <w:i/>
                <w:iCs/>
                <w:sz w:val="20"/>
                <w:szCs w:val="24"/>
                <w:lang w:val="ro-RO"/>
              </w:rPr>
              <w:t>Cheltuieli, total</w:t>
            </w:r>
          </w:p>
        </w:tc>
        <w:tc>
          <w:tcPr>
            <w:tcW w:w="1201" w:type="dxa"/>
            <w:hideMark/>
          </w:tcPr>
          <w:p w14:paraId="08C142DD" w14:textId="77777777" w:rsidR="00246B21" w:rsidRPr="00617E4A" w:rsidRDefault="00246B21" w:rsidP="00426C1F">
            <w:pPr>
              <w:spacing w:line="276" w:lineRule="auto"/>
              <w:jc w:val="both"/>
              <w:rPr>
                <w:rFonts w:asciiTheme="majorHAnsi" w:hAnsiTheme="majorHAnsi" w:cstheme="majorHAnsi"/>
                <w:bCs/>
                <w:i/>
                <w:iCs/>
                <w:sz w:val="20"/>
                <w:szCs w:val="24"/>
              </w:rPr>
            </w:pPr>
            <w:r w:rsidRPr="00617E4A">
              <w:rPr>
                <w:rFonts w:asciiTheme="majorHAnsi" w:hAnsiTheme="majorHAnsi" w:cstheme="majorHAnsi"/>
                <w:bCs/>
                <w:i/>
                <w:iCs/>
                <w:sz w:val="20"/>
                <w:szCs w:val="24"/>
                <w:lang w:val="ro-RO"/>
              </w:rPr>
              <w:t>mil. lei</w:t>
            </w:r>
          </w:p>
        </w:tc>
        <w:tc>
          <w:tcPr>
            <w:tcW w:w="1718" w:type="dxa"/>
            <w:hideMark/>
          </w:tcPr>
          <w:p w14:paraId="792EDC9E" w14:textId="7A9446FF"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19</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426,50</w:t>
            </w:r>
          </w:p>
        </w:tc>
        <w:tc>
          <w:tcPr>
            <w:tcW w:w="1481" w:type="dxa"/>
            <w:hideMark/>
          </w:tcPr>
          <w:p w14:paraId="15D28C6B" w14:textId="03E6FBE3"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21</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602,30</w:t>
            </w:r>
          </w:p>
        </w:tc>
        <w:tc>
          <w:tcPr>
            <w:tcW w:w="1560" w:type="dxa"/>
            <w:hideMark/>
          </w:tcPr>
          <w:p w14:paraId="49619174" w14:textId="14C4B337"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24</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244,40</w:t>
            </w:r>
          </w:p>
        </w:tc>
        <w:tc>
          <w:tcPr>
            <w:tcW w:w="1424" w:type="dxa"/>
            <w:hideMark/>
          </w:tcPr>
          <w:p w14:paraId="3F15EBE7" w14:textId="27336BBF"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27</w:t>
            </w:r>
            <w:r w:rsidR="00500BB5">
              <w:rPr>
                <w:rFonts w:asciiTheme="majorHAnsi" w:hAnsiTheme="majorHAnsi" w:cstheme="majorHAnsi"/>
                <w:bCs/>
                <w:i/>
                <w:iCs/>
                <w:sz w:val="20"/>
                <w:szCs w:val="24"/>
                <w:lang w:val="ro-RO"/>
              </w:rPr>
              <w:t xml:space="preserve"> </w:t>
            </w:r>
            <w:r w:rsidRPr="00617E4A">
              <w:rPr>
                <w:rFonts w:asciiTheme="majorHAnsi" w:hAnsiTheme="majorHAnsi" w:cstheme="majorHAnsi"/>
                <w:bCs/>
                <w:i/>
                <w:iCs/>
                <w:sz w:val="20"/>
                <w:szCs w:val="24"/>
                <w:lang w:val="ro-RO"/>
              </w:rPr>
              <w:t>186,70</w:t>
            </w:r>
          </w:p>
        </w:tc>
      </w:tr>
      <w:tr w:rsidR="00246B21" w:rsidRPr="00863BF0" w14:paraId="386E749E" w14:textId="77777777" w:rsidTr="00426C1F">
        <w:trPr>
          <w:trHeight w:val="18"/>
        </w:trPr>
        <w:tc>
          <w:tcPr>
            <w:tcW w:w="2399" w:type="dxa"/>
            <w:hideMark/>
          </w:tcPr>
          <w:p w14:paraId="1208EAB0"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Devieri +/- față de anul precedent</w:t>
            </w:r>
          </w:p>
        </w:tc>
        <w:tc>
          <w:tcPr>
            <w:tcW w:w="1201" w:type="dxa"/>
            <w:hideMark/>
          </w:tcPr>
          <w:p w14:paraId="7B201868"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mil. lei</w:t>
            </w:r>
          </w:p>
        </w:tc>
        <w:tc>
          <w:tcPr>
            <w:tcW w:w="1718" w:type="dxa"/>
            <w:hideMark/>
          </w:tcPr>
          <w:p w14:paraId="19555002"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1 811,9</w:t>
            </w:r>
          </w:p>
        </w:tc>
        <w:tc>
          <w:tcPr>
            <w:tcW w:w="1481" w:type="dxa"/>
            <w:hideMark/>
          </w:tcPr>
          <w:p w14:paraId="78EB2AE0"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2 175,8</w:t>
            </w:r>
          </w:p>
        </w:tc>
        <w:tc>
          <w:tcPr>
            <w:tcW w:w="1560" w:type="dxa"/>
            <w:hideMark/>
          </w:tcPr>
          <w:p w14:paraId="70D8BE85"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2 642,0</w:t>
            </w:r>
          </w:p>
        </w:tc>
        <w:tc>
          <w:tcPr>
            <w:tcW w:w="1424" w:type="dxa"/>
            <w:hideMark/>
          </w:tcPr>
          <w:p w14:paraId="4611EAEE"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2 942,5</w:t>
            </w:r>
          </w:p>
        </w:tc>
      </w:tr>
      <w:tr w:rsidR="00246B21" w:rsidRPr="00863BF0" w14:paraId="581B79E4" w14:textId="77777777" w:rsidTr="00426C1F">
        <w:trPr>
          <w:trHeight w:val="18"/>
        </w:trPr>
        <w:tc>
          <w:tcPr>
            <w:tcW w:w="2399" w:type="dxa"/>
            <w:hideMark/>
          </w:tcPr>
          <w:p w14:paraId="007CA82B"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Ponderea în BPN</w:t>
            </w:r>
          </w:p>
        </w:tc>
        <w:tc>
          <w:tcPr>
            <w:tcW w:w="1201" w:type="dxa"/>
            <w:hideMark/>
          </w:tcPr>
          <w:p w14:paraId="494C3A22"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w:t>
            </w:r>
          </w:p>
        </w:tc>
        <w:tc>
          <w:tcPr>
            <w:tcW w:w="1718" w:type="dxa"/>
            <w:hideMark/>
          </w:tcPr>
          <w:p w14:paraId="0C5F1341"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32,60</w:t>
            </w:r>
          </w:p>
        </w:tc>
        <w:tc>
          <w:tcPr>
            <w:tcW w:w="1481" w:type="dxa"/>
            <w:hideMark/>
          </w:tcPr>
          <w:p w14:paraId="36726EF1"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32,70</w:t>
            </w:r>
          </w:p>
        </w:tc>
        <w:tc>
          <w:tcPr>
            <w:tcW w:w="1560" w:type="dxa"/>
            <w:hideMark/>
          </w:tcPr>
          <w:p w14:paraId="5F16F495"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33,10</w:t>
            </w:r>
          </w:p>
        </w:tc>
        <w:tc>
          <w:tcPr>
            <w:tcW w:w="1424" w:type="dxa"/>
            <w:hideMark/>
          </w:tcPr>
          <w:p w14:paraId="0EB1DA97"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33,20</w:t>
            </w:r>
          </w:p>
        </w:tc>
      </w:tr>
      <w:tr w:rsidR="00246B21" w:rsidRPr="00863BF0" w14:paraId="2DFC4C25" w14:textId="77777777" w:rsidTr="00426C1F">
        <w:trPr>
          <w:trHeight w:val="18"/>
        </w:trPr>
        <w:tc>
          <w:tcPr>
            <w:tcW w:w="2399" w:type="dxa"/>
            <w:hideMark/>
          </w:tcPr>
          <w:p w14:paraId="31201205"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Ponderea în PIB</w:t>
            </w:r>
          </w:p>
        </w:tc>
        <w:tc>
          <w:tcPr>
            <w:tcW w:w="1201" w:type="dxa"/>
            <w:hideMark/>
          </w:tcPr>
          <w:p w14:paraId="36601CC3"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w:t>
            </w:r>
          </w:p>
        </w:tc>
        <w:tc>
          <w:tcPr>
            <w:tcW w:w="1718" w:type="dxa"/>
            <w:hideMark/>
          </w:tcPr>
          <w:p w14:paraId="203C419A"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10,10</w:t>
            </w:r>
          </w:p>
        </w:tc>
        <w:tc>
          <w:tcPr>
            <w:tcW w:w="1481" w:type="dxa"/>
            <w:hideMark/>
          </w:tcPr>
          <w:p w14:paraId="42AD85D7"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10,30</w:t>
            </w:r>
          </w:p>
        </w:tc>
        <w:tc>
          <w:tcPr>
            <w:tcW w:w="1560" w:type="dxa"/>
            <w:hideMark/>
          </w:tcPr>
          <w:p w14:paraId="15F45B3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11,70</w:t>
            </w:r>
          </w:p>
        </w:tc>
        <w:tc>
          <w:tcPr>
            <w:tcW w:w="1424" w:type="dxa"/>
            <w:hideMark/>
          </w:tcPr>
          <w:p w14:paraId="5A5C9CE8"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11,60</w:t>
            </w:r>
          </w:p>
        </w:tc>
      </w:tr>
      <w:tr w:rsidR="00246B21" w:rsidRPr="00863BF0" w14:paraId="6BA90FDF" w14:textId="77777777" w:rsidTr="00426C1F">
        <w:trPr>
          <w:trHeight w:val="18"/>
        </w:trPr>
        <w:tc>
          <w:tcPr>
            <w:tcW w:w="2399" w:type="dxa"/>
            <w:hideMark/>
          </w:tcPr>
          <w:p w14:paraId="4301F571" w14:textId="77777777" w:rsidR="00246B21" w:rsidRPr="00863BF0" w:rsidRDefault="00246B21" w:rsidP="00426C1F">
            <w:pPr>
              <w:spacing w:line="276" w:lineRule="auto"/>
              <w:jc w:val="both"/>
              <w:rPr>
                <w:rFonts w:asciiTheme="majorHAnsi" w:hAnsiTheme="majorHAnsi" w:cstheme="majorHAnsi"/>
                <w:b/>
                <w:bCs/>
                <w:i/>
                <w:iCs/>
                <w:sz w:val="20"/>
                <w:szCs w:val="24"/>
              </w:rPr>
            </w:pPr>
            <w:r w:rsidRPr="00863BF0">
              <w:rPr>
                <w:rFonts w:asciiTheme="majorHAnsi" w:hAnsiTheme="majorHAnsi" w:cstheme="majorHAnsi"/>
                <w:b/>
                <w:bCs/>
                <w:i/>
                <w:iCs/>
                <w:sz w:val="20"/>
                <w:szCs w:val="24"/>
                <w:lang w:val="ro-RO"/>
              </w:rPr>
              <w:t>Deficit (-)/Excedent (+)</w:t>
            </w:r>
          </w:p>
        </w:tc>
        <w:tc>
          <w:tcPr>
            <w:tcW w:w="1201" w:type="dxa"/>
            <w:hideMark/>
          </w:tcPr>
          <w:p w14:paraId="3D31CD43" w14:textId="77777777" w:rsidR="00246B21" w:rsidRPr="00617E4A" w:rsidRDefault="00246B21" w:rsidP="00426C1F">
            <w:pPr>
              <w:spacing w:line="276" w:lineRule="auto"/>
              <w:jc w:val="both"/>
              <w:rPr>
                <w:rFonts w:asciiTheme="majorHAnsi" w:hAnsiTheme="majorHAnsi" w:cstheme="majorHAnsi"/>
                <w:bCs/>
                <w:i/>
                <w:iCs/>
                <w:sz w:val="20"/>
                <w:szCs w:val="24"/>
              </w:rPr>
            </w:pPr>
            <w:r w:rsidRPr="00617E4A">
              <w:rPr>
                <w:rFonts w:asciiTheme="majorHAnsi" w:hAnsiTheme="majorHAnsi" w:cstheme="majorHAnsi"/>
                <w:bCs/>
                <w:i/>
                <w:iCs/>
                <w:sz w:val="20"/>
                <w:szCs w:val="24"/>
                <w:lang w:val="ro-RO"/>
              </w:rPr>
              <w:t>mil. lei</w:t>
            </w:r>
          </w:p>
        </w:tc>
        <w:tc>
          <w:tcPr>
            <w:tcW w:w="1718" w:type="dxa"/>
            <w:hideMark/>
          </w:tcPr>
          <w:p w14:paraId="3A9C5BAE" w14:textId="77777777"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363,80</w:t>
            </w:r>
          </w:p>
        </w:tc>
        <w:tc>
          <w:tcPr>
            <w:tcW w:w="1481" w:type="dxa"/>
            <w:hideMark/>
          </w:tcPr>
          <w:p w14:paraId="1B7601F9" w14:textId="77777777"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146,00</w:t>
            </w:r>
          </w:p>
        </w:tc>
        <w:tc>
          <w:tcPr>
            <w:tcW w:w="1560" w:type="dxa"/>
            <w:hideMark/>
          </w:tcPr>
          <w:p w14:paraId="1936662E" w14:textId="77777777"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41,20</w:t>
            </w:r>
          </w:p>
        </w:tc>
        <w:tc>
          <w:tcPr>
            <w:tcW w:w="1424" w:type="dxa"/>
            <w:hideMark/>
          </w:tcPr>
          <w:p w14:paraId="56FAB971" w14:textId="77777777" w:rsidR="00246B21" w:rsidRPr="00617E4A" w:rsidRDefault="00246B21" w:rsidP="00426C1F">
            <w:pPr>
              <w:spacing w:line="276" w:lineRule="auto"/>
              <w:jc w:val="center"/>
              <w:rPr>
                <w:rFonts w:asciiTheme="majorHAnsi" w:hAnsiTheme="majorHAnsi" w:cstheme="majorHAnsi"/>
                <w:bCs/>
                <w:i/>
                <w:iCs/>
                <w:sz w:val="20"/>
                <w:szCs w:val="24"/>
              </w:rPr>
            </w:pPr>
            <w:r w:rsidRPr="00617E4A">
              <w:rPr>
                <w:rFonts w:asciiTheme="majorHAnsi" w:hAnsiTheme="majorHAnsi" w:cstheme="majorHAnsi"/>
                <w:bCs/>
                <w:i/>
                <w:iCs/>
                <w:sz w:val="20"/>
                <w:szCs w:val="24"/>
                <w:lang w:val="ro-RO"/>
              </w:rPr>
              <w:t>60,00</w:t>
            </w:r>
          </w:p>
        </w:tc>
      </w:tr>
      <w:tr w:rsidR="00246B21" w:rsidRPr="00863BF0" w14:paraId="3C5E3CBA" w14:textId="77777777" w:rsidTr="00426C1F">
        <w:trPr>
          <w:trHeight w:val="18"/>
        </w:trPr>
        <w:tc>
          <w:tcPr>
            <w:tcW w:w="2399" w:type="dxa"/>
            <w:hideMark/>
          </w:tcPr>
          <w:p w14:paraId="4FD2C676"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Devieri +/- față de anul precedent</w:t>
            </w:r>
          </w:p>
        </w:tc>
        <w:tc>
          <w:tcPr>
            <w:tcW w:w="1201" w:type="dxa"/>
            <w:hideMark/>
          </w:tcPr>
          <w:p w14:paraId="64147ECC"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mil. lei</w:t>
            </w:r>
          </w:p>
        </w:tc>
        <w:tc>
          <w:tcPr>
            <w:tcW w:w="1718" w:type="dxa"/>
            <w:hideMark/>
          </w:tcPr>
          <w:p w14:paraId="01514176"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159,60</w:t>
            </w:r>
          </w:p>
        </w:tc>
        <w:tc>
          <w:tcPr>
            <w:tcW w:w="1481" w:type="dxa"/>
            <w:hideMark/>
          </w:tcPr>
          <w:p w14:paraId="25490E2E"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-217,80</w:t>
            </w:r>
          </w:p>
        </w:tc>
        <w:tc>
          <w:tcPr>
            <w:tcW w:w="1560" w:type="dxa"/>
            <w:hideMark/>
          </w:tcPr>
          <w:p w14:paraId="7EB1CB08"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-104,80</w:t>
            </w:r>
          </w:p>
        </w:tc>
        <w:tc>
          <w:tcPr>
            <w:tcW w:w="1424" w:type="dxa"/>
            <w:hideMark/>
          </w:tcPr>
          <w:p w14:paraId="05C6F2D3"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18,80</w:t>
            </w:r>
          </w:p>
        </w:tc>
      </w:tr>
      <w:tr w:rsidR="00246B21" w:rsidRPr="00863BF0" w14:paraId="1436B293" w14:textId="77777777" w:rsidTr="00426C1F">
        <w:trPr>
          <w:trHeight w:val="18"/>
        </w:trPr>
        <w:tc>
          <w:tcPr>
            <w:tcW w:w="2399" w:type="dxa"/>
            <w:hideMark/>
          </w:tcPr>
          <w:p w14:paraId="064C8EA1" w14:textId="77777777" w:rsidR="00246B21" w:rsidRPr="00863BF0" w:rsidRDefault="00246B21" w:rsidP="00426C1F">
            <w:pPr>
              <w:spacing w:line="276" w:lineRule="auto"/>
              <w:jc w:val="both"/>
              <w:rPr>
                <w:rFonts w:asciiTheme="majorHAnsi" w:hAnsiTheme="majorHAnsi" w:cstheme="majorHAnsi"/>
                <w:b/>
                <w:i/>
                <w:sz w:val="20"/>
                <w:szCs w:val="24"/>
              </w:rPr>
            </w:pPr>
            <w:r w:rsidRPr="00863BF0">
              <w:rPr>
                <w:rFonts w:asciiTheme="majorHAnsi" w:hAnsiTheme="majorHAnsi" w:cstheme="majorHAnsi"/>
                <w:b/>
                <w:i/>
                <w:sz w:val="20"/>
                <w:szCs w:val="24"/>
                <w:lang w:val="ro-RO"/>
              </w:rPr>
              <w:t>Ponderea în PIB</w:t>
            </w:r>
          </w:p>
        </w:tc>
        <w:tc>
          <w:tcPr>
            <w:tcW w:w="1201" w:type="dxa"/>
            <w:hideMark/>
          </w:tcPr>
          <w:p w14:paraId="42086EE9" w14:textId="77777777" w:rsidR="00246B21" w:rsidRPr="00617E4A" w:rsidRDefault="00246B21" w:rsidP="00426C1F">
            <w:pPr>
              <w:spacing w:line="276" w:lineRule="auto"/>
              <w:jc w:val="both"/>
              <w:rPr>
                <w:rFonts w:asciiTheme="majorHAnsi" w:hAnsiTheme="majorHAnsi" w:cstheme="majorHAnsi"/>
                <w:i/>
                <w:sz w:val="20"/>
                <w:szCs w:val="24"/>
              </w:rPr>
            </w:pPr>
            <w:r w:rsidRPr="00617E4A">
              <w:rPr>
                <w:rFonts w:asciiTheme="majorHAnsi" w:hAnsiTheme="majorHAnsi" w:cstheme="majorHAnsi"/>
                <w:i/>
                <w:sz w:val="20"/>
                <w:szCs w:val="24"/>
                <w:lang w:val="ro-RO"/>
              </w:rPr>
              <w:t>%</w:t>
            </w:r>
          </w:p>
        </w:tc>
        <w:tc>
          <w:tcPr>
            <w:tcW w:w="1718" w:type="dxa"/>
            <w:hideMark/>
          </w:tcPr>
          <w:p w14:paraId="5893B1DE"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0,19</w:t>
            </w:r>
          </w:p>
        </w:tc>
        <w:tc>
          <w:tcPr>
            <w:tcW w:w="1481" w:type="dxa"/>
            <w:hideMark/>
          </w:tcPr>
          <w:p w14:paraId="351B6798"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0,07</w:t>
            </w:r>
          </w:p>
        </w:tc>
        <w:tc>
          <w:tcPr>
            <w:tcW w:w="1560" w:type="dxa"/>
            <w:hideMark/>
          </w:tcPr>
          <w:p w14:paraId="7761F2CE"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0,02</w:t>
            </w:r>
          </w:p>
        </w:tc>
        <w:tc>
          <w:tcPr>
            <w:tcW w:w="1424" w:type="dxa"/>
            <w:hideMark/>
          </w:tcPr>
          <w:p w14:paraId="03ACB8B5" w14:textId="77777777" w:rsidR="00246B21" w:rsidRPr="00617E4A" w:rsidRDefault="00246B21" w:rsidP="00426C1F">
            <w:pPr>
              <w:spacing w:line="276" w:lineRule="auto"/>
              <w:jc w:val="center"/>
              <w:rPr>
                <w:rFonts w:asciiTheme="majorHAnsi" w:hAnsiTheme="majorHAnsi" w:cstheme="majorHAnsi"/>
                <w:i/>
                <w:sz w:val="20"/>
                <w:szCs w:val="24"/>
              </w:rPr>
            </w:pPr>
            <w:r w:rsidRPr="00617E4A">
              <w:rPr>
                <w:rFonts w:asciiTheme="majorHAnsi" w:hAnsiTheme="majorHAnsi" w:cstheme="majorHAnsi"/>
                <w:i/>
                <w:sz w:val="20"/>
                <w:szCs w:val="24"/>
                <w:lang w:val="ro-RO"/>
              </w:rPr>
              <w:t>0,02</w:t>
            </w:r>
          </w:p>
        </w:tc>
      </w:tr>
    </w:tbl>
    <w:p w14:paraId="26D3BB3C" w14:textId="1C1BE6F3" w:rsidR="001F113B" w:rsidRPr="00E82CC1" w:rsidRDefault="001F113B" w:rsidP="001F113B">
      <w:pPr>
        <w:spacing w:line="276" w:lineRule="auto"/>
        <w:jc w:val="both"/>
        <w:rPr>
          <w:rFonts w:asciiTheme="majorHAnsi" w:hAnsiTheme="majorHAnsi" w:cstheme="majorHAnsi"/>
          <w:sz w:val="24"/>
          <w:szCs w:val="24"/>
          <w:lang w:val="ro-RO"/>
        </w:rPr>
      </w:pPr>
      <w:r w:rsidRPr="00E82CC1">
        <w:rPr>
          <w:rFonts w:asciiTheme="majorHAnsi" w:hAnsiTheme="majorHAnsi" w:cstheme="majorHAnsi"/>
          <w:b/>
          <w:i/>
          <w:sz w:val="20"/>
          <w:szCs w:val="24"/>
          <w:lang w:val="ro-RO"/>
        </w:rPr>
        <w:t>Sursa:</w:t>
      </w:r>
      <w:r w:rsidRPr="00E82CC1">
        <w:rPr>
          <w:rFonts w:asciiTheme="majorHAnsi" w:hAnsiTheme="majorHAnsi" w:cstheme="majorHAnsi"/>
          <w:sz w:val="18"/>
          <w:lang w:val="ro-RO"/>
        </w:rPr>
        <w:t xml:space="preserve"> </w:t>
      </w:r>
      <w:r w:rsidRPr="00E82CC1">
        <w:rPr>
          <w:rFonts w:asciiTheme="majorHAnsi" w:hAnsiTheme="majorHAnsi" w:cstheme="majorHAnsi"/>
          <w:i/>
          <w:sz w:val="20"/>
          <w:lang w:val="ro-RO"/>
        </w:rPr>
        <w:t>Raportul privind executarea bugetului asigurărilo</w:t>
      </w:r>
      <w:r w:rsidR="00677666">
        <w:rPr>
          <w:rFonts w:asciiTheme="majorHAnsi" w:hAnsiTheme="majorHAnsi" w:cstheme="majorHAnsi"/>
          <w:i/>
          <w:sz w:val="20"/>
          <w:lang w:val="ro-RO"/>
        </w:rPr>
        <w:t xml:space="preserve">r sociale de stat în anul 2021; </w:t>
      </w:r>
      <w:hyperlink r:id="rId28" w:history="1">
        <w:r w:rsidR="00677666" w:rsidRPr="006D3A6E">
          <w:rPr>
            <w:rStyle w:val="af1"/>
            <w:rFonts w:asciiTheme="majorHAnsi" w:hAnsiTheme="majorHAnsi" w:cstheme="majorHAnsi"/>
            <w:i/>
            <w:sz w:val="20"/>
            <w:lang w:val="ro-RO"/>
          </w:rPr>
          <w:t>www.statistica.md</w:t>
        </w:r>
      </w:hyperlink>
      <w:r w:rsidR="00677666">
        <w:rPr>
          <w:rFonts w:asciiTheme="majorHAnsi" w:hAnsiTheme="majorHAnsi" w:cstheme="majorHAnsi"/>
          <w:i/>
          <w:sz w:val="20"/>
          <w:lang w:val="ro-RO"/>
        </w:rPr>
        <w:t xml:space="preserve"> </w:t>
      </w:r>
    </w:p>
    <w:p w14:paraId="56EF3B23" w14:textId="32B942C0" w:rsidR="00B050E3" w:rsidRPr="00E82CC1" w:rsidRDefault="00B9582F" w:rsidP="00B9582F">
      <w:pPr>
        <w:spacing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Pentru al doilea an la rând, planificarea și executarea bugetului asigurărilor sociale de stat are loc în condițiile determinate de situația pandemică. Aceasta a influențat în mod direct și procesul de deservire de către CNAS cu subdiviziunile sale teritoriale (CTAS) a beneficiarilor sistemului de asigurări sociale, condiționând luarea de măsuri urgente pentru a stabili regim</w:t>
      </w:r>
      <w:r w:rsidR="00E17CB4">
        <w:rPr>
          <w:rFonts w:asciiTheme="majorHAnsi" w:hAnsiTheme="majorHAnsi" w:cstheme="majorHAnsi"/>
          <w:sz w:val="24"/>
          <w:szCs w:val="24"/>
          <w:lang w:val="ro-RO"/>
        </w:rPr>
        <w:t>ul</w:t>
      </w:r>
      <w:r w:rsidRPr="00E82CC1">
        <w:rPr>
          <w:rFonts w:asciiTheme="majorHAnsi" w:hAnsiTheme="majorHAnsi" w:cstheme="majorHAnsi"/>
          <w:sz w:val="24"/>
          <w:szCs w:val="24"/>
          <w:lang w:val="ro-RO"/>
        </w:rPr>
        <w:t xml:space="preserve"> special de activitate a CTAS, astfel fiind fluidizat</w:t>
      </w:r>
      <w:r w:rsidR="00CE6602" w:rsidRPr="00E82CC1">
        <w:rPr>
          <w:rFonts w:asciiTheme="majorHAnsi" w:hAnsiTheme="majorHAnsi" w:cstheme="majorHAnsi"/>
          <w:sz w:val="24"/>
          <w:szCs w:val="24"/>
          <w:lang w:val="ro-RO"/>
        </w:rPr>
        <w:t>ă</w:t>
      </w:r>
      <w:r w:rsidRPr="00E82CC1">
        <w:rPr>
          <w:rFonts w:asciiTheme="majorHAnsi" w:hAnsiTheme="majorHAnsi" w:cstheme="majorHAnsi"/>
          <w:sz w:val="24"/>
          <w:szCs w:val="24"/>
          <w:lang w:val="ro-RO"/>
        </w:rPr>
        <w:t xml:space="preserve"> </w:t>
      </w:r>
      <w:r w:rsidR="00E35E2B" w:rsidRPr="00E82CC1">
        <w:rPr>
          <w:rFonts w:asciiTheme="majorHAnsi" w:hAnsiTheme="majorHAnsi" w:cstheme="majorHAnsi"/>
          <w:sz w:val="24"/>
          <w:szCs w:val="24"/>
          <w:lang w:val="ro-RO"/>
        </w:rPr>
        <w:t xml:space="preserve">circulația </w:t>
      </w:r>
      <w:r w:rsidRPr="00E82CC1">
        <w:rPr>
          <w:rFonts w:asciiTheme="majorHAnsi" w:hAnsiTheme="majorHAnsi" w:cstheme="majorHAnsi"/>
          <w:sz w:val="24"/>
          <w:szCs w:val="24"/>
          <w:lang w:val="ro-RO"/>
        </w:rPr>
        <w:t xml:space="preserve">de cetățeni în </w:t>
      </w:r>
      <w:r w:rsidR="00E17CB4">
        <w:rPr>
          <w:rFonts w:asciiTheme="majorHAnsi" w:hAnsiTheme="majorHAnsi" w:cstheme="majorHAnsi"/>
          <w:sz w:val="24"/>
          <w:szCs w:val="24"/>
          <w:lang w:val="ro-RO"/>
        </w:rPr>
        <w:t>funcție</w:t>
      </w:r>
      <w:r w:rsidR="00E17CB4" w:rsidRPr="00E82CC1">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de categoria acestora. T</w:t>
      </w:r>
      <w:r w:rsidR="006A3810" w:rsidRPr="00E82CC1">
        <w:rPr>
          <w:rFonts w:asciiTheme="majorHAnsi" w:hAnsiTheme="majorHAnsi" w:cstheme="majorHAnsi"/>
          <w:sz w:val="24"/>
          <w:szCs w:val="24"/>
          <w:lang w:val="ro-RO"/>
        </w:rPr>
        <w:t>otodată,</w:t>
      </w:r>
      <w:r w:rsidRPr="00E82CC1">
        <w:rPr>
          <w:rFonts w:asciiTheme="majorHAnsi" w:hAnsiTheme="majorHAnsi" w:cstheme="majorHAnsi"/>
          <w:sz w:val="24"/>
          <w:szCs w:val="24"/>
          <w:lang w:val="ro-RO"/>
        </w:rPr>
        <w:t xml:space="preserve"> în vederea susţinerii angajatorilor şi salariaţilor în situaţia de criză economică provocată de pandemia Covid-19</w:t>
      </w:r>
      <w:r w:rsidR="00E17CB4">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w:t>
      </w:r>
      <w:r w:rsidR="00E17CB4">
        <w:rPr>
          <w:rFonts w:asciiTheme="majorHAnsi" w:hAnsiTheme="majorHAnsi" w:cstheme="majorHAnsi"/>
          <w:sz w:val="24"/>
          <w:szCs w:val="24"/>
          <w:lang w:val="ro-RO"/>
        </w:rPr>
        <w:t xml:space="preserve">au </w:t>
      </w:r>
      <w:r w:rsidRPr="00E82CC1">
        <w:rPr>
          <w:rFonts w:asciiTheme="majorHAnsi" w:hAnsiTheme="majorHAnsi" w:cstheme="majorHAnsi"/>
          <w:sz w:val="24"/>
          <w:szCs w:val="24"/>
          <w:lang w:val="ro-RO"/>
        </w:rPr>
        <w:t>fost operate modificări ale indicatorilor BASS.</w:t>
      </w:r>
    </w:p>
    <w:p w14:paraId="32BC9B90" w14:textId="08429B8A" w:rsidR="00EC3591" w:rsidRPr="00E82CC1" w:rsidRDefault="001F113B" w:rsidP="00B9582F">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lang w:val="ro-MD"/>
        </w:rPr>
        <w:t>Deşi Legea finanţelor publice şi responsabilităţii bugetar-fiscale</w:t>
      </w:r>
      <w:r w:rsidRPr="00E82CC1">
        <w:rPr>
          <w:rStyle w:val="a5"/>
          <w:rFonts w:asciiTheme="majorHAnsi" w:hAnsiTheme="majorHAnsi" w:cstheme="majorHAnsi"/>
          <w:sz w:val="24"/>
          <w:lang w:val="ro-MD"/>
        </w:rPr>
        <w:footnoteReference w:id="78"/>
      </w:r>
      <w:r w:rsidRPr="00E82CC1">
        <w:rPr>
          <w:rFonts w:asciiTheme="majorHAnsi" w:hAnsiTheme="majorHAnsi" w:cstheme="majorHAnsi"/>
          <w:sz w:val="24"/>
          <w:lang w:val="ro-MD"/>
        </w:rPr>
        <w:t xml:space="preserve"> stabileşte condiţiile şi termenele generale privind modificările/precizările bugetelor anuale aprobate, indicatorii anuali ai bugetului asigurărilor sociale de stat  au fost precizaţi de 3 ori</w:t>
      </w:r>
      <w:r w:rsidR="00EC3591" w:rsidRPr="00E82CC1">
        <w:rPr>
          <w:rStyle w:val="a5"/>
          <w:rFonts w:asciiTheme="majorHAnsi" w:hAnsiTheme="majorHAnsi" w:cstheme="majorHAnsi"/>
          <w:sz w:val="24"/>
          <w:szCs w:val="24"/>
          <w:lang w:val="ro-RO"/>
        </w:rPr>
        <w:footnoteReference w:id="79"/>
      </w:r>
      <w:r w:rsidR="00B9582F" w:rsidRPr="00E82CC1">
        <w:rPr>
          <w:rFonts w:asciiTheme="majorHAnsi" w:hAnsiTheme="majorHAnsi" w:cstheme="majorHAnsi"/>
          <w:sz w:val="24"/>
          <w:szCs w:val="24"/>
          <w:lang w:val="ro-RO"/>
        </w:rPr>
        <w:t xml:space="preserve">. </w:t>
      </w:r>
      <w:r w:rsidR="00EC3591" w:rsidRPr="00E82CC1">
        <w:rPr>
          <w:rFonts w:asciiTheme="majorHAnsi" w:hAnsiTheme="majorHAnsi" w:cstheme="majorHAnsi"/>
          <w:sz w:val="24"/>
          <w:szCs w:val="24"/>
          <w:lang w:val="ro-RO"/>
        </w:rPr>
        <w:t>Precizările indicatorilor buget</w:t>
      </w:r>
      <w:r w:rsidR="00812372">
        <w:rPr>
          <w:rFonts w:asciiTheme="majorHAnsi" w:hAnsiTheme="majorHAnsi" w:cstheme="majorHAnsi"/>
          <w:sz w:val="24"/>
          <w:szCs w:val="24"/>
          <w:lang w:val="ro-RO"/>
        </w:rPr>
        <w:t>ari</w:t>
      </w:r>
      <w:r w:rsidR="00EC3591" w:rsidRPr="00E82CC1">
        <w:rPr>
          <w:rFonts w:asciiTheme="majorHAnsi" w:hAnsiTheme="majorHAnsi" w:cstheme="majorHAnsi"/>
          <w:sz w:val="24"/>
          <w:szCs w:val="24"/>
          <w:lang w:val="ro-RO"/>
        </w:rPr>
        <w:t xml:space="preserve"> au fost influențate de nivelul executării bugetului asigurărilor sociale de stat pe parcursul anului bugetar, de caracterul dinamic al numărului beneficiarilor şi a</w:t>
      </w:r>
      <w:r w:rsidR="00812372">
        <w:rPr>
          <w:rFonts w:asciiTheme="majorHAnsi" w:hAnsiTheme="majorHAnsi" w:cstheme="majorHAnsi"/>
          <w:sz w:val="24"/>
          <w:szCs w:val="24"/>
          <w:lang w:val="ro-RO"/>
        </w:rPr>
        <w:t>l</w:t>
      </w:r>
      <w:r w:rsidR="00EC3591" w:rsidRPr="00E82CC1">
        <w:rPr>
          <w:rFonts w:asciiTheme="majorHAnsi" w:hAnsiTheme="majorHAnsi" w:cstheme="majorHAnsi"/>
          <w:sz w:val="24"/>
          <w:szCs w:val="24"/>
          <w:lang w:val="ro-RO"/>
        </w:rPr>
        <w:t xml:space="preserve"> mărimilor medii ale prestaţiilor sociale, de revizuirea de către Ministerul Economiei a prognozei principalilor indicatori macroeconomici pentru anul 2021, precum şi de necesitatea implementării măsurilor noi aprobate în legislaţie pe parcursul anului bugetar, cu impact asupra bugetului asigurărilor sociale de stat:</w:t>
      </w:r>
    </w:p>
    <w:p w14:paraId="08A8A1BB" w14:textId="77777777" w:rsidR="00EC3591" w:rsidRPr="00E82CC1" w:rsidRDefault="00EC3591" w:rsidP="006868F5">
      <w:pPr>
        <w:pStyle w:val="a9"/>
        <w:numPr>
          <w:ilvl w:val="0"/>
          <w:numId w:val="17"/>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modificarea modalităţii de determinare a coeficientului de indexare a pensiilor la 1 aprilie 2021 (media creșterii anuale a indicilor prețurilor de consum din ultimii 3 ani), comparativ cu modalitatea anterioară (rata inflației înregistrată în ultimul semestru al anului precedent anului indexării);</w:t>
      </w:r>
    </w:p>
    <w:p w14:paraId="4851422C" w14:textId="6649C4A3" w:rsidR="00EC3591" w:rsidRPr="00E82CC1" w:rsidRDefault="00EC3591" w:rsidP="006868F5">
      <w:pPr>
        <w:pStyle w:val="a9"/>
        <w:numPr>
          <w:ilvl w:val="0"/>
          <w:numId w:val="17"/>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majorarea, de la 1 octombrie 2021</w:t>
      </w:r>
      <w:r w:rsidR="00812372">
        <w:rPr>
          <w:rFonts w:asciiTheme="majorHAnsi" w:hAnsiTheme="majorHAnsi" w:cstheme="majorHAnsi"/>
          <w:sz w:val="24"/>
          <w:szCs w:val="24"/>
          <w:lang w:val="ro-RO"/>
        </w:rPr>
        <w:t>,</w:t>
      </w:r>
      <w:r w:rsidRPr="00E82CC1">
        <w:rPr>
          <w:rFonts w:asciiTheme="majorHAnsi" w:hAnsiTheme="majorHAnsi" w:cstheme="majorHAnsi"/>
          <w:sz w:val="24"/>
          <w:szCs w:val="24"/>
          <w:lang w:val="ro-RO"/>
        </w:rPr>
        <w:t xml:space="preserve"> a cuantumului pensiei minime pentru </w:t>
      </w:r>
      <w:r w:rsidR="00F24882" w:rsidRPr="00E82CC1">
        <w:rPr>
          <w:rFonts w:asciiTheme="majorHAnsi" w:hAnsiTheme="majorHAnsi" w:cstheme="majorHAnsi"/>
          <w:sz w:val="24"/>
          <w:szCs w:val="24"/>
          <w:lang w:val="ro-RO"/>
        </w:rPr>
        <w:t>limită de vârstă pâ</w:t>
      </w:r>
      <w:r w:rsidR="00FA1B2A" w:rsidRPr="00E82CC1">
        <w:rPr>
          <w:rFonts w:asciiTheme="majorHAnsi" w:hAnsiTheme="majorHAnsi" w:cstheme="majorHAnsi"/>
          <w:sz w:val="24"/>
          <w:szCs w:val="24"/>
          <w:lang w:val="ro-RO"/>
        </w:rPr>
        <w:t>nă la 2</w:t>
      </w:r>
      <w:r w:rsidR="00812372">
        <w:rPr>
          <w:rFonts w:asciiTheme="majorHAnsi" w:hAnsiTheme="majorHAnsi" w:cstheme="majorHAnsi"/>
          <w:sz w:val="24"/>
          <w:szCs w:val="24"/>
          <w:lang w:val="ro-RO"/>
        </w:rPr>
        <w:t xml:space="preserve"> </w:t>
      </w:r>
      <w:r w:rsidR="00FA1B2A" w:rsidRPr="00E82CC1">
        <w:rPr>
          <w:rFonts w:asciiTheme="majorHAnsi" w:hAnsiTheme="majorHAnsi" w:cstheme="majorHAnsi"/>
          <w:sz w:val="24"/>
          <w:szCs w:val="24"/>
          <w:lang w:val="ro-RO"/>
        </w:rPr>
        <w:t>000 lei, pentru persoanele care aveau stagiu complet de cotizare;</w:t>
      </w:r>
    </w:p>
    <w:p w14:paraId="70647782" w14:textId="77777777" w:rsidR="00EC3591" w:rsidRPr="00E82CC1" w:rsidRDefault="00EC3591" w:rsidP="006868F5">
      <w:pPr>
        <w:pStyle w:val="a9"/>
        <w:numPr>
          <w:ilvl w:val="0"/>
          <w:numId w:val="17"/>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acordarea unor măsuri de susținere a angajatorilor și salariaților în condițiile aplicării măsurilor de restricție pe perioada pandemiei de COVID-19: indemnizația pentru șomaj tehnic şi indemnizația salariaților care au copii cu vârstă de până la 12 ani și copii cu dizabilități, pentru zilele libere în cazul suspendării procesului educațional în regim cu prezenţă fizică;</w:t>
      </w:r>
    </w:p>
    <w:p w14:paraId="5949BB26" w14:textId="7E55C429" w:rsidR="00EC3591" w:rsidRPr="00E82CC1" w:rsidRDefault="00EC3591" w:rsidP="006868F5">
      <w:pPr>
        <w:pStyle w:val="a9"/>
        <w:numPr>
          <w:ilvl w:val="0"/>
          <w:numId w:val="17"/>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susţinerea celor mai defavorizate familii prin consolidarea programului de ajutor social, în contextul majorării tarifelor la gaze şi energia termică, lemne, cărbune prin majorarea, încep</w:t>
      </w:r>
      <w:r w:rsidR="00812372">
        <w:rPr>
          <w:rFonts w:asciiTheme="majorHAnsi" w:hAnsiTheme="majorHAnsi" w:cstheme="majorHAnsi"/>
          <w:sz w:val="24"/>
          <w:szCs w:val="24"/>
          <w:lang w:val="ro-RO"/>
        </w:rPr>
        <w:t>â</w:t>
      </w:r>
      <w:r w:rsidRPr="00E82CC1">
        <w:rPr>
          <w:rFonts w:asciiTheme="majorHAnsi" w:hAnsiTheme="majorHAnsi" w:cstheme="majorHAnsi"/>
          <w:sz w:val="24"/>
          <w:szCs w:val="24"/>
          <w:lang w:val="ro-RO"/>
        </w:rPr>
        <w:t>nd cu 1 noiembrie 2021 a cuantumului ajutorului pentru perioada rece a anului pentru toți beneficiarii de la 500 lei la 700 lei</w:t>
      </w:r>
      <w:r w:rsidR="00244B17">
        <w:rPr>
          <w:rFonts w:asciiTheme="majorHAnsi" w:hAnsiTheme="majorHAnsi" w:cstheme="majorHAnsi"/>
          <w:sz w:val="24"/>
          <w:szCs w:val="24"/>
          <w:lang w:val="ro-RO"/>
        </w:rPr>
        <w:t xml:space="preserve"> (cuantum valabil până la 31 martie 2022)</w:t>
      </w:r>
      <w:r w:rsidR="00244B17" w:rsidRPr="00E82CC1">
        <w:rPr>
          <w:rFonts w:asciiTheme="majorHAnsi" w:hAnsiTheme="majorHAnsi" w:cstheme="majorHAnsi"/>
          <w:sz w:val="24"/>
          <w:szCs w:val="24"/>
          <w:lang w:val="ro-RO"/>
        </w:rPr>
        <w:t>.</w:t>
      </w:r>
    </w:p>
    <w:p w14:paraId="7C9D83A2" w14:textId="77777777" w:rsidR="00EC3591" w:rsidRPr="00E82CC1" w:rsidRDefault="00EC3591" w:rsidP="00B9582F">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Sinteza cuantumului modificărilor bugetului asigurărilor sociale de stat pentru anul</w:t>
      </w:r>
      <w:r w:rsidR="006A3810" w:rsidRPr="00E82CC1">
        <w:rPr>
          <w:rFonts w:asciiTheme="majorHAnsi" w:hAnsiTheme="majorHAnsi" w:cstheme="majorHAnsi"/>
          <w:sz w:val="24"/>
          <w:szCs w:val="24"/>
          <w:lang w:val="ro-RO"/>
        </w:rPr>
        <w:t xml:space="preserve"> 2021 se prezintă în Anexa nr. 1</w:t>
      </w:r>
      <w:r w:rsidRPr="00E82CC1">
        <w:rPr>
          <w:rFonts w:asciiTheme="majorHAnsi" w:hAnsiTheme="majorHAnsi" w:cstheme="majorHAnsi"/>
          <w:sz w:val="24"/>
          <w:szCs w:val="24"/>
          <w:lang w:val="ro-RO"/>
        </w:rPr>
        <w:t xml:space="preserve"> la prezentul Raport de audit.</w:t>
      </w:r>
    </w:p>
    <w:p w14:paraId="41CFCE18" w14:textId="77777777" w:rsidR="00EC3591" w:rsidRPr="00E82CC1" w:rsidRDefault="00EC3591" w:rsidP="00B9582F">
      <w:pPr>
        <w:spacing w:after="0" w:line="276" w:lineRule="auto"/>
        <w:jc w:val="both"/>
        <w:rPr>
          <w:rFonts w:asciiTheme="majorHAnsi" w:hAnsiTheme="majorHAnsi" w:cstheme="majorHAnsi"/>
          <w:sz w:val="24"/>
          <w:szCs w:val="24"/>
          <w:lang w:val="ro-RO"/>
        </w:rPr>
      </w:pPr>
    </w:p>
    <w:p w14:paraId="5C224C74" w14:textId="6DD54BE3" w:rsidR="00EC3591" w:rsidRPr="00E82CC1" w:rsidRDefault="00EC3591" w:rsidP="00B9582F">
      <w:pPr>
        <w:spacing w:after="0" w:line="276" w:lineRule="auto"/>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 urma analizei exercițiului bugetar încheiat la 31 decembrie 2021, s-a constatat că veniturile executate în sumă de 27 246,8 mil.lei au fost cu -382,2 mil.lei (1,4%) sub nivelul precizat, iar cheltuielile de ca</w:t>
      </w:r>
      <w:r w:rsidR="003215FF">
        <w:rPr>
          <w:rFonts w:asciiTheme="majorHAnsi" w:hAnsiTheme="majorHAnsi" w:cstheme="majorHAnsi"/>
          <w:sz w:val="24"/>
          <w:szCs w:val="24"/>
          <w:lang w:val="ro-RO"/>
        </w:rPr>
        <w:t>să în sumă de 27 186,8 mil.lei,</w:t>
      </w:r>
      <w:r w:rsidRPr="00E82CC1">
        <w:rPr>
          <w:rFonts w:asciiTheme="majorHAnsi" w:hAnsiTheme="majorHAnsi" w:cstheme="majorHAnsi"/>
          <w:sz w:val="24"/>
          <w:szCs w:val="24"/>
          <w:lang w:val="ro-RO"/>
        </w:rPr>
        <w:t xml:space="preserve"> cu -442,2 mil.lei (1,6%) sub nivelul celor precizate. Sinteza bugetului asigurărilor sociale de stat pe anul 2021 se prezintă în tabelul ce urmează.</w:t>
      </w:r>
    </w:p>
    <w:p w14:paraId="77F5DAFB" w14:textId="77777777" w:rsidR="00045716" w:rsidRDefault="00045716" w:rsidP="00EC3591">
      <w:pPr>
        <w:spacing w:after="0"/>
        <w:jc w:val="right"/>
        <w:rPr>
          <w:rFonts w:asciiTheme="majorHAnsi" w:hAnsiTheme="majorHAnsi" w:cstheme="majorHAnsi"/>
          <w:b/>
          <w:bCs/>
          <w:sz w:val="24"/>
          <w:szCs w:val="24"/>
          <w:lang w:val="ro-RO"/>
        </w:rPr>
      </w:pPr>
    </w:p>
    <w:p w14:paraId="61955344" w14:textId="77777777" w:rsidR="00045716" w:rsidRDefault="00045716" w:rsidP="00EC3591">
      <w:pPr>
        <w:spacing w:after="0"/>
        <w:jc w:val="right"/>
        <w:rPr>
          <w:rFonts w:asciiTheme="majorHAnsi" w:hAnsiTheme="majorHAnsi" w:cstheme="majorHAnsi"/>
          <w:b/>
          <w:bCs/>
          <w:sz w:val="24"/>
          <w:szCs w:val="24"/>
          <w:lang w:val="ro-RO"/>
        </w:rPr>
      </w:pPr>
    </w:p>
    <w:p w14:paraId="2EE1356D" w14:textId="77777777" w:rsidR="00045716" w:rsidRDefault="00045716" w:rsidP="00EC3591">
      <w:pPr>
        <w:spacing w:after="0"/>
        <w:jc w:val="right"/>
        <w:rPr>
          <w:rFonts w:asciiTheme="majorHAnsi" w:hAnsiTheme="majorHAnsi" w:cstheme="majorHAnsi"/>
          <w:b/>
          <w:bCs/>
          <w:sz w:val="24"/>
          <w:szCs w:val="24"/>
          <w:lang w:val="ro-RO"/>
        </w:rPr>
      </w:pPr>
    </w:p>
    <w:p w14:paraId="702EF96F" w14:textId="77777777" w:rsidR="00045716" w:rsidRDefault="00045716" w:rsidP="00EC3591">
      <w:pPr>
        <w:spacing w:after="0"/>
        <w:jc w:val="right"/>
        <w:rPr>
          <w:rFonts w:asciiTheme="majorHAnsi" w:hAnsiTheme="majorHAnsi" w:cstheme="majorHAnsi"/>
          <w:b/>
          <w:bCs/>
          <w:sz w:val="24"/>
          <w:szCs w:val="24"/>
          <w:lang w:val="ro-RO"/>
        </w:rPr>
      </w:pPr>
    </w:p>
    <w:p w14:paraId="2AE9CF52" w14:textId="77777777" w:rsidR="00045716" w:rsidRDefault="00045716" w:rsidP="00EC3591">
      <w:pPr>
        <w:spacing w:after="0"/>
        <w:jc w:val="right"/>
        <w:rPr>
          <w:rFonts w:asciiTheme="majorHAnsi" w:hAnsiTheme="majorHAnsi" w:cstheme="majorHAnsi"/>
          <w:b/>
          <w:bCs/>
          <w:sz w:val="24"/>
          <w:szCs w:val="24"/>
          <w:lang w:val="ro-RO"/>
        </w:rPr>
      </w:pPr>
    </w:p>
    <w:p w14:paraId="2ADBE0E6" w14:textId="285A4A86" w:rsidR="00EC3591" w:rsidRPr="00E82CC1" w:rsidRDefault="00B050E3" w:rsidP="00EC3591">
      <w:pPr>
        <w:spacing w:after="0"/>
        <w:jc w:val="right"/>
        <w:rPr>
          <w:rFonts w:asciiTheme="majorHAnsi" w:hAnsiTheme="majorHAnsi" w:cstheme="majorHAnsi"/>
          <w:b/>
          <w:bCs/>
          <w:sz w:val="24"/>
          <w:szCs w:val="24"/>
          <w:lang w:val="ro-RO"/>
        </w:rPr>
      </w:pPr>
      <w:r w:rsidRPr="00E82CC1">
        <w:rPr>
          <w:rFonts w:asciiTheme="majorHAnsi" w:hAnsiTheme="majorHAnsi" w:cstheme="majorHAnsi"/>
          <w:b/>
          <w:bCs/>
          <w:sz w:val="24"/>
          <w:szCs w:val="24"/>
          <w:lang w:val="ro-RO"/>
        </w:rPr>
        <w:t>Tabelul nr.</w:t>
      </w:r>
      <w:r w:rsidR="001F113B" w:rsidRPr="00E82CC1">
        <w:rPr>
          <w:rFonts w:asciiTheme="majorHAnsi" w:hAnsiTheme="majorHAnsi" w:cstheme="majorHAnsi"/>
          <w:b/>
          <w:bCs/>
          <w:sz w:val="24"/>
          <w:szCs w:val="24"/>
          <w:lang w:val="ro-RO"/>
        </w:rPr>
        <w:t>9</w:t>
      </w:r>
    </w:p>
    <w:p w14:paraId="081AEE65" w14:textId="6FF66B2E" w:rsidR="004149E7" w:rsidRPr="00D4724B" w:rsidRDefault="00EC3591" w:rsidP="00D4724B">
      <w:pPr>
        <w:spacing w:after="0"/>
        <w:jc w:val="center"/>
        <w:rPr>
          <w:rFonts w:asciiTheme="majorHAnsi" w:hAnsiTheme="majorHAnsi" w:cstheme="majorHAnsi"/>
          <w:b/>
          <w:bCs/>
          <w:sz w:val="24"/>
          <w:szCs w:val="24"/>
          <w:lang w:val="ro-RO"/>
        </w:rPr>
      </w:pPr>
      <w:r w:rsidRPr="00E82CC1">
        <w:rPr>
          <w:rFonts w:asciiTheme="majorHAnsi" w:hAnsiTheme="majorHAnsi" w:cstheme="majorHAnsi"/>
          <w:b/>
          <w:bCs/>
          <w:sz w:val="24"/>
          <w:szCs w:val="24"/>
          <w:lang w:val="ro-RO"/>
        </w:rPr>
        <w:t>Executarea bugetului asigurărilor sociale de stat pe an</w:t>
      </w:r>
      <w:r w:rsidR="00EE4E5A" w:rsidRPr="00E82CC1">
        <w:rPr>
          <w:rFonts w:asciiTheme="majorHAnsi" w:hAnsiTheme="majorHAnsi" w:cstheme="majorHAnsi"/>
          <w:b/>
          <w:bCs/>
          <w:sz w:val="24"/>
          <w:szCs w:val="24"/>
          <w:lang w:val="ro-RO"/>
        </w:rPr>
        <w:t>ii 2018-</w:t>
      </w:r>
      <w:r w:rsidR="00D4724B">
        <w:rPr>
          <w:rFonts w:asciiTheme="majorHAnsi" w:hAnsiTheme="majorHAnsi" w:cstheme="majorHAnsi"/>
          <w:b/>
          <w:bCs/>
          <w:sz w:val="24"/>
          <w:szCs w:val="24"/>
          <w:lang w:val="ro-RO"/>
        </w:rPr>
        <w:t>2021</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808"/>
        <w:gridCol w:w="808"/>
        <w:gridCol w:w="808"/>
        <w:gridCol w:w="808"/>
        <w:gridCol w:w="808"/>
        <w:gridCol w:w="709"/>
        <w:gridCol w:w="534"/>
        <w:gridCol w:w="717"/>
        <w:gridCol w:w="625"/>
        <w:gridCol w:w="717"/>
        <w:gridCol w:w="625"/>
        <w:gridCol w:w="717"/>
        <w:gridCol w:w="625"/>
      </w:tblGrid>
      <w:tr w:rsidR="00D4724B" w:rsidRPr="00560084" w14:paraId="5F66BE85" w14:textId="77777777" w:rsidTr="00561466">
        <w:trPr>
          <w:trHeight w:val="432"/>
        </w:trPr>
        <w:tc>
          <w:tcPr>
            <w:tcW w:w="931" w:type="dxa"/>
            <w:vMerge w:val="restart"/>
            <w:shd w:val="clear" w:color="auto" w:fill="auto"/>
            <w:vAlign w:val="center"/>
            <w:hideMark/>
          </w:tcPr>
          <w:p w14:paraId="4F1A6723" w14:textId="77777777" w:rsidR="00D4724B" w:rsidRPr="00560084" w:rsidRDefault="00D4724B" w:rsidP="00561466">
            <w:pPr>
              <w:spacing w:after="0" w:line="240" w:lineRule="auto"/>
              <w:jc w:val="center"/>
              <w:rPr>
                <w:rFonts w:ascii="Calibri Light" w:eastAsia="Times New Roman" w:hAnsi="Calibri Light" w:cs="Calibri Light"/>
                <w:b/>
                <w:bCs/>
                <w:color w:val="000000"/>
                <w:sz w:val="16"/>
                <w:szCs w:val="16"/>
                <w:lang w:val="ro-RO"/>
              </w:rPr>
            </w:pPr>
            <w:r w:rsidRPr="00560084">
              <w:rPr>
                <w:rFonts w:ascii="Calibri Light" w:eastAsia="Times New Roman" w:hAnsi="Calibri Light" w:cs="Calibri Light"/>
                <w:b/>
                <w:bCs/>
                <w:color w:val="000000"/>
                <w:sz w:val="16"/>
                <w:szCs w:val="16"/>
                <w:lang w:val="ro-RO"/>
              </w:rPr>
              <w:t>Denumirea</w:t>
            </w:r>
          </w:p>
        </w:tc>
        <w:tc>
          <w:tcPr>
            <w:tcW w:w="808" w:type="dxa"/>
            <w:vMerge w:val="restart"/>
            <w:shd w:val="clear" w:color="auto" w:fill="auto"/>
            <w:vAlign w:val="center"/>
            <w:hideMark/>
          </w:tcPr>
          <w:p w14:paraId="42F39756" w14:textId="77777777" w:rsidR="00D4724B" w:rsidRPr="00560084" w:rsidRDefault="00D4724B" w:rsidP="00561466">
            <w:pPr>
              <w:spacing w:after="0" w:line="240" w:lineRule="auto"/>
              <w:jc w:val="center"/>
              <w:rPr>
                <w:rFonts w:ascii="Calibri Light" w:eastAsia="Times New Roman" w:hAnsi="Calibri Light" w:cs="Calibri Light"/>
                <w:b/>
                <w:bCs/>
                <w:color w:val="000000"/>
                <w:sz w:val="16"/>
                <w:szCs w:val="16"/>
                <w:lang w:val="ro-RO"/>
              </w:rPr>
            </w:pPr>
            <w:r w:rsidRPr="00560084">
              <w:rPr>
                <w:rFonts w:ascii="Calibri Light" w:eastAsia="Times New Roman" w:hAnsi="Calibri Light" w:cs="Calibri Light"/>
                <w:b/>
                <w:bCs/>
                <w:color w:val="000000"/>
                <w:sz w:val="16"/>
                <w:szCs w:val="16"/>
                <w:lang w:val="ro-RO"/>
              </w:rPr>
              <w:t>Executat anul 2018</w:t>
            </w:r>
          </w:p>
        </w:tc>
        <w:tc>
          <w:tcPr>
            <w:tcW w:w="808" w:type="dxa"/>
            <w:vMerge w:val="restart"/>
            <w:shd w:val="clear" w:color="auto" w:fill="auto"/>
            <w:vAlign w:val="center"/>
            <w:hideMark/>
          </w:tcPr>
          <w:p w14:paraId="16018E1E" w14:textId="77777777" w:rsidR="00D4724B" w:rsidRPr="00560084" w:rsidRDefault="00D4724B" w:rsidP="00561466">
            <w:pPr>
              <w:spacing w:after="0" w:line="240" w:lineRule="auto"/>
              <w:jc w:val="center"/>
              <w:rPr>
                <w:rFonts w:ascii="Calibri Light" w:eastAsia="Times New Roman" w:hAnsi="Calibri Light" w:cs="Calibri Light"/>
                <w:b/>
                <w:bCs/>
                <w:color w:val="000000"/>
                <w:sz w:val="16"/>
                <w:szCs w:val="16"/>
                <w:lang w:val="ro-RO"/>
              </w:rPr>
            </w:pPr>
            <w:r w:rsidRPr="00560084">
              <w:rPr>
                <w:rFonts w:ascii="Calibri Light" w:eastAsia="Times New Roman" w:hAnsi="Calibri Light" w:cs="Calibri Light"/>
                <w:b/>
                <w:bCs/>
                <w:color w:val="000000"/>
                <w:sz w:val="16"/>
                <w:szCs w:val="16"/>
                <w:lang w:val="ro-RO"/>
              </w:rPr>
              <w:t>Executat anul 2019</w:t>
            </w:r>
          </w:p>
        </w:tc>
        <w:tc>
          <w:tcPr>
            <w:tcW w:w="808" w:type="dxa"/>
            <w:vMerge w:val="restart"/>
            <w:shd w:val="clear" w:color="auto" w:fill="auto"/>
            <w:vAlign w:val="center"/>
            <w:hideMark/>
          </w:tcPr>
          <w:p w14:paraId="54B5E080" w14:textId="77777777" w:rsidR="00D4724B" w:rsidRPr="00560084" w:rsidRDefault="00D4724B" w:rsidP="00561466">
            <w:pPr>
              <w:spacing w:after="0" w:line="240" w:lineRule="auto"/>
              <w:jc w:val="center"/>
              <w:rPr>
                <w:rFonts w:ascii="Calibri Light" w:eastAsia="Times New Roman" w:hAnsi="Calibri Light" w:cs="Calibri Light"/>
                <w:b/>
                <w:bCs/>
                <w:color w:val="000000"/>
                <w:sz w:val="16"/>
                <w:szCs w:val="16"/>
                <w:lang w:val="ro-RO"/>
              </w:rPr>
            </w:pPr>
            <w:r w:rsidRPr="00560084">
              <w:rPr>
                <w:rFonts w:ascii="Calibri Light" w:eastAsia="Times New Roman" w:hAnsi="Calibri Light" w:cs="Calibri Light"/>
                <w:b/>
                <w:bCs/>
                <w:color w:val="000000"/>
                <w:sz w:val="16"/>
                <w:szCs w:val="16"/>
                <w:lang w:val="ro-RO"/>
              </w:rPr>
              <w:t>Executat anul 2020</w:t>
            </w:r>
          </w:p>
        </w:tc>
        <w:tc>
          <w:tcPr>
            <w:tcW w:w="808" w:type="dxa"/>
            <w:vMerge w:val="restart"/>
            <w:shd w:val="clear" w:color="auto" w:fill="auto"/>
            <w:vAlign w:val="center"/>
            <w:hideMark/>
          </w:tcPr>
          <w:p w14:paraId="607272E7" w14:textId="77777777" w:rsidR="00D4724B" w:rsidRPr="00560084" w:rsidRDefault="00D4724B" w:rsidP="00561466">
            <w:pPr>
              <w:spacing w:after="0" w:line="240" w:lineRule="auto"/>
              <w:jc w:val="center"/>
              <w:rPr>
                <w:rFonts w:ascii="Calibri Light" w:eastAsia="Times New Roman" w:hAnsi="Calibri Light" w:cs="Calibri Light"/>
                <w:b/>
                <w:bCs/>
                <w:color w:val="000000"/>
                <w:sz w:val="16"/>
                <w:szCs w:val="16"/>
                <w:lang w:val="ro-RO"/>
              </w:rPr>
            </w:pPr>
            <w:r w:rsidRPr="00560084">
              <w:rPr>
                <w:rFonts w:ascii="Calibri Light" w:eastAsia="Times New Roman" w:hAnsi="Calibri Light" w:cs="Calibri Light"/>
                <w:b/>
                <w:bCs/>
                <w:color w:val="000000"/>
                <w:sz w:val="16"/>
                <w:szCs w:val="16"/>
                <w:lang w:val="ro-RO"/>
              </w:rPr>
              <w:t>Precizat anul 2021</w:t>
            </w:r>
          </w:p>
        </w:tc>
        <w:tc>
          <w:tcPr>
            <w:tcW w:w="808" w:type="dxa"/>
            <w:vMerge w:val="restart"/>
            <w:shd w:val="clear" w:color="auto" w:fill="auto"/>
            <w:vAlign w:val="center"/>
            <w:hideMark/>
          </w:tcPr>
          <w:p w14:paraId="21AEF10B" w14:textId="77777777" w:rsidR="00D4724B" w:rsidRPr="00560084" w:rsidRDefault="00D4724B" w:rsidP="00561466">
            <w:pPr>
              <w:spacing w:after="0" w:line="240" w:lineRule="auto"/>
              <w:jc w:val="center"/>
              <w:rPr>
                <w:rFonts w:ascii="Calibri Light" w:eastAsia="Times New Roman" w:hAnsi="Calibri Light" w:cs="Calibri Light"/>
                <w:b/>
                <w:bCs/>
                <w:color w:val="000000"/>
                <w:sz w:val="16"/>
                <w:szCs w:val="16"/>
                <w:lang w:val="ro-RO"/>
              </w:rPr>
            </w:pPr>
            <w:r w:rsidRPr="00560084">
              <w:rPr>
                <w:rFonts w:ascii="Calibri Light" w:eastAsia="Times New Roman" w:hAnsi="Calibri Light" w:cs="Calibri Light"/>
                <w:b/>
                <w:bCs/>
                <w:color w:val="000000"/>
                <w:sz w:val="16"/>
                <w:szCs w:val="16"/>
                <w:lang w:val="ro-RO"/>
              </w:rPr>
              <w:t>Executat anul 2021</w:t>
            </w:r>
          </w:p>
        </w:tc>
        <w:tc>
          <w:tcPr>
            <w:tcW w:w="1243" w:type="dxa"/>
            <w:gridSpan w:val="2"/>
            <w:shd w:val="clear" w:color="auto" w:fill="auto"/>
            <w:vAlign w:val="center"/>
            <w:hideMark/>
          </w:tcPr>
          <w:p w14:paraId="4F6206C4"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Executat,  anul 2021</w:t>
            </w:r>
          </w:p>
        </w:tc>
        <w:tc>
          <w:tcPr>
            <w:tcW w:w="1342" w:type="dxa"/>
            <w:gridSpan w:val="2"/>
            <w:shd w:val="clear" w:color="auto" w:fill="auto"/>
            <w:vAlign w:val="center"/>
            <w:hideMark/>
          </w:tcPr>
          <w:p w14:paraId="7EAA69E3"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Executat,</w:t>
            </w:r>
          </w:p>
        </w:tc>
        <w:tc>
          <w:tcPr>
            <w:tcW w:w="1342" w:type="dxa"/>
            <w:gridSpan w:val="2"/>
            <w:shd w:val="clear" w:color="auto" w:fill="auto"/>
            <w:vAlign w:val="center"/>
            <w:hideMark/>
          </w:tcPr>
          <w:p w14:paraId="6AAD1DC0"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Executat,</w:t>
            </w:r>
          </w:p>
        </w:tc>
        <w:tc>
          <w:tcPr>
            <w:tcW w:w="1342" w:type="dxa"/>
            <w:gridSpan w:val="2"/>
            <w:shd w:val="clear" w:color="auto" w:fill="auto"/>
            <w:vAlign w:val="center"/>
            <w:hideMark/>
          </w:tcPr>
          <w:p w14:paraId="0E5B4B5C"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Executat,</w:t>
            </w:r>
          </w:p>
        </w:tc>
      </w:tr>
      <w:tr w:rsidR="00D4724B" w:rsidRPr="00560084" w14:paraId="564B5F7A" w14:textId="77777777" w:rsidTr="00561466">
        <w:trPr>
          <w:trHeight w:val="720"/>
        </w:trPr>
        <w:tc>
          <w:tcPr>
            <w:tcW w:w="931" w:type="dxa"/>
            <w:vMerge/>
            <w:shd w:val="clear" w:color="auto" w:fill="auto"/>
            <w:vAlign w:val="center"/>
            <w:hideMark/>
          </w:tcPr>
          <w:p w14:paraId="03A7D3B4"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58715CA2"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0FFB8E31"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408AB163"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23C3F6A9"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2FDA871D"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1243" w:type="dxa"/>
            <w:gridSpan w:val="2"/>
            <w:shd w:val="clear" w:color="auto" w:fill="auto"/>
            <w:vAlign w:val="center"/>
            <w:hideMark/>
          </w:tcPr>
          <w:p w14:paraId="6D7E3594"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faţă de precizat</w:t>
            </w:r>
          </w:p>
        </w:tc>
        <w:tc>
          <w:tcPr>
            <w:tcW w:w="1342" w:type="dxa"/>
            <w:gridSpan w:val="2"/>
            <w:shd w:val="clear" w:color="auto" w:fill="auto"/>
            <w:vAlign w:val="center"/>
            <w:hideMark/>
          </w:tcPr>
          <w:p w14:paraId="1DDA6B00"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o-RO"/>
              </w:rPr>
              <w:t>anul 2021 faţă de anul 2018</w:t>
            </w:r>
          </w:p>
        </w:tc>
        <w:tc>
          <w:tcPr>
            <w:tcW w:w="1342" w:type="dxa"/>
            <w:gridSpan w:val="2"/>
            <w:shd w:val="clear" w:color="auto" w:fill="auto"/>
            <w:vAlign w:val="center"/>
            <w:hideMark/>
          </w:tcPr>
          <w:p w14:paraId="5F4798C5"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o-RO"/>
              </w:rPr>
              <w:t>anul 2021 faţă de anul 2019</w:t>
            </w:r>
          </w:p>
        </w:tc>
        <w:tc>
          <w:tcPr>
            <w:tcW w:w="1342" w:type="dxa"/>
            <w:gridSpan w:val="2"/>
            <w:shd w:val="clear" w:color="auto" w:fill="auto"/>
            <w:vAlign w:val="center"/>
            <w:hideMark/>
          </w:tcPr>
          <w:p w14:paraId="58BC9921"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o-RO"/>
              </w:rPr>
              <w:t>anul 2021 faţă de anul 2020</w:t>
            </w:r>
          </w:p>
        </w:tc>
      </w:tr>
      <w:tr w:rsidR="00D4724B" w:rsidRPr="00560084" w14:paraId="4EB934A4" w14:textId="77777777" w:rsidTr="00561466">
        <w:trPr>
          <w:trHeight w:val="288"/>
        </w:trPr>
        <w:tc>
          <w:tcPr>
            <w:tcW w:w="931" w:type="dxa"/>
            <w:vMerge/>
            <w:shd w:val="clear" w:color="auto" w:fill="auto"/>
            <w:vAlign w:val="center"/>
            <w:hideMark/>
          </w:tcPr>
          <w:p w14:paraId="249AB904"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5EB8A54B"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6CAA1C17"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55048322"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29279508"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6E8D1A09"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709" w:type="dxa"/>
            <w:shd w:val="clear" w:color="auto" w:fill="auto"/>
            <w:noWrap/>
            <w:vAlign w:val="center"/>
            <w:hideMark/>
          </w:tcPr>
          <w:p w14:paraId="362CCC12"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devieri</w:t>
            </w:r>
          </w:p>
        </w:tc>
        <w:tc>
          <w:tcPr>
            <w:tcW w:w="534" w:type="dxa"/>
            <w:shd w:val="clear" w:color="auto" w:fill="auto"/>
            <w:vAlign w:val="center"/>
            <w:hideMark/>
          </w:tcPr>
          <w:p w14:paraId="6F9DB1AB"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în</w:t>
            </w:r>
          </w:p>
        </w:tc>
        <w:tc>
          <w:tcPr>
            <w:tcW w:w="717" w:type="dxa"/>
            <w:shd w:val="clear" w:color="auto" w:fill="auto"/>
            <w:noWrap/>
            <w:vAlign w:val="center"/>
            <w:hideMark/>
          </w:tcPr>
          <w:p w14:paraId="0FB5D2E1"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devieri</w:t>
            </w:r>
          </w:p>
        </w:tc>
        <w:tc>
          <w:tcPr>
            <w:tcW w:w="625" w:type="dxa"/>
            <w:shd w:val="clear" w:color="auto" w:fill="auto"/>
            <w:vAlign w:val="center"/>
            <w:hideMark/>
          </w:tcPr>
          <w:p w14:paraId="4D67A8A0"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în</w:t>
            </w:r>
          </w:p>
        </w:tc>
        <w:tc>
          <w:tcPr>
            <w:tcW w:w="717" w:type="dxa"/>
            <w:shd w:val="clear" w:color="auto" w:fill="auto"/>
            <w:noWrap/>
            <w:vAlign w:val="center"/>
            <w:hideMark/>
          </w:tcPr>
          <w:p w14:paraId="1CBCE662"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devieri</w:t>
            </w:r>
          </w:p>
        </w:tc>
        <w:tc>
          <w:tcPr>
            <w:tcW w:w="625" w:type="dxa"/>
            <w:shd w:val="clear" w:color="auto" w:fill="auto"/>
            <w:vAlign w:val="center"/>
            <w:hideMark/>
          </w:tcPr>
          <w:p w14:paraId="15DEF26E"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în</w:t>
            </w:r>
          </w:p>
        </w:tc>
        <w:tc>
          <w:tcPr>
            <w:tcW w:w="717" w:type="dxa"/>
            <w:vMerge w:val="restart"/>
            <w:shd w:val="clear" w:color="auto" w:fill="auto"/>
            <w:vAlign w:val="center"/>
            <w:hideMark/>
          </w:tcPr>
          <w:p w14:paraId="25071B9D"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devieri (+/-)</w:t>
            </w:r>
          </w:p>
        </w:tc>
        <w:tc>
          <w:tcPr>
            <w:tcW w:w="625" w:type="dxa"/>
            <w:shd w:val="clear" w:color="auto" w:fill="auto"/>
            <w:vAlign w:val="center"/>
            <w:hideMark/>
          </w:tcPr>
          <w:p w14:paraId="1CBB0B9D"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în</w:t>
            </w:r>
          </w:p>
        </w:tc>
      </w:tr>
      <w:tr w:rsidR="00D4724B" w:rsidRPr="00560084" w14:paraId="212D768C" w14:textId="77777777" w:rsidTr="00561466">
        <w:trPr>
          <w:trHeight w:val="300"/>
        </w:trPr>
        <w:tc>
          <w:tcPr>
            <w:tcW w:w="931" w:type="dxa"/>
            <w:vMerge/>
            <w:shd w:val="clear" w:color="auto" w:fill="auto"/>
            <w:vAlign w:val="center"/>
            <w:hideMark/>
          </w:tcPr>
          <w:p w14:paraId="322550AB"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5C9488D6"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495255FB"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76B948A9"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3D256A5D"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808" w:type="dxa"/>
            <w:vMerge/>
            <w:shd w:val="clear" w:color="auto" w:fill="auto"/>
            <w:vAlign w:val="center"/>
            <w:hideMark/>
          </w:tcPr>
          <w:p w14:paraId="5F6E4C12" w14:textId="77777777" w:rsidR="00D4724B" w:rsidRPr="00560084" w:rsidRDefault="00D4724B" w:rsidP="00561466">
            <w:pPr>
              <w:spacing w:after="0" w:line="240" w:lineRule="auto"/>
              <w:rPr>
                <w:rFonts w:ascii="Calibri Light" w:eastAsia="Times New Roman" w:hAnsi="Calibri Light" w:cs="Calibri Light"/>
                <w:b/>
                <w:bCs/>
                <w:color w:val="000000"/>
                <w:sz w:val="16"/>
                <w:szCs w:val="16"/>
                <w:lang w:val="ro-RO"/>
              </w:rPr>
            </w:pPr>
          </w:p>
        </w:tc>
        <w:tc>
          <w:tcPr>
            <w:tcW w:w="709" w:type="dxa"/>
            <w:shd w:val="clear" w:color="auto" w:fill="auto"/>
            <w:vAlign w:val="center"/>
            <w:hideMark/>
          </w:tcPr>
          <w:p w14:paraId="25694A06"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w:t>
            </w:r>
          </w:p>
        </w:tc>
        <w:tc>
          <w:tcPr>
            <w:tcW w:w="534" w:type="dxa"/>
            <w:shd w:val="clear" w:color="auto" w:fill="auto"/>
            <w:vAlign w:val="center"/>
            <w:hideMark/>
          </w:tcPr>
          <w:p w14:paraId="534988D8"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 xml:space="preserve"> %</w:t>
            </w:r>
          </w:p>
        </w:tc>
        <w:tc>
          <w:tcPr>
            <w:tcW w:w="717" w:type="dxa"/>
            <w:shd w:val="clear" w:color="auto" w:fill="auto"/>
            <w:vAlign w:val="center"/>
            <w:hideMark/>
          </w:tcPr>
          <w:p w14:paraId="471396F1"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w:t>
            </w:r>
          </w:p>
        </w:tc>
        <w:tc>
          <w:tcPr>
            <w:tcW w:w="625" w:type="dxa"/>
            <w:shd w:val="clear" w:color="auto" w:fill="auto"/>
            <w:vAlign w:val="center"/>
            <w:hideMark/>
          </w:tcPr>
          <w:p w14:paraId="55927889"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 xml:space="preserve"> %</w:t>
            </w:r>
          </w:p>
        </w:tc>
        <w:tc>
          <w:tcPr>
            <w:tcW w:w="717" w:type="dxa"/>
            <w:shd w:val="clear" w:color="auto" w:fill="auto"/>
            <w:vAlign w:val="center"/>
            <w:hideMark/>
          </w:tcPr>
          <w:p w14:paraId="6F270991"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w:t>
            </w:r>
          </w:p>
        </w:tc>
        <w:tc>
          <w:tcPr>
            <w:tcW w:w="625" w:type="dxa"/>
            <w:shd w:val="clear" w:color="auto" w:fill="auto"/>
            <w:vAlign w:val="center"/>
            <w:hideMark/>
          </w:tcPr>
          <w:p w14:paraId="47A6EBCC"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 xml:space="preserve"> %</w:t>
            </w:r>
          </w:p>
        </w:tc>
        <w:tc>
          <w:tcPr>
            <w:tcW w:w="717" w:type="dxa"/>
            <w:vMerge/>
            <w:shd w:val="clear" w:color="auto" w:fill="auto"/>
            <w:vAlign w:val="center"/>
            <w:hideMark/>
          </w:tcPr>
          <w:p w14:paraId="69B0CF24" w14:textId="77777777" w:rsidR="00D4724B" w:rsidRPr="00560084" w:rsidRDefault="00D4724B" w:rsidP="00561466">
            <w:pPr>
              <w:spacing w:after="0" w:line="240" w:lineRule="auto"/>
              <w:rPr>
                <w:rFonts w:ascii="Calibri Light" w:eastAsia="Times New Roman" w:hAnsi="Calibri Light" w:cs="Calibri Light"/>
                <w:b/>
                <w:bCs/>
                <w:color w:val="000000"/>
                <w:sz w:val="18"/>
                <w:szCs w:val="18"/>
                <w:lang w:val="ro-RO"/>
              </w:rPr>
            </w:pPr>
          </w:p>
        </w:tc>
        <w:tc>
          <w:tcPr>
            <w:tcW w:w="625" w:type="dxa"/>
            <w:shd w:val="clear" w:color="auto" w:fill="auto"/>
            <w:vAlign w:val="center"/>
            <w:hideMark/>
          </w:tcPr>
          <w:p w14:paraId="3F0796B5" w14:textId="77777777" w:rsidR="00D4724B" w:rsidRPr="00560084" w:rsidRDefault="00D4724B" w:rsidP="00561466">
            <w:pPr>
              <w:spacing w:after="0" w:line="240" w:lineRule="auto"/>
              <w:jc w:val="center"/>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 xml:space="preserve"> %</w:t>
            </w:r>
          </w:p>
        </w:tc>
      </w:tr>
      <w:tr w:rsidR="00D4724B" w:rsidRPr="00560084" w14:paraId="176BD7F4" w14:textId="77777777" w:rsidTr="00561466">
        <w:trPr>
          <w:trHeight w:val="492"/>
        </w:trPr>
        <w:tc>
          <w:tcPr>
            <w:tcW w:w="931" w:type="dxa"/>
            <w:shd w:val="clear" w:color="auto" w:fill="auto"/>
            <w:vAlign w:val="center"/>
            <w:hideMark/>
          </w:tcPr>
          <w:p w14:paraId="682995B3" w14:textId="77777777" w:rsidR="00D4724B" w:rsidRPr="00560084" w:rsidRDefault="00D4724B" w:rsidP="00561466">
            <w:pPr>
              <w:spacing w:after="0" w:line="240" w:lineRule="auto"/>
              <w:jc w:val="both"/>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Venituri</w:t>
            </w:r>
          </w:p>
          <w:p w14:paraId="1E60E0C0" w14:textId="77777777" w:rsidR="00D4724B" w:rsidRPr="00560084" w:rsidRDefault="00D4724B" w:rsidP="00561466">
            <w:pPr>
              <w:spacing w:after="0" w:line="240" w:lineRule="auto"/>
              <w:jc w:val="both"/>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mil. lei</w:t>
            </w:r>
          </w:p>
        </w:tc>
        <w:tc>
          <w:tcPr>
            <w:tcW w:w="808" w:type="dxa"/>
            <w:shd w:val="clear" w:color="auto" w:fill="auto"/>
            <w:noWrap/>
            <w:vAlign w:val="center"/>
            <w:hideMark/>
          </w:tcPr>
          <w:p w14:paraId="059AEEBC"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19790.3</w:t>
            </w:r>
          </w:p>
        </w:tc>
        <w:tc>
          <w:tcPr>
            <w:tcW w:w="808" w:type="dxa"/>
            <w:shd w:val="clear" w:color="auto" w:fill="auto"/>
            <w:vAlign w:val="center"/>
            <w:hideMark/>
          </w:tcPr>
          <w:p w14:paraId="23C552A1"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21748</w:t>
            </w:r>
            <w:r>
              <w:rPr>
                <w:rFonts w:ascii="Calibri Light" w:eastAsia="Times New Roman" w:hAnsi="Calibri Light" w:cs="Calibri Light"/>
                <w:color w:val="000000"/>
                <w:sz w:val="18"/>
                <w:szCs w:val="18"/>
                <w:lang w:val="ro-RO"/>
              </w:rPr>
              <w:t>.3</w:t>
            </w:r>
          </w:p>
        </w:tc>
        <w:tc>
          <w:tcPr>
            <w:tcW w:w="808" w:type="dxa"/>
            <w:shd w:val="clear" w:color="auto" w:fill="auto"/>
            <w:noWrap/>
            <w:vAlign w:val="center"/>
            <w:hideMark/>
          </w:tcPr>
          <w:p w14:paraId="63FFA408"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Pr>
                <w:rFonts w:ascii="Calibri Light" w:eastAsia="Times New Roman" w:hAnsi="Calibri Light" w:cs="Calibri Light"/>
                <w:color w:val="000000"/>
                <w:sz w:val="18"/>
                <w:szCs w:val="18"/>
                <w:lang w:val="ro-RO"/>
              </w:rPr>
              <w:t>24285.5</w:t>
            </w:r>
          </w:p>
        </w:tc>
        <w:tc>
          <w:tcPr>
            <w:tcW w:w="808" w:type="dxa"/>
            <w:shd w:val="clear" w:color="auto" w:fill="auto"/>
            <w:noWrap/>
            <w:vAlign w:val="center"/>
            <w:hideMark/>
          </w:tcPr>
          <w:p w14:paraId="6144B3ED"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27629.0</w:t>
            </w:r>
          </w:p>
        </w:tc>
        <w:tc>
          <w:tcPr>
            <w:tcW w:w="808" w:type="dxa"/>
            <w:shd w:val="clear" w:color="auto" w:fill="auto"/>
            <w:noWrap/>
            <w:vAlign w:val="center"/>
            <w:hideMark/>
          </w:tcPr>
          <w:p w14:paraId="23B76FF4"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Pr>
                <w:rFonts w:ascii="Calibri Light" w:eastAsia="Times New Roman" w:hAnsi="Calibri Light" w:cs="Calibri Light"/>
                <w:color w:val="000000"/>
                <w:sz w:val="18"/>
                <w:szCs w:val="18"/>
                <w:lang w:val="ro-RO"/>
              </w:rPr>
              <w:t>27246.8</w:t>
            </w:r>
          </w:p>
        </w:tc>
        <w:tc>
          <w:tcPr>
            <w:tcW w:w="709" w:type="dxa"/>
            <w:shd w:val="clear" w:color="auto" w:fill="auto"/>
            <w:noWrap/>
            <w:vAlign w:val="center"/>
            <w:hideMark/>
          </w:tcPr>
          <w:p w14:paraId="4F4EA9D9"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-382.2</w:t>
            </w:r>
          </w:p>
        </w:tc>
        <w:tc>
          <w:tcPr>
            <w:tcW w:w="534" w:type="dxa"/>
            <w:shd w:val="clear" w:color="auto" w:fill="auto"/>
            <w:noWrap/>
            <w:vAlign w:val="center"/>
            <w:hideMark/>
          </w:tcPr>
          <w:p w14:paraId="17D6CB3E"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98.6</w:t>
            </w:r>
          </w:p>
        </w:tc>
        <w:tc>
          <w:tcPr>
            <w:tcW w:w="717" w:type="dxa"/>
            <w:shd w:val="clear" w:color="auto" w:fill="auto"/>
            <w:noWrap/>
            <w:vAlign w:val="center"/>
          </w:tcPr>
          <w:p w14:paraId="263FC219"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7456.5</w:t>
            </w:r>
          </w:p>
        </w:tc>
        <w:tc>
          <w:tcPr>
            <w:tcW w:w="625" w:type="dxa"/>
            <w:shd w:val="clear" w:color="auto" w:fill="auto"/>
            <w:noWrap/>
            <w:vAlign w:val="center"/>
          </w:tcPr>
          <w:p w14:paraId="7705F1E0"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137.7</w:t>
            </w:r>
          </w:p>
        </w:tc>
        <w:tc>
          <w:tcPr>
            <w:tcW w:w="717" w:type="dxa"/>
            <w:shd w:val="clear" w:color="auto" w:fill="auto"/>
            <w:vAlign w:val="center"/>
          </w:tcPr>
          <w:p w14:paraId="3A1D1271"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5498.5</w:t>
            </w:r>
          </w:p>
        </w:tc>
        <w:tc>
          <w:tcPr>
            <w:tcW w:w="625" w:type="dxa"/>
            <w:shd w:val="clear" w:color="auto" w:fill="auto"/>
            <w:vAlign w:val="center"/>
          </w:tcPr>
          <w:p w14:paraId="08593A78"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125.3</w:t>
            </w:r>
          </w:p>
        </w:tc>
        <w:tc>
          <w:tcPr>
            <w:tcW w:w="717" w:type="dxa"/>
            <w:shd w:val="clear" w:color="auto" w:fill="auto"/>
            <w:noWrap/>
            <w:vAlign w:val="center"/>
          </w:tcPr>
          <w:p w14:paraId="6224B0A9"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2961.3</w:t>
            </w:r>
          </w:p>
        </w:tc>
        <w:tc>
          <w:tcPr>
            <w:tcW w:w="625" w:type="dxa"/>
            <w:shd w:val="clear" w:color="auto" w:fill="auto"/>
            <w:noWrap/>
            <w:vAlign w:val="center"/>
          </w:tcPr>
          <w:p w14:paraId="349A1D89"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112.2</w:t>
            </w:r>
          </w:p>
        </w:tc>
      </w:tr>
      <w:tr w:rsidR="00D4724B" w:rsidRPr="00560084" w14:paraId="64D910DC" w14:textId="77777777" w:rsidTr="00561466">
        <w:trPr>
          <w:trHeight w:val="492"/>
        </w:trPr>
        <w:tc>
          <w:tcPr>
            <w:tcW w:w="931" w:type="dxa"/>
            <w:shd w:val="clear" w:color="auto" w:fill="auto"/>
            <w:vAlign w:val="center"/>
            <w:hideMark/>
          </w:tcPr>
          <w:p w14:paraId="1F48748C" w14:textId="77777777" w:rsidR="00D4724B" w:rsidRPr="00560084" w:rsidRDefault="00D4724B" w:rsidP="00561466">
            <w:pPr>
              <w:spacing w:after="0" w:line="240" w:lineRule="auto"/>
              <w:jc w:val="both"/>
              <w:rPr>
                <w:rFonts w:ascii="Calibri Light" w:eastAsia="Times New Roman" w:hAnsi="Calibri Light" w:cs="Calibri Light"/>
                <w:b/>
                <w:bCs/>
                <w:color w:val="000000"/>
                <w:sz w:val="18"/>
                <w:szCs w:val="18"/>
                <w:lang w:val="ro-RO"/>
              </w:rPr>
            </w:pPr>
            <w:r w:rsidRPr="00560084">
              <w:rPr>
                <w:rFonts w:ascii="Calibri Light" w:eastAsia="Times New Roman" w:hAnsi="Calibri Light" w:cs="Calibri Light"/>
                <w:b/>
                <w:bCs/>
                <w:color w:val="000000"/>
                <w:sz w:val="18"/>
                <w:szCs w:val="18"/>
                <w:lang w:val="ro-RO"/>
              </w:rPr>
              <w:t>Cheltuieli mil. lei</w:t>
            </w:r>
          </w:p>
        </w:tc>
        <w:tc>
          <w:tcPr>
            <w:tcW w:w="808" w:type="dxa"/>
            <w:shd w:val="clear" w:color="auto" w:fill="auto"/>
            <w:noWrap/>
            <w:vAlign w:val="center"/>
            <w:hideMark/>
          </w:tcPr>
          <w:p w14:paraId="39ABEE95"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19426.5</w:t>
            </w:r>
          </w:p>
        </w:tc>
        <w:tc>
          <w:tcPr>
            <w:tcW w:w="808" w:type="dxa"/>
            <w:shd w:val="clear" w:color="auto" w:fill="auto"/>
            <w:vAlign w:val="center"/>
            <w:hideMark/>
          </w:tcPr>
          <w:p w14:paraId="13ECAE29"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21602</w:t>
            </w:r>
            <w:r>
              <w:rPr>
                <w:rFonts w:ascii="Calibri Light" w:eastAsia="Times New Roman" w:hAnsi="Calibri Light" w:cs="Calibri Light"/>
                <w:color w:val="000000"/>
                <w:sz w:val="18"/>
                <w:szCs w:val="18"/>
                <w:lang w:val="ro-RO"/>
              </w:rPr>
              <w:t>.3</w:t>
            </w:r>
          </w:p>
        </w:tc>
        <w:tc>
          <w:tcPr>
            <w:tcW w:w="808" w:type="dxa"/>
            <w:shd w:val="clear" w:color="auto" w:fill="auto"/>
            <w:noWrap/>
            <w:vAlign w:val="center"/>
            <w:hideMark/>
          </w:tcPr>
          <w:p w14:paraId="79E2212D"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24244</w:t>
            </w:r>
            <w:r>
              <w:rPr>
                <w:rFonts w:ascii="Calibri Light" w:eastAsia="Times New Roman" w:hAnsi="Calibri Light" w:cs="Calibri Light"/>
                <w:color w:val="000000"/>
                <w:sz w:val="18"/>
                <w:szCs w:val="18"/>
                <w:lang w:val="ro-RO"/>
              </w:rPr>
              <w:t>.4</w:t>
            </w:r>
          </w:p>
        </w:tc>
        <w:tc>
          <w:tcPr>
            <w:tcW w:w="808" w:type="dxa"/>
            <w:shd w:val="clear" w:color="auto" w:fill="auto"/>
            <w:noWrap/>
            <w:vAlign w:val="center"/>
            <w:hideMark/>
          </w:tcPr>
          <w:p w14:paraId="731FA3B8"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27629.0</w:t>
            </w:r>
          </w:p>
        </w:tc>
        <w:tc>
          <w:tcPr>
            <w:tcW w:w="808" w:type="dxa"/>
            <w:shd w:val="clear" w:color="auto" w:fill="auto"/>
            <w:noWrap/>
            <w:vAlign w:val="center"/>
            <w:hideMark/>
          </w:tcPr>
          <w:p w14:paraId="1FD8CB19"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Pr>
                <w:rFonts w:ascii="Calibri Light" w:eastAsia="Times New Roman" w:hAnsi="Calibri Light" w:cs="Calibri Light"/>
                <w:color w:val="000000"/>
                <w:sz w:val="18"/>
                <w:szCs w:val="18"/>
                <w:lang w:val="ro-RO"/>
              </w:rPr>
              <w:t>27186.8</w:t>
            </w:r>
          </w:p>
        </w:tc>
        <w:tc>
          <w:tcPr>
            <w:tcW w:w="709" w:type="dxa"/>
            <w:shd w:val="clear" w:color="auto" w:fill="auto"/>
            <w:noWrap/>
            <w:vAlign w:val="center"/>
            <w:hideMark/>
          </w:tcPr>
          <w:p w14:paraId="5AF43E4B"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-442.2</w:t>
            </w:r>
          </w:p>
        </w:tc>
        <w:tc>
          <w:tcPr>
            <w:tcW w:w="534" w:type="dxa"/>
            <w:shd w:val="clear" w:color="auto" w:fill="auto"/>
            <w:noWrap/>
            <w:vAlign w:val="center"/>
            <w:hideMark/>
          </w:tcPr>
          <w:p w14:paraId="6706B6A2"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98.4</w:t>
            </w:r>
          </w:p>
        </w:tc>
        <w:tc>
          <w:tcPr>
            <w:tcW w:w="717" w:type="dxa"/>
            <w:shd w:val="clear" w:color="auto" w:fill="auto"/>
            <w:noWrap/>
            <w:vAlign w:val="center"/>
          </w:tcPr>
          <w:p w14:paraId="07995A91"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7760.3</w:t>
            </w:r>
          </w:p>
        </w:tc>
        <w:tc>
          <w:tcPr>
            <w:tcW w:w="625" w:type="dxa"/>
            <w:shd w:val="clear" w:color="auto" w:fill="auto"/>
            <w:noWrap/>
            <w:vAlign w:val="center"/>
          </w:tcPr>
          <w:p w14:paraId="21342DDE"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139.9</w:t>
            </w:r>
          </w:p>
        </w:tc>
        <w:tc>
          <w:tcPr>
            <w:tcW w:w="717" w:type="dxa"/>
            <w:shd w:val="clear" w:color="auto" w:fill="auto"/>
            <w:vAlign w:val="center"/>
          </w:tcPr>
          <w:p w14:paraId="69D0522C"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5584.5</w:t>
            </w:r>
          </w:p>
        </w:tc>
        <w:tc>
          <w:tcPr>
            <w:tcW w:w="625" w:type="dxa"/>
            <w:shd w:val="clear" w:color="auto" w:fill="auto"/>
            <w:vAlign w:val="center"/>
          </w:tcPr>
          <w:p w14:paraId="77ED487C"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125.9</w:t>
            </w:r>
          </w:p>
        </w:tc>
        <w:tc>
          <w:tcPr>
            <w:tcW w:w="717" w:type="dxa"/>
            <w:shd w:val="clear" w:color="auto" w:fill="auto"/>
            <w:noWrap/>
            <w:vAlign w:val="center"/>
          </w:tcPr>
          <w:p w14:paraId="6502A977"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Pr>
                <w:rFonts w:ascii="Calibri Light" w:eastAsia="Times New Roman" w:hAnsi="Calibri Light" w:cs="Calibri Light"/>
                <w:color w:val="000000"/>
                <w:sz w:val="18"/>
                <w:szCs w:val="18"/>
                <w:lang w:val="ro-RO"/>
              </w:rPr>
              <w:t>2942.4</w:t>
            </w:r>
          </w:p>
        </w:tc>
        <w:tc>
          <w:tcPr>
            <w:tcW w:w="625" w:type="dxa"/>
            <w:shd w:val="clear" w:color="auto" w:fill="auto"/>
            <w:noWrap/>
            <w:vAlign w:val="center"/>
          </w:tcPr>
          <w:p w14:paraId="322C3424" w14:textId="77777777" w:rsidR="00D4724B" w:rsidRPr="00560084" w:rsidRDefault="00D4724B" w:rsidP="00561466">
            <w:pPr>
              <w:spacing w:after="0" w:line="240" w:lineRule="auto"/>
              <w:jc w:val="right"/>
              <w:rPr>
                <w:rFonts w:ascii="Calibri Light" w:eastAsia="Times New Roman" w:hAnsi="Calibri Light" w:cs="Calibri Light"/>
                <w:color w:val="000000"/>
                <w:sz w:val="18"/>
                <w:szCs w:val="18"/>
                <w:lang w:val="ro-RO"/>
              </w:rPr>
            </w:pPr>
            <w:r w:rsidRPr="00560084">
              <w:rPr>
                <w:rFonts w:ascii="Calibri Light" w:eastAsia="Times New Roman" w:hAnsi="Calibri Light" w:cs="Calibri Light"/>
                <w:color w:val="000000"/>
                <w:sz w:val="18"/>
                <w:szCs w:val="18"/>
                <w:lang w:val="ro-RO"/>
              </w:rPr>
              <w:t>112.1</w:t>
            </w:r>
          </w:p>
        </w:tc>
      </w:tr>
    </w:tbl>
    <w:p w14:paraId="5DBAF123" w14:textId="77777777" w:rsidR="00D4724B" w:rsidRPr="00E82CC1" w:rsidRDefault="00D4724B" w:rsidP="00D4724B">
      <w:pPr>
        <w:spacing w:after="0"/>
        <w:jc w:val="both"/>
        <w:rPr>
          <w:rFonts w:asciiTheme="majorHAnsi" w:hAnsiTheme="majorHAnsi" w:cstheme="majorHAnsi"/>
          <w:sz w:val="24"/>
          <w:szCs w:val="24"/>
          <w:lang w:val="ro-RO"/>
        </w:rPr>
      </w:pPr>
      <w:r w:rsidRPr="00E82CC1">
        <w:rPr>
          <w:rFonts w:asciiTheme="majorHAnsi" w:hAnsiTheme="majorHAnsi" w:cstheme="majorHAnsi"/>
          <w:b/>
          <w:bCs/>
          <w:i/>
          <w:iCs/>
          <w:lang w:val="ro-RO"/>
        </w:rPr>
        <w:t>Sursa</w:t>
      </w:r>
      <w:r w:rsidRPr="00E82CC1">
        <w:rPr>
          <w:rFonts w:asciiTheme="majorHAnsi" w:hAnsiTheme="majorHAnsi" w:cstheme="majorHAnsi"/>
          <w:lang w:val="ro-RO"/>
        </w:rPr>
        <w:t xml:space="preserve">: </w:t>
      </w:r>
      <w:r w:rsidRPr="00E82CC1">
        <w:rPr>
          <w:rFonts w:asciiTheme="majorHAnsi" w:hAnsiTheme="majorHAnsi" w:cstheme="majorHAnsi"/>
          <w:i/>
          <w:iCs/>
          <w:lang w:val="ro-RO"/>
        </w:rPr>
        <w:t>Raportul privind executarea bugetului asigurărilor sociale de stat la situația de 1 ianuarie 2022 (</w:t>
      </w:r>
      <w:r>
        <w:rPr>
          <w:rFonts w:asciiTheme="majorHAnsi" w:hAnsiTheme="majorHAnsi" w:cstheme="majorHAnsi"/>
          <w:i/>
          <w:iCs/>
          <w:lang w:val="ro-RO"/>
        </w:rPr>
        <w:t>F</w:t>
      </w:r>
      <w:r w:rsidRPr="00E82CC1">
        <w:rPr>
          <w:rFonts w:asciiTheme="majorHAnsi" w:hAnsiTheme="majorHAnsi" w:cstheme="majorHAnsi"/>
          <w:i/>
          <w:iCs/>
          <w:lang w:val="ro-RO"/>
        </w:rPr>
        <w:t>ormularul nr.1 CNAS)</w:t>
      </w:r>
      <w:r>
        <w:rPr>
          <w:rFonts w:asciiTheme="majorHAnsi" w:hAnsiTheme="majorHAnsi" w:cstheme="majorHAnsi"/>
          <w:i/>
          <w:iCs/>
          <w:lang w:val="ro-RO"/>
        </w:rPr>
        <w:t>.</w:t>
      </w:r>
    </w:p>
    <w:p w14:paraId="31B43F0F" w14:textId="77777777" w:rsidR="00D4724B" w:rsidRDefault="00D4724B" w:rsidP="001F113B">
      <w:pPr>
        <w:spacing w:after="0"/>
        <w:jc w:val="both"/>
        <w:rPr>
          <w:rFonts w:asciiTheme="majorHAnsi" w:hAnsiTheme="majorHAnsi" w:cstheme="majorHAnsi"/>
          <w:sz w:val="24"/>
          <w:szCs w:val="24"/>
          <w:lang w:val="ro-RO"/>
        </w:rPr>
      </w:pPr>
    </w:p>
    <w:p w14:paraId="7F982652" w14:textId="595EE92A" w:rsidR="005D770F" w:rsidRPr="00FC77D1" w:rsidRDefault="005D770F" w:rsidP="005D770F">
      <w:pPr>
        <w:spacing w:after="0" w:line="276" w:lineRule="auto"/>
        <w:jc w:val="both"/>
        <w:rPr>
          <w:rFonts w:asciiTheme="majorHAnsi" w:eastAsia="Times New Roman" w:hAnsiTheme="majorHAnsi" w:cstheme="majorHAnsi"/>
          <w:color w:val="000000"/>
          <w:lang w:val="ro-RO"/>
        </w:rPr>
      </w:pPr>
      <w:r w:rsidRPr="00E82CC1">
        <w:rPr>
          <w:rFonts w:asciiTheme="majorHAnsi" w:hAnsiTheme="majorHAnsi" w:cstheme="majorHAnsi"/>
          <w:sz w:val="24"/>
          <w:szCs w:val="24"/>
          <w:lang w:val="ro-RO"/>
        </w:rPr>
        <w:t xml:space="preserve">În </w:t>
      </w:r>
      <w:r w:rsidRPr="005D770F">
        <w:rPr>
          <w:rFonts w:asciiTheme="majorHAnsi" w:hAnsiTheme="majorHAnsi" w:cstheme="majorHAnsi"/>
          <w:sz w:val="24"/>
          <w:szCs w:val="24"/>
          <w:lang w:val="ro-RO"/>
        </w:rPr>
        <w:t xml:space="preserve">aceste condiții, exercițiul bugetar s-a soldat cu un excedent de 60,0 mil.lei, iar </w:t>
      </w:r>
      <w:r w:rsidRPr="005D770F">
        <w:rPr>
          <w:rFonts w:asciiTheme="majorHAnsi" w:eastAsia="Times New Roman" w:hAnsiTheme="majorHAnsi" w:cstheme="majorHAnsi"/>
          <w:color w:val="000000"/>
          <w:sz w:val="24"/>
          <w:szCs w:val="24"/>
          <w:lang w:val="ro-RO"/>
        </w:rPr>
        <w:t>s</w:t>
      </w:r>
      <w:r w:rsidR="00AF1C6B">
        <w:rPr>
          <w:rFonts w:asciiTheme="majorHAnsi" w:eastAsia="Times New Roman" w:hAnsiTheme="majorHAnsi" w:cstheme="majorHAnsi"/>
          <w:color w:val="000000"/>
          <w:sz w:val="24"/>
          <w:szCs w:val="24"/>
          <w:lang w:val="ro-RO"/>
        </w:rPr>
        <w:t>oldul de mijloace băneşti la sfâ</w:t>
      </w:r>
      <w:r w:rsidRPr="005D770F">
        <w:rPr>
          <w:rFonts w:asciiTheme="majorHAnsi" w:eastAsia="Times New Roman" w:hAnsiTheme="majorHAnsi" w:cstheme="majorHAnsi"/>
          <w:color w:val="000000"/>
          <w:sz w:val="24"/>
          <w:szCs w:val="24"/>
          <w:lang w:val="ro-RO"/>
        </w:rPr>
        <w:t xml:space="preserve">rşitul perioadei a constituit </w:t>
      </w:r>
      <w:r w:rsidRPr="00FC77D1">
        <w:rPr>
          <w:rFonts w:asciiTheme="majorHAnsi" w:eastAsia="Times New Roman" w:hAnsiTheme="majorHAnsi" w:cstheme="majorHAnsi"/>
          <w:color w:val="000000"/>
          <w:sz w:val="24"/>
          <w:szCs w:val="24"/>
          <w:lang w:val="ro-RO"/>
        </w:rPr>
        <w:t>60</w:t>
      </w:r>
      <w:r w:rsidR="00C83A35">
        <w:rPr>
          <w:rFonts w:asciiTheme="majorHAnsi" w:eastAsia="Times New Roman" w:hAnsiTheme="majorHAnsi" w:cstheme="majorHAnsi"/>
          <w:color w:val="000000"/>
          <w:sz w:val="24"/>
          <w:szCs w:val="24"/>
          <w:lang w:val="ro-RO"/>
        </w:rPr>
        <w:t>,4 mil. lei (Anexa nr.4).</w:t>
      </w:r>
    </w:p>
    <w:p w14:paraId="5DD8A88A" w14:textId="28FD5312" w:rsidR="001F113B" w:rsidRPr="00E82CC1" w:rsidRDefault="001F113B" w:rsidP="001F113B">
      <w:pPr>
        <w:spacing w:after="0"/>
        <w:jc w:val="both"/>
        <w:rPr>
          <w:rFonts w:asciiTheme="majorHAnsi" w:hAnsiTheme="majorHAnsi" w:cstheme="majorHAnsi"/>
          <w:sz w:val="24"/>
          <w:szCs w:val="24"/>
          <w:lang w:val="ro-RO"/>
        </w:rPr>
      </w:pPr>
    </w:p>
    <w:p w14:paraId="3962D5CB" w14:textId="25294CE3" w:rsidR="00254B91" w:rsidRPr="00E82CC1" w:rsidRDefault="00254B91" w:rsidP="00254B91">
      <w:pPr>
        <w:pStyle w:val="1"/>
        <w:numPr>
          <w:ilvl w:val="0"/>
          <w:numId w:val="15"/>
        </w:numPr>
        <w:ind w:left="0" w:firstLine="0"/>
        <w:jc w:val="left"/>
        <w:rPr>
          <w:rFonts w:asciiTheme="majorHAnsi" w:eastAsia="Times New Roman" w:hAnsiTheme="majorHAnsi" w:cstheme="majorHAnsi"/>
          <w:bCs/>
          <w:sz w:val="28"/>
          <w:szCs w:val="24"/>
          <w:lang w:val="ro-RO"/>
        </w:rPr>
      </w:pPr>
      <w:r w:rsidRPr="00E82CC1">
        <w:rPr>
          <w:rFonts w:asciiTheme="majorHAnsi" w:eastAsia="Times New Roman" w:hAnsiTheme="majorHAnsi" w:cstheme="majorHAnsi"/>
          <w:bCs/>
          <w:sz w:val="28"/>
          <w:szCs w:val="24"/>
          <w:lang w:val="ro-RO"/>
        </w:rPr>
        <w:t>RECOMANDĂRI</w:t>
      </w:r>
    </w:p>
    <w:p w14:paraId="5CFC7F4C" w14:textId="77777777" w:rsidR="00E0707F" w:rsidRPr="00E82CC1" w:rsidRDefault="00E0707F" w:rsidP="00254B91">
      <w:pPr>
        <w:spacing w:after="0" w:line="276" w:lineRule="auto"/>
        <w:jc w:val="both"/>
        <w:rPr>
          <w:rFonts w:asciiTheme="majorHAnsi" w:hAnsiTheme="majorHAnsi" w:cstheme="majorHAnsi"/>
          <w:b/>
          <w:bCs/>
          <w:i/>
          <w:iCs/>
          <w:sz w:val="24"/>
          <w:szCs w:val="24"/>
          <w:u w:val="single"/>
          <w:lang w:val="ro-RO"/>
        </w:rPr>
      </w:pPr>
    </w:p>
    <w:p w14:paraId="1FB0A204" w14:textId="2C589297" w:rsidR="00254B91" w:rsidRPr="00367C59" w:rsidRDefault="00254B91" w:rsidP="00254B91">
      <w:pPr>
        <w:spacing w:after="0" w:line="276" w:lineRule="auto"/>
        <w:jc w:val="both"/>
        <w:rPr>
          <w:rFonts w:asciiTheme="majorHAnsi" w:hAnsiTheme="majorHAnsi" w:cstheme="majorHAnsi"/>
          <w:b/>
          <w:bCs/>
          <w:i/>
          <w:iCs/>
          <w:sz w:val="24"/>
          <w:szCs w:val="24"/>
          <w:u w:val="single"/>
        </w:rPr>
      </w:pPr>
      <w:r w:rsidRPr="00EB188D">
        <w:rPr>
          <w:rFonts w:asciiTheme="majorHAnsi" w:hAnsiTheme="majorHAnsi" w:cstheme="majorHAnsi"/>
          <w:b/>
          <w:bCs/>
          <w:i/>
          <w:iCs/>
          <w:sz w:val="24"/>
          <w:szCs w:val="24"/>
          <w:u w:val="single"/>
          <w:lang w:val="ro-RO"/>
        </w:rPr>
        <w:t>Recomandări</w:t>
      </w:r>
      <w:r w:rsidR="00F94289" w:rsidRPr="00EB188D">
        <w:rPr>
          <w:rFonts w:asciiTheme="majorHAnsi" w:hAnsiTheme="majorHAnsi" w:cstheme="majorHAnsi"/>
          <w:b/>
          <w:bCs/>
          <w:i/>
          <w:iCs/>
          <w:sz w:val="24"/>
          <w:szCs w:val="24"/>
          <w:u w:val="single"/>
          <w:lang w:val="ro-RO"/>
        </w:rPr>
        <w:t xml:space="preserve"> Minist</w:t>
      </w:r>
      <w:r w:rsidR="009216A1" w:rsidRPr="00155159">
        <w:rPr>
          <w:rFonts w:asciiTheme="majorHAnsi" w:hAnsiTheme="majorHAnsi" w:cstheme="majorHAnsi"/>
          <w:b/>
          <w:bCs/>
          <w:i/>
          <w:iCs/>
          <w:sz w:val="24"/>
          <w:szCs w:val="24"/>
          <w:u w:val="single"/>
          <w:lang w:val="ro-RO"/>
        </w:rPr>
        <w:t>rului</w:t>
      </w:r>
      <w:r w:rsidRPr="00944238">
        <w:rPr>
          <w:rFonts w:asciiTheme="majorHAnsi" w:hAnsiTheme="majorHAnsi" w:cstheme="majorHAnsi"/>
          <w:b/>
          <w:bCs/>
          <w:i/>
          <w:iCs/>
          <w:sz w:val="24"/>
          <w:szCs w:val="24"/>
          <w:u w:val="single"/>
          <w:lang w:val="ro-RO"/>
        </w:rPr>
        <w:t xml:space="preserve"> Muncii și Protecției Sociale:</w:t>
      </w:r>
    </w:p>
    <w:p w14:paraId="6EFF46B0" w14:textId="77777777" w:rsidR="00246B21" w:rsidRPr="00EB188D" w:rsidRDefault="00246B21" w:rsidP="00246B21">
      <w:pPr>
        <w:pStyle w:val="a9"/>
        <w:numPr>
          <w:ilvl w:val="0"/>
          <w:numId w:val="41"/>
        </w:numPr>
        <w:spacing w:after="0" w:line="276" w:lineRule="auto"/>
        <w:jc w:val="both"/>
        <w:rPr>
          <w:rFonts w:asciiTheme="majorHAnsi" w:hAnsiTheme="majorHAnsi" w:cstheme="majorHAnsi"/>
          <w:i/>
          <w:sz w:val="24"/>
          <w:szCs w:val="24"/>
          <w:lang w:val="ro-RO"/>
        </w:rPr>
      </w:pPr>
      <w:r w:rsidRPr="008362B9">
        <w:rPr>
          <w:rFonts w:asciiTheme="majorHAnsi" w:hAnsiTheme="majorHAnsi" w:cstheme="majorHAnsi"/>
          <w:i/>
          <w:sz w:val="24"/>
          <w:szCs w:val="24"/>
          <w:lang w:val="ro-RO"/>
        </w:rPr>
        <w:t>Să analizeze problemele procesului de stabilire, calculare și</w:t>
      </w:r>
      <w:r w:rsidRPr="00E318A2">
        <w:rPr>
          <w:rFonts w:asciiTheme="majorHAnsi" w:hAnsiTheme="majorHAnsi" w:cstheme="majorHAnsi"/>
          <w:i/>
          <w:sz w:val="24"/>
          <w:szCs w:val="24"/>
          <w:lang w:val="ro-RO"/>
        </w:rPr>
        <w:t xml:space="preserve"> plată a ajutorului social și ajutorului pentru perioada rece a anului, cu întreprinderea acțiunilor concrete în scopul asigurării interacțiunii părților implicate, inclusiv consolidarea statutului Inspectoratului Social de Stat (Observația 5.1 – Secțiunea</w:t>
      </w:r>
      <w:r w:rsidRPr="00EB188D">
        <w:rPr>
          <w:rFonts w:asciiTheme="majorHAnsi" w:hAnsiTheme="majorHAnsi" w:cstheme="majorHAnsi"/>
          <w:i/>
          <w:sz w:val="24"/>
          <w:szCs w:val="24"/>
          <w:lang w:val="ro-RO"/>
        </w:rPr>
        <w:t xml:space="preserve"> V);</w:t>
      </w:r>
    </w:p>
    <w:p w14:paraId="13A6DB52" w14:textId="152BD107" w:rsidR="00254B91" w:rsidRPr="00EB188D" w:rsidRDefault="00254B91" w:rsidP="00E0707F">
      <w:pPr>
        <w:pStyle w:val="a9"/>
        <w:numPr>
          <w:ilvl w:val="0"/>
          <w:numId w:val="41"/>
        </w:numPr>
        <w:spacing w:after="0" w:line="276" w:lineRule="auto"/>
        <w:jc w:val="both"/>
        <w:rPr>
          <w:rFonts w:asciiTheme="majorHAnsi" w:hAnsiTheme="majorHAnsi" w:cstheme="majorHAnsi"/>
          <w:i/>
          <w:sz w:val="24"/>
          <w:szCs w:val="24"/>
          <w:lang w:val="ro-RO"/>
        </w:rPr>
      </w:pPr>
      <w:r w:rsidRPr="00EB188D">
        <w:rPr>
          <w:rFonts w:asciiTheme="majorHAnsi" w:hAnsiTheme="majorHAnsi" w:cstheme="majorHAnsi"/>
          <w:i/>
          <w:sz w:val="24"/>
          <w:szCs w:val="24"/>
          <w:lang w:val="ro-RO"/>
        </w:rPr>
        <w:t>Să elaboreze și să înainteze propuneri de ajustare a cadrului normativ privind determinarea exhaustivă a categoriilor de angajați din aviația civilă ce au dreptul la stabilir</w:t>
      </w:r>
      <w:r w:rsidR="00B9300C" w:rsidRPr="00EB188D">
        <w:rPr>
          <w:rFonts w:asciiTheme="majorHAnsi" w:hAnsiTheme="majorHAnsi" w:cstheme="majorHAnsi"/>
          <w:i/>
          <w:sz w:val="24"/>
          <w:szCs w:val="24"/>
          <w:lang w:val="ro-RO"/>
        </w:rPr>
        <w:t xml:space="preserve">ea pensiei în condiții speciale </w:t>
      </w:r>
      <w:r w:rsidR="00B9300C" w:rsidRPr="00EB188D">
        <w:rPr>
          <w:rFonts w:asciiTheme="majorHAnsi" w:eastAsia="Times New Roman" w:hAnsiTheme="majorHAnsi" w:cstheme="majorHAnsi"/>
          <w:i/>
          <w:sz w:val="24"/>
          <w:szCs w:val="24"/>
          <w:lang w:val="ro-RO"/>
        </w:rPr>
        <w:t>(Observația 6.6.</w:t>
      </w:r>
      <w:r w:rsidR="00B9300C" w:rsidRPr="00EB188D">
        <w:rPr>
          <w:rFonts w:asciiTheme="majorHAnsi" w:hAnsiTheme="majorHAnsi" w:cstheme="majorHAnsi"/>
          <w:i/>
          <w:sz w:val="24"/>
          <w:szCs w:val="24"/>
          <w:lang w:val="ro-RO"/>
        </w:rPr>
        <w:t xml:space="preserve"> – Secțiunea VI</w:t>
      </w:r>
      <w:r w:rsidR="00B9300C" w:rsidRPr="00EB188D">
        <w:rPr>
          <w:rFonts w:asciiTheme="majorHAnsi" w:eastAsia="Times New Roman" w:hAnsiTheme="majorHAnsi" w:cstheme="majorHAnsi"/>
          <w:i/>
          <w:sz w:val="24"/>
          <w:szCs w:val="24"/>
          <w:lang w:val="ro-RO"/>
        </w:rPr>
        <w:t>);</w:t>
      </w:r>
    </w:p>
    <w:p w14:paraId="0BDC2454" w14:textId="1CCD2D9D" w:rsidR="00F97F7D" w:rsidRPr="00EB188D" w:rsidRDefault="00F97F7D" w:rsidP="00F97F7D">
      <w:pPr>
        <w:pStyle w:val="a9"/>
        <w:numPr>
          <w:ilvl w:val="0"/>
          <w:numId w:val="41"/>
        </w:numPr>
        <w:spacing w:after="0" w:line="276" w:lineRule="auto"/>
        <w:jc w:val="both"/>
        <w:rPr>
          <w:rFonts w:asciiTheme="majorHAnsi" w:hAnsiTheme="majorHAnsi" w:cstheme="majorHAnsi"/>
          <w:i/>
          <w:sz w:val="28"/>
          <w:szCs w:val="24"/>
          <w:lang w:val="ro-RO"/>
        </w:rPr>
      </w:pPr>
      <w:r w:rsidRPr="00EB188D">
        <w:rPr>
          <w:rStyle w:val="list0020paragraphchar"/>
          <w:rFonts w:asciiTheme="majorHAnsi" w:eastAsiaTheme="majorEastAsia" w:hAnsiTheme="majorHAnsi" w:cstheme="majorHAnsi"/>
          <w:i/>
          <w:color w:val="000000"/>
          <w:sz w:val="24"/>
          <w:lang w:val="ro-RO"/>
        </w:rPr>
        <w:t>Să e</w:t>
      </w:r>
      <w:r w:rsidRPr="00EB188D">
        <w:rPr>
          <w:rFonts w:asciiTheme="majorHAnsi" w:hAnsiTheme="majorHAnsi" w:cstheme="majorHAnsi"/>
          <w:i/>
          <w:sz w:val="24"/>
          <w:lang w:val="ro-RO"/>
        </w:rPr>
        <w:t xml:space="preserve">laboreze reglementări exhaustive de stopare/sistare a plății pensiei unor angajați din aviația civilă în cazul reangajării în funcții ale căror condiții de muncă se </w:t>
      </w:r>
      <w:r w:rsidR="00B9300C" w:rsidRPr="00EB188D">
        <w:rPr>
          <w:rFonts w:asciiTheme="majorHAnsi" w:hAnsiTheme="majorHAnsi" w:cstheme="majorHAnsi"/>
          <w:i/>
          <w:sz w:val="24"/>
          <w:lang w:val="ro-RO"/>
        </w:rPr>
        <w:t xml:space="preserve">încadrează în condiții speciale </w:t>
      </w:r>
      <w:r w:rsidR="00B9300C" w:rsidRPr="00EB188D">
        <w:rPr>
          <w:rFonts w:asciiTheme="majorHAnsi" w:eastAsia="Times New Roman" w:hAnsiTheme="majorHAnsi" w:cstheme="majorHAnsi"/>
          <w:i/>
          <w:sz w:val="24"/>
          <w:szCs w:val="24"/>
          <w:lang w:val="ro-RO"/>
        </w:rPr>
        <w:t>(Observația 6.6</w:t>
      </w:r>
      <w:r w:rsidR="00B9300C" w:rsidRPr="00EB188D">
        <w:rPr>
          <w:rFonts w:asciiTheme="majorHAnsi" w:hAnsiTheme="majorHAnsi" w:cstheme="majorHAnsi"/>
          <w:i/>
          <w:sz w:val="24"/>
          <w:szCs w:val="24"/>
          <w:lang w:val="ro-RO"/>
        </w:rPr>
        <w:t xml:space="preserve"> – Secțiunea VI</w:t>
      </w:r>
      <w:r w:rsidR="00B9300C" w:rsidRPr="00EB188D">
        <w:rPr>
          <w:rFonts w:asciiTheme="majorHAnsi" w:eastAsia="Times New Roman" w:hAnsiTheme="majorHAnsi" w:cstheme="majorHAnsi"/>
          <w:i/>
          <w:sz w:val="24"/>
          <w:szCs w:val="24"/>
          <w:lang w:val="ro-RO"/>
        </w:rPr>
        <w:t>);</w:t>
      </w:r>
    </w:p>
    <w:p w14:paraId="6EE28EFC" w14:textId="0C04F95E" w:rsidR="00E0707F" w:rsidRPr="00EB188D" w:rsidRDefault="00254B91" w:rsidP="00E0707F">
      <w:pPr>
        <w:pStyle w:val="a9"/>
        <w:numPr>
          <w:ilvl w:val="0"/>
          <w:numId w:val="41"/>
        </w:numPr>
        <w:spacing w:after="0" w:line="276" w:lineRule="auto"/>
        <w:jc w:val="both"/>
        <w:rPr>
          <w:rFonts w:asciiTheme="majorHAnsi" w:hAnsiTheme="majorHAnsi" w:cstheme="majorHAnsi"/>
          <w:i/>
          <w:sz w:val="24"/>
          <w:szCs w:val="24"/>
          <w:lang w:val="ro-RO"/>
        </w:rPr>
      </w:pPr>
      <w:r w:rsidRPr="00EB188D">
        <w:rPr>
          <w:rFonts w:asciiTheme="majorHAnsi" w:hAnsiTheme="majorHAnsi" w:cstheme="majorHAnsi"/>
          <w:i/>
          <w:sz w:val="24"/>
          <w:szCs w:val="24"/>
          <w:lang w:val="ro-RO"/>
        </w:rPr>
        <w:t xml:space="preserve">Să analizeze </w:t>
      </w:r>
      <w:r w:rsidR="00DE6713" w:rsidRPr="00EB188D">
        <w:rPr>
          <w:rFonts w:asciiTheme="majorHAnsi" w:hAnsiTheme="majorHAnsi" w:cstheme="majorHAnsi"/>
          <w:i/>
          <w:sz w:val="24"/>
          <w:szCs w:val="24"/>
          <w:lang w:val="ro-RO"/>
        </w:rPr>
        <w:t>modul</w:t>
      </w:r>
      <w:r w:rsidRPr="00EB188D">
        <w:rPr>
          <w:rFonts w:asciiTheme="majorHAnsi" w:hAnsiTheme="majorHAnsi" w:cstheme="majorHAnsi"/>
          <w:i/>
          <w:sz w:val="24"/>
          <w:szCs w:val="24"/>
          <w:lang w:val="ro-RO"/>
        </w:rPr>
        <w:t xml:space="preserve"> de </w:t>
      </w:r>
      <w:r w:rsidR="00BB557B" w:rsidRPr="00EB188D">
        <w:rPr>
          <w:rFonts w:asciiTheme="majorHAnsi" w:hAnsiTheme="majorHAnsi" w:cstheme="majorHAnsi"/>
          <w:i/>
          <w:sz w:val="24"/>
          <w:szCs w:val="24"/>
          <w:lang w:val="ro-RO"/>
        </w:rPr>
        <w:t>extindere a termenului de examinare a cererilor pentru stabilirea indemnizațiilor paternale</w:t>
      </w:r>
      <w:r w:rsidRPr="00EB188D">
        <w:rPr>
          <w:rFonts w:asciiTheme="majorHAnsi" w:hAnsiTheme="majorHAnsi" w:cstheme="majorHAnsi"/>
          <w:i/>
          <w:sz w:val="24"/>
          <w:szCs w:val="24"/>
          <w:lang w:val="ro-RO"/>
        </w:rPr>
        <w:t>, în scopul asigurării echitabile a prestației ce i se cuvine beneficiarului, core</w:t>
      </w:r>
      <w:r w:rsidR="00B9300C" w:rsidRPr="00EB188D">
        <w:rPr>
          <w:rFonts w:asciiTheme="majorHAnsi" w:hAnsiTheme="majorHAnsi" w:cstheme="majorHAnsi"/>
          <w:i/>
          <w:sz w:val="24"/>
          <w:szCs w:val="24"/>
          <w:lang w:val="ro-RO"/>
        </w:rPr>
        <w:t xml:space="preserve">lativ cu contribuțiile </w:t>
      </w:r>
      <w:r w:rsidR="00901B5B" w:rsidRPr="00EB188D">
        <w:rPr>
          <w:rFonts w:asciiTheme="majorHAnsi" w:hAnsiTheme="majorHAnsi" w:cstheme="majorHAnsi"/>
          <w:i/>
          <w:sz w:val="24"/>
          <w:szCs w:val="24"/>
          <w:lang w:val="ro-RO"/>
        </w:rPr>
        <w:t>reținute/achitate</w:t>
      </w:r>
      <w:r w:rsidR="00B9300C" w:rsidRPr="00EB188D">
        <w:rPr>
          <w:rFonts w:asciiTheme="majorHAnsi" w:hAnsiTheme="majorHAnsi" w:cstheme="majorHAnsi"/>
          <w:i/>
          <w:sz w:val="24"/>
          <w:szCs w:val="24"/>
          <w:lang w:val="ro-RO"/>
        </w:rPr>
        <w:t xml:space="preserve"> </w:t>
      </w:r>
      <w:r w:rsidR="00B9300C" w:rsidRPr="00EB188D">
        <w:rPr>
          <w:rFonts w:asciiTheme="majorHAnsi" w:eastAsia="Times New Roman" w:hAnsiTheme="majorHAnsi" w:cstheme="majorHAnsi"/>
          <w:i/>
          <w:sz w:val="24"/>
          <w:szCs w:val="24"/>
          <w:lang w:val="ro-RO"/>
        </w:rPr>
        <w:t>(Observația 5.4.</w:t>
      </w:r>
      <w:r w:rsidR="00B9300C" w:rsidRPr="00EB188D">
        <w:rPr>
          <w:rFonts w:asciiTheme="majorHAnsi" w:hAnsiTheme="majorHAnsi" w:cstheme="majorHAnsi"/>
          <w:i/>
          <w:sz w:val="24"/>
          <w:szCs w:val="24"/>
          <w:lang w:val="ro-RO"/>
        </w:rPr>
        <w:t xml:space="preserve"> – Secțiunea V</w:t>
      </w:r>
      <w:r w:rsidR="00B9300C" w:rsidRPr="00EB188D">
        <w:rPr>
          <w:rFonts w:asciiTheme="majorHAnsi" w:eastAsia="Times New Roman" w:hAnsiTheme="majorHAnsi" w:cstheme="majorHAnsi"/>
          <w:i/>
          <w:sz w:val="24"/>
          <w:szCs w:val="24"/>
          <w:lang w:val="ro-RO"/>
        </w:rPr>
        <w:t>);</w:t>
      </w:r>
    </w:p>
    <w:p w14:paraId="55E1CCEF" w14:textId="77777777" w:rsidR="00E0707F" w:rsidRPr="00EB188D" w:rsidRDefault="00E0707F" w:rsidP="00E0707F">
      <w:pPr>
        <w:spacing w:after="0" w:line="276" w:lineRule="auto"/>
        <w:jc w:val="both"/>
        <w:rPr>
          <w:rFonts w:asciiTheme="majorHAnsi" w:hAnsiTheme="majorHAnsi" w:cstheme="majorHAnsi"/>
          <w:i/>
          <w:sz w:val="24"/>
          <w:szCs w:val="24"/>
          <w:lang w:val="ro-RO"/>
        </w:rPr>
      </w:pPr>
    </w:p>
    <w:p w14:paraId="4F17093F" w14:textId="4A338BA0" w:rsidR="00F94289" w:rsidRPr="00EB188D" w:rsidRDefault="00C83A35" w:rsidP="00F94289">
      <w:pPr>
        <w:spacing w:after="0" w:line="276" w:lineRule="auto"/>
        <w:jc w:val="both"/>
        <w:rPr>
          <w:rFonts w:asciiTheme="majorHAnsi" w:hAnsiTheme="majorHAnsi" w:cstheme="majorHAnsi"/>
          <w:b/>
          <w:bCs/>
          <w:i/>
          <w:iCs/>
          <w:sz w:val="24"/>
          <w:szCs w:val="24"/>
          <w:u w:val="single"/>
          <w:lang w:val="ro-RO"/>
        </w:rPr>
      </w:pPr>
      <w:r>
        <w:rPr>
          <w:rFonts w:asciiTheme="majorHAnsi" w:hAnsiTheme="majorHAnsi" w:cstheme="majorHAnsi"/>
          <w:b/>
          <w:bCs/>
          <w:i/>
          <w:iCs/>
          <w:sz w:val="24"/>
          <w:szCs w:val="24"/>
          <w:u w:val="single"/>
          <w:lang w:val="ro-RO"/>
        </w:rPr>
        <w:t>Recomandare</w:t>
      </w:r>
      <w:r w:rsidR="00F94289" w:rsidRPr="00EB188D">
        <w:rPr>
          <w:rFonts w:asciiTheme="majorHAnsi" w:hAnsiTheme="majorHAnsi" w:cstheme="majorHAnsi"/>
          <w:b/>
          <w:bCs/>
          <w:i/>
          <w:iCs/>
          <w:sz w:val="24"/>
          <w:szCs w:val="24"/>
          <w:u w:val="single"/>
          <w:lang w:val="ro-RO"/>
        </w:rPr>
        <w:t xml:space="preserve"> Ministrului Muncii și Protecției Sociale de comun cu </w:t>
      </w:r>
      <w:r w:rsidR="00F94289" w:rsidRPr="00EB188D">
        <w:rPr>
          <w:rStyle w:val="normalchar"/>
          <w:rFonts w:asciiTheme="majorHAnsi" w:eastAsiaTheme="majorEastAsia" w:hAnsiTheme="majorHAnsi" w:cstheme="majorHAnsi"/>
          <w:b/>
          <w:i/>
          <w:color w:val="000000"/>
          <w:sz w:val="24"/>
          <w:szCs w:val="24"/>
          <w:u w:val="single"/>
          <w:lang w:val="ro-RO"/>
        </w:rPr>
        <w:t>Ministrul Finanțelor:</w:t>
      </w:r>
    </w:p>
    <w:p w14:paraId="1BB754B5" w14:textId="292EBFBE" w:rsidR="00F94289" w:rsidRPr="009434E7" w:rsidRDefault="002742D9" w:rsidP="00E0707F">
      <w:pPr>
        <w:pStyle w:val="a9"/>
        <w:numPr>
          <w:ilvl w:val="0"/>
          <w:numId w:val="41"/>
        </w:numPr>
        <w:spacing w:after="0" w:line="276" w:lineRule="auto"/>
        <w:jc w:val="both"/>
        <w:rPr>
          <w:rFonts w:asciiTheme="majorHAnsi" w:hAnsiTheme="majorHAnsi" w:cstheme="majorHAnsi"/>
          <w:i/>
          <w:sz w:val="24"/>
          <w:szCs w:val="24"/>
          <w:lang w:val="ro-RO"/>
        </w:rPr>
      </w:pPr>
      <w:r w:rsidRPr="009434E7">
        <w:rPr>
          <w:rFonts w:asciiTheme="majorHAnsi" w:hAnsiTheme="majorHAnsi" w:cstheme="majorHAnsi"/>
          <w:i/>
          <w:sz w:val="24"/>
          <w:szCs w:val="24"/>
          <w:lang w:val="ro-RO"/>
        </w:rPr>
        <w:t>Să examineze cauzele problemelor</w:t>
      </w:r>
      <w:r w:rsidR="00C83A35" w:rsidRPr="009434E7">
        <w:rPr>
          <w:rFonts w:asciiTheme="majorHAnsi" w:hAnsiTheme="majorHAnsi" w:cstheme="majorHAnsi"/>
          <w:i/>
          <w:sz w:val="24"/>
          <w:szCs w:val="24"/>
          <w:lang w:val="ro-RO"/>
        </w:rPr>
        <w:t xml:space="preserve"> aferent</w:t>
      </w:r>
      <w:r w:rsidR="003C2BFD" w:rsidRPr="009434E7">
        <w:rPr>
          <w:rFonts w:asciiTheme="majorHAnsi" w:hAnsiTheme="majorHAnsi" w:cstheme="majorHAnsi"/>
          <w:i/>
          <w:sz w:val="24"/>
          <w:szCs w:val="24"/>
          <w:lang w:val="ro-RO"/>
        </w:rPr>
        <w:t>e</w:t>
      </w:r>
      <w:r w:rsidR="00C83A35" w:rsidRPr="009434E7">
        <w:rPr>
          <w:rFonts w:asciiTheme="majorHAnsi" w:hAnsiTheme="majorHAnsi" w:cstheme="majorHAnsi"/>
          <w:i/>
          <w:sz w:val="24"/>
          <w:szCs w:val="24"/>
          <w:lang w:val="ro-RO"/>
        </w:rPr>
        <w:t xml:space="preserve"> menținerii numărului de unități vacante, nivelului de fluctuație, precum</w:t>
      </w:r>
      <w:r w:rsidRPr="009434E7">
        <w:rPr>
          <w:rFonts w:asciiTheme="majorHAnsi" w:hAnsiTheme="majorHAnsi" w:cstheme="majorHAnsi"/>
          <w:i/>
          <w:sz w:val="24"/>
          <w:szCs w:val="24"/>
          <w:lang w:val="ro-RO"/>
        </w:rPr>
        <w:t xml:space="preserve"> și nereușitelor angajării personalului în cadrul CNAS și structurilor sale teritoriale</w:t>
      </w:r>
      <w:r w:rsidR="00EB188D" w:rsidRPr="009434E7">
        <w:rPr>
          <w:rFonts w:asciiTheme="majorHAnsi" w:hAnsiTheme="majorHAnsi" w:cstheme="majorHAnsi"/>
          <w:i/>
          <w:sz w:val="24"/>
          <w:szCs w:val="24"/>
          <w:lang w:val="ro-RO"/>
        </w:rPr>
        <w:t>,</w:t>
      </w:r>
      <w:r w:rsidRPr="009434E7">
        <w:rPr>
          <w:rFonts w:asciiTheme="majorHAnsi" w:hAnsiTheme="majorHAnsi" w:cstheme="majorHAnsi"/>
          <w:i/>
          <w:sz w:val="24"/>
          <w:szCs w:val="24"/>
          <w:lang w:val="ro-RO"/>
        </w:rPr>
        <w:t xml:space="preserve"> cu identificarea soluțiilor în acest </w:t>
      </w:r>
      <w:r w:rsidR="00EB188D" w:rsidRPr="009434E7">
        <w:rPr>
          <w:rFonts w:asciiTheme="majorHAnsi" w:hAnsiTheme="majorHAnsi" w:cstheme="majorHAnsi"/>
          <w:i/>
          <w:sz w:val="24"/>
          <w:szCs w:val="24"/>
          <w:lang w:val="ro-RO"/>
        </w:rPr>
        <w:t xml:space="preserve">sens </w:t>
      </w:r>
      <w:r w:rsidR="00B9300C" w:rsidRPr="009434E7">
        <w:rPr>
          <w:rFonts w:asciiTheme="majorHAnsi" w:eastAsia="Times New Roman" w:hAnsiTheme="majorHAnsi" w:cstheme="majorHAnsi"/>
          <w:i/>
          <w:sz w:val="24"/>
          <w:szCs w:val="24"/>
          <w:lang w:val="ro-RO"/>
        </w:rPr>
        <w:t xml:space="preserve">(Observația 6.10 </w:t>
      </w:r>
      <w:r w:rsidR="00B9300C" w:rsidRPr="009434E7">
        <w:rPr>
          <w:rFonts w:asciiTheme="majorHAnsi" w:hAnsiTheme="majorHAnsi" w:cstheme="majorHAnsi"/>
          <w:i/>
          <w:sz w:val="24"/>
          <w:szCs w:val="24"/>
          <w:lang w:val="ro-RO"/>
        </w:rPr>
        <w:t xml:space="preserve"> – Secțiunea VI</w:t>
      </w:r>
      <w:r w:rsidR="00B9300C" w:rsidRPr="009434E7">
        <w:rPr>
          <w:rFonts w:asciiTheme="majorHAnsi" w:eastAsia="Times New Roman" w:hAnsiTheme="majorHAnsi" w:cstheme="majorHAnsi"/>
          <w:i/>
          <w:sz w:val="24"/>
          <w:szCs w:val="24"/>
          <w:lang w:val="ro-RO"/>
        </w:rPr>
        <w:t>);</w:t>
      </w:r>
      <w:r w:rsidRPr="009434E7">
        <w:rPr>
          <w:rFonts w:asciiTheme="majorHAnsi" w:hAnsiTheme="majorHAnsi" w:cstheme="majorHAnsi"/>
          <w:i/>
          <w:sz w:val="24"/>
          <w:szCs w:val="24"/>
          <w:lang w:val="ro-RO"/>
        </w:rPr>
        <w:t xml:space="preserve"> </w:t>
      </w:r>
    </w:p>
    <w:p w14:paraId="60B52EB4" w14:textId="085ED5D0" w:rsidR="00873226" w:rsidRDefault="00873226" w:rsidP="00873226">
      <w:pPr>
        <w:pStyle w:val="a9"/>
        <w:spacing w:after="0" w:line="276" w:lineRule="auto"/>
        <w:jc w:val="both"/>
        <w:rPr>
          <w:rFonts w:asciiTheme="majorHAnsi" w:hAnsiTheme="majorHAnsi" w:cstheme="majorHAnsi"/>
          <w:i/>
          <w:sz w:val="24"/>
          <w:szCs w:val="24"/>
          <w:lang w:val="ro-RO"/>
        </w:rPr>
      </w:pPr>
    </w:p>
    <w:p w14:paraId="393D4895" w14:textId="77777777" w:rsidR="00045716" w:rsidRPr="00E82CC1" w:rsidRDefault="00045716" w:rsidP="00873226">
      <w:pPr>
        <w:pStyle w:val="a9"/>
        <w:spacing w:after="0" w:line="276" w:lineRule="auto"/>
        <w:jc w:val="both"/>
        <w:rPr>
          <w:rFonts w:asciiTheme="majorHAnsi" w:hAnsiTheme="majorHAnsi" w:cstheme="majorHAnsi"/>
          <w:i/>
          <w:sz w:val="24"/>
          <w:szCs w:val="24"/>
          <w:lang w:val="ro-RO"/>
        </w:rPr>
      </w:pPr>
    </w:p>
    <w:p w14:paraId="32E60618" w14:textId="39F98C49" w:rsidR="00E0707F" w:rsidRPr="00E82CC1" w:rsidRDefault="00E0707F" w:rsidP="00E0707F">
      <w:pPr>
        <w:spacing w:after="0" w:line="276" w:lineRule="auto"/>
        <w:jc w:val="both"/>
        <w:rPr>
          <w:rFonts w:asciiTheme="majorHAnsi" w:hAnsiTheme="majorHAnsi" w:cstheme="majorHAnsi"/>
          <w:b/>
          <w:bCs/>
          <w:i/>
          <w:iCs/>
          <w:sz w:val="24"/>
          <w:szCs w:val="24"/>
          <w:u w:val="single"/>
          <w:lang w:val="ro-RO"/>
        </w:rPr>
      </w:pPr>
      <w:r w:rsidRPr="00E82CC1">
        <w:rPr>
          <w:rFonts w:asciiTheme="majorHAnsi" w:hAnsiTheme="majorHAnsi" w:cstheme="majorHAnsi"/>
          <w:b/>
          <w:bCs/>
          <w:i/>
          <w:iCs/>
          <w:sz w:val="24"/>
          <w:szCs w:val="24"/>
          <w:u w:val="single"/>
          <w:lang w:val="ro-RO"/>
        </w:rPr>
        <w:t>Recomandări Ministrului Finanțelor:</w:t>
      </w:r>
    </w:p>
    <w:p w14:paraId="61034BF9" w14:textId="3587A71C" w:rsidR="00E0707F" w:rsidRPr="00E82CC1" w:rsidRDefault="00E0707F" w:rsidP="00E0707F">
      <w:pPr>
        <w:pStyle w:val="a9"/>
        <w:numPr>
          <w:ilvl w:val="0"/>
          <w:numId w:val="41"/>
        </w:numPr>
        <w:spacing w:after="0" w:line="276" w:lineRule="auto"/>
        <w:jc w:val="both"/>
        <w:rPr>
          <w:rFonts w:asciiTheme="majorHAnsi" w:hAnsiTheme="majorHAnsi" w:cstheme="majorHAnsi"/>
          <w:i/>
          <w:sz w:val="24"/>
          <w:szCs w:val="24"/>
          <w:lang w:val="ro-RO"/>
        </w:rPr>
      </w:pPr>
      <w:r w:rsidRPr="00E82CC1">
        <w:rPr>
          <w:rFonts w:asciiTheme="majorHAnsi" w:hAnsiTheme="majorHAnsi" w:cstheme="majorHAnsi"/>
          <w:i/>
          <w:sz w:val="24"/>
          <w:szCs w:val="24"/>
          <w:lang w:val="ro-RO"/>
        </w:rPr>
        <w:t xml:space="preserve">Să asigure completarea Normelor metodologice aferente modului de întocmire a Rapoartelor privind executarea bugetului asigurărilor sociale de stat pentru identificarea, evaluarea şi includerea în evidenţă și raportare separată </w:t>
      </w:r>
      <w:r w:rsidR="00EB188D">
        <w:rPr>
          <w:rFonts w:asciiTheme="majorHAnsi" w:hAnsiTheme="majorHAnsi" w:cstheme="majorHAnsi"/>
          <w:i/>
          <w:sz w:val="24"/>
          <w:szCs w:val="24"/>
          <w:lang w:val="ro-RO"/>
        </w:rPr>
        <w:t xml:space="preserve">a </w:t>
      </w:r>
      <w:r w:rsidRPr="00E82CC1">
        <w:rPr>
          <w:rFonts w:asciiTheme="majorHAnsi" w:hAnsiTheme="majorHAnsi" w:cstheme="majorHAnsi"/>
          <w:i/>
          <w:sz w:val="24"/>
          <w:szCs w:val="24"/>
          <w:lang w:val="ro-RO"/>
        </w:rPr>
        <w:t>sumel</w:t>
      </w:r>
      <w:r w:rsidR="00EB188D">
        <w:rPr>
          <w:rFonts w:asciiTheme="majorHAnsi" w:hAnsiTheme="majorHAnsi" w:cstheme="majorHAnsi"/>
          <w:i/>
          <w:sz w:val="24"/>
          <w:szCs w:val="24"/>
          <w:lang w:val="ro-RO"/>
        </w:rPr>
        <w:t>or</w:t>
      </w:r>
      <w:r w:rsidRPr="00E82CC1">
        <w:rPr>
          <w:rFonts w:asciiTheme="majorHAnsi" w:hAnsiTheme="majorHAnsi" w:cstheme="majorHAnsi"/>
          <w:i/>
          <w:sz w:val="24"/>
          <w:szCs w:val="24"/>
          <w:lang w:val="ro-RO"/>
        </w:rPr>
        <w:t xml:space="preserve"> aferente indemnizaţiilor pentru creșterea copilului până la împlinirea vârstei de 3 ani și a indemnizațiilor pentru creșterea copilului până la împlinirea vârstei de 2 ani și 2 luni, cu re</w:t>
      </w:r>
      <w:r w:rsidR="00B9300C" w:rsidRPr="00E82CC1">
        <w:rPr>
          <w:rFonts w:asciiTheme="majorHAnsi" w:hAnsiTheme="majorHAnsi" w:cstheme="majorHAnsi"/>
          <w:i/>
          <w:sz w:val="24"/>
          <w:szCs w:val="24"/>
          <w:lang w:val="ro-RO"/>
        </w:rPr>
        <w:t xml:space="preserve">flectarea distinctă în rapoarte </w:t>
      </w:r>
      <w:r w:rsidR="00B83DB7" w:rsidRPr="00E82CC1">
        <w:rPr>
          <w:rFonts w:asciiTheme="majorHAnsi" w:eastAsia="Times New Roman" w:hAnsiTheme="majorHAnsi" w:cstheme="majorHAnsi"/>
          <w:i/>
          <w:sz w:val="24"/>
          <w:szCs w:val="24"/>
          <w:lang w:val="ro-RO"/>
        </w:rPr>
        <w:t>(Observația 5.3</w:t>
      </w:r>
      <w:r w:rsidR="00B83DB7" w:rsidRPr="00E82CC1">
        <w:rPr>
          <w:rFonts w:asciiTheme="majorHAnsi" w:hAnsiTheme="majorHAnsi" w:cstheme="majorHAnsi"/>
          <w:i/>
          <w:sz w:val="24"/>
          <w:szCs w:val="24"/>
          <w:lang w:val="ro-RO"/>
        </w:rPr>
        <w:t xml:space="preserve"> – Secțiunea V</w:t>
      </w:r>
      <w:r w:rsidR="00B83DB7" w:rsidRPr="00E82CC1">
        <w:rPr>
          <w:rFonts w:asciiTheme="majorHAnsi" w:eastAsia="Times New Roman" w:hAnsiTheme="majorHAnsi" w:cstheme="majorHAnsi"/>
          <w:i/>
          <w:sz w:val="24"/>
          <w:szCs w:val="24"/>
          <w:lang w:val="ro-RO"/>
        </w:rPr>
        <w:t>)</w:t>
      </w:r>
      <w:r w:rsidR="00B83DB7" w:rsidRPr="00E82CC1">
        <w:rPr>
          <w:rFonts w:asciiTheme="majorHAnsi" w:hAnsiTheme="majorHAnsi" w:cstheme="majorHAnsi"/>
          <w:i/>
          <w:sz w:val="24"/>
          <w:szCs w:val="24"/>
          <w:lang w:val="ro-RO"/>
        </w:rPr>
        <w:t>;</w:t>
      </w:r>
    </w:p>
    <w:p w14:paraId="4EF2B6D1" w14:textId="5BC70197" w:rsidR="00E82CC1" w:rsidRPr="00E82CC1" w:rsidRDefault="00E82CC1" w:rsidP="00E82CC1">
      <w:pPr>
        <w:pStyle w:val="a9"/>
        <w:numPr>
          <w:ilvl w:val="0"/>
          <w:numId w:val="41"/>
        </w:numPr>
        <w:spacing w:after="0" w:line="276" w:lineRule="auto"/>
        <w:jc w:val="both"/>
        <w:rPr>
          <w:rFonts w:asciiTheme="majorHAnsi" w:hAnsiTheme="majorHAnsi" w:cstheme="majorHAnsi"/>
          <w:sz w:val="24"/>
          <w:szCs w:val="24"/>
          <w:lang w:val="ro-RO"/>
        </w:rPr>
      </w:pPr>
      <w:r w:rsidRPr="00E82CC1">
        <w:rPr>
          <w:rFonts w:asciiTheme="majorHAnsi" w:hAnsiTheme="majorHAnsi" w:cstheme="majorHAnsi"/>
          <w:i/>
          <w:sz w:val="24"/>
          <w:szCs w:val="24"/>
          <w:lang w:val="ro-RO"/>
        </w:rPr>
        <w:t xml:space="preserve">Să aducă în </w:t>
      </w:r>
      <w:r w:rsidRPr="009434E7">
        <w:rPr>
          <w:rFonts w:asciiTheme="majorHAnsi" w:hAnsiTheme="majorHAnsi" w:cstheme="majorHAnsi"/>
          <w:i/>
          <w:sz w:val="24"/>
          <w:szCs w:val="24"/>
          <w:lang w:val="ro-RO"/>
        </w:rPr>
        <w:t xml:space="preserve">concordanță denumirea indicatorilor din rapoartele de executare </w:t>
      </w:r>
      <w:r w:rsidR="00EB188D" w:rsidRPr="009434E7">
        <w:rPr>
          <w:rFonts w:asciiTheme="majorHAnsi" w:hAnsiTheme="majorHAnsi" w:cstheme="majorHAnsi"/>
          <w:i/>
          <w:sz w:val="24"/>
          <w:szCs w:val="24"/>
          <w:lang w:val="ro-RO"/>
        </w:rPr>
        <w:t xml:space="preserve">a </w:t>
      </w:r>
      <w:r w:rsidRPr="009434E7">
        <w:rPr>
          <w:rFonts w:asciiTheme="majorHAnsi" w:hAnsiTheme="majorHAnsi" w:cstheme="majorHAnsi"/>
          <w:i/>
          <w:sz w:val="24"/>
          <w:szCs w:val="24"/>
          <w:lang w:val="ro-RO"/>
        </w:rPr>
        <w:t>BASS și</w:t>
      </w:r>
      <w:r w:rsidR="009434E7" w:rsidRPr="009434E7">
        <w:rPr>
          <w:rFonts w:asciiTheme="majorHAnsi" w:hAnsiTheme="majorHAnsi" w:cstheme="majorHAnsi"/>
          <w:i/>
          <w:sz w:val="24"/>
          <w:szCs w:val="24"/>
          <w:lang w:val="ro-RO"/>
        </w:rPr>
        <w:t xml:space="preserve"> celor din planul</w:t>
      </w:r>
      <w:r w:rsidRPr="009434E7">
        <w:rPr>
          <w:rFonts w:asciiTheme="majorHAnsi" w:hAnsiTheme="majorHAnsi" w:cstheme="majorHAnsi"/>
          <w:i/>
          <w:sz w:val="24"/>
          <w:szCs w:val="24"/>
          <w:lang w:val="ro-RO"/>
        </w:rPr>
        <w:t xml:space="preserve"> de conturi</w:t>
      </w:r>
      <w:r w:rsidRPr="00E82CC1">
        <w:rPr>
          <w:rFonts w:asciiTheme="majorHAnsi" w:hAnsiTheme="majorHAnsi" w:cstheme="majorHAnsi"/>
          <w:i/>
          <w:sz w:val="24"/>
          <w:szCs w:val="24"/>
          <w:lang w:val="ro-RO"/>
        </w:rPr>
        <w:t xml:space="preserve"> contabile, cu cele prevăzute în cadrul legislativ (Observația 6.9. – Secțiunea VI</w:t>
      </w:r>
      <w:r w:rsidRPr="00E82CC1">
        <w:rPr>
          <w:rFonts w:asciiTheme="majorHAnsi" w:eastAsia="Times New Roman" w:hAnsiTheme="majorHAnsi" w:cstheme="majorHAnsi"/>
          <w:i/>
          <w:sz w:val="24"/>
          <w:szCs w:val="24"/>
          <w:lang w:val="ro-RO"/>
        </w:rPr>
        <w:t>)</w:t>
      </w:r>
      <w:r w:rsidRPr="00E82CC1">
        <w:rPr>
          <w:rFonts w:asciiTheme="majorHAnsi" w:hAnsiTheme="majorHAnsi" w:cstheme="majorHAnsi"/>
          <w:i/>
          <w:sz w:val="24"/>
          <w:szCs w:val="24"/>
          <w:lang w:val="ro-RO"/>
        </w:rPr>
        <w:t>;</w:t>
      </w:r>
    </w:p>
    <w:p w14:paraId="2DCB5177" w14:textId="77777777" w:rsidR="00E0707F" w:rsidRPr="00E82CC1" w:rsidRDefault="00E0707F" w:rsidP="00E0707F">
      <w:pPr>
        <w:pStyle w:val="a9"/>
        <w:spacing w:after="0" w:line="276" w:lineRule="auto"/>
        <w:jc w:val="both"/>
        <w:rPr>
          <w:rFonts w:asciiTheme="majorHAnsi" w:hAnsiTheme="majorHAnsi" w:cstheme="majorHAnsi"/>
          <w:i/>
          <w:sz w:val="24"/>
          <w:szCs w:val="24"/>
          <w:lang w:val="ro-RO"/>
        </w:rPr>
      </w:pPr>
    </w:p>
    <w:p w14:paraId="7DD26494" w14:textId="373E1A31" w:rsidR="00254B91" w:rsidRPr="00E82CC1" w:rsidRDefault="00254B91" w:rsidP="00254B91">
      <w:pPr>
        <w:spacing w:after="0" w:line="276" w:lineRule="auto"/>
        <w:jc w:val="both"/>
        <w:rPr>
          <w:rFonts w:asciiTheme="majorHAnsi" w:hAnsiTheme="majorHAnsi" w:cstheme="majorHAnsi"/>
          <w:b/>
          <w:sz w:val="24"/>
          <w:szCs w:val="24"/>
          <w:u w:val="single"/>
          <w:lang w:val="ro-RO"/>
        </w:rPr>
      </w:pPr>
      <w:r w:rsidRPr="00E82CC1">
        <w:rPr>
          <w:rFonts w:asciiTheme="majorHAnsi" w:hAnsiTheme="majorHAnsi" w:cstheme="majorHAnsi"/>
          <w:b/>
          <w:bCs/>
          <w:i/>
          <w:iCs/>
          <w:sz w:val="24"/>
          <w:szCs w:val="24"/>
          <w:u w:val="single"/>
          <w:lang w:val="ro-RO"/>
        </w:rPr>
        <w:t xml:space="preserve">Recomandare </w:t>
      </w:r>
      <w:r w:rsidR="0003120D">
        <w:rPr>
          <w:rFonts w:asciiTheme="majorHAnsi" w:hAnsiTheme="majorHAnsi" w:cstheme="majorHAnsi"/>
          <w:b/>
          <w:bCs/>
          <w:i/>
          <w:iCs/>
          <w:sz w:val="24"/>
          <w:szCs w:val="24"/>
          <w:u w:val="single"/>
          <w:lang w:val="ro-RO"/>
        </w:rPr>
        <w:t>Minist</w:t>
      </w:r>
      <w:r w:rsidRPr="00E82CC1">
        <w:rPr>
          <w:rFonts w:asciiTheme="majorHAnsi" w:hAnsiTheme="majorHAnsi" w:cstheme="majorHAnsi"/>
          <w:b/>
          <w:bCs/>
          <w:i/>
          <w:iCs/>
          <w:sz w:val="24"/>
          <w:szCs w:val="24"/>
          <w:u w:val="single"/>
          <w:lang w:val="ro-RO"/>
        </w:rPr>
        <w:t>r</w:t>
      </w:r>
      <w:r w:rsidR="009216A1" w:rsidRPr="00E82CC1">
        <w:rPr>
          <w:rFonts w:asciiTheme="majorHAnsi" w:hAnsiTheme="majorHAnsi" w:cstheme="majorHAnsi"/>
          <w:b/>
          <w:bCs/>
          <w:i/>
          <w:iCs/>
          <w:sz w:val="24"/>
          <w:szCs w:val="24"/>
          <w:u w:val="single"/>
          <w:lang w:val="ro-RO"/>
        </w:rPr>
        <w:t>ei</w:t>
      </w:r>
      <w:r w:rsidRPr="00E82CC1">
        <w:rPr>
          <w:rFonts w:asciiTheme="majorHAnsi" w:hAnsiTheme="majorHAnsi" w:cstheme="majorHAnsi"/>
          <w:b/>
          <w:bCs/>
          <w:i/>
          <w:iCs/>
          <w:sz w:val="24"/>
          <w:szCs w:val="24"/>
          <w:u w:val="single"/>
          <w:lang w:val="ro-RO"/>
        </w:rPr>
        <w:t xml:space="preserve"> Sănătății</w:t>
      </w:r>
      <w:r w:rsidRPr="00E82CC1">
        <w:rPr>
          <w:rFonts w:asciiTheme="majorHAnsi" w:hAnsiTheme="majorHAnsi" w:cstheme="majorHAnsi"/>
          <w:b/>
          <w:sz w:val="24"/>
          <w:szCs w:val="24"/>
          <w:u w:val="single"/>
          <w:lang w:val="ro-RO"/>
        </w:rPr>
        <w:t xml:space="preserve">: </w:t>
      </w:r>
    </w:p>
    <w:p w14:paraId="6D293365" w14:textId="6A9A7D6C" w:rsidR="00254B91" w:rsidRPr="00E82CC1" w:rsidRDefault="00254B91" w:rsidP="00E0707F">
      <w:pPr>
        <w:pStyle w:val="a9"/>
        <w:numPr>
          <w:ilvl w:val="0"/>
          <w:numId w:val="41"/>
        </w:numPr>
        <w:spacing w:after="0" w:line="276" w:lineRule="auto"/>
        <w:jc w:val="both"/>
        <w:rPr>
          <w:rFonts w:asciiTheme="majorHAnsi" w:hAnsiTheme="majorHAnsi" w:cstheme="majorHAnsi"/>
          <w:i/>
          <w:sz w:val="24"/>
          <w:szCs w:val="24"/>
          <w:u w:val="single"/>
          <w:lang w:val="ro-RO"/>
        </w:rPr>
      </w:pPr>
      <w:r w:rsidRPr="00E82CC1">
        <w:rPr>
          <w:rFonts w:asciiTheme="majorHAnsi" w:hAnsiTheme="majorHAnsi" w:cstheme="majorHAnsi"/>
          <w:i/>
          <w:sz w:val="24"/>
          <w:szCs w:val="24"/>
          <w:lang w:val="ro-RO"/>
        </w:rPr>
        <w:t>Să asigure acțiuni de responsabilizare a conducătorilor instituțiilor medicale, în scopul eficientizării controlului permanent asupra corectitudinii și plenitudinii datelor introduse în Portalul certificatelor de concediu medical, cu respectare</w:t>
      </w:r>
      <w:r w:rsidR="0058778D" w:rsidRPr="00E82CC1">
        <w:rPr>
          <w:rFonts w:asciiTheme="majorHAnsi" w:hAnsiTheme="majorHAnsi" w:cstheme="majorHAnsi"/>
          <w:i/>
          <w:sz w:val="24"/>
          <w:szCs w:val="24"/>
          <w:lang w:val="ro-RO"/>
        </w:rPr>
        <w:t>a termen</w:t>
      </w:r>
      <w:r w:rsidR="00EB188D">
        <w:rPr>
          <w:rFonts w:asciiTheme="majorHAnsi" w:hAnsiTheme="majorHAnsi" w:cstheme="majorHAnsi"/>
          <w:i/>
          <w:sz w:val="24"/>
          <w:szCs w:val="24"/>
          <w:lang w:val="ro-RO"/>
        </w:rPr>
        <w:t>e</w:t>
      </w:r>
      <w:r w:rsidR="0058778D" w:rsidRPr="00E82CC1">
        <w:rPr>
          <w:rFonts w:asciiTheme="majorHAnsi" w:hAnsiTheme="majorHAnsi" w:cstheme="majorHAnsi"/>
          <w:i/>
          <w:sz w:val="24"/>
          <w:szCs w:val="24"/>
          <w:lang w:val="ro-RO"/>
        </w:rPr>
        <w:t>lor stabili</w:t>
      </w:r>
      <w:r w:rsidR="00EB188D">
        <w:rPr>
          <w:rFonts w:asciiTheme="majorHAnsi" w:hAnsiTheme="majorHAnsi" w:cstheme="majorHAnsi"/>
          <w:i/>
          <w:sz w:val="24"/>
          <w:szCs w:val="24"/>
          <w:lang w:val="ro-RO"/>
        </w:rPr>
        <w:t>te</w:t>
      </w:r>
      <w:r w:rsidR="00C00BBC" w:rsidRPr="00E82CC1">
        <w:rPr>
          <w:rFonts w:asciiTheme="majorHAnsi" w:hAnsiTheme="majorHAnsi" w:cstheme="majorHAnsi"/>
          <w:i/>
          <w:sz w:val="24"/>
          <w:szCs w:val="24"/>
          <w:lang w:val="ro-RO"/>
        </w:rPr>
        <w:t xml:space="preserve"> (Observația 6.7. – Secțiunea VI</w:t>
      </w:r>
      <w:r w:rsidR="00C00BBC" w:rsidRPr="00E82CC1">
        <w:rPr>
          <w:rFonts w:asciiTheme="majorHAnsi" w:eastAsia="Times New Roman" w:hAnsiTheme="majorHAnsi" w:cstheme="majorHAnsi"/>
          <w:i/>
          <w:sz w:val="24"/>
          <w:szCs w:val="24"/>
          <w:lang w:val="ro-RO"/>
        </w:rPr>
        <w:t>)</w:t>
      </w:r>
      <w:r w:rsidR="00C00BBC" w:rsidRPr="00E82CC1">
        <w:rPr>
          <w:rFonts w:asciiTheme="majorHAnsi" w:hAnsiTheme="majorHAnsi" w:cstheme="majorHAnsi"/>
          <w:i/>
          <w:sz w:val="24"/>
          <w:szCs w:val="24"/>
          <w:lang w:val="ro-RO"/>
        </w:rPr>
        <w:t>;</w:t>
      </w:r>
    </w:p>
    <w:p w14:paraId="13205D1C" w14:textId="77777777" w:rsidR="00873226" w:rsidRPr="00E82CC1" w:rsidRDefault="00873226" w:rsidP="00E82CC1">
      <w:pPr>
        <w:spacing w:after="0" w:line="276" w:lineRule="auto"/>
        <w:ind w:left="360"/>
        <w:jc w:val="both"/>
        <w:rPr>
          <w:rStyle w:val="list0020paragraphchar"/>
          <w:rFonts w:asciiTheme="majorHAnsi" w:hAnsiTheme="majorHAnsi" w:cstheme="majorHAnsi"/>
          <w:sz w:val="24"/>
          <w:szCs w:val="24"/>
          <w:lang w:val="ro-RO"/>
        </w:rPr>
      </w:pPr>
    </w:p>
    <w:p w14:paraId="60A59B0E" w14:textId="18FDE032" w:rsidR="00254B91" w:rsidRPr="00E82CC1" w:rsidRDefault="00254B91" w:rsidP="00254B91">
      <w:pPr>
        <w:pStyle w:val="list0020paragraph"/>
        <w:spacing w:before="0" w:beforeAutospacing="0" w:after="0" w:afterAutospacing="0" w:line="276" w:lineRule="auto"/>
        <w:jc w:val="both"/>
        <w:rPr>
          <w:rStyle w:val="normalchar"/>
          <w:rFonts w:asciiTheme="majorHAnsi" w:eastAsiaTheme="majorEastAsia" w:hAnsiTheme="majorHAnsi" w:cstheme="majorHAnsi"/>
          <w:b/>
          <w:u w:val="single"/>
        </w:rPr>
      </w:pPr>
      <w:r w:rsidRPr="00E82CC1">
        <w:rPr>
          <w:rStyle w:val="normalchar"/>
          <w:rFonts w:asciiTheme="majorHAnsi" w:eastAsiaTheme="majorEastAsia" w:hAnsiTheme="majorHAnsi" w:cstheme="majorHAnsi"/>
          <w:b/>
          <w:i/>
          <w:color w:val="000000"/>
          <w:u w:val="single"/>
          <w:lang w:val="ro-RO"/>
        </w:rPr>
        <w:t>Recomand</w:t>
      </w:r>
      <w:r w:rsidR="000B15A4">
        <w:rPr>
          <w:rStyle w:val="normalchar"/>
          <w:rFonts w:asciiTheme="majorHAnsi" w:eastAsiaTheme="majorEastAsia" w:hAnsiTheme="majorHAnsi" w:cstheme="majorHAnsi"/>
          <w:b/>
          <w:i/>
          <w:color w:val="000000"/>
          <w:u w:val="single"/>
          <w:lang w:val="ro-RO"/>
        </w:rPr>
        <w:t>ări</w:t>
      </w:r>
      <w:r w:rsidRPr="00E82CC1">
        <w:rPr>
          <w:rStyle w:val="normalchar"/>
          <w:rFonts w:asciiTheme="majorHAnsi" w:eastAsiaTheme="majorEastAsia" w:hAnsiTheme="majorHAnsi" w:cstheme="majorHAnsi"/>
          <w:b/>
          <w:i/>
          <w:color w:val="000000"/>
          <w:u w:val="single"/>
          <w:lang w:val="ro-RO"/>
        </w:rPr>
        <w:t xml:space="preserve"> </w:t>
      </w:r>
      <w:r w:rsidR="009216A1" w:rsidRPr="00E82CC1">
        <w:rPr>
          <w:rStyle w:val="normalchar"/>
          <w:rFonts w:asciiTheme="majorHAnsi" w:eastAsiaTheme="majorEastAsia" w:hAnsiTheme="majorHAnsi" w:cstheme="majorHAnsi"/>
          <w:b/>
          <w:i/>
          <w:color w:val="000000"/>
          <w:u w:val="single"/>
          <w:lang w:val="ro-RO"/>
        </w:rPr>
        <w:t xml:space="preserve">Directorului </w:t>
      </w:r>
      <w:r w:rsidRPr="00E82CC1">
        <w:rPr>
          <w:rStyle w:val="normalchar"/>
          <w:rFonts w:asciiTheme="majorHAnsi" w:eastAsiaTheme="majorEastAsia" w:hAnsiTheme="majorHAnsi" w:cstheme="majorHAnsi"/>
          <w:b/>
          <w:i/>
          <w:u w:val="single"/>
        </w:rPr>
        <w:t>Agenției Servicii Publice:</w:t>
      </w:r>
    </w:p>
    <w:p w14:paraId="4C3A618B" w14:textId="464E417F" w:rsidR="00254B91" w:rsidRPr="00E82CC1" w:rsidRDefault="00254B91" w:rsidP="0058778D">
      <w:pPr>
        <w:pStyle w:val="a6"/>
        <w:numPr>
          <w:ilvl w:val="0"/>
          <w:numId w:val="41"/>
        </w:numPr>
        <w:spacing w:line="276" w:lineRule="auto"/>
        <w:rPr>
          <w:rFonts w:asciiTheme="majorHAnsi" w:hAnsiTheme="majorHAnsi" w:cs="Calibri"/>
          <w:i/>
          <w:color w:val="000000"/>
          <w:lang w:val="ro-RO"/>
        </w:rPr>
      </w:pPr>
      <w:r w:rsidRPr="00E82CC1">
        <w:rPr>
          <w:rFonts w:ascii="Calibri Light" w:hAnsi="Calibri Light" w:cs="Calibri Light"/>
          <w:i/>
          <w:iCs/>
          <w:color w:val="000000"/>
          <w:lang w:val="ro-RO"/>
        </w:rPr>
        <w:t>Să evalueze și să eficientizeze, de comun cu părțile implicate, procesele aferente formării și schimbului de date privind decesul beneficiarilor de prestații sociale, în scopul excluderii cheltuielilor nejustificate ce se su</w:t>
      </w:r>
      <w:r w:rsidR="00B83DB7" w:rsidRPr="00E82CC1">
        <w:rPr>
          <w:rFonts w:ascii="Calibri Light" w:hAnsi="Calibri Light" w:cs="Calibri Light"/>
          <w:i/>
          <w:iCs/>
          <w:color w:val="000000"/>
          <w:lang w:val="ro-RO"/>
        </w:rPr>
        <w:t xml:space="preserve">portă din BASS </w:t>
      </w:r>
      <w:r w:rsidR="00B83DB7" w:rsidRPr="00E82CC1">
        <w:rPr>
          <w:rFonts w:asciiTheme="majorHAnsi" w:hAnsiTheme="majorHAnsi" w:cstheme="majorHAnsi"/>
          <w:i/>
          <w:lang w:val="ro-RO"/>
        </w:rPr>
        <w:t>(Observația 6.5. – Secțiunea VI);</w:t>
      </w:r>
    </w:p>
    <w:p w14:paraId="7BB1669B" w14:textId="43CA8D7F" w:rsidR="00ED0F29" w:rsidRPr="00E82CC1" w:rsidRDefault="00ED0F29" w:rsidP="00B83DB7">
      <w:pPr>
        <w:pStyle w:val="a6"/>
        <w:numPr>
          <w:ilvl w:val="0"/>
          <w:numId w:val="41"/>
        </w:numPr>
        <w:spacing w:line="276" w:lineRule="auto"/>
        <w:rPr>
          <w:rFonts w:asciiTheme="majorHAnsi" w:hAnsiTheme="majorHAnsi" w:cs="Calibri"/>
          <w:i/>
          <w:color w:val="000000"/>
          <w:lang w:val="ro-RO"/>
        </w:rPr>
      </w:pPr>
      <w:r w:rsidRPr="00E82CC1">
        <w:rPr>
          <w:rFonts w:ascii="Calibri Light" w:hAnsi="Calibri Light" w:cs="Calibri Light"/>
          <w:i/>
          <w:iCs/>
          <w:color w:val="000000"/>
          <w:lang w:val="ro-RO"/>
        </w:rPr>
        <w:t xml:space="preserve">Să întreprindă acțiuni pentru înregistrarea operativă a decesului persoanelor în </w:t>
      </w:r>
      <w:r w:rsidR="00B83DB7" w:rsidRPr="00E82CC1">
        <w:rPr>
          <w:rFonts w:ascii="Calibri Light" w:hAnsi="Calibri Light" w:cs="Calibri Light"/>
          <w:i/>
          <w:iCs/>
          <w:color w:val="000000"/>
          <w:lang w:val="ro-RO"/>
        </w:rPr>
        <w:t xml:space="preserve">Registrul de </w:t>
      </w:r>
      <w:r w:rsidR="00EB188D">
        <w:rPr>
          <w:rFonts w:ascii="Calibri Light" w:hAnsi="Calibri Light" w:cs="Calibri Light"/>
          <w:i/>
          <w:iCs/>
          <w:color w:val="000000"/>
          <w:lang w:val="ro-RO"/>
        </w:rPr>
        <w:t>s</w:t>
      </w:r>
      <w:r w:rsidR="00B83DB7" w:rsidRPr="00E82CC1">
        <w:rPr>
          <w:rFonts w:ascii="Calibri Light" w:hAnsi="Calibri Light" w:cs="Calibri Light"/>
          <w:i/>
          <w:iCs/>
          <w:color w:val="000000"/>
          <w:lang w:val="ro-RO"/>
        </w:rPr>
        <w:t xml:space="preserve">tat al populației </w:t>
      </w:r>
      <w:r w:rsidR="00B83DB7" w:rsidRPr="00E82CC1">
        <w:rPr>
          <w:rFonts w:asciiTheme="majorHAnsi" w:hAnsiTheme="majorHAnsi" w:cstheme="majorHAnsi"/>
          <w:i/>
          <w:lang w:val="ro-RO"/>
        </w:rPr>
        <w:t>(Observația 6.5. – Secțiunea VI);</w:t>
      </w:r>
    </w:p>
    <w:p w14:paraId="3101EE25" w14:textId="77777777" w:rsidR="00873226" w:rsidRPr="00E82CC1" w:rsidRDefault="00873226" w:rsidP="00873226">
      <w:pPr>
        <w:pStyle w:val="a6"/>
        <w:spacing w:line="276" w:lineRule="auto"/>
        <w:ind w:left="720" w:firstLine="0"/>
        <w:rPr>
          <w:rFonts w:asciiTheme="majorHAnsi" w:hAnsiTheme="majorHAnsi" w:cs="Calibri"/>
          <w:i/>
          <w:color w:val="000000"/>
          <w:lang w:val="ro-RO"/>
        </w:rPr>
      </w:pPr>
    </w:p>
    <w:p w14:paraId="76BCFC31" w14:textId="76363D96" w:rsidR="00254B91" w:rsidRPr="00E82CC1" w:rsidRDefault="00254B91" w:rsidP="00254B91">
      <w:pPr>
        <w:spacing w:after="0" w:line="276" w:lineRule="auto"/>
        <w:jc w:val="both"/>
        <w:rPr>
          <w:rFonts w:asciiTheme="majorHAnsi" w:hAnsiTheme="majorHAnsi" w:cstheme="majorHAnsi"/>
          <w:sz w:val="24"/>
          <w:szCs w:val="24"/>
          <w:u w:val="single"/>
          <w:lang w:val="ro-RO"/>
        </w:rPr>
      </w:pPr>
      <w:r w:rsidRPr="00E82CC1">
        <w:rPr>
          <w:rFonts w:asciiTheme="majorHAnsi" w:hAnsiTheme="majorHAnsi" w:cstheme="majorHAnsi"/>
          <w:b/>
          <w:bCs/>
          <w:i/>
          <w:iCs/>
          <w:sz w:val="24"/>
          <w:szCs w:val="24"/>
          <w:u w:val="single"/>
          <w:lang w:val="ro-RO"/>
        </w:rPr>
        <w:t xml:space="preserve">Recomandări </w:t>
      </w:r>
      <w:r w:rsidR="009216A1" w:rsidRPr="00E82CC1">
        <w:rPr>
          <w:rFonts w:asciiTheme="majorHAnsi" w:hAnsiTheme="majorHAnsi" w:cstheme="majorHAnsi"/>
          <w:b/>
          <w:bCs/>
          <w:i/>
          <w:iCs/>
          <w:sz w:val="24"/>
          <w:szCs w:val="24"/>
          <w:u w:val="single"/>
          <w:lang w:val="ro-RO"/>
        </w:rPr>
        <w:t xml:space="preserve">Directoarei Generale a </w:t>
      </w:r>
      <w:r w:rsidRPr="00E82CC1">
        <w:rPr>
          <w:rFonts w:asciiTheme="majorHAnsi" w:hAnsiTheme="majorHAnsi" w:cstheme="majorHAnsi"/>
          <w:b/>
          <w:bCs/>
          <w:i/>
          <w:iCs/>
          <w:sz w:val="24"/>
          <w:szCs w:val="24"/>
          <w:u w:val="single"/>
          <w:lang w:val="ro-RO"/>
        </w:rPr>
        <w:t>Casei Naționale de Asigurări Sociale</w:t>
      </w:r>
      <w:r w:rsidRPr="00E82CC1">
        <w:rPr>
          <w:rFonts w:asciiTheme="majorHAnsi" w:hAnsiTheme="majorHAnsi" w:cstheme="majorHAnsi"/>
          <w:sz w:val="24"/>
          <w:szCs w:val="24"/>
          <w:u w:val="single"/>
          <w:lang w:val="ro-RO"/>
        </w:rPr>
        <w:t xml:space="preserve">: </w:t>
      </w:r>
    </w:p>
    <w:p w14:paraId="4B23D6D1" w14:textId="7039B0CA" w:rsidR="00254B91" w:rsidRPr="00E82CC1" w:rsidRDefault="00254B91" w:rsidP="0058778D">
      <w:pPr>
        <w:pStyle w:val="a9"/>
        <w:numPr>
          <w:ilvl w:val="0"/>
          <w:numId w:val="41"/>
        </w:numPr>
        <w:spacing w:after="0" w:line="276" w:lineRule="auto"/>
        <w:ind w:left="851" w:hanging="425"/>
        <w:jc w:val="both"/>
        <w:rPr>
          <w:rFonts w:asciiTheme="majorHAnsi" w:hAnsiTheme="majorHAnsi" w:cstheme="majorHAnsi"/>
          <w:i/>
          <w:sz w:val="24"/>
          <w:szCs w:val="24"/>
          <w:lang w:val="ro-RO"/>
        </w:rPr>
      </w:pPr>
      <w:r w:rsidRPr="00E82CC1">
        <w:rPr>
          <w:rFonts w:asciiTheme="majorHAnsi" w:hAnsiTheme="majorHAnsi" w:cstheme="majorHAnsi"/>
          <w:i/>
          <w:sz w:val="24"/>
          <w:szCs w:val="24"/>
          <w:lang w:val="ro-RO"/>
        </w:rPr>
        <w:t xml:space="preserve">Să ajusteze și să corecteze </w:t>
      </w:r>
      <w:r w:rsidRPr="00E82CC1">
        <w:rPr>
          <w:rFonts w:asciiTheme="majorHAnsi" w:hAnsiTheme="majorHAnsi" w:cstheme="majorHAnsi"/>
          <w:bCs/>
          <w:i/>
          <w:sz w:val="24"/>
          <w:szCs w:val="24"/>
          <w:lang w:val="ro-RO"/>
        </w:rPr>
        <w:t>reflectarea datoriei  aferente indemnizației de maternitate, ținând cont de docu</w:t>
      </w:r>
      <w:r w:rsidR="00B83DB7" w:rsidRPr="00E82CC1">
        <w:rPr>
          <w:rFonts w:asciiTheme="majorHAnsi" w:hAnsiTheme="majorHAnsi" w:cstheme="majorHAnsi"/>
          <w:bCs/>
          <w:i/>
          <w:sz w:val="24"/>
          <w:szCs w:val="24"/>
          <w:lang w:val="ro-RO"/>
        </w:rPr>
        <w:t xml:space="preserve">mentele justificative existente </w:t>
      </w:r>
      <w:r w:rsidR="00B83DB7" w:rsidRPr="00E82CC1">
        <w:rPr>
          <w:rFonts w:asciiTheme="majorHAnsi" w:hAnsiTheme="majorHAnsi" w:cstheme="majorHAnsi"/>
          <w:i/>
          <w:sz w:val="24"/>
          <w:szCs w:val="24"/>
          <w:lang w:val="ro-RO"/>
        </w:rPr>
        <w:t>(Observația 5.2 – Secțiunea V</w:t>
      </w:r>
      <w:r w:rsidR="00B83DB7" w:rsidRPr="00E82CC1">
        <w:rPr>
          <w:rFonts w:asciiTheme="majorHAnsi" w:eastAsia="Times New Roman" w:hAnsiTheme="majorHAnsi" w:cstheme="majorHAnsi"/>
          <w:i/>
          <w:sz w:val="24"/>
          <w:szCs w:val="24"/>
          <w:lang w:val="ro-RO"/>
        </w:rPr>
        <w:t>)</w:t>
      </w:r>
      <w:r w:rsidR="00B83DB7" w:rsidRPr="00E82CC1">
        <w:rPr>
          <w:rFonts w:asciiTheme="majorHAnsi" w:hAnsiTheme="majorHAnsi" w:cstheme="majorHAnsi"/>
          <w:i/>
          <w:sz w:val="24"/>
          <w:szCs w:val="24"/>
          <w:lang w:val="ro-RO"/>
        </w:rPr>
        <w:t>;</w:t>
      </w:r>
    </w:p>
    <w:p w14:paraId="38F4E2DF" w14:textId="7303F82E" w:rsidR="00254B91" w:rsidRPr="00E82CC1" w:rsidRDefault="00254B91" w:rsidP="0058778D">
      <w:pPr>
        <w:pStyle w:val="a9"/>
        <w:numPr>
          <w:ilvl w:val="0"/>
          <w:numId w:val="41"/>
        </w:numPr>
        <w:spacing w:after="0" w:line="276" w:lineRule="auto"/>
        <w:ind w:left="851" w:hanging="425"/>
        <w:jc w:val="both"/>
        <w:rPr>
          <w:rFonts w:asciiTheme="majorHAnsi" w:hAnsiTheme="majorHAnsi" w:cstheme="majorHAnsi"/>
          <w:i/>
          <w:sz w:val="24"/>
          <w:szCs w:val="24"/>
          <w:lang w:val="ro-RO"/>
        </w:rPr>
      </w:pPr>
      <w:r w:rsidRPr="00E82CC1">
        <w:rPr>
          <w:rFonts w:asciiTheme="majorHAnsi" w:hAnsiTheme="majorHAnsi" w:cstheme="majorHAnsi"/>
          <w:i/>
          <w:sz w:val="24"/>
          <w:szCs w:val="24"/>
          <w:lang w:val="ro-RO"/>
        </w:rPr>
        <w:t xml:space="preserve">Să intensifice activitățile de control intern </w:t>
      </w:r>
      <w:r w:rsidR="00C523F7">
        <w:rPr>
          <w:rFonts w:asciiTheme="majorHAnsi" w:hAnsiTheme="majorHAnsi" w:cstheme="majorHAnsi"/>
          <w:i/>
          <w:sz w:val="24"/>
          <w:szCs w:val="24"/>
          <w:lang w:val="ro-RO"/>
        </w:rPr>
        <w:t xml:space="preserve">suplimentare/funcționale </w:t>
      </w:r>
      <w:r w:rsidRPr="00E82CC1">
        <w:rPr>
          <w:rFonts w:asciiTheme="majorHAnsi" w:hAnsiTheme="majorHAnsi" w:cstheme="majorHAnsi"/>
          <w:i/>
          <w:sz w:val="24"/>
          <w:szCs w:val="24"/>
          <w:lang w:val="ro-RO"/>
        </w:rPr>
        <w:t>în procesul stabilirii și calculării indemnizațiilor pentru incapacitate temporară de muncă și a celor paternale pentru asigurarea respectării term</w:t>
      </w:r>
      <w:bookmarkStart w:id="7" w:name="_Hlk102728735"/>
      <w:r w:rsidRPr="00E82CC1">
        <w:rPr>
          <w:rFonts w:asciiTheme="majorHAnsi" w:hAnsiTheme="majorHAnsi" w:cstheme="majorHAnsi"/>
          <w:i/>
          <w:sz w:val="24"/>
          <w:szCs w:val="24"/>
          <w:lang w:val="ro-RO"/>
        </w:rPr>
        <w:t>en</w:t>
      </w:r>
      <w:r w:rsidR="00EB188D">
        <w:rPr>
          <w:rFonts w:asciiTheme="majorHAnsi" w:hAnsiTheme="majorHAnsi" w:cstheme="majorHAnsi"/>
          <w:i/>
          <w:sz w:val="24"/>
          <w:szCs w:val="24"/>
          <w:lang w:val="ro-RO"/>
        </w:rPr>
        <w:t>e</w:t>
      </w:r>
      <w:r w:rsidRPr="00E82CC1">
        <w:rPr>
          <w:rFonts w:asciiTheme="majorHAnsi" w:hAnsiTheme="majorHAnsi" w:cstheme="majorHAnsi"/>
          <w:i/>
          <w:sz w:val="24"/>
          <w:szCs w:val="24"/>
          <w:lang w:val="ro-RO"/>
        </w:rPr>
        <w:t xml:space="preserve">lor </w:t>
      </w:r>
      <w:r w:rsidR="00B83DB7" w:rsidRPr="00E82CC1">
        <w:rPr>
          <w:rFonts w:asciiTheme="majorHAnsi" w:hAnsiTheme="majorHAnsi" w:cstheme="majorHAnsi"/>
          <w:i/>
          <w:sz w:val="24"/>
          <w:szCs w:val="24"/>
          <w:lang w:val="ro-RO"/>
        </w:rPr>
        <w:t xml:space="preserve">legale </w:t>
      </w:r>
      <w:r w:rsidR="00C00BBC" w:rsidRPr="00E82CC1">
        <w:rPr>
          <w:rFonts w:asciiTheme="majorHAnsi" w:hAnsiTheme="majorHAnsi" w:cstheme="majorHAnsi"/>
          <w:i/>
          <w:sz w:val="24"/>
          <w:szCs w:val="24"/>
          <w:lang w:val="ro-RO"/>
        </w:rPr>
        <w:t>(Observația 5.4., 6.7.</w:t>
      </w:r>
      <w:r w:rsidR="00B83DB7" w:rsidRPr="00E82CC1">
        <w:rPr>
          <w:rFonts w:asciiTheme="majorHAnsi" w:hAnsiTheme="majorHAnsi" w:cstheme="majorHAnsi"/>
          <w:i/>
          <w:sz w:val="24"/>
          <w:szCs w:val="24"/>
          <w:lang w:val="ro-RO"/>
        </w:rPr>
        <w:t xml:space="preserve"> – Secțiun</w:t>
      </w:r>
      <w:r w:rsidR="00EB188D">
        <w:rPr>
          <w:rFonts w:asciiTheme="majorHAnsi" w:hAnsiTheme="majorHAnsi" w:cstheme="majorHAnsi"/>
          <w:i/>
          <w:sz w:val="24"/>
          <w:szCs w:val="24"/>
          <w:lang w:val="ro-RO"/>
        </w:rPr>
        <w:t>il</w:t>
      </w:r>
      <w:r w:rsidR="00B83DB7" w:rsidRPr="00E82CC1">
        <w:rPr>
          <w:rFonts w:asciiTheme="majorHAnsi" w:hAnsiTheme="majorHAnsi" w:cstheme="majorHAnsi"/>
          <w:i/>
          <w:sz w:val="24"/>
          <w:szCs w:val="24"/>
          <w:lang w:val="ro-RO"/>
        </w:rPr>
        <w:t>e V</w:t>
      </w:r>
      <w:r w:rsidR="00C00BBC" w:rsidRPr="00E82CC1">
        <w:rPr>
          <w:rFonts w:asciiTheme="majorHAnsi" w:hAnsiTheme="majorHAnsi" w:cstheme="majorHAnsi"/>
          <w:i/>
          <w:sz w:val="24"/>
          <w:szCs w:val="24"/>
          <w:lang w:val="ro-RO"/>
        </w:rPr>
        <w:t>, VI</w:t>
      </w:r>
      <w:r w:rsidR="00B83DB7" w:rsidRPr="00E82CC1">
        <w:rPr>
          <w:rFonts w:asciiTheme="majorHAnsi" w:eastAsia="Times New Roman" w:hAnsiTheme="majorHAnsi" w:cstheme="majorHAnsi"/>
          <w:i/>
          <w:sz w:val="24"/>
          <w:szCs w:val="24"/>
          <w:lang w:val="ro-RO"/>
        </w:rPr>
        <w:t>)</w:t>
      </w:r>
      <w:r w:rsidR="00B83DB7" w:rsidRPr="00E82CC1">
        <w:rPr>
          <w:rFonts w:asciiTheme="majorHAnsi" w:hAnsiTheme="majorHAnsi" w:cstheme="majorHAnsi"/>
          <w:i/>
          <w:sz w:val="24"/>
          <w:szCs w:val="24"/>
          <w:lang w:val="ro-RO"/>
        </w:rPr>
        <w:t>;</w:t>
      </w:r>
    </w:p>
    <w:bookmarkEnd w:id="7"/>
    <w:p w14:paraId="76B619C5" w14:textId="03276172" w:rsidR="00254B91" w:rsidRPr="00E82CC1" w:rsidRDefault="00E32085" w:rsidP="0058778D">
      <w:pPr>
        <w:pStyle w:val="list0020paragraph"/>
        <w:numPr>
          <w:ilvl w:val="0"/>
          <w:numId w:val="41"/>
        </w:numPr>
        <w:spacing w:before="0" w:beforeAutospacing="0" w:after="0" w:afterAutospacing="0" w:line="276" w:lineRule="auto"/>
        <w:ind w:left="851" w:hanging="425"/>
        <w:jc w:val="both"/>
        <w:rPr>
          <w:rFonts w:asciiTheme="majorHAnsi" w:hAnsiTheme="majorHAnsi" w:cstheme="majorHAnsi"/>
          <w:i/>
          <w:color w:val="000000"/>
          <w:lang w:val="ro-RO"/>
        </w:rPr>
      </w:pPr>
      <w:r>
        <w:rPr>
          <w:rFonts w:asciiTheme="majorHAnsi" w:hAnsiTheme="majorHAnsi" w:cstheme="majorHAnsi"/>
          <w:i/>
          <w:lang w:val="ro-RO"/>
        </w:rPr>
        <w:t>Să asigur</w:t>
      </w:r>
      <w:r w:rsidR="00254B91" w:rsidRPr="00E82CC1">
        <w:rPr>
          <w:rFonts w:asciiTheme="majorHAnsi" w:hAnsiTheme="majorHAnsi" w:cstheme="majorHAnsi"/>
          <w:i/>
          <w:lang w:val="ro-RO"/>
        </w:rPr>
        <w:t>e intensificarea</w:t>
      </w:r>
      <w:r w:rsidR="00C523F7">
        <w:rPr>
          <w:rFonts w:asciiTheme="majorHAnsi" w:hAnsiTheme="majorHAnsi" w:cstheme="majorHAnsi"/>
          <w:i/>
          <w:lang w:val="ro-RO"/>
        </w:rPr>
        <w:t xml:space="preserve"> activităților de control</w:t>
      </w:r>
      <w:r w:rsidR="00254B91" w:rsidRPr="00E82CC1">
        <w:rPr>
          <w:rFonts w:asciiTheme="majorHAnsi" w:hAnsiTheme="majorHAnsi" w:cstheme="majorHAnsi"/>
          <w:i/>
          <w:lang w:val="ro-RO"/>
        </w:rPr>
        <w:t xml:space="preserve"> intern la stabilirea pensiilor pentru vechime în muncă militarilor și persoanelor din corpul de comandă și din trupele organelor afacerilor interne</w:t>
      </w:r>
      <w:r w:rsidR="001D2280">
        <w:rPr>
          <w:rFonts w:asciiTheme="majorHAnsi" w:hAnsiTheme="majorHAnsi" w:cstheme="majorHAnsi"/>
          <w:i/>
          <w:lang w:val="ro-RO"/>
        </w:rPr>
        <w:t>,</w:t>
      </w:r>
      <w:r w:rsidR="00254B91" w:rsidRPr="00E82CC1">
        <w:rPr>
          <w:rFonts w:asciiTheme="majorHAnsi" w:hAnsiTheme="majorHAnsi" w:cstheme="majorHAnsi"/>
          <w:i/>
          <w:lang w:val="ro-RO"/>
        </w:rPr>
        <w:t xml:space="preserve"> la nivel teritorial și </w:t>
      </w:r>
      <w:r w:rsidR="00C00BBC" w:rsidRPr="00E82CC1">
        <w:rPr>
          <w:rFonts w:asciiTheme="majorHAnsi" w:hAnsiTheme="majorHAnsi" w:cstheme="majorHAnsi"/>
          <w:i/>
          <w:lang w:val="ro-RO"/>
        </w:rPr>
        <w:t>central (Observația 6.8. – Secțiunea VI);</w:t>
      </w:r>
    </w:p>
    <w:p w14:paraId="43079DC4" w14:textId="7C6015AD" w:rsidR="00254B91" w:rsidRPr="00E82CC1" w:rsidRDefault="00254B91" w:rsidP="0058778D">
      <w:pPr>
        <w:pStyle w:val="list0020paragraph"/>
        <w:numPr>
          <w:ilvl w:val="0"/>
          <w:numId w:val="41"/>
        </w:numPr>
        <w:spacing w:before="0" w:beforeAutospacing="0" w:after="0" w:afterAutospacing="0" w:line="276" w:lineRule="auto"/>
        <w:ind w:left="851" w:hanging="425"/>
        <w:jc w:val="both"/>
        <w:rPr>
          <w:rFonts w:asciiTheme="majorHAnsi" w:hAnsiTheme="majorHAnsi" w:cstheme="majorHAnsi"/>
          <w:i/>
          <w:color w:val="000000"/>
          <w:lang w:val="ro-RO"/>
        </w:rPr>
      </w:pPr>
      <w:r w:rsidRPr="00E82CC1">
        <w:rPr>
          <w:rFonts w:asciiTheme="majorHAnsi" w:hAnsiTheme="majorHAnsi" w:cstheme="majorHAnsi"/>
          <w:i/>
          <w:lang w:val="ro-RO"/>
        </w:rPr>
        <w:t>Să eficientizeze</w:t>
      </w:r>
      <w:r w:rsidR="00C523F7">
        <w:rPr>
          <w:rFonts w:asciiTheme="majorHAnsi" w:hAnsiTheme="majorHAnsi" w:cstheme="majorHAnsi"/>
          <w:i/>
          <w:lang w:val="ro-RO"/>
        </w:rPr>
        <w:t xml:space="preserve"> activitățile de control intern</w:t>
      </w:r>
      <w:r w:rsidRPr="00E82CC1">
        <w:rPr>
          <w:rFonts w:asciiTheme="majorHAnsi" w:hAnsiTheme="majorHAnsi" w:cstheme="majorHAnsi"/>
          <w:i/>
          <w:lang w:val="ro-RO"/>
        </w:rPr>
        <w:t xml:space="preserve"> privind integritatea dosarelor pentru bilete de tratament balneo-sanatorial</w:t>
      </w:r>
      <w:r w:rsidR="00C00BBC" w:rsidRPr="00E82CC1">
        <w:rPr>
          <w:rFonts w:asciiTheme="majorHAnsi" w:hAnsiTheme="majorHAnsi" w:cstheme="majorHAnsi"/>
          <w:i/>
          <w:lang w:val="ro-RO"/>
        </w:rPr>
        <w:t xml:space="preserve"> (Observația 6.11. – Secțiunea VI)</w:t>
      </w:r>
      <w:r w:rsidR="001D2280">
        <w:rPr>
          <w:rFonts w:asciiTheme="majorHAnsi" w:hAnsiTheme="majorHAnsi" w:cstheme="majorHAnsi"/>
          <w:i/>
          <w:lang w:val="ro-RO"/>
        </w:rPr>
        <w:t>.</w:t>
      </w:r>
    </w:p>
    <w:p w14:paraId="210EEE0D" w14:textId="77777777" w:rsidR="00254B91" w:rsidRPr="00E82CC1" w:rsidRDefault="00254B91" w:rsidP="00254B91">
      <w:pPr>
        <w:pStyle w:val="a9"/>
        <w:spacing w:after="0" w:line="276" w:lineRule="auto"/>
        <w:ind w:left="851"/>
        <w:jc w:val="both"/>
        <w:rPr>
          <w:rFonts w:asciiTheme="majorHAnsi" w:hAnsiTheme="majorHAnsi" w:cstheme="majorHAnsi"/>
          <w:sz w:val="24"/>
          <w:szCs w:val="24"/>
          <w:lang w:val="ro-RO"/>
        </w:rPr>
      </w:pPr>
    </w:p>
    <w:p w14:paraId="0F47D78C" w14:textId="77777777" w:rsidR="00F9109E" w:rsidRPr="00E82CC1" w:rsidRDefault="00F9109E" w:rsidP="00160C57">
      <w:pPr>
        <w:pStyle w:val="1"/>
        <w:numPr>
          <w:ilvl w:val="0"/>
          <w:numId w:val="15"/>
        </w:numPr>
        <w:spacing w:before="0"/>
        <w:ind w:left="0" w:firstLine="0"/>
        <w:jc w:val="left"/>
        <w:rPr>
          <w:rFonts w:asciiTheme="majorHAnsi" w:hAnsiTheme="majorHAnsi" w:cstheme="majorHAnsi"/>
          <w:sz w:val="28"/>
          <w:szCs w:val="28"/>
          <w:lang w:val="ro-RO"/>
        </w:rPr>
      </w:pPr>
      <w:r w:rsidRPr="00E82CC1">
        <w:rPr>
          <w:rFonts w:asciiTheme="majorHAnsi" w:hAnsiTheme="majorHAnsi" w:cstheme="majorHAnsi"/>
          <w:sz w:val="28"/>
          <w:szCs w:val="28"/>
          <w:lang w:val="ro-RO"/>
        </w:rPr>
        <w:t>RESPONSABILITĂȚILE CELOR ÎNSĂRCINAȚI CU GUVERNANȚA PENTRU RAPOARTELE GUVERNULUI</w:t>
      </w:r>
    </w:p>
    <w:p w14:paraId="5224C763" w14:textId="7EBD3836" w:rsidR="00F9109E" w:rsidRPr="00E82CC1" w:rsidRDefault="00F9109E" w:rsidP="00F9109E">
      <w:pPr>
        <w:spacing w:after="0" w:line="276" w:lineRule="auto"/>
        <w:jc w:val="both"/>
        <w:rPr>
          <w:rFonts w:asciiTheme="majorHAnsi" w:eastAsia="Times New Roman" w:hAnsiTheme="majorHAnsi" w:cstheme="majorHAnsi"/>
          <w:b/>
          <w:sz w:val="24"/>
          <w:szCs w:val="24"/>
          <w:lang w:val="ro-RO"/>
        </w:rPr>
      </w:pPr>
      <w:r w:rsidRPr="00E82CC1">
        <w:rPr>
          <w:rFonts w:asciiTheme="majorHAnsi" w:eastAsia="Times New Roman" w:hAnsiTheme="majorHAnsi" w:cstheme="majorHAnsi"/>
          <w:b/>
          <w:sz w:val="24"/>
          <w:szCs w:val="24"/>
          <w:lang w:val="ro-RO"/>
        </w:rPr>
        <w:t>Responsabilitatea Guvernului</w:t>
      </w:r>
      <w:r w:rsidRPr="00E82CC1">
        <w:rPr>
          <w:rFonts w:asciiTheme="majorHAnsi" w:eastAsia="Times New Roman" w:hAnsiTheme="majorHAnsi" w:cstheme="majorHAnsi"/>
          <w:sz w:val="24"/>
          <w:szCs w:val="24"/>
          <w:lang w:val="ro-RO"/>
        </w:rPr>
        <w:t xml:space="preserve"> în domeniul finanțelor publice este de a exercita conducerea generală a activității executive în domeniul gestionării finanțelor publice, în conformitate cu principiile şi regulile stabilite</w:t>
      </w:r>
      <w:r w:rsidRPr="00E82CC1">
        <w:rPr>
          <w:rStyle w:val="a5"/>
          <w:rFonts w:asciiTheme="majorHAnsi" w:eastAsia="Times New Roman" w:hAnsiTheme="majorHAnsi" w:cstheme="majorHAnsi"/>
          <w:sz w:val="24"/>
          <w:szCs w:val="24"/>
          <w:lang w:val="ro-RO"/>
        </w:rPr>
        <w:footnoteReference w:id="80"/>
      </w:r>
      <w:r w:rsidRPr="00E82CC1">
        <w:rPr>
          <w:rFonts w:asciiTheme="majorHAnsi" w:eastAsia="Times New Roman" w:hAnsiTheme="majorHAnsi" w:cstheme="majorHAnsi"/>
          <w:sz w:val="24"/>
          <w:szCs w:val="24"/>
          <w:lang w:val="ro-RO"/>
        </w:rPr>
        <w:t>.</w:t>
      </w:r>
    </w:p>
    <w:p w14:paraId="6801FD46" w14:textId="5DC653A5" w:rsidR="00F9109E" w:rsidRPr="00E82CC1" w:rsidRDefault="00F9109E" w:rsidP="00F9109E">
      <w:pPr>
        <w:spacing w:after="0" w:line="276" w:lineRule="auto"/>
        <w:jc w:val="both"/>
        <w:rPr>
          <w:rFonts w:asciiTheme="majorHAnsi" w:eastAsia="Times New Roman" w:hAnsiTheme="majorHAnsi" w:cstheme="majorHAnsi"/>
          <w:sz w:val="24"/>
          <w:szCs w:val="24"/>
          <w:lang w:val="ro-RO"/>
        </w:rPr>
      </w:pPr>
      <w:r w:rsidRPr="00E82CC1">
        <w:rPr>
          <w:rFonts w:asciiTheme="majorHAnsi" w:eastAsia="Times New Roman" w:hAnsiTheme="majorHAnsi" w:cstheme="majorHAnsi"/>
          <w:b/>
          <w:bCs/>
          <w:iCs/>
          <w:sz w:val="24"/>
          <w:szCs w:val="24"/>
          <w:lang w:val="ro-RO"/>
        </w:rPr>
        <w:t xml:space="preserve">Responsabilitatea Ministerului Muncii şi Protecției Sociale </w:t>
      </w:r>
      <w:r w:rsidRPr="00E82CC1">
        <w:rPr>
          <w:rFonts w:asciiTheme="majorHAnsi" w:eastAsia="Times New Roman" w:hAnsiTheme="majorHAnsi" w:cstheme="majorHAnsi"/>
          <w:sz w:val="24"/>
          <w:szCs w:val="24"/>
          <w:lang w:val="ro-RO"/>
        </w:rPr>
        <w:t>const</w:t>
      </w:r>
      <w:r w:rsidR="001D2280">
        <w:rPr>
          <w:rFonts w:asciiTheme="majorHAnsi" w:eastAsia="Times New Roman" w:hAnsiTheme="majorHAnsi" w:cstheme="majorHAnsi"/>
          <w:sz w:val="24"/>
          <w:szCs w:val="24"/>
          <w:lang w:val="ro-RO"/>
        </w:rPr>
        <w:t>ă</w:t>
      </w:r>
      <w:r w:rsidRPr="00E82CC1">
        <w:rPr>
          <w:rFonts w:asciiTheme="majorHAnsi" w:eastAsia="Times New Roman" w:hAnsiTheme="majorHAnsi" w:cstheme="majorHAnsi"/>
          <w:sz w:val="24"/>
          <w:szCs w:val="24"/>
          <w:lang w:val="ro-RO"/>
        </w:rPr>
        <w:t xml:space="preserve"> în monitorizarea şi analiza executării </w:t>
      </w:r>
      <w:r w:rsidR="001D2280" w:rsidRPr="00E82CC1">
        <w:rPr>
          <w:rFonts w:asciiTheme="majorHAnsi" w:hAnsiTheme="majorHAnsi" w:cstheme="majorHAnsi"/>
          <w:sz w:val="24"/>
          <w:szCs w:val="24"/>
          <w:lang w:val="ro-RO"/>
        </w:rPr>
        <w:t>bugetului asigurărilor sociale de stat</w:t>
      </w:r>
      <w:r w:rsidR="001D2280" w:rsidRPr="00E82CC1" w:rsidDel="001D2280">
        <w:rPr>
          <w:rFonts w:asciiTheme="majorHAnsi" w:eastAsia="Times New Roman" w:hAnsiTheme="majorHAnsi" w:cstheme="majorHAnsi"/>
          <w:sz w:val="24"/>
          <w:szCs w:val="24"/>
          <w:lang w:val="ro-RO"/>
        </w:rPr>
        <w:t xml:space="preserve"> </w:t>
      </w:r>
      <w:r w:rsidRPr="00E82CC1">
        <w:rPr>
          <w:rStyle w:val="a5"/>
          <w:rFonts w:asciiTheme="majorHAnsi" w:eastAsia="Times New Roman" w:hAnsiTheme="majorHAnsi" w:cstheme="majorHAnsi"/>
          <w:sz w:val="24"/>
          <w:szCs w:val="24"/>
          <w:lang w:val="ro-RO"/>
        </w:rPr>
        <w:footnoteReference w:id="81"/>
      </w:r>
      <w:r w:rsidRPr="00E82CC1">
        <w:rPr>
          <w:rFonts w:asciiTheme="majorHAnsi" w:eastAsia="Times New Roman" w:hAnsiTheme="majorHAnsi" w:cstheme="majorHAnsi"/>
          <w:sz w:val="24"/>
          <w:szCs w:val="24"/>
          <w:lang w:val="ro-RO"/>
        </w:rPr>
        <w:t>.</w:t>
      </w:r>
    </w:p>
    <w:p w14:paraId="2F5E5E3E" w14:textId="77777777" w:rsidR="00F9109E" w:rsidRPr="00E82CC1" w:rsidRDefault="00F9109E" w:rsidP="00F9109E">
      <w:pPr>
        <w:spacing w:after="0" w:line="276" w:lineRule="auto"/>
        <w:jc w:val="both"/>
        <w:rPr>
          <w:rFonts w:asciiTheme="majorHAnsi" w:eastAsia="Times New Roman" w:hAnsiTheme="majorHAnsi" w:cstheme="majorHAnsi"/>
          <w:sz w:val="24"/>
          <w:szCs w:val="24"/>
          <w:lang w:val="ro-RO"/>
        </w:rPr>
      </w:pPr>
      <w:r w:rsidRPr="00E82CC1">
        <w:rPr>
          <w:rFonts w:asciiTheme="majorHAnsi" w:eastAsia="Times New Roman" w:hAnsiTheme="majorHAnsi" w:cstheme="majorHAnsi"/>
          <w:b/>
          <w:bCs/>
          <w:iCs/>
          <w:sz w:val="24"/>
          <w:szCs w:val="24"/>
          <w:lang w:val="ro-RO"/>
        </w:rPr>
        <w:t xml:space="preserve">Responsabilitatea Ministerului Finanțelor </w:t>
      </w:r>
      <w:r w:rsidRPr="00E82CC1">
        <w:rPr>
          <w:rFonts w:asciiTheme="majorHAnsi" w:eastAsia="Times New Roman" w:hAnsiTheme="majorHAnsi" w:cstheme="majorHAnsi"/>
          <w:bCs/>
          <w:iCs/>
          <w:sz w:val="24"/>
          <w:szCs w:val="24"/>
          <w:lang w:val="ro-RO"/>
        </w:rPr>
        <w:t>ține de</w:t>
      </w:r>
      <w:r w:rsidRPr="00E82CC1">
        <w:rPr>
          <w:rStyle w:val="a5"/>
          <w:rFonts w:asciiTheme="majorHAnsi" w:eastAsia="Times New Roman" w:hAnsiTheme="majorHAnsi" w:cstheme="majorHAnsi"/>
          <w:sz w:val="24"/>
          <w:szCs w:val="24"/>
          <w:lang w:val="ro-RO"/>
        </w:rPr>
        <w:footnoteReference w:id="82"/>
      </w:r>
      <w:r w:rsidRPr="00E82CC1">
        <w:rPr>
          <w:rFonts w:asciiTheme="majorHAnsi" w:eastAsia="Times New Roman" w:hAnsiTheme="majorHAnsi" w:cstheme="majorHAnsi"/>
          <w:bCs/>
          <w:iCs/>
          <w:sz w:val="24"/>
          <w:szCs w:val="24"/>
          <w:lang w:val="ro-RO"/>
        </w:rPr>
        <w:t>:</w:t>
      </w:r>
    </w:p>
    <w:p w14:paraId="52523502" w14:textId="77777777" w:rsidR="00F9109E" w:rsidRPr="00E82CC1" w:rsidRDefault="00F9109E" w:rsidP="00F9109E">
      <w:pPr>
        <w:spacing w:after="0" w:line="276" w:lineRule="auto"/>
        <w:jc w:val="both"/>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 elaborarea şi aprobarea, în baza Legii contabilității şi în conformitate cu Planul de conturi contabile, a metodologiei privind evidența contabilă în sistemul bugetar, inclusiv privind contabilitatea executării BASS;</w:t>
      </w:r>
    </w:p>
    <w:p w14:paraId="36C86851" w14:textId="77777777" w:rsidR="00F9109E" w:rsidRPr="00E82CC1" w:rsidRDefault="00F9109E" w:rsidP="00F9109E">
      <w:pPr>
        <w:spacing w:after="0" w:line="276" w:lineRule="auto"/>
        <w:jc w:val="both"/>
        <w:rPr>
          <w:rFonts w:asciiTheme="majorHAnsi" w:hAnsiTheme="majorHAnsi" w:cstheme="majorHAnsi"/>
          <w:sz w:val="24"/>
          <w:szCs w:val="24"/>
          <w:lang w:val="ro-RO"/>
        </w:rPr>
      </w:pPr>
      <w:r w:rsidRPr="00E82CC1">
        <w:rPr>
          <w:rFonts w:asciiTheme="majorHAnsi" w:eastAsia="Times New Roman" w:hAnsiTheme="majorHAnsi" w:cstheme="majorHAnsi"/>
          <w:sz w:val="24"/>
          <w:szCs w:val="24"/>
          <w:lang w:val="ro-RO"/>
        </w:rPr>
        <w:t>- elaborarea şi aprobarea metodologiei privind implementarea cadrului normativ-legal în domeniul finanțelor publice, inclusiv privind evidența contabilă și raportarea bugetelor componente ale bugetului public național, precum și acordarea asistenței metodologice în procesul bugetar.</w:t>
      </w:r>
      <w:r w:rsidRPr="00E82CC1">
        <w:rPr>
          <w:rFonts w:asciiTheme="majorHAnsi" w:hAnsiTheme="majorHAnsi" w:cstheme="majorHAnsi"/>
          <w:sz w:val="24"/>
          <w:szCs w:val="24"/>
          <w:lang w:val="ro-RO"/>
        </w:rPr>
        <w:t xml:space="preserve"> </w:t>
      </w:r>
    </w:p>
    <w:p w14:paraId="4156B60E" w14:textId="051A16E6" w:rsidR="00F9109E" w:rsidRPr="00E82CC1" w:rsidRDefault="00F9109E" w:rsidP="00F9109E">
      <w:pPr>
        <w:spacing w:after="0" w:line="276" w:lineRule="auto"/>
        <w:jc w:val="both"/>
        <w:rPr>
          <w:rFonts w:asciiTheme="majorHAnsi" w:hAnsiTheme="majorHAnsi" w:cstheme="majorHAnsi"/>
          <w:sz w:val="24"/>
          <w:szCs w:val="24"/>
          <w:lang w:val="ro-RO"/>
        </w:rPr>
      </w:pPr>
      <w:r w:rsidRPr="00E82CC1">
        <w:rPr>
          <w:rFonts w:asciiTheme="majorHAnsi" w:eastAsia="Times New Roman" w:hAnsiTheme="majorHAnsi" w:cstheme="majorHAnsi"/>
          <w:b/>
          <w:sz w:val="24"/>
          <w:szCs w:val="24"/>
          <w:lang w:val="ro-RO"/>
        </w:rPr>
        <w:t xml:space="preserve">Responsabilitatea Casei Naționale de Asigurări Sociale </w:t>
      </w:r>
      <w:r w:rsidRPr="00E82CC1">
        <w:rPr>
          <w:rFonts w:asciiTheme="majorHAnsi" w:eastAsia="Times New Roman" w:hAnsiTheme="majorHAnsi" w:cstheme="majorHAnsi"/>
          <w:sz w:val="24"/>
          <w:szCs w:val="24"/>
          <w:lang w:val="ro-RO"/>
        </w:rPr>
        <w:t xml:space="preserve">a constat în pregătirea și prezentarea fidelă către Guvern, Ministerul Sănătății, Muncii şi Protecției Sociale și Ministerul Finanțelor a </w:t>
      </w:r>
      <w:r w:rsidRPr="00E82CC1">
        <w:rPr>
          <w:rFonts w:asciiTheme="majorHAnsi" w:hAnsiTheme="majorHAnsi" w:cstheme="majorHAnsi"/>
          <w:sz w:val="24"/>
          <w:szCs w:val="24"/>
          <w:lang w:val="ro-RO"/>
        </w:rPr>
        <w:t>rapoartelor privind executarea bugetului asigurărilor sociale de stat în conformitate cu cadrul de raportare aplicabil şi asigurarea publicării acestora</w:t>
      </w:r>
      <w:r w:rsidRPr="00E82CC1">
        <w:rPr>
          <w:rStyle w:val="a5"/>
          <w:rFonts w:asciiTheme="majorHAnsi" w:eastAsia="Times New Roman" w:hAnsiTheme="majorHAnsi" w:cstheme="majorHAnsi"/>
          <w:sz w:val="24"/>
          <w:szCs w:val="24"/>
          <w:lang w:val="ro-RO" w:eastAsia="ro-RO"/>
        </w:rPr>
        <w:footnoteReference w:id="83"/>
      </w:r>
      <w:r w:rsidRPr="00E82CC1">
        <w:rPr>
          <w:rFonts w:asciiTheme="majorHAnsi" w:eastAsia="Times New Roman" w:hAnsiTheme="majorHAnsi" w:cstheme="majorHAnsi"/>
          <w:sz w:val="24"/>
          <w:szCs w:val="24"/>
          <w:lang w:val="ro-RO"/>
        </w:rPr>
        <w:t xml:space="preserve">. Totodată, conducătorul Casei Naționale </w:t>
      </w:r>
      <w:r w:rsidRPr="00E82CC1">
        <w:rPr>
          <w:rFonts w:asciiTheme="majorHAnsi" w:hAnsiTheme="majorHAnsi" w:cstheme="majorHAnsi"/>
          <w:sz w:val="24"/>
          <w:szCs w:val="24"/>
          <w:lang w:val="ro-RO"/>
        </w:rPr>
        <w:t>este responsabil de implementarea unui sistem de control intern, care asigură întocmirea rapoartelor ce nu conțin denaturări semnificative, cauzate de fraud</w:t>
      </w:r>
      <w:r w:rsidR="001D2280">
        <w:rPr>
          <w:rFonts w:asciiTheme="majorHAnsi" w:hAnsiTheme="majorHAnsi" w:cstheme="majorHAnsi"/>
          <w:sz w:val="24"/>
          <w:szCs w:val="24"/>
          <w:lang w:val="ro-RO"/>
        </w:rPr>
        <w:t>e</w:t>
      </w:r>
      <w:r w:rsidRPr="00E82CC1">
        <w:rPr>
          <w:rFonts w:asciiTheme="majorHAnsi" w:hAnsiTheme="majorHAnsi" w:cstheme="majorHAnsi"/>
          <w:sz w:val="24"/>
          <w:szCs w:val="24"/>
          <w:lang w:val="ro-RO"/>
        </w:rPr>
        <w:t xml:space="preserve"> sau de ero</w:t>
      </w:r>
      <w:r w:rsidR="001D2280">
        <w:rPr>
          <w:rFonts w:asciiTheme="majorHAnsi" w:hAnsiTheme="majorHAnsi" w:cstheme="majorHAnsi"/>
          <w:sz w:val="24"/>
          <w:szCs w:val="24"/>
          <w:lang w:val="ro-RO"/>
        </w:rPr>
        <w:t>ri</w:t>
      </w:r>
      <w:r w:rsidRPr="00E82CC1">
        <w:rPr>
          <w:rFonts w:asciiTheme="majorHAnsi" w:hAnsiTheme="majorHAnsi" w:cstheme="majorHAnsi"/>
          <w:sz w:val="24"/>
          <w:szCs w:val="24"/>
          <w:lang w:val="ro-RO"/>
        </w:rPr>
        <w:t>.</w:t>
      </w:r>
    </w:p>
    <w:p w14:paraId="36930DA1" w14:textId="54ED3B50" w:rsidR="00F9109E" w:rsidRPr="00E82CC1" w:rsidRDefault="00F9109E" w:rsidP="00F9109E">
      <w:pPr>
        <w:pStyle w:val="af2"/>
        <w:spacing w:after="0" w:line="276" w:lineRule="auto"/>
        <w:jc w:val="both"/>
        <w:rPr>
          <w:rFonts w:asciiTheme="majorHAnsi" w:hAnsiTheme="majorHAnsi" w:cstheme="majorHAnsi"/>
          <w:sz w:val="24"/>
          <w:szCs w:val="24"/>
          <w:lang w:val="ro-RO"/>
        </w:rPr>
      </w:pPr>
      <w:r w:rsidRPr="00E82CC1">
        <w:rPr>
          <w:rFonts w:asciiTheme="majorHAnsi" w:hAnsiTheme="majorHAnsi" w:cstheme="majorHAnsi"/>
          <w:b/>
          <w:sz w:val="24"/>
          <w:szCs w:val="24"/>
          <w:lang w:val="ro-RO"/>
        </w:rPr>
        <w:t>Directoarea generală a Casei Naționale de Asigurări Sociale</w:t>
      </w:r>
      <w:r w:rsidRPr="00E82CC1">
        <w:rPr>
          <w:rFonts w:asciiTheme="majorHAnsi" w:hAnsiTheme="majorHAnsi" w:cstheme="majorHAnsi"/>
          <w:sz w:val="24"/>
          <w:szCs w:val="24"/>
          <w:lang w:val="ro-RO"/>
        </w:rPr>
        <w:t xml:space="preserve"> este responsabil</w:t>
      </w:r>
      <w:r w:rsidR="001D2280">
        <w:rPr>
          <w:rFonts w:asciiTheme="majorHAnsi" w:hAnsiTheme="majorHAnsi" w:cstheme="majorHAnsi"/>
          <w:sz w:val="24"/>
          <w:szCs w:val="24"/>
          <w:lang w:val="ro-RO"/>
        </w:rPr>
        <w:t>ă</w:t>
      </w:r>
      <w:r w:rsidRPr="00E82CC1">
        <w:rPr>
          <w:rFonts w:asciiTheme="majorHAnsi" w:hAnsiTheme="majorHAnsi" w:cstheme="majorHAnsi"/>
          <w:sz w:val="24"/>
          <w:szCs w:val="24"/>
          <w:lang w:val="ro-RO"/>
        </w:rPr>
        <w:t xml:space="preserve"> de pregătirea şi prezentarea fidelă a Raportului Guvernului privind executarea </w:t>
      </w:r>
      <w:r w:rsidR="001D2280" w:rsidRPr="00E82CC1">
        <w:rPr>
          <w:rFonts w:asciiTheme="majorHAnsi" w:hAnsiTheme="majorHAnsi" w:cstheme="majorHAnsi"/>
          <w:sz w:val="24"/>
          <w:szCs w:val="24"/>
          <w:lang w:val="ro-RO"/>
        </w:rPr>
        <w:t>bugetului asigurărilor sociale de stat</w:t>
      </w:r>
      <w:r w:rsidRPr="00E82CC1">
        <w:rPr>
          <w:rFonts w:asciiTheme="majorHAnsi" w:hAnsiTheme="majorHAnsi" w:cstheme="majorHAnsi"/>
          <w:sz w:val="24"/>
          <w:szCs w:val="24"/>
          <w:lang w:val="ro-RO"/>
        </w:rPr>
        <w:t xml:space="preserve"> pentru anul 2021, în conformitate cu cadrul de raportare aplicabil</w:t>
      </w:r>
      <w:r w:rsidRPr="00E82CC1">
        <w:rPr>
          <w:rStyle w:val="a5"/>
          <w:rFonts w:asciiTheme="majorHAnsi" w:hAnsiTheme="majorHAnsi" w:cstheme="majorHAnsi"/>
          <w:sz w:val="24"/>
          <w:szCs w:val="24"/>
          <w:lang w:val="ro-RO"/>
        </w:rPr>
        <w:footnoteReference w:id="84"/>
      </w:r>
      <w:r w:rsidRPr="00E82CC1">
        <w:rPr>
          <w:rFonts w:asciiTheme="majorHAnsi" w:hAnsiTheme="majorHAnsi" w:cstheme="majorHAnsi"/>
          <w:sz w:val="24"/>
          <w:szCs w:val="24"/>
          <w:lang w:val="ro-RO"/>
        </w:rPr>
        <w:t>. De asemenea, responsabilitatea managementului este de a organiza și a implementa sistemul de control intern</w:t>
      </w:r>
      <w:r w:rsidRPr="00E82CC1">
        <w:rPr>
          <w:rStyle w:val="a5"/>
          <w:rFonts w:asciiTheme="majorHAnsi" w:hAnsiTheme="majorHAnsi" w:cstheme="majorHAnsi"/>
          <w:sz w:val="24"/>
          <w:szCs w:val="24"/>
          <w:lang w:val="ro-RO"/>
        </w:rPr>
        <w:footnoteReference w:id="85"/>
      </w:r>
      <w:r w:rsidRPr="00E82CC1">
        <w:rPr>
          <w:rFonts w:asciiTheme="majorHAnsi" w:hAnsiTheme="majorHAnsi" w:cstheme="majorHAnsi"/>
          <w:sz w:val="24"/>
          <w:szCs w:val="24"/>
          <w:lang w:val="ro-RO"/>
        </w:rPr>
        <w:t xml:space="preserve">, în scopul de a asigura desfășurarea și organizarea eficientă a activității entității, inclusiv respectarea strictă a integrității activelor, prevenirea și descoperirea cauzelor de fraudă și eroare, exactitatea și plenitudinea datelor raportate, precum şi pregătirea oportună a informaţiilor financiare credibile. Totodată, la întocmirea situațiilor financiare, conducerea este responsabilă de evaluarea capacității autorității de a-și continua activitatea în baza principiului continuității activității. </w:t>
      </w:r>
    </w:p>
    <w:p w14:paraId="427EAB76" w14:textId="77777777" w:rsidR="00F9109E" w:rsidRPr="00E82CC1" w:rsidRDefault="00F9109E" w:rsidP="00F9109E">
      <w:pPr>
        <w:pStyle w:val="af2"/>
        <w:spacing w:after="0" w:line="276" w:lineRule="auto"/>
        <w:jc w:val="both"/>
        <w:rPr>
          <w:rFonts w:asciiTheme="majorHAnsi" w:hAnsiTheme="majorHAnsi" w:cstheme="majorHAnsi"/>
          <w:sz w:val="24"/>
          <w:szCs w:val="24"/>
          <w:lang w:val="ro-RO"/>
        </w:rPr>
      </w:pPr>
    </w:p>
    <w:p w14:paraId="10849CC5" w14:textId="3BB5065A" w:rsidR="00F9109E" w:rsidRPr="00E82CC1" w:rsidRDefault="00F9109E" w:rsidP="00160C57">
      <w:pPr>
        <w:pStyle w:val="1"/>
        <w:numPr>
          <w:ilvl w:val="0"/>
          <w:numId w:val="15"/>
        </w:numPr>
        <w:spacing w:before="0"/>
        <w:ind w:left="0" w:firstLine="0"/>
        <w:jc w:val="both"/>
        <w:rPr>
          <w:rFonts w:asciiTheme="majorHAnsi" w:hAnsiTheme="majorHAnsi" w:cstheme="majorHAnsi"/>
          <w:sz w:val="28"/>
          <w:szCs w:val="28"/>
          <w:lang w:val="ro-RO"/>
        </w:rPr>
      </w:pPr>
      <w:bookmarkStart w:id="8" w:name="_Toc35000690"/>
      <w:r w:rsidRPr="00E82CC1">
        <w:rPr>
          <w:rFonts w:asciiTheme="majorHAnsi" w:hAnsiTheme="majorHAnsi" w:cstheme="majorHAnsi"/>
          <w:sz w:val="28"/>
          <w:szCs w:val="28"/>
          <w:lang w:val="ro-RO"/>
        </w:rPr>
        <w:t xml:space="preserve">RESPONSABILITĂȚILE AUDITORULUI ÎNTR-UN AUDIT AL RAPOARTELOR </w:t>
      </w:r>
      <w:bookmarkEnd w:id="8"/>
      <w:r w:rsidR="00254B91" w:rsidRPr="00E82CC1">
        <w:rPr>
          <w:rFonts w:asciiTheme="majorHAnsi" w:hAnsiTheme="majorHAnsi" w:cstheme="majorHAnsi"/>
          <w:sz w:val="28"/>
          <w:szCs w:val="28"/>
          <w:lang w:val="ro-RO"/>
        </w:rPr>
        <w:t>GUVERNULUI</w:t>
      </w:r>
    </w:p>
    <w:p w14:paraId="4A7EEF4F" w14:textId="77777777" w:rsidR="00F9109E" w:rsidRPr="00E82CC1" w:rsidRDefault="00F9109E" w:rsidP="00F9109E">
      <w:pPr>
        <w:autoSpaceDE w:val="0"/>
        <w:autoSpaceDN w:val="0"/>
        <w:adjustRightInd w:val="0"/>
        <w:spacing w:after="0" w:line="276" w:lineRule="auto"/>
        <w:ind w:right="-23"/>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02AF76F4" w14:textId="77777777" w:rsidR="00F9109E" w:rsidRPr="00E82CC1" w:rsidRDefault="00F9109E" w:rsidP="00F9109E">
      <w:pPr>
        <w:autoSpaceDE w:val="0"/>
        <w:autoSpaceDN w:val="0"/>
        <w:adjustRightInd w:val="0"/>
        <w:spacing w:after="0" w:line="276" w:lineRule="auto"/>
        <w:ind w:right="-23"/>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Asigurarea rezonabilă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pot fi considerate semnificative dacă, în mod individual sau în ansamblu, pot influența deciziile economice ale utilizatoril</w:t>
      </w:r>
      <w:r w:rsidR="00F12F22" w:rsidRPr="00E82CC1">
        <w:rPr>
          <w:rFonts w:asciiTheme="majorHAnsi" w:hAnsiTheme="majorHAnsi" w:cstheme="majorHAnsi"/>
          <w:sz w:val="24"/>
          <w:szCs w:val="24"/>
          <w:lang w:val="ro-RO"/>
        </w:rPr>
        <w:t>or acestor rapoarte financiare.</w:t>
      </w:r>
      <w:r w:rsidRPr="00E82CC1">
        <w:rPr>
          <w:rFonts w:asciiTheme="majorHAnsi" w:hAnsiTheme="majorHAnsi" w:cstheme="majorHAnsi"/>
          <w:sz w:val="24"/>
          <w:szCs w:val="24"/>
          <w:lang w:val="ro-RO"/>
        </w:rPr>
        <w:t xml:space="preserve"> </w:t>
      </w:r>
    </w:p>
    <w:p w14:paraId="20732C89" w14:textId="77777777" w:rsidR="00F9109E" w:rsidRPr="00E82CC1" w:rsidRDefault="00F9109E" w:rsidP="00F9109E">
      <w:pPr>
        <w:autoSpaceDE w:val="0"/>
        <w:autoSpaceDN w:val="0"/>
        <w:adjustRightInd w:val="0"/>
        <w:spacing w:after="0" w:line="276" w:lineRule="auto"/>
        <w:ind w:right="-23"/>
        <w:jc w:val="both"/>
        <w:rPr>
          <w:lang w:val="ro-RO"/>
        </w:rPr>
      </w:pPr>
      <w:r w:rsidRPr="00E82CC1">
        <w:rPr>
          <w:rFonts w:asciiTheme="majorHAnsi" w:hAnsiTheme="majorHAnsi" w:cstheme="majorHAnsi"/>
          <w:sz w:val="24"/>
          <w:szCs w:val="24"/>
          <w:lang w:val="ro-RO"/>
        </w:rPr>
        <w:t xml:space="preserve">O descriere suplimentară a responsabilităților auditorului într-un audit al rapoartelor financiare este plasată pe site-ul Curții de Conturi, la adresa: </w:t>
      </w:r>
      <w:hyperlink r:id="rId29" w:history="1">
        <w:r w:rsidRPr="00617E4A">
          <w:rPr>
            <w:rFonts w:asciiTheme="majorHAnsi" w:hAnsiTheme="majorHAnsi" w:cstheme="majorHAnsi"/>
            <w:color w:val="1F4E79" w:themeColor="accent1" w:themeShade="80"/>
            <w:sz w:val="24"/>
            <w:szCs w:val="24"/>
            <w:u w:val="single"/>
            <w:lang w:val="ro-RO"/>
          </w:rPr>
          <w:t>https://www.ccrm.md/</w:t>
        </w:r>
      </w:hyperlink>
      <w:r w:rsidRPr="00E82CC1">
        <w:rPr>
          <w:rFonts w:asciiTheme="majorHAnsi" w:hAnsiTheme="majorHAnsi" w:cstheme="majorHAnsi"/>
          <w:sz w:val="24"/>
          <w:szCs w:val="24"/>
          <w:lang w:val="ro-RO"/>
        </w:rPr>
        <w:t xml:space="preserve">.  </w:t>
      </w:r>
    </w:p>
    <w:p w14:paraId="7D803898" w14:textId="77777777" w:rsidR="00F9109E" w:rsidRPr="00E82CC1" w:rsidRDefault="00F9109E" w:rsidP="00F9109E">
      <w:pPr>
        <w:autoSpaceDE w:val="0"/>
        <w:autoSpaceDN w:val="0"/>
        <w:adjustRightInd w:val="0"/>
        <w:spacing w:after="0" w:line="276" w:lineRule="auto"/>
        <w:ind w:right="-23"/>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Această descriere face parte din Raportul nostru de audit.</w:t>
      </w:r>
    </w:p>
    <w:p w14:paraId="3B08123C" w14:textId="77777777" w:rsidR="00F9109E" w:rsidRPr="00E82CC1" w:rsidRDefault="00F9109E" w:rsidP="00F9109E">
      <w:pPr>
        <w:spacing w:after="0" w:line="276" w:lineRule="auto"/>
        <w:rPr>
          <w:rFonts w:asciiTheme="majorHAnsi" w:hAnsiTheme="majorHAnsi" w:cstheme="majorHAnsi"/>
          <w:b/>
          <w:color w:val="000000" w:themeColor="text1"/>
          <w:sz w:val="24"/>
          <w:szCs w:val="24"/>
          <w:lang w:val="ro-RO"/>
        </w:rPr>
      </w:pPr>
    </w:p>
    <w:p w14:paraId="3FB05ABE" w14:textId="77777777" w:rsidR="00F9109E" w:rsidRPr="00E82CC1" w:rsidRDefault="00F9109E" w:rsidP="00F9109E">
      <w:pPr>
        <w:spacing w:after="0" w:line="276" w:lineRule="auto"/>
        <w:rPr>
          <w:rFonts w:asciiTheme="majorHAnsi" w:hAnsiTheme="majorHAnsi" w:cstheme="majorHAnsi"/>
          <w:b/>
          <w:color w:val="000000" w:themeColor="text1"/>
          <w:sz w:val="24"/>
          <w:szCs w:val="24"/>
          <w:lang w:val="ro-RO"/>
        </w:rPr>
      </w:pPr>
      <w:r w:rsidRPr="00E82CC1">
        <w:rPr>
          <w:rFonts w:asciiTheme="majorHAnsi" w:hAnsiTheme="majorHAnsi" w:cstheme="majorHAnsi"/>
          <w:b/>
          <w:color w:val="000000" w:themeColor="text1"/>
          <w:sz w:val="24"/>
          <w:szCs w:val="24"/>
          <w:lang w:val="ro-RO"/>
        </w:rPr>
        <w:t>Semnătura auditorului:</w:t>
      </w:r>
    </w:p>
    <w:p w14:paraId="6B9607C8" w14:textId="77777777" w:rsidR="00F9109E" w:rsidRPr="00E82CC1" w:rsidRDefault="00F9109E" w:rsidP="00F9109E">
      <w:pPr>
        <w:spacing w:after="0" w:line="276" w:lineRule="auto"/>
        <w:jc w:val="both"/>
        <w:rPr>
          <w:rFonts w:asciiTheme="majorHAnsi" w:hAnsiTheme="majorHAnsi" w:cstheme="majorHAnsi"/>
          <w:b/>
          <w:bCs/>
          <w:iCs/>
          <w:sz w:val="24"/>
          <w:szCs w:val="24"/>
          <w:lang w:val="ro-RO"/>
        </w:rPr>
      </w:pPr>
      <w:r w:rsidRPr="00E82CC1">
        <w:rPr>
          <w:rFonts w:asciiTheme="majorHAnsi" w:hAnsiTheme="majorHAnsi" w:cstheme="majorHAnsi"/>
          <w:b/>
          <w:bCs/>
          <w:iCs/>
          <w:sz w:val="24"/>
          <w:szCs w:val="24"/>
          <w:lang w:val="ro-RO"/>
        </w:rPr>
        <w:t>Echipa de audit:</w:t>
      </w:r>
    </w:p>
    <w:p w14:paraId="75B57EE9" w14:textId="77777777" w:rsidR="00F9109E" w:rsidRPr="00E82CC1" w:rsidRDefault="00F9109E" w:rsidP="00F9109E">
      <w:pPr>
        <w:tabs>
          <w:tab w:val="left" w:pos="1080"/>
        </w:tabs>
        <w:spacing w:after="0" w:line="276" w:lineRule="auto"/>
        <w:contextualSpacing/>
        <w:jc w:val="both"/>
        <w:rPr>
          <w:rFonts w:asciiTheme="majorHAnsi" w:hAnsiTheme="majorHAnsi" w:cstheme="majorHAnsi"/>
          <w:bCs/>
          <w:iCs/>
          <w:sz w:val="24"/>
          <w:szCs w:val="24"/>
          <w:lang w:val="ro-RO"/>
        </w:rPr>
      </w:pPr>
      <w:r w:rsidRPr="00E82CC1">
        <w:rPr>
          <w:rFonts w:asciiTheme="majorHAnsi" w:hAnsiTheme="majorHAnsi" w:cstheme="majorHAnsi"/>
          <w:bCs/>
          <w:iCs/>
          <w:sz w:val="24"/>
          <w:szCs w:val="24"/>
          <w:lang w:val="ro-RO"/>
        </w:rPr>
        <w:t xml:space="preserve">Șefa echipei de audit, </w:t>
      </w:r>
    </w:p>
    <w:p w14:paraId="4ED2A934"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 xml:space="preserve">Șefa Direcției de audit I </w:t>
      </w:r>
    </w:p>
    <w:p w14:paraId="02B213C6"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în cadrul Direcției generale de audit II,</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t>Irina Rogaciov</w:t>
      </w:r>
      <w:r w:rsidRPr="00E82CC1">
        <w:rPr>
          <w:rFonts w:asciiTheme="majorHAnsi" w:hAnsiTheme="majorHAnsi" w:cstheme="majorHAnsi"/>
          <w:sz w:val="24"/>
          <w:szCs w:val="24"/>
          <w:lang w:val="ro-RO"/>
        </w:rPr>
        <w:tab/>
      </w:r>
    </w:p>
    <w:p w14:paraId="04AD4B48"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p>
    <w:p w14:paraId="072DAD0E"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Auditoare publică principală,</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t>Viorica Rațoi</w:t>
      </w:r>
      <w:r w:rsidRPr="00E82CC1">
        <w:rPr>
          <w:rFonts w:asciiTheme="majorHAnsi" w:hAnsiTheme="majorHAnsi" w:cstheme="majorHAnsi"/>
          <w:sz w:val="24"/>
          <w:szCs w:val="24"/>
          <w:lang w:val="ro-RO"/>
        </w:rPr>
        <w:tab/>
        <w:t xml:space="preserve"> </w:t>
      </w:r>
    </w:p>
    <w:p w14:paraId="7E54966A"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Auditoare publică superioară,</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t>Elena Mirciu</w:t>
      </w:r>
    </w:p>
    <w:p w14:paraId="0E1B5521"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Auditoare publică superioară,</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t>Ana Miron</w:t>
      </w:r>
    </w:p>
    <w:p w14:paraId="499D7FDF" w14:textId="77777777" w:rsidR="00F9109E" w:rsidRPr="00E82CC1" w:rsidRDefault="00F9109E" w:rsidP="00F9109E">
      <w:pPr>
        <w:spacing w:after="0" w:line="276" w:lineRule="auto"/>
        <w:rPr>
          <w:rFonts w:asciiTheme="majorHAnsi" w:hAnsiTheme="majorHAnsi" w:cstheme="majorHAnsi"/>
          <w:b/>
          <w:bCs/>
          <w:iCs/>
          <w:sz w:val="24"/>
          <w:szCs w:val="24"/>
          <w:lang w:val="ro-RO"/>
        </w:rPr>
      </w:pPr>
    </w:p>
    <w:p w14:paraId="3A3F6049" w14:textId="57B40D8A" w:rsidR="00F9109E" w:rsidRPr="00E82CC1" w:rsidRDefault="00F9109E" w:rsidP="00F9109E">
      <w:pPr>
        <w:spacing w:after="0" w:line="276" w:lineRule="auto"/>
        <w:rPr>
          <w:rFonts w:asciiTheme="majorHAnsi" w:hAnsiTheme="majorHAnsi" w:cstheme="majorHAnsi"/>
          <w:b/>
          <w:bCs/>
          <w:iCs/>
          <w:sz w:val="24"/>
          <w:szCs w:val="24"/>
          <w:lang w:val="ro-RO"/>
        </w:rPr>
      </w:pPr>
      <w:r w:rsidRPr="00E82CC1">
        <w:rPr>
          <w:rFonts w:asciiTheme="majorHAnsi" w:hAnsiTheme="majorHAnsi" w:cstheme="majorHAnsi"/>
          <w:b/>
          <w:bCs/>
          <w:iCs/>
          <w:sz w:val="24"/>
          <w:szCs w:val="24"/>
          <w:lang w:val="ro-RO"/>
        </w:rPr>
        <w:t>Responsabil</w:t>
      </w:r>
      <w:r w:rsidR="00155159">
        <w:rPr>
          <w:rFonts w:asciiTheme="majorHAnsi" w:hAnsiTheme="majorHAnsi" w:cstheme="majorHAnsi"/>
          <w:b/>
          <w:bCs/>
          <w:iCs/>
          <w:sz w:val="24"/>
          <w:szCs w:val="24"/>
          <w:lang w:val="ro-RO"/>
        </w:rPr>
        <w:t>ă</w:t>
      </w:r>
      <w:r w:rsidRPr="00E82CC1">
        <w:rPr>
          <w:rFonts w:asciiTheme="majorHAnsi" w:hAnsiTheme="majorHAnsi" w:cstheme="majorHAnsi"/>
          <w:b/>
          <w:bCs/>
          <w:iCs/>
          <w:sz w:val="24"/>
          <w:szCs w:val="24"/>
          <w:lang w:val="ro-RO"/>
        </w:rPr>
        <w:t xml:space="preserve"> de monitorizarea și asigurarea calității auditului: </w:t>
      </w:r>
    </w:p>
    <w:p w14:paraId="2C5D94EE"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r w:rsidRPr="00E82CC1">
        <w:rPr>
          <w:rFonts w:asciiTheme="majorHAnsi" w:hAnsiTheme="majorHAnsi" w:cstheme="majorHAnsi"/>
          <w:sz w:val="24"/>
          <w:szCs w:val="24"/>
          <w:lang w:val="ro-RO"/>
        </w:rPr>
        <w:t>Șefa Direcției generale de audit II,</w:t>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r>
      <w:r w:rsidRPr="00E82CC1">
        <w:rPr>
          <w:rFonts w:asciiTheme="majorHAnsi" w:hAnsiTheme="majorHAnsi" w:cstheme="majorHAnsi"/>
          <w:sz w:val="24"/>
          <w:szCs w:val="24"/>
          <w:lang w:val="ro-RO"/>
        </w:rPr>
        <w:tab/>
        <w:t xml:space="preserve">Sofia Ciuvalschi </w:t>
      </w:r>
    </w:p>
    <w:p w14:paraId="1D274215" w14:textId="77777777" w:rsidR="00F9109E" w:rsidRPr="00E82CC1" w:rsidRDefault="00F9109E" w:rsidP="00F9109E">
      <w:pPr>
        <w:spacing w:after="0" w:line="240" w:lineRule="auto"/>
        <w:rPr>
          <w:rFonts w:ascii="Calibri Light" w:eastAsia="Times New Roman" w:hAnsi="Calibri Light" w:cs="Calibri Light"/>
          <w:b/>
          <w:bCs/>
          <w:color w:val="000000"/>
          <w:sz w:val="20"/>
          <w:szCs w:val="20"/>
          <w:lang w:val="ro-RO"/>
        </w:rPr>
      </w:pPr>
    </w:p>
    <w:p w14:paraId="061EEE62" w14:textId="77777777" w:rsidR="00F9109E" w:rsidRPr="00E82CC1" w:rsidRDefault="00F9109E" w:rsidP="00F9109E">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br w:type="page"/>
      </w:r>
    </w:p>
    <w:p w14:paraId="6BABD567" w14:textId="77777777" w:rsidR="00B050E3" w:rsidRPr="00E82CC1" w:rsidRDefault="00B050E3" w:rsidP="00F9109E">
      <w:pPr>
        <w:spacing w:after="0" w:line="240" w:lineRule="auto"/>
        <w:rPr>
          <w:rFonts w:ascii="Calibri Light" w:eastAsia="Times New Roman" w:hAnsi="Calibri Light" w:cs="Calibri Light"/>
          <w:b/>
          <w:bCs/>
          <w:color w:val="000000"/>
          <w:sz w:val="24"/>
          <w:szCs w:val="20"/>
          <w:lang w:val="ro-RO"/>
        </w:rPr>
        <w:sectPr w:rsidR="00B050E3" w:rsidRPr="00E82CC1" w:rsidSect="00C13672">
          <w:footerReference w:type="default" r:id="rId30"/>
          <w:pgSz w:w="12240" w:h="15840"/>
          <w:pgMar w:top="1134" w:right="850" w:bottom="1134" w:left="1701" w:header="426" w:footer="708" w:gutter="0"/>
          <w:cols w:space="708"/>
          <w:titlePg/>
          <w:docGrid w:linePitch="360"/>
        </w:sectPr>
      </w:pPr>
    </w:p>
    <w:p w14:paraId="3A26CC46" w14:textId="678594A5" w:rsidR="00B050E3" w:rsidRDefault="00B050E3" w:rsidP="004D7171">
      <w:pPr>
        <w:pStyle w:val="2"/>
        <w:spacing w:before="0"/>
        <w:jc w:val="right"/>
        <w:rPr>
          <w:rFonts w:cstheme="majorHAnsi"/>
          <w:b/>
          <w:bCs/>
          <w:color w:val="000000" w:themeColor="text1"/>
          <w:sz w:val="24"/>
          <w:szCs w:val="24"/>
        </w:rPr>
      </w:pPr>
      <w:r w:rsidRPr="00E82CC1">
        <w:rPr>
          <w:rFonts w:cstheme="majorHAnsi"/>
          <w:b/>
          <w:bCs/>
          <w:color w:val="000000" w:themeColor="text1"/>
          <w:sz w:val="24"/>
          <w:szCs w:val="24"/>
        </w:rPr>
        <w:t>Anexa nr. 1</w:t>
      </w:r>
    </w:p>
    <w:p w14:paraId="6D4DA750" w14:textId="036ED41A" w:rsidR="00155159" w:rsidRPr="009A66FB" w:rsidRDefault="009A66FB" w:rsidP="009A66FB">
      <w:pPr>
        <w:spacing w:after="0"/>
        <w:jc w:val="center"/>
        <w:rPr>
          <w:rFonts w:asciiTheme="majorHAnsi" w:hAnsiTheme="majorHAnsi" w:cstheme="majorHAnsi"/>
          <w:b/>
          <w:lang w:val="ro-MD"/>
        </w:rPr>
      </w:pPr>
      <w:r w:rsidRPr="009A66FB">
        <w:rPr>
          <w:rFonts w:asciiTheme="majorHAnsi" w:hAnsiTheme="majorHAnsi" w:cstheme="majorHAnsi"/>
          <w:b/>
          <w:lang w:val="ro-MD"/>
        </w:rPr>
        <w:t>Analiza veniturilor pe tipuri de indicatori în anul</w:t>
      </w:r>
      <w:r w:rsidR="0017066D" w:rsidRPr="009A66FB">
        <w:rPr>
          <w:rFonts w:asciiTheme="majorHAnsi" w:hAnsiTheme="majorHAnsi" w:cstheme="majorHAnsi"/>
          <w:b/>
          <w:lang w:val="ro-MD"/>
        </w:rPr>
        <w:t xml:space="preserve"> 2021</w:t>
      </w:r>
      <w:r w:rsidR="00155159" w:rsidRPr="009A66FB">
        <w:rPr>
          <w:rFonts w:asciiTheme="majorHAnsi" w:hAnsiTheme="majorHAnsi" w:cstheme="majorHAnsi"/>
          <w:b/>
          <w:lang w:val="ro-MD"/>
        </w:rPr>
        <w:t xml:space="preserve"> </w:t>
      </w:r>
    </w:p>
    <w:p w14:paraId="126728FA" w14:textId="0820CC63" w:rsidR="00155159" w:rsidRPr="009434E7" w:rsidRDefault="00155159" w:rsidP="009A66FB">
      <w:pPr>
        <w:spacing w:after="0"/>
        <w:jc w:val="right"/>
        <w:rPr>
          <w:rFonts w:asciiTheme="majorHAnsi" w:hAnsiTheme="majorHAnsi" w:cstheme="majorHAnsi"/>
          <w:b/>
          <w:sz w:val="20"/>
          <w:szCs w:val="20"/>
          <w:lang w:val="ro-MD"/>
        </w:rPr>
      </w:pPr>
      <w:r w:rsidRPr="009434E7">
        <w:rPr>
          <w:rFonts w:asciiTheme="majorHAnsi" w:hAnsiTheme="majorHAnsi" w:cstheme="majorHAnsi"/>
          <w:b/>
          <w:sz w:val="20"/>
          <w:szCs w:val="20"/>
          <w:lang w:val="ro-MD"/>
        </w:rPr>
        <w:t>(mii lei)</w:t>
      </w: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764"/>
        <w:gridCol w:w="1082"/>
        <w:gridCol w:w="1082"/>
        <w:gridCol w:w="1082"/>
        <w:gridCol w:w="1082"/>
        <w:gridCol w:w="991"/>
        <w:gridCol w:w="900"/>
      </w:tblGrid>
      <w:tr w:rsidR="00EB2832" w:rsidRPr="00E82CC1" w14:paraId="5CD43E57" w14:textId="77777777" w:rsidTr="00CF64BE">
        <w:trPr>
          <w:trHeight w:val="20"/>
        </w:trPr>
        <w:tc>
          <w:tcPr>
            <w:tcW w:w="6941" w:type="dxa"/>
            <w:shd w:val="clear" w:color="auto" w:fill="auto"/>
            <w:vAlign w:val="center"/>
          </w:tcPr>
          <w:p w14:paraId="7D777D02"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p>
        </w:tc>
        <w:tc>
          <w:tcPr>
            <w:tcW w:w="764" w:type="dxa"/>
            <w:shd w:val="clear" w:color="auto" w:fill="auto"/>
            <w:noWrap/>
            <w:vAlign w:val="center"/>
          </w:tcPr>
          <w:p w14:paraId="6C039EEC"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p>
        </w:tc>
        <w:tc>
          <w:tcPr>
            <w:tcW w:w="2164" w:type="dxa"/>
            <w:gridSpan w:val="2"/>
            <w:shd w:val="clear" w:color="auto" w:fill="auto"/>
            <w:noWrap/>
            <w:vAlign w:val="center"/>
          </w:tcPr>
          <w:p w14:paraId="61F4C4D6"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Plan</w:t>
            </w:r>
          </w:p>
        </w:tc>
        <w:tc>
          <w:tcPr>
            <w:tcW w:w="1082" w:type="dxa"/>
            <w:vMerge w:val="restart"/>
            <w:shd w:val="clear" w:color="auto" w:fill="auto"/>
            <w:noWrap/>
            <w:vAlign w:val="center"/>
          </w:tcPr>
          <w:p w14:paraId="06301E63"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xml:space="preserve">Executat  </w:t>
            </w:r>
          </w:p>
        </w:tc>
        <w:tc>
          <w:tcPr>
            <w:tcW w:w="1082" w:type="dxa"/>
            <w:vMerge w:val="restart"/>
            <w:shd w:val="clear" w:color="auto" w:fill="auto"/>
            <w:noWrap/>
            <w:vAlign w:val="center"/>
          </w:tcPr>
          <w:p w14:paraId="7F0A6ADE"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Efectiv</w:t>
            </w:r>
          </w:p>
        </w:tc>
        <w:tc>
          <w:tcPr>
            <w:tcW w:w="1891" w:type="dxa"/>
            <w:gridSpan w:val="2"/>
            <w:shd w:val="clear" w:color="auto" w:fill="auto"/>
            <w:noWrap/>
            <w:vAlign w:val="center"/>
          </w:tcPr>
          <w:p w14:paraId="4DB2BB9C"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Total</w:t>
            </w:r>
          </w:p>
        </w:tc>
      </w:tr>
      <w:tr w:rsidR="00EB2832" w:rsidRPr="00E82CC1" w14:paraId="00ED6DCF" w14:textId="77777777" w:rsidTr="00CF64BE">
        <w:trPr>
          <w:trHeight w:val="20"/>
        </w:trPr>
        <w:tc>
          <w:tcPr>
            <w:tcW w:w="6941" w:type="dxa"/>
            <w:shd w:val="clear" w:color="auto" w:fill="auto"/>
            <w:vAlign w:val="center"/>
          </w:tcPr>
          <w:p w14:paraId="5568744F"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Denumirea</w:t>
            </w:r>
          </w:p>
        </w:tc>
        <w:tc>
          <w:tcPr>
            <w:tcW w:w="764" w:type="dxa"/>
            <w:shd w:val="clear" w:color="auto" w:fill="auto"/>
            <w:noWrap/>
            <w:vAlign w:val="center"/>
          </w:tcPr>
          <w:p w14:paraId="2342D95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ECO</w:t>
            </w:r>
          </w:p>
        </w:tc>
        <w:tc>
          <w:tcPr>
            <w:tcW w:w="1082" w:type="dxa"/>
            <w:shd w:val="clear" w:color="auto" w:fill="auto"/>
            <w:noWrap/>
            <w:vAlign w:val="center"/>
          </w:tcPr>
          <w:p w14:paraId="56987B87"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xml:space="preserve">Aprobat </w:t>
            </w:r>
            <w:r w:rsidRPr="00E82CC1">
              <w:rPr>
                <w:rFonts w:asciiTheme="majorHAnsi" w:eastAsia="Times New Roman" w:hAnsiTheme="majorHAnsi" w:cstheme="majorHAnsi"/>
                <w:b/>
                <w:bCs/>
                <w:sz w:val="18"/>
                <w:szCs w:val="18"/>
                <w:lang w:val="ro-RO"/>
              </w:rPr>
              <w:br/>
              <w:t xml:space="preserve">pe an </w:t>
            </w:r>
          </w:p>
        </w:tc>
        <w:tc>
          <w:tcPr>
            <w:tcW w:w="1082" w:type="dxa"/>
            <w:shd w:val="clear" w:color="auto" w:fill="auto"/>
            <w:noWrap/>
            <w:vAlign w:val="center"/>
          </w:tcPr>
          <w:p w14:paraId="32C7C83B"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Precizat</w:t>
            </w:r>
            <w:r w:rsidRPr="00E82CC1">
              <w:rPr>
                <w:rFonts w:asciiTheme="majorHAnsi" w:eastAsia="Times New Roman" w:hAnsiTheme="majorHAnsi" w:cstheme="majorHAnsi"/>
                <w:b/>
                <w:bCs/>
                <w:sz w:val="18"/>
                <w:szCs w:val="18"/>
                <w:lang w:val="ro-RO"/>
              </w:rPr>
              <w:br/>
              <w:t xml:space="preserve">pe an </w:t>
            </w:r>
          </w:p>
        </w:tc>
        <w:tc>
          <w:tcPr>
            <w:tcW w:w="1082" w:type="dxa"/>
            <w:vMerge/>
            <w:shd w:val="clear" w:color="auto" w:fill="auto"/>
            <w:noWrap/>
            <w:vAlign w:val="center"/>
          </w:tcPr>
          <w:p w14:paraId="35593F46"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p>
        </w:tc>
        <w:tc>
          <w:tcPr>
            <w:tcW w:w="1082" w:type="dxa"/>
            <w:vMerge/>
            <w:shd w:val="clear" w:color="auto" w:fill="auto"/>
            <w:noWrap/>
            <w:vAlign w:val="center"/>
          </w:tcPr>
          <w:p w14:paraId="3BDD30FA"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p>
        </w:tc>
        <w:tc>
          <w:tcPr>
            <w:tcW w:w="991" w:type="dxa"/>
            <w:shd w:val="clear" w:color="auto" w:fill="auto"/>
            <w:noWrap/>
            <w:vAlign w:val="center"/>
          </w:tcPr>
          <w:p w14:paraId="2FACCAC7"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xml:space="preserve"> Creanţe</w:t>
            </w:r>
          </w:p>
        </w:tc>
        <w:tc>
          <w:tcPr>
            <w:tcW w:w="900" w:type="dxa"/>
            <w:shd w:val="clear" w:color="auto" w:fill="auto"/>
            <w:noWrap/>
            <w:vAlign w:val="center"/>
          </w:tcPr>
          <w:p w14:paraId="12EBF39C"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xml:space="preserve"> Datorii</w:t>
            </w:r>
          </w:p>
        </w:tc>
      </w:tr>
      <w:tr w:rsidR="00EB2832" w:rsidRPr="00E82CC1" w14:paraId="1F32A1C6" w14:textId="77777777" w:rsidTr="00CF64BE">
        <w:trPr>
          <w:trHeight w:val="20"/>
        </w:trPr>
        <w:tc>
          <w:tcPr>
            <w:tcW w:w="6941" w:type="dxa"/>
            <w:shd w:val="clear" w:color="auto" w:fill="auto"/>
            <w:vAlign w:val="center"/>
            <w:hideMark/>
          </w:tcPr>
          <w:p w14:paraId="2F9A5247"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p>
        </w:tc>
        <w:tc>
          <w:tcPr>
            <w:tcW w:w="764" w:type="dxa"/>
            <w:shd w:val="clear" w:color="auto" w:fill="auto"/>
            <w:noWrap/>
            <w:vAlign w:val="center"/>
            <w:hideMark/>
          </w:tcPr>
          <w:p w14:paraId="4E532A7C"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w:t>
            </w:r>
          </w:p>
        </w:tc>
        <w:tc>
          <w:tcPr>
            <w:tcW w:w="1082" w:type="dxa"/>
            <w:shd w:val="clear" w:color="auto" w:fill="auto"/>
            <w:noWrap/>
            <w:vAlign w:val="center"/>
            <w:hideMark/>
          </w:tcPr>
          <w:p w14:paraId="6791C155"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w:t>
            </w:r>
          </w:p>
        </w:tc>
        <w:tc>
          <w:tcPr>
            <w:tcW w:w="1082" w:type="dxa"/>
            <w:shd w:val="clear" w:color="auto" w:fill="auto"/>
            <w:noWrap/>
            <w:vAlign w:val="center"/>
            <w:hideMark/>
          </w:tcPr>
          <w:p w14:paraId="5DB2B9C9"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4</w:t>
            </w:r>
          </w:p>
        </w:tc>
        <w:tc>
          <w:tcPr>
            <w:tcW w:w="1082" w:type="dxa"/>
            <w:shd w:val="clear" w:color="auto" w:fill="auto"/>
            <w:noWrap/>
            <w:vAlign w:val="center"/>
            <w:hideMark/>
          </w:tcPr>
          <w:p w14:paraId="2C8E410B"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5</w:t>
            </w:r>
          </w:p>
        </w:tc>
        <w:tc>
          <w:tcPr>
            <w:tcW w:w="1082" w:type="dxa"/>
            <w:shd w:val="clear" w:color="auto" w:fill="auto"/>
            <w:noWrap/>
            <w:vAlign w:val="center"/>
            <w:hideMark/>
          </w:tcPr>
          <w:p w14:paraId="6862017C"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w:t>
            </w:r>
          </w:p>
        </w:tc>
        <w:tc>
          <w:tcPr>
            <w:tcW w:w="991" w:type="dxa"/>
            <w:shd w:val="clear" w:color="auto" w:fill="auto"/>
            <w:noWrap/>
            <w:vAlign w:val="center"/>
            <w:hideMark/>
          </w:tcPr>
          <w:p w14:paraId="12DFDE9F"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7</w:t>
            </w:r>
          </w:p>
        </w:tc>
        <w:tc>
          <w:tcPr>
            <w:tcW w:w="900" w:type="dxa"/>
            <w:shd w:val="clear" w:color="auto" w:fill="auto"/>
            <w:noWrap/>
            <w:vAlign w:val="center"/>
            <w:hideMark/>
          </w:tcPr>
          <w:p w14:paraId="316C34CE" w14:textId="77777777" w:rsidR="00EB2832" w:rsidRPr="00E82CC1" w:rsidRDefault="00EB2832" w:rsidP="00983329">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8</w:t>
            </w:r>
          </w:p>
        </w:tc>
      </w:tr>
      <w:tr w:rsidR="00EB2832" w:rsidRPr="00E82CC1" w14:paraId="170E716A" w14:textId="77777777" w:rsidTr="00CF64BE">
        <w:trPr>
          <w:trHeight w:val="20"/>
        </w:trPr>
        <w:tc>
          <w:tcPr>
            <w:tcW w:w="6941" w:type="dxa"/>
            <w:shd w:val="clear" w:color="auto" w:fill="auto"/>
            <w:vAlign w:val="center"/>
            <w:hideMark/>
          </w:tcPr>
          <w:p w14:paraId="7474E1B9"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I.  VENITURI</w:t>
            </w:r>
          </w:p>
        </w:tc>
        <w:tc>
          <w:tcPr>
            <w:tcW w:w="764" w:type="dxa"/>
            <w:shd w:val="clear" w:color="auto" w:fill="auto"/>
            <w:noWrap/>
            <w:vAlign w:val="center"/>
            <w:hideMark/>
          </w:tcPr>
          <w:p w14:paraId="43046A45"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p>
        </w:tc>
        <w:tc>
          <w:tcPr>
            <w:tcW w:w="1082" w:type="dxa"/>
            <w:shd w:val="clear" w:color="auto" w:fill="auto"/>
            <w:noWrap/>
            <w:vAlign w:val="center"/>
            <w:hideMark/>
          </w:tcPr>
          <w:p w14:paraId="1B6DC0D8"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25791984,4</w:t>
            </w:r>
          </w:p>
        </w:tc>
        <w:tc>
          <w:tcPr>
            <w:tcW w:w="1082" w:type="dxa"/>
            <w:shd w:val="clear" w:color="auto" w:fill="auto"/>
            <w:noWrap/>
            <w:vAlign w:val="center"/>
            <w:hideMark/>
          </w:tcPr>
          <w:p w14:paraId="5C8BE7E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27629046,7</w:t>
            </w:r>
          </w:p>
        </w:tc>
        <w:tc>
          <w:tcPr>
            <w:tcW w:w="1082" w:type="dxa"/>
            <w:shd w:val="clear" w:color="auto" w:fill="auto"/>
            <w:noWrap/>
            <w:vAlign w:val="center"/>
            <w:hideMark/>
          </w:tcPr>
          <w:p w14:paraId="7E4C3CB1"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27246848,9</w:t>
            </w:r>
          </w:p>
        </w:tc>
        <w:tc>
          <w:tcPr>
            <w:tcW w:w="1082" w:type="dxa"/>
            <w:shd w:val="clear" w:color="auto" w:fill="auto"/>
            <w:noWrap/>
            <w:vAlign w:val="center"/>
            <w:hideMark/>
          </w:tcPr>
          <w:p w14:paraId="4DC13FD8"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16753129,9</w:t>
            </w:r>
          </w:p>
        </w:tc>
        <w:tc>
          <w:tcPr>
            <w:tcW w:w="991" w:type="dxa"/>
            <w:shd w:val="clear" w:color="auto" w:fill="auto"/>
            <w:noWrap/>
            <w:vAlign w:val="center"/>
            <w:hideMark/>
          </w:tcPr>
          <w:p w14:paraId="09BB30E4"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1943436,5</w:t>
            </w:r>
          </w:p>
        </w:tc>
        <w:tc>
          <w:tcPr>
            <w:tcW w:w="900" w:type="dxa"/>
            <w:shd w:val="clear" w:color="auto" w:fill="auto"/>
            <w:noWrap/>
            <w:vAlign w:val="center"/>
            <w:hideMark/>
          </w:tcPr>
          <w:p w14:paraId="6D4F521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148897,0</w:t>
            </w:r>
          </w:p>
        </w:tc>
      </w:tr>
      <w:tr w:rsidR="00EB2832" w:rsidRPr="00E82CC1" w14:paraId="216613F1" w14:textId="77777777" w:rsidTr="00CF64BE">
        <w:trPr>
          <w:trHeight w:val="20"/>
        </w:trPr>
        <w:tc>
          <w:tcPr>
            <w:tcW w:w="6941" w:type="dxa"/>
            <w:shd w:val="clear" w:color="auto" w:fill="auto"/>
            <w:vAlign w:val="bottom"/>
            <w:hideMark/>
          </w:tcPr>
          <w:p w14:paraId="2021B69E"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CONTRIBUŢII ŞI PRIME DE ASIGURĂRI OBLIGATORII</w:t>
            </w:r>
          </w:p>
        </w:tc>
        <w:tc>
          <w:tcPr>
            <w:tcW w:w="764" w:type="dxa"/>
            <w:shd w:val="clear" w:color="auto" w:fill="auto"/>
            <w:noWrap/>
            <w:vAlign w:val="center"/>
            <w:hideMark/>
          </w:tcPr>
          <w:p w14:paraId="48678D5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12</w:t>
            </w:r>
          </w:p>
        </w:tc>
        <w:tc>
          <w:tcPr>
            <w:tcW w:w="1082" w:type="dxa"/>
            <w:shd w:val="clear" w:color="auto" w:fill="auto"/>
            <w:noWrap/>
            <w:vAlign w:val="center"/>
            <w:hideMark/>
          </w:tcPr>
          <w:p w14:paraId="47A5F01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15080098,0</w:t>
            </w:r>
          </w:p>
        </w:tc>
        <w:tc>
          <w:tcPr>
            <w:tcW w:w="1082" w:type="dxa"/>
            <w:shd w:val="clear" w:color="auto" w:fill="auto"/>
            <w:noWrap/>
            <w:vAlign w:val="center"/>
            <w:hideMark/>
          </w:tcPr>
          <w:p w14:paraId="43F85FA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16284875,5</w:t>
            </w:r>
          </w:p>
        </w:tc>
        <w:tc>
          <w:tcPr>
            <w:tcW w:w="1082" w:type="dxa"/>
            <w:shd w:val="clear" w:color="auto" w:fill="auto"/>
            <w:noWrap/>
            <w:vAlign w:val="center"/>
            <w:hideMark/>
          </w:tcPr>
          <w:p w14:paraId="2A7A2D1C"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16223881,5</w:t>
            </w:r>
          </w:p>
        </w:tc>
        <w:tc>
          <w:tcPr>
            <w:tcW w:w="1082" w:type="dxa"/>
            <w:shd w:val="clear" w:color="auto" w:fill="auto"/>
            <w:noWrap/>
            <w:vAlign w:val="center"/>
            <w:hideMark/>
          </w:tcPr>
          <w:p w14:paraId="2C2161CA"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16439138,4</w:t>
            </w:r>
          </w:p>
        </w:tc>
        <w:tc>
          <w:tcPr>
            <w:tcW w:w="991" w:type="dxa"/>
            <w:shd w:val="clear" w:color="auto" w:fill="auto"/>
            <w:noWrap/>
            <w:vAlign w:val="center"/>
            <w:hideMark/>
          </w:tcPr>
          <w:p w14:paraId="17B15B5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1877934,2</w:t>
            </w:r>
          </w:p>
        </w:tc>
        <w:tc>
          <w:tcPr>
            <w:tcW w:w="900" w:type="dxa"/>
            <w:shd w:val="clear" w:color="auto" w:fill="auto"/>
            <w:noWrap/>
            <w:vAlign w:val="center"/>
            <w:hideMark/>
          </w:tcPr>
          <w:p w14:paraId="0A0949E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141905,6</w:t>
            </w:r>
          </w:p>
        </w:tc>
      </w:tr>
      <w:tr w:rsidR="00EB2832" w:rsidRPr="00E82CC1" w14:paraId="741289A0" w14:textId="77777777" w:rsidTr="00CF64BE">
        <w:trPr>
          <w:trHeight w:val="20"/>
        </w:trPr>
        <w:tc>
          <w:tcPr>
            <w:tcW w:w="6941" w:type="dxa"/>
            <w:shd w:val="clear" w:color="auto" w:fill="auto"/>
            <w:vAlign w:val="bottom"/>
            <w:hideMark/>
          </w:tcPr>
          <w:p w14:paraId="6417CE47"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CONTRIBUŢII DE ASIGURĂRI SOCIALE DE STAT OBLIGATORII</w:t>
            </w:r>
          </w:p>
        </w:tc>
        <w:tc>
          <w:tcPr>
            <w:tcW w:w="764" w:type="dxa"/>
            <w:shd w:val="clear" w:color="auto" w:fill="auto"/>
            <w:noWrap/>
            <w:vAlign w:val="center"/>
            <w:hideMark/>
          </w:tcPr>
          <w:p w14:paraId="00516FC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121</w:t>
            </w:r>
          </w:p>
        </w:tc>
        <w:tc>
          <w:tcPr>
            <w:tcW w:w="1082" w:type="dxa"/>
            <w:shd w:val="clear" w:color="auto" w:fill="auto"/>
            <w:noWrap/>
            <w:vAlign w:val="center"/>
            <w:hideMark/>
          </w:tcPr>
          <w:p w14:paraId="4F3B0EE5"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15080098,0</w:t>
            </w:r>
          </w:p>
        </w:tc>
        <w:tc>
          <w:tcPr>
            <w:tcW w:w="1082" w:type="dxa"/>
            <w:shd w:val="clear" w:color="000000" w:fill="FFFFFF"/>
            <w:noWrap/>
            <w:vAlign w:val="center"/>
            <w:hideMark/>
          </w:tcPr>
          <w:p w14:paraId="27B757F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16284875,5</w:t>
            </w:r>
          </w:p>
        </w:tc>
        <w:tc>
          <w:tcPr>
            <w:tcW w:w="1082" w:type="dxa"/>
            <w:shd w:val="clear" w:color="000000" w:fill="FFFFFF"/>
            <w:noWrap/>
            <w:vAlign w:val="center"/>
            <w:hideMark/>
          </w:tcPr>
          <w:p w14:paraId="3FB64864"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16223881,5</w:t>
            </w:r>
          </w:p>
        </w:tc>
        <w:tc>
          <w:tcPr>
            <w:tcW w:w="1082" w:type="dxa"/>
            <w:shd w:val="clear" w:color="000000" w:fill="FFFFFF"/>
            <w:noWrap/>
            <w:vAlign w:val="center"/>
            <w:hideMark/>
          </w:tcPr>
          <w:p w14:paraId="4F03FDDE"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16439138,4</w:t>
            </w:r>
          </w:p>
        </w:tc>
        <w:tc>
          <w:tcPr>
            <w:tcW w:w="991" w:type="dxa"/>
            <w:shd w:val="clear" w:color="000000" w:fill="FFFFFF"/>
            <w:noWrap/>
            <w:vAlign w:val="center"/>
            <w:hideMark/>
          </w:tcPr>
          <w:p w14:paraId="672F09C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1877934,2</w:t>
            </w:r>
          </w:p>
        </w:tc>
        <w:tc>
          <w:tcPr>
            <w:tcW w:w="900" w:type="dxa"/>
            <w:shd w:val="clear" w:color="000000" w:fill="FFFFFF"/>
            <w:noWrap/>
            <w:vAlign w:val="center"/>
            <w:hideMark/>
          </w:tcPr>
          <w:p w14:paraId="1298341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141905,6</w:t>
            </w:r>
          </w:p>
        </w:tc>
      </w:tr>
      <w:tr w:rsidR="00EB2832" w:rsidRPr="00E82CC1" w14:paraId="13F82AFE" w14:textId="77777777" w:rsidTr="00CF64BE">
        <w:trPr>
          <w:trHeight w:val="20"/>
        </w:trPr>
        <w:tc>
          <w:tcPr>
            <w:tcW w:w="6941" w:type="dxa"/>
            <w:shd w:val="clear" w:color="auto" w:fill="auto"/>
            <w:vAlign w:val="bottom"/>
            <w:hideMark/>
          </w:tcPr>
          <w:p w14:paraId="0636BF55"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Contribuţii de asigurări sociale de stat obligatorii virate de angajatori</w:t>
            </w:r>
          </w:p>
        </w:tc>
        <w:tc>
          <w:tcPr>
            <w:tcW w:w="764" w:type="dxa"/>
            <w:shd w:val="clear" w:color="auto" w:fill="auto"/>
            <w:noWrap/>
            <w:vAlign w:val="center"/>
            <w:hideMark/>
          </w:tcPr>
          <w:p w14:paraId="7D56CB42"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121100</w:t>
            </w:r>
          </w:p>
        </w:tc>
        <w:tc>
          <w:tcPr>
            <w:tcW w:w="1082" w:type="dxa"/>
            <w:shd w:val="clear" w:color="auto" w:fill="auto"/>
            <w:noWrap/>
            <w:vAlign w:val="center"/>
            <w:hideMark/>
          </w:tcPr>
          <w:p w14:paraId="05C0A9B4"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14921484,7</w:t>
            </w:r>
          </w:p>
        </w:tc>
        <w:tc>
          <w:tcPr>
            <w:tcW w:w="1082" w:type="dxa"/>
            <w:shd w:val="clear" w:color="000000" w:fill="FFFFFF"/>
            <w:noWrap/>
            <w:vAlign w:val="center"/>
            <w:hideMark/>
          </w:tcPr>
          <w:p w14:paraId="4B3B024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16082472,1</w:t>
            </w:r>
          </w:p>
        </w:tc>
        <w:tc>
          <w:tcPr>
            <w:tcW w:w="1082" w:type="dxa"/>
            <w:shd w:val="clear" w:color="auto" w:fill="auto"/>
            <w:noWrap/>
            <w:vAlign w:val="center"/>
            <w:hideMark/>
          </w:tcPr>
          <w:p w14:paraId="31D35E39"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16017699,7</w:t>
            </w:r>
          </w:p>
        </w:tc>
        <w:tc>
          <w:tcPr>
            <w:tcW w:w="1082" w:type="dxa"/>
            <w:shd w:val="clear" w:color="auto" w:fill="auto"/>
            <w:noWrap/>
            <w:vAlign w:val="center"/>
            <w:hideMark/>
          </w:tcPr>
          <w:p w14:paraId="14D270EC"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16196572,2</w:t>
            </w:r>
          </w:p>
        </w:tc>
        <w:tc>
          <w:tcPr>
            <w:tcW w:w="991" w:type="dxa"/>
            <w:shd w:val="clear" w:color="auto" w:fill="auto"/>
            <w:noWrap/>
            <w:vAlign w:val="center"/>
            <w:hideMark/>
          </w:tcPr>
          <w:p w14:paraId="6842DAC2"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1518348,1</w:t>
            </w:r>
          </w:p>
        </w:tc>
        <w:tc>
          <w:tcPr>
            <w:tcW w:w="900" w:type="dxa"/>
            <w:shd w:val="clear" w:color="auto" w:fill="auto"/>
            <w:noWrap/>
            <w:vAlign w:val="center"/>
            <w:hideMark/>
          </w:tcPr>
          <w:p w14:paraId="67CF3A3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107881,0</w:t>
            </w:r>
          </w:p>
        </w:tc>
      </w:tr>
      <w:tr w:rsidR="00EB2832" w:rsidRPr="00E82CC1" w14:paraId="6B5F438B" w14:textId="77777777" w:rsidTr="00CF64BE">
        <w:trPr>
          <w:trHeight w:val="20"/>
        </w:trPr>
        <w:tc>
          <w:tcPr>
            <w:tcW w:w="6941" w:type="dxa"/>
            <w:shd w:val="clear" w:color="auto" w:fill="auto"/>
            <w:vAlign w:val="bottom"/>
            <w:hideMark/>
          </w:tcPr>
          <w:p w14:paraId="329606CD" w14:textId="2C094A06" w:rsidR="00EB2832" w:rsidRPr="00E82CC1" w:rsidRDefault="00EB2832" w:rsidP="0015515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Contribuţii de asigur</w:t>
            </w:r>
            <w:r w:rsidR="00155159">
              <w:rPr>
                <w:rFonts w:asciiTheme="majorHAnsi" w:eastAsia="Times New Roman" w:hAnsiTheme="majorHAnsi" w:cstheme="majorHAnsi"/>
                <w:sz w:val="18"/>
                <w:szCs w:val="18"/>
                <w:lang w:val="ro-RO"/>
              </w:rPr>
              <w:t>ă</w:t>
            </w:r>
            <w:r w:rsidRPr="00E82CC1">
              <w:rPr>
                <w:rFonts w:asciiTheme="majorHAnsi" w:eastAsia="Times New Roman" w:hAnsiTheme="majorHAnsi" w:cstheme="majorHAnsi"/>
                <w:sz w:val="18"/>
                <w:szCs w:val="18"/>
                <w:lang w:val="ro-RO"/>
              </w:rPr>
              <w:t>ri sociale de stat obligatorii, virate de persoanele fizice ce îşi desfăşoară activitate pe cont propriu</w:t>
            </w:r>
          </w:p>
        </w:tc>
        <w:tc>
          <w:tcPr>
            <w:tcW w:w="764" w:type="dxa"/>
            <w:shd w:val="clear" w:color="auto" w:fill="auto"/>
            <w:vAlign w:val="center"/>
            <w:hideMark/>
          </w:tcPr>
          <w:p w14:paraId="408FA69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121310</w:t>
            </w:r>
          </w:p>
        </w:tc>
        <w:tc>
          <w:tcPr>
            <w:tcW w:w="1082" w:type="dxa"/>
            <w:shd w:val="clear" w:color="auto" w:fill="auto"/>
            <w:vAlign w:val="center"/>
            <w:hideMark/>
          </w:tcPr>
          <w:p w14:paraId="61F79B1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110292,8</w:t>
            </w:r>
          </w:p>
        </w:tc>
        <w:tc>
          <w:tcPr>
            <w:tcW w:w="1082" w:type="dxa"/>
            <w:shd w:val="clear" w:color="000000" w:fill="FFFFFF"/>
            <w:vAlign w:val="center"/>
            <w:hideMark/>
          </w:tcPr>
          <w:p w14:paraId="7305BB3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116783,5</w:t>
            </w:r>
          </w:p>
        </w:tc>
        <w:tc>
          <w:tcPr>
            <w:tcW w:w="1082" w:type="dxa"/>
            <w:shd w:val="clear" w:color="auto" w:fill="auto"/>
            <w:vAlign w:val="center"/>
            <w:hideMark/>
          </w:tcPr>
          <w:p w14:paraId="3DEB079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118639,2</w:t>
            </w:r>
          </w:p>
        </w:tc>
        <w:tc>
          <w:tcPr>
            <w:tcW w:w="1082" w:type="dxa"/>
            <w:shd w:val="clear" w:color="auto" w:fill="auto"/>
            <w:vAlign w:val="center"/>
            <w:hideMark/>
          </w:tcPr>
          <w:p w14:paraId="7C8FF084"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117929,1</w:t>
            </w:r>
          </w:p>
        </w:tc>
        <w:tc>
          <w:tcPr>
            <w:tcW w:w="991" w:type="dxa"/>
            <w:shd w:val="clear" w:color="auto" w:fill="auto"/>
            <w:noWrap/>
            <w:vAlign w:val="center"/>
            <w:hideMark/>
          </w:tcPr>
          <w:p w14:paraId="390AFA0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21555,8</w:t>
            </w:r>
          </w:p>
        </w:tc>
        <w:tc>
          <w:tcPr>
            <w:tcW w:w="900" w:type="dxa"/>
            <w:shd w:val="clear" w:color="auto" w:fill="auto"/>
            <w:noWrap/>
            <w:vAlign w:val="center"/>
            <w:hideMark/>
          </w:tcPr>
          <w:p w14:paraId="7526C4F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17064,2</w:t>
            </w:r>
          </w:p>
        </w:tc>
      </w:tr>
      <w:tr w:rsidR="00EB2832" w:rsidRPr="00E82CC1" w14:paraId="7222FA27" w14:textId="77777777" w:rsidTr="00CF64BE">
        <w:trPr>
          <w:trHeight w:val="20"/>
        </w:trPr>
        <w:tc>
          <w:tcPr>
            <w:tcW w:w="6941" w:type="dxa"/>
            <w:shd w:val="clear" w:color="auto" w:fill="auto"/>
            <w:vAlign w:val="bottom"/>
            <w:hideMark/>
          </w:tcPr>
          <w:p w14:paraId="40AF299A"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Contribuţii de asigurări sociale de stat individuale virate de persoanele fizice care au încheiat contract individual</w:t>
            </w:r>
          </w:p>
        </w:tc>
        <w:tc>
          <w:tcPr>
            <w:tcW w:w="764" w:type="dxa"/>
            <w:shd w:val="clear" w:color="auto" w:fill="auto"/>
            <w:noWrap/>
            <w:vAlign w:val="center"/>
            <w:hideMark/>
          </w:tcPr>
          <w:p w14:paraId="1ADBC766"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121320</w:t>
            </w:r>
          </w:p>
        </w:tc>
        <w:tc>
          <w:tcPr>
            <w:tcW w:w="1082" w:type="dxa"/>
            <w:shd w:val="clear" w:color="auto" w:fill="auto"/>
            <w:noWrap/>
            <w:vAlign w:val="center"/>
            <w:hideMark/>
          </w:tcPr>
          <w:p w14:paraId="7C7D4E5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3037,8</w:t>
            </w:r>
          </w:p>
        </w:tc>
        <w:tc>
          <w:tcPr>
            <w:tcW w:w="1082" w:type="dxa"/>
            <w:shd w:val="clear" w:color="000000" w:fill="FFFFFF"/>
            <w:noWrap/>
            <w:vAlign w:val="center"/>
            <w:hideMark/>
          </w:tcPr>
          <w:p w14:paraId="6E33924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4267,2</w:t>
            </w:r>
          </w:p>
        </w:tc>
        <w:tc>
          <w:tcPr>
            <w:tcW w:w="1082" w:type="dxa"/>
            <w:shd w:val="clear" w:color="auto" w:fill="auto"/>
            <w:noWrap/>
            <w:vAlign w:val="center"/>
            <w:hideMark/>
          </w:tcPr>
          <w:p w14:paraId="4B80C2C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5553,4</w:t>
            </w:r>
          </w:p>
        </w:tc>
        <w:tc>
          <w:tcPr>
            <w:tcW w:w="1082" w:type="dxa"/>
            <w:shd w:val="clear" w:color="auto" w:fill="auto"/>
            <w:noWrap/>
            <w:vAlign w:val="center"/>
            <w:hideMark/>
          </w:tcPr>
          <w:p w14:paraId="25BD43A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5481,6</w:t>
            </w:r>
          </w:p>
        </w:tc>
        <w:tc>
          <w:tcPr>
            <w:tcW w:w="991" w:type="dxa"/>
            <w:shd w:val="clear" w:color="auto" w:fill="auto"/>
            <w:noWrap/>
            <w:vAlign w:val="center"/>
            <w:hideMark/>
          </w:tcPr>
          <w:p w14:paraId="68D94511"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202,4</w:t>
            </w:r>
          </w:p>
        </w:tc>
        <w:tc>
          <w:tcPr>
            <w:tcW w:w="900" w:type="dxa"/>
            <w:shd w:val="clear" w:color="auto" w:fill="auto"/>
            <w:noWrap/>
            <w:vAlign w:val="center"/>
            <w:hideMark/>
          </w:tcPr>
          <w:p w14:paraId="723B907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1593,1</w:t>
            </w:r>
          </w:p>
        </w:tc>
      </w:tr>
      <w:tr w:rsidR="00EB2832" w:rsidRPr="00E82CC1" w14:paraId="3B5BA18C" w14:textId="77777777" w:rsidTr="00CF64BE">
        <w:trPr>
          <w:trHeight w:val="20"/>
        </w:trPr>
        <w:tc>
          <w:tcPr>
            <w:tcW w:w="6941" w:type="dxa"/>
            <w:shd w:val="clear" w:color="auto" w:fill="auto"/>
            <w:vAlign w:val="bottom"/>
            <w:hideMark/>
          </w:tcPr>
          <w:p w14:paraId="42E395FD"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Contribuţii  de asigurări sociale de stat obligatorii, virate de titularii de patentă de întreprinzător</w:t>
            </w:r>
          </w:p>
        </w:tc>
        <w:tc>
          <w:tcPr>
            <w:tcW w:w="764" w:type="dxa"/>
            <w:shd w:val="clear" w:color="auto" w:fill="auto"/>
            <w:vAlign w:val="center"/>
            <w:hideMark/>
          </w:tcPr>
          <w:p w14:paraId="2FFDF37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121330</w:t>
            </w:r>
          </w:p>
        </w:tc>
        <w:tc>
          <w:tcPr>
            <w:tcW w:w="1082" w:type="dxa"/>
            <w:shd w:val="clear" w:color="auto" w:fill="auto"/>
            <w:vAlign w:val="center"/>
            <w:hideMark/>
          </w:tcPr>
          <w:p w14:paraId="3C70D21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45282,7</w:t>
            </w:r>
          </w:p>
        </w:tc>
        <w:tc>
          <w:tcPr>
            <w:tcW w:w="1082" w:type="dxa"/>
            <w:shd w:val="clear" w:color="000000" w:fill="FFFFFF"/>
            <w:vAlign w:val="center"/>
            <w:hideMark/>
          </w:tcPr>
          <w:p w14:paraId="4F37FA31"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45282,7</w:t>
            </w:r>
          </w:p>
        </w:tc>
        <w:tc>
          <w:tcPr>
            <w:tcW w:w="1082" w:type="dxa"/>
            <w:shd w:val="clear" w:color="auto" w:fill="auto"/>
            <w:vAlign w:val="center"/>
            <w:hideMark/>
          </w:tcPr>
          <w:p w14:paraId="31861B1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41093,6</w:t>
            </w:r>
          </w:p>
        </w:tc>
        <w:tc>
          <w:tcPr>
            <w:tcW w:w="1082" w:type="dxa"/>
            <w:shd w:val="clear" w:color="auto" w:fill="auto"/>
            <w:vAlign w:val="center"/>
            <w:hideMark/>
          </w:tcPr>
          <w:p w14:paraId="00CA33C6"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40473,5</w:t>
            </w:r>
          </w:p>
        </w:tc>
        <w:tc>
          <w:tcPr>
            <w:tcW w:w="991" w:type="dxa"/>
            <w:shd w:val="clear" w:color="auto" w:fill="auto"/>
            <w:noWrap/>
            <w:vAlign w:val="center"/>
            <w:hideMark/>
          </w:tcPr>
          <w:p w14:paraId="6830F46A"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2940,6</w:t>
            </w:r>
          </w:p>
        </w:tc>
        <w:tc>
          <w:tcPr>
            <w:tcW w:w="900" w:type="dxa"/>
            <w:shd w:val="clear" w:color="auto" w:fill="auto"/>
            <w:noWrap/>
            <w:vAlign w:val="center"/>
            <w:hideMark/>
          </w:tcPr>
          <w:p w14:paraId="391D7D45"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12216,3</w:t>
            </w:r>
          </w:p>
        </w:tc>
      </w:tr>
      <w:tr w:rsidR="00EB2832" w:rsidRPr="00E82CC1" w14:paraId="780C1D56" w14:textId="77777777" w:rsidTr="00CF64BE">
        <w:trPr>
          <w:trHeight w:val="20"/>
        </w:trPr>
        <w:tc>
          <w:tcPr>
            <w:tcW w:w="6941" w:type="dxa"/>
            <w:shd w:val="clear" w:color="auto" w:fill="auto"/>
            <w:vAlign w:val="bottom"/>
            <w:hideMark/>
          </w:tcPr>
          <w:p w14:paraId="45515DC3"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Contribuţii de asigurări sociale de stat obligatorii, virate de persoanele fizice, proprietarii de terenuri agricole</w:t>
            </w:r>
          </w:p>
        </w:tc>
        <w:tc>
          <w:tcPr>
            <w:tcW w:w="764" w:type="dxa"/>
            <w:shd w:val="clear" w:color="auto" w:fill="auto"/>
            <w:vAlign w:val="center"/>
            <w:hideMark/>
          </w:tcPr>
          <w:p w14:paraId="5D86DCE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121340</w:t>
            </w:r>
          </w:p>
        </w:tc>
        <w:tc>
          <w:tcPr>
            <w:tcW w:w="1082" w:type="dxa"/>
            <w:shd w:val="clear" w:color="auto" w:fill="auto"/>
            <w:vAlign w:val="center"/>
            <w:hideMark/>
          </w:tcPr>
          <w:p w14:paraId="19D471D1"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000000" w:fill="FFFFFF"/>
            <w:vAlign w:val="center"/>
            <w:hideMark/>
          </w:tcPr>
          <w:p w14:paraId="061F1CB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auto" w:fill="auto"/>
            <w:vAlign w:val="center"/>
            <w:hideMark/>
          </w:tcPr>
          <w:p w14:paraId="729E793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115,4</w:t>
            </w:r>
          </w:p>
        </w:tc>
        <w:tc>
          <w:tcPr>
            <w:tcW w:w="1082" w:type="dxa"/>
            <w:shd w:val="clear" w:color="auto" w:fill="auto"/>
            <w:vAlign w:val="center"/>
            <w:hideMark/>
          </w:tcPr>
          <w:p w14:paraId="449E1FA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3,9</w:t>
            </w:r>
          </w:p>
        </w:tc>
        <w:tc>
          <w:tcPr>
            <w:tcW w:w="991" w:type="dxa"/>
            <w:shd w:val="clear" w:color="auto" w:fill="auto"/>
            <w:noWrap/>
            <w:vAlign w:val="center"/>
            <w:hideMark/>
          </w:tcPr>
          <w:p w14:paraId="01314BAC"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4,1</w:t>
            </w:r>
          </w:p>
        </w:tc>
        <w:tc>
          <w:tcPr>
            <w:tcW w:w="900" w:type="dxa"/>
            <w:shd w:val="clear" w:color="auto" w:fill="auto"/>
            <w:noWrap/>
            <w:vAlign w:val="center"/>
            <w:hideMark/>
          </w:tcPr>
          <w:p w14:paraId="5B30BE94"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839,7</w:t>
            </w:r>
          </w:p>
        </w:tc>
      </w:tr>
      <w:tr w:rsidR="00EB2832" w:rsidRPr="00E82CC1" w14:paraId="05E0C144" w14:textId="77777777" w:rsidTr="00CF64BE">
        <w:trPr>
          <w:trHeight w:val="20"/>
        </w:trPr>
        <w:tc>
          <w:tcPr>
            <w:tcW w:w="6941" w:type="dxa"/>
            <w:shd w:val="clear" w:color="auto" w:fill="auto"/>
            <w:vAlign w:val="bottom"/>
            <w:hideMark/>
          </w:tcPr>
          <w:p w14:paraId="03CE754A" w14:textId="7B699979"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Majorarea de înt</w:t>
            </w:r>
            <w:r w:rsidR="00155159">
              <w:rPr>
                <w:rFonts w:asciiTheme="majorHAnsi" w:eastAsia="Times New Roman" w:hAnsiTheme="majorHAnsi" w:cstheme="majorHAnsi"/>
                <w:sz w:val="18"/>
                <w:szCs w:val="18"/>
                <w:lang w:val="ro-RO"/>
              </w:rPr>
              <w:t>â</w:t>
            </w:r>
            <w:r w:rsidRPr="00E82CC1">
              <w:rPr>
                <w:rFonts w:asciiTheme="majorHAnsi" w:eastAsia="Times New Roman" w:hAnsiTheme="majorHAnsi" w:cstheme="majorHAnsi"/>
                <w:sz w:val="18"/>
                <w:szCs w:val="18"/>
                <w:lang w:val="ro-RO"/>
              </w:rPr>
              <w:t>rziere (penalitatea)calculată pentru neachitarea în termen a contribuţiilor de asigurări sociale de stat obligatorii</w:t>
            </w:r>
          </w:p>
        </w:tc>
        <w:tc>
          <w:tcPr>
            <w:tcW w:w="764" w:type="dxa"/>
            <w:shd w:val="clear" w:color="auto" w:fill="auto"/>
            <w:vAlign w:val="center"/>
            <w:hideMark/>
          </w:tcPr>
          <w:p w14:paraId="227653E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121410</w:t>
            </w:r>
          </w:p>
        </w:tc>
        <w:tc>
          <w:tcPr>
            <w:tcW w:w="1082" w:type="dxa"/>
            <w:shd w:val="clear" w:color="auto" w:fill="auto"/>
            <w:vAlign w:val="center"/>
            <w:hideMark/>
          </w:tcPr>
          <w:p w14:paraId="307D8B5A"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000000" w:fill="FFFFFF"/>
            <w:vAlign w:val="center"/>
            <w:hideMark/>
          </w:tcPr>
          <w:p w14:paraId="5B57CBA4"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36070,0</w:t>
            </w:r>
          </w:p>
        </w:tc>
        <w:tc>
          <w:tcPr>
            <w:tcW w:w="1082" w:type="dxa"/>
            <w:shd w:val="clear" w:color="auto" w:fill="auto"/>
            <w:vAlign w:val="center"/>
            <w:hideMark/>
          </w:tcPr>
          <w:p w14:paraId="522C4B8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40780,2</w:t>
            </w:r>
          </w:p>
        </w:tc>
        <w:tc>
          <w:tcPr>
            <w:tcW w:w="1082" w:type="dxa"/>
            <w:shd w:val="clear" w:color="auto" w:fill="auto"/>
            <w:vAlign w:val="center"/>
            <w:hideMark/>
          </w:tcPr>
          <w:p w14:paraId="0859C0E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78678,1</w:t>
            </w:r>
          </w:p>
        </w:tc>
        <w:tc>
          <w:tcPr>
            <w:tcW w:w="991" w:type="dxa"/>
            <w:shd w:val="clear" w:color="auto" w:fill="auto"/>
            <w:noWrap/>
            <w:vAlign w:val="center"/>
            <w:hideMark/>
          </w:tcPr>
          <w:p w14:paraId="76491482"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334883,2</w:t>
            </w:r>
          </w:p>
        </w:tc>
        <w:tc>
          <w:tcPr>
            <w:tcW w:w="900" w:type="dxa"/>
            <w:shd w:val="clear" w:color="auto" w:fill="auto"/>
            <w:noWrap/>
            <w:vAlign w:val="center"/>
            <w:hideMark/>
          </w:tcPr>
          <w:p w14:paraId="6CA4B5D6"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2311,3</w:t>
            </w:r>
          </w:p>
        </w:tc>
      </w:tr>
      <w:tr w:rsidR="00EB2832" w:rsidRPr="00E82CC1" w14:paraId="3BC76A71" w14:textId="77777777" w:rsidTr="00CF64BE">
        <w:trPr>
          <w:trHeight w:val="20"/>
        </w:trPr>
        <w:tc>
          <w:tcPr>
            <w:tcW w:w="6941" w:type="dxa"/>
            <w:shd w:val="clear" w:color="auto" w:fill="auto"/>
            <w:vAlign w:val="bottom"/>
            <w:hideMark/>
          </w:tcPr>
          <w:p w14:paraId="1A62FE2F"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ALTE VENITURI</w:t>
            </w:r>
          </w:p>
        </w:tc>
        <w:tc>
          <w:tcPr>
            <w:tcW w:w="764" w:type="dxa"/>
            <w:shd w:val="clear" w:color="auto" w:fill="auto"/>
            <w:noWrap/>
            <w:vAlign w:val="center"/>
            <w:hideMark/>
          </w:tcPr>
          <w:p w14:paraId="62BE188E"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w:t>
            </w:r>
          </w:p>
        </w:tc>
        <w:tc>
          <w:tcPr>
            <w:tcW w:w="1082" w:type="dxa"/>
            <w:shd w:val="clear" w:color="auto" w:fill="auto"/>
            <w:noWrap/>
            <w:vAlign w:val="center"/>
            <w:hideMark/>
          </w:tcPr>
          <w:p w14:paraId="31C0E45E"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257300,0</w:t>
            </w:r>
          </w:p>
        </w:tc>
        <w:tc>
          <w:tcPr>
            <w:tcW w:w="1082" w:type="dxa"/>
            <w:shd w:val="clear" w:color="000000" w:fill="FFFFFF"/>
            <w:noWrap/>
            <w:vAlign w:val="center"/>
            <w:hideMark/>
          </w:tcPr>
          <w:p w14:paraId="5005A96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276204,4</w:t>
            </w:r>
          </w:p>
        </w:tc>
        <w:tc>
          <w:tcPr>
            <w:tcW w:w="1082" w:type="dxa"/>
            <w:shd w:val="clear" w:color="000000" w:fill="FFFFFF"/>
            <w:noWrap/>
            <w:vAlign w:val="center"/>
            <w:hideMark/>
          </w:tcPr>
          <w:p w14:paraId="0440207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298281,5</w:t>
            </w:r>
          </w:p>
        </w:tc>
        <w:tc>
          <w:tcPr>
            <w:tcW w:w="1082" w:type="dxa"/>
            <w:shd w:val="clear" w:color="000000" w:fill="FFFFFF"/>
            <w:noWrap/>
            <w:vAlign w:val="center"/>
            <w:hideMark/>
          </w:tcPr>
          <w:p w14:paraId="2B2B605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313991,5</w:t>
            </w:r>
          </w:p>
        </w:tc>
        <w:tc>
          <w:tcPr>
            <w:tcW w:w="991" w:type="dxa"/>
            <w:shd w:val="clear" w:color="000000" w:fill="FFFFFF"/>
            <w:noWrap/>
            <w:vAlign w:val="center"/>
            <w:hideMark/>
          </w:tcPr>
          <w:p w14:paraId="3A1B7F8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65502,3</w:t>
            </w:r>
          </w:p>
        </w:tc>
        <w:tc>
          <w:tcPr>
            <w:tcW w:w="900" w:type="dxa"/>
            <w:shd w:val="clear" w:color="000000" w:fill="FFFFFF"/>
            <w:noWrap/>
            <w:vAlign w:val="center"/>
            <w:hideMark/>
          </w:tcPr>
          <w:p w14:paraId="4BF97341"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6991,4</w:t>
            </w:r>
          </w:p>
        </w:tc>
      </w:tr>
      <w:tr w:rsidR="00EB2832" w:rsidRPr="00E82CC1" w14:paraId="398C9330" w14:textId="77777777" w:rsidTr="00CF64BE">
        <w:trPr>
          <w:trHeight w:val="20"/>
        </w:trPr>
        <w:tc>
          <w:tcPr>
            <w:tcW w:w="6941" w:type="dxa"/>
            <w:shd w:val="clear" w:color="auto" w:fill="auto"/>
            <w:vAlign w:val="bottom"/>
            <w:hideMark/>
          </w:tcPr>
          <w:p w14:paraId="6C4B451E"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VENITURI DIN PROPRIETATE</w:t>
            </w:r>
          </w:p>
        </w:tc>
        <w:tc>
          <w:tcPr>
            <w:tcW w:w="764" w:type="dxa"/>
            <w:shd w:val="clear" w:color="auto" w:fill="auto"/>
            <w:noWrap/>
            <w:vAlign w:val="center"/>
            <w:hideMark/>
          </w:tcPr>
          <w:p w14:paraId="1EA7887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141</w:t>
            </w:r>
          </w:p>
        </w:tc>
        <w:tc>
          <w:tcPr>
            <w:tcW w:w="1082" w:type="dxa"/>
            <w:shd w:val="clear" w:color="auto" w:fill="auto"/>
            <w:noWrap/>
            <w:vAlign w:val="center"/>
            <w:hideMark/>
          </w:tcPr>
          <w:p w14:paraId="1C2AD46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3000,0</w:t>
            </w:r>
          </w:p>
        </w:tc>
        <w:tc>
          <w:tcPr>
            <w:tcW w:w="1082" w:type="dxa"/>
            <w:shd w:val="clear" w:color="000000" w:fill="FFFFFF"/>
            <w:noWrap/>
            <w:vAlign w:val="center"/>
            <w:hideMark/>
          </w:tcPr>
          <w:p w14:paraId="32229250"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3000,0</w:t>
            </w:r>
          </w:p>
        </w:tc>
        <w:tc>
          <w:tcPr>
            <w:tcW w:w="1082" w:type="dxa"/>
            <w:shd w:val="clear" w:color="000000" w:fill="FFFFFF"/>
            <w:noWrap/>
            <w:vAlign w:val="center"/>
            <w:hideMark/>
          </w:tcPr>
          <w:p w14:paraId="7353D150"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2426,3</w:t>
            </w:r>
          </w:p>
        </w:tc>
        <w:tc>
          <w:tcPr>
            <w:tcW w:w="1082" w:type="dxa"/>
            <w:shd w:val="clear" w:color="000000" w:fill="FFFFFF"/>
            <w:noWrap/>
            <w:vAlign w:val="center"/>
            <w:hideMark/>
          </w:tcPr>
          <w:p w14:paraId="7191EA7D"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2426,3</w:t>
            </w:r>
          </w:p>
        </w:tc>
        <w:tc>
          <w:tcPr>
            <w:tcW w:w="991" w:type="dxa"/>
            <w:shd w:val="clear" w:color="000000" w:fill="FFFFFF"/>
            <w:noWrap/>
            <w:vAlign w:val="center"/>
            <w:hideMark/>
          </w:tcPr>
          <w:p w14:paraId="05DDA424"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0,0</w:t>
            </w:r>
          </w:p>
        </w:tc>
        <w:tc>
          <w:tcPr>
            <w:tcW w:w="900" w:type="dxa"/>
            <w:shd w:val="clear" w:color="000000" w:fill="FFFFFF"/>
            <w:noWrap/>
            <w:vAlign w:val="center"/>
            <w:hideMark/>
          </w:tcPr>
          <w:p w14:paraId="22EEADC1"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0,0</w:t>
            </w:r>
          </w:p>
        </w:tc>
      </w:tr>
      <w:tr w:rsidR="00EB2832" w:rsidRPr="00E82CC1" w14:paraId="29FF9A79" w14:textId="77777777" w:rsidTr="00CF64BE">
        <w:trPr>
          <w:trHeight w:val="20"/>
        </w:trPr>
        <w:tc>
          <w:tcPr>
            <w:tcW w:w="6941" w:type="dxa"/>
            <w:shd w:val="clear" w:color="auto" w:fill="auto"/>
            <w:vAlign w:val="bottom"/>
            <w:hideMark/>
          </w:tcPr>
          <w:p w14:paraId="60F77C9D" w14:textId="1D31BA3C" w:rsidR="00EB2832" w:rsidRPr="00E82CC1" w:rsidRDefault="00EB2832" w:rsidP="0015515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Dob</w:t>
            </w:r>
            <w:r w:rsidR="00155159">
              <w:rPr>
                <w:rFonts w:asciiTheme="majorHAnsi" w:eastAsia="Times New Roman" w:hAnsiTheme="majorHAnsi" w:cstheme="majorHAnsi"/>
                <w:sz w:val="18"/>
                <w:szCs w:val="18"/>
                <w:lang w:val="ro-RO"/>
              </w:rPr>
              <w:t>â</w:t>
            </w:r>
            <w:r w:rsidRPr="00E82CC1">
              <w:rPr>
                <w:rFonts w:asciiTheme="majorHAnsi" w:eastAsia="Times New Roman" w:hAnsiTheme="majorHAnsi" w:cstheme="majorHAnsi"/>
                <w:sz w:val="18"/>
                <w:szCs w:val="18"/>
                <w:lang w:val="ro-RO"/>
              </w:rPr>
              <w:t>nzi încasate la soldurile mijloacelor băneşti la conturile bancare ale bugetului asigurărilor sociale de stat</w:t>
            </w:r>
          </w:p>
        </w:tc>
        <w:tc>
          <w:tcPr>
            <w:tcW w:w="764" w:type="dxa"/>
            <w:shd w:val="clear" w:color="auto" w:fill="auto"/>
            <w:noWrap/>
            <w:vAlign w:val="center"/>
            <w:hideMark/>
          </w:tcPr>
          <w:p w14:paraId="11748D9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141115</w:t>
            </w:r>
          </w:p>
        </w:tc>
        <w:tc>
          <w:tcPr>
            <w:tcW w:w="1082" w:type="dxa"/>
            <w:shd w:val="clear" w:color="auto" w:fill="auto"/>
            <w:noWrap/>
            <w:vAlign w:val="center"/>
            <w:hideMark/>
          </w:tcPr>
          <w:p w14:paraId="3F69C68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3000,0</w:t>
            </w:r>
          </w:p>
        </w:tc>
        <w:tc>
          <w:tcPr>
            <w:tcW w:w="1082" w:type="dxa"/>
            <w:shd w:val="clear" w:color="000000" w:fill="FFFFFF"/>
            <w:noWrap/>
            <w:vAlign w:val="center"/>
            <w:hideMark/>
          </w:tcPr>
          <w:p w14:paraId="57F22AF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3000,0</w:t>
            </w:r>
          </w:p>
        </w:tc>
        <w:tc>
          <w:tcPr>
            <w:tcW w:w="1082" w:type="dxa"/>
            <w:shd w:val="clear" w:color="auto" w:fill="auto"/>
            <w:noWrap/>
            <w:vAlign w:val="center"/>
            <w:hideMark/>
          </w:tcPr>
          <w:p w14:paraId="0067449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2426,3</w:t>
            </w:r>
          </w:p>
        </w:tc>
        <w:tc>
          <w:tcPr>
            <w:tcW w:w="1082" w:type="dxa"/>
            <w:shd w:val="clear" w:color="auto" w:fill="auto"/>
            <w:noWrap/>
            <w:vAlign w:val="center"/>
            <w:hideMark/>
          </w:tcPr>
          <w:p w14:paraId="14BEF5D4"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2426,3</w:t>
            </w:r>
          </w:p>
        </w:tc>
        <w:tc>
          <w:tcPr>
            <w:tcW w:w="991" w:type="dxa"/>
            <w:shd w:val="clear" w:color="auto" w:fill="auto"/>
            <w:noWrap/>
            <w:vAlign w:val="center"/>
            <w:hideMark/>
          </w:tcPr>
          <w:p w14:paraId="7CE9767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900" w:type="dxa"/>
            <w:shd w:val="clear" w:color="auto" w:fill="auto"/>
            <w:noWrap/>
            <w:vAlign w:val="center"/>
            <w:hideMark/>
          </w:tcPr>
          <w:p w14:paraId="2373BBF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r>
      <w:tr w:rsidR="00EB2832" w:rsidRPr="00E82CC1" w14:paraId="1E2BD265" w14:textId="77777777" w:rsidTr="00CF64BE">
        <w:trPr>
          <w:trHeight w:val="20"/>
        </w:trPr>
        <w:tc>
          <w:tcPr>
            <w:tcW w:w="6941" w:type="dxa"/>
            <w:shd w:val="clear" w:color="auto" w:fill="auto"/>
            <w:vAlign w:val="bottom"/>
            <w:hideMark/>
          </w:tcPr>
          <w:p w14:paraId="4DD5EB53" w14:textId="17C24C44" w:rsidR="00EB2832" w:rsidRPr="00E82CC1" w:rsidRDefault="00EB2832" w:rsidP="0015515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VENITURI DIN V</w:t>
            </w:r>
            <w:r w:rsidR="00155159">
              <w:rPr>
                <w:rFonts w:asciiTheme="majorHAnsi" w:eastAsia="Times New Roman" w:hAnsiTheme="majorHAnsi" w:cstheme="majorHAnsi"/>
                <w:b/>
                <w:bCs/>
                <w:sz w:val="18"/>
                <w:szCs w:val="18"/>
                <w:lang w:val="ro-RO"/>
              </w:rPr>
              <w:t>Â</w:t>
            </w:r>
            <w:r w:rsidRPr="00E82CC1">
              <w:rPr>
                <w:rFonts w:asciiTheme="majorHAnsi" w:eastAsia="Times New Roman" w:hAnsiTheme="majorHAnsi" w:cstheme="majorHAnsi"/>
                <w:b/>
                <w:bCs/>
                <w:sz w:val="18"/>
                <w:szCs w:val="18"/>
                <w:lang w:val="ro-RO"/>
              </w:rPr>
              <w:t>NZAREA MĂRFURILOR ŞI SERVICIILOR</w:t>
            </w:r>
          </w:p>
        </w:tc>
        <w:tc>
          <w:tcPr>
            <w:tcW w:w="764" w:type="dxa"/>
            <w:shd w:val="clear" w:color="auto" w:fill="auto"/>
            <w:noWrap/>
            <w:vAlign w:val="center"/>
            <w:hideMark/>
          </w:tcPr>
          <w:p w14:paraId="22B1A10D"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142</w:t>
            </w:r>
          </w:p>
        </w:tc>
        <w:tc>
          <w:tcPr>
            <w:tcW w:w="1082" w:type="dxa"/>
            <w:shd w:val="clear" w:color="auto" w:fill="auto"/>
            <w:noWrap/>
            <w:vAlign w:val="center"/>
            <w:hideMark/>
          </w:tcPr>
          <w:p w14:paraId="137C37A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1082" w:type="dxa"/>
            <w:shd w:val="clear" w:color="000000" w:fill="FFFFFF"/>
            <w:noWrap/>
            <w:vAlign w:val="center"/>
            <w:hideMark/>
          </w:tcPr>
          <w:p w14:paraId="1F6FE9E5"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25,0</w:t>
            </w:r>
          </w:p>
        </w:tc>
        <w:tc>
          <w:tcPr>
            <w:tcW w:w="1082" w:type="dxa"/>
            <w:shd w:val="clear" w:color="000000" w:fill="FFFFFF"/>
            <w:noWrap/>
            <w:vAlign w:val="center"/>
            <w:hideMark/>
          </w:tcPr>
          <w:p w14:paraId="236CC312"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36,8</w:t>
            </w:r>
          </w:p>
        </w:tc>
        <w:tc>
          <w:tcPr>
            <w:tcW w:w="1082" w:type="dxa"/>
            <w:shd w:val="clear" w:color="000000" w:fill="FFFFFF"/>
            <w:noWrap/>
            <w:vAlign w:val="center"/>
            <w:hideMark/>
          </w:tcPr>
          <w:p w14:paraId="1E844AF4"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8110,6</w:t>
            </w:r>
          </w:p>
        </w:tc>
        <w:tc>
          <w:tcPr>
            <w:tcW w:w="991" w:type="dxa"/>
            <w:shd w:val="clear" w:color="000000" w:fill="FFFFFF"/>
            <w:noWrap/>
            <w:vAlign w:val="center"/>
            <w:hideMark/>
          </w:tcPr>
          <w:p w14:paraId="543C3C12"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9368,1</w:t>
            </w:r>
          </w:p>
        </w:tc>
        <w:tc>
          <w:tcPr>
            <w:tcW w:w="900" w:type="dxa"/>
            <w:shd w:val="clear" w:color="000000" w:fill="FFFFFF"/>
            <w:noWrap/>
            <w:vAlign w:val="center"/>
            <w:hideMark/>
          </w:tcPr>
          <w:p w14:paraId="25D958AE"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0,8</w:t>
            </w:r>
          </w:p>
        </w:tc>
      </w:tr>
      <w:tr w:rsidR="00EB2832" w:rsidRPr="00E82CC1" w14:paraId="1F14E198" w14:textId="77777777" w:rsidTr="00CF64BE">
        <w:trPr>
          <w:trHeight w:val="20"/>
        </w:trPr>
        <w:tc>
          <w:tcPr>
            <w:tcW w:w="6941" w:type="dxa"/>
            <w:shd w:val="clear" w:color="auto" w:fill="auto"/>
            <w:vAlign w:val="bottom"/>
            <w:hideMark/>
          </w:tcPr>
          <w:p w14:paraId="1233359A"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Mijloace încasate în bugetul asigurărilor sociale de stat conform documentelor executorii privind răspunderea subsidiară</w:t>
            </w:r>
          </w:p>
        </w:tc>
        <w:tc>
          <w:tcPr>
            <w:tcW w:w="764" w:type="dxa"/>
            <w:shd w:val="clear" w:color="auto" w:fill="auto"/>
            <w:noWrap/>
            <w:vAlign w:val="center"/>
            <w:hideMark/>
          </w:tcPr>
          <w:p w14:paraId="519BFE4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142237</w:t>
            </w:r>
          </w:p>
        </w:tc>
        <w:tc>
          <w:tcPr>
            <w:tcW w:w="1082" w:type="dxa"/>
            <w:shd w:val="clear" w:color="auto" w:fill="auto"/>
            <w:noWrap/>
            <w:vAlign w:val="center"/>
            <w:hideMark/>
          </w:tcPr>
          <w:p w14:paraId="6877DA5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1082" w:type="dxa"/>
            <w:shd w:val="clear" w:color="000000" w:fill="FFFFFF"/>
            <w:noWrap/>
            <w:vAlign w:val="center"/>
            <w:hideMark/>
          </w:tcPr>
          <w:p w14:paraId="59010E6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25,0</w:t>
            </w:r>
          </w:p>
        </w:tc>
        <w:tc>
          <w:tcPr>
            <w:tcW w:w="1082" w:type="dxa"/>
            <w:shd w:val="clear" w:color="auto" w:fill="auto"/>
            <w:noWrap/>
            <w:vAlign w:val="center"/>
            <w:hideMark/>
          </w:tcPr>
          <w:p w14:paraId="18937A5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36,8</w:t>
            </w:r>
          </w:p>
        </w:tc>
        <w:tc>
          <w:tcPr>
            <w:tcW w:w="1082" w:type="dxa"/>
            <w:shd w:val="clear" w:color="auto" w:fill="auto"/>
            <w:noWrap/>
            <w:vAlign w:val="center"/>
            <w:hideMark/>
          </w:tcPr>
          <w:p w14:paraId="6CC9100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8110,6</w:t>
            </w:r>
          </w:p>
        </w:tc>
        <w:tc>
          <w:tcPr>
            <w:tcW w:w="991" w:type="dxa"/>
            <w:shd w:val="clear" w:color="auto" w:fill="auto"/>
            <w:noWrap/>
            <w:vAlign w:val="center"/>
            <w:hideMark/>
          </w:tcPr>
          <w:p w14:paraId="7879C89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9368,1</w:t>
            </w:r>
          </w:p>
        </w:tc>
        <w:tc>
          <w:tcPr>
            <w:tcW w:w="900" w:type="dxa"/>
            <w:shd w:val="clear" w:color="auto" w:fill="auto"/>
            <w:noWrap/>
            <w:vAlign w:val="center"/>
            <w:hideMark/>
          </w:tcPr>
          <w:p w14:paraId="7312460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0,8</w:t>
            </w:r>
          </w:p>
        </w:tc>
      </w:tr>
      <w:tr w:rsidR="00EB2832" w:rsidRPr="00E82CC1" w14:paraId="078A9096" w14:textId="77777777" w:rsidTr="00CF64BE">
        <w:trPr>
          <w:trHeight w:val="20"/>
        </w:trPr>
        <w:tc>
          <w:tcPr>
            <w:tcW w:w="6941" w:type="dxa"/>
            <w:shd w:val="clear" w:color="auto" w:fill="auto"/>
            <w:vAlign w:val="bottom"/>
            <w:hideMark/>
          </w:tcPr>
          <w:p w14:paraId="7F1F4B79"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AMENZI ŞI SANCŢIUNI</w:t>
            </w:r>
          </w:p>
        </w:tc>
        <w:tc>
          <w:tcPr>
            <w:tcW w:w="764" w:type="dxa"/>
            <w:shd w:val="clear" w:color="auto" w:fill="auto"/>
            <w:noWrap/>
            <w:vAlign w:val="center"/>
            <w:hideMark/>
          </w:tcPr>
          <w:p w14:paraId="6E9F5731"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143</w:t>
            </w:r>
          </w:p>
        </w:tc>
        <w:tc>
          <w:tcPr>
            <w:tcW w:w="1082" w:type="dxa"/>
            <w:shd w:val="clear" w:color="auto" w:fill="auto"/>
            <w:noWrap/>
            <w:vAlign w:val="center"/>
            <w:hideMark/>
          </w:tcPr>
          <w:p w14:paraId="71E0E4EA"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2800,0</w:t>
            </w:r>
          </w:p>
        </w:tc>
        <w:tc>
          <w:tcPr>
            <w:tcW w:w="1082" w:type="dxa"/>
            <w:shd w:val="clear" w:color="000000" w:fill="FFFFFF"/>
            <w:noWrap/>
            <w:vAlign w:val="center"/>
            <w:hideMark/>
          </w:tcPr>
          <w:p w14:paraId="5BBAD76C"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2800,0</w:t>
            </w:r>
          </w:p>
        </w:tc>
        <w:tc>
          <w:tcPr>
            <w:tcW w:w="1082" w:type="dxa"/>
            <w:shd w:val="clear" w:color="auto" w:fill="auto"/>
            <w:noWrap/>
            <w:vAlign w:val="center"/>
            <w:hideMark/>
          </w:tcPr>
          <w:p w14:paraId="29E73229"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2060,6</w:t>
            </w:r>
          </w:p>
        </w:tc>
        <w:tc>
          <w:tcPr>
            <w:tcW w:w="1082" w:type="dxa"/>
            <w:shd w:val="clear" w:color="000000" w:fill="FFFFFF"/>
            <w:noWrap/>
            <w:vAlign w:val="center"/>
            <w:hideMark/>
          </w:tcPr>
          <w:p w14:paraId="257C264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4397,9</w:t>
            </w:r>
          </w:p>
        </w:tc>
        <w:tc>
          <w:tcPr>
            <w:tcW w:w="991" w:type="dxa"/>
            <w:shd w:val="clear" w:color="000000" w:fill="FFFFFF"/>
            <w:noWrap/>
            <w:vAlign w:val="center"/>
            <w:hideMark/>
          </w:tcPr>
          <w:p w14:paraId="26D4AA3D"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28016,2</w:t>
            </w:r>
          </w:p>
        </w:tc>
        <w:tc>
          <w:tcPr>
            <w:tcW w:w="900" w:type="dxa"/>
            <w:shd w:val="clear" w:color="000000" w:fill="FFFFFF"/>
            <w:noWrap/>
            <w:vAlign w:val="center"/>
            <w:hideMark/>
          </w:tcPr>
          <w:p w14:paraId="4793AE17"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611,2</w:t>
            </w:r>
          </w:p>
        </w:tc>
      </w:tr>
      <w:tr w:rsidR="00EB2832" w:rsidRPr="00E82CC1" w14:paraId="5E8CF25E" w14:textId="77777777" w:rsidTr="00CF64BE">
        <w:trPr>
          <w:trHeight w:val="20"/>
        </w:trPr>
        <w:tc>
          <w:tcPr>
            <w:tcW w:w="6941" w:type="dxa"/>
            <w:shd w:val="clear" w:color="auto" w:fill="auto"/>
            <w:hideMark/>
          </w:tcPr>
          <w:p w14:paraId="69D97101"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Amenzi şi sancţiuni contravenţionale încasate în bugetul asigurărilor sociale de stat </w:t>
            </w:r>
          </w:p>
        </w:tc>
        <w:tc>
          <w:tcPr>
            <w:tcW w:w="764" w:type="dxa"/>
            <w:shd w:val="clear" w:color="auto" w:fill="auto"/>
            <w:noWrap/>
            <w:vAlign w:val="center"/>
            <w:hideMark/>
          </w:tcPr>
          <w:p w14:paraId="55D11B2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143150</w:t>
            </w:r>
          </w:p>
        </w:tc>
        <w:tc>
          <w:tcPr>
            <w:tcW w:w="1082" w:type="dxa"/>
            <w:shd w:val="clear" w:color="auto" w:fill="auto"/>
            <w:noWrap/>
            <w:vAlign w:val="center"/>
            <w:hideMark/>
          </w:tcPr>
          <w:p w14:paraId="520AFD82"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000000" w:fill="FFFFFF"/>
            <w:noWrap/>
            <w:vAlign w:val="center"/>
            <w:hideMark/>
          </w:tcPr>
          <w:p w14:paraId="0AAC3E5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110,0</w:t>
            </w:r>
          </w:p>
        </w:tc>
        <w:tc>
          <w:tcPr>
            <w:tcW w:w="1082" w:type="dxa"/>
            <w:shd w:val="clear" w:color="auto" w:fill="auto"/>
            <w:noWrap/>
            <w:vAlign w:val="center"/>
            <w:hideMark/>
          </w:tcPr>
          <w:p w14:paraId="0CE16355"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90,6</w:t>
            </w:r>
          </w:p>
        </w:tc>
        <w:tc>
          <w:tcPr>
            <w:tcW w:w="1082" w:type="dxa"/>
            <w:shd w:val="clear" w:color="auto" w:fill="auto"/>
            <w:noWrap/>
            <w:vAlign w:val="center"/>
            <w:hideMark/>
          </w:tcPr>
          <w:p w14:paraId="3DAC7CC9"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991" w:type="dxa"/>
            <w:shd w:val="clear" w:color="auto" w:fill="auto"/>
            <w:noWrap/>
            <w:vAlign w:val="center"/>
            <w:hideMark/>
          </w:tcPr>
          <w:p w14:paraId="1D3BFAB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900" w:type="dxa"/>
            <w:shd w:val="clear" w:color="auto" w:fill="auto"/>
            <w:noWrap/>
            <w:vAlign w:val="center"/>
            <w:hideMark/>
          </w:tcPr>
          <w:p w14:paraId="210F2F0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r>
      <w:tr w:rsidR="00EB2832" w:rsidRPr="00E82CC1" w14:paraId="0A9B07EE" w14:textId="77777777" w:rsidTr="00CF64BE">
        <w:trPr>
          <w:trHeight w:val="20"/>
        </w:trPr>
        <w:tc>
          <w:tcPr>
            <w:tcW w:w="6941" w:type="dxa"/>
            <w:shd w:val="clear" w:color="auto" w:fill="auto"/>
            <w:vAlign w:val="bottom"/>
            <w:hideMark/>
          </w:tcPr>
          <w:p w14:paraId="603AE886"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Amenzi aferente plăţilor la bugetul asigurărilor sociale de stat </w:t>
            </w:r>
          </w:p>
        </w:tc>
        <w:tc>
          <w:tcPr>
            <w:tcW w:w="764" w:type="dxa"/>
            <w:shd w:val="clear" w:color="auto" w:fill="auto"/>
            <w:noWrap/>
            <w:vAlign w:val="center"/>
            <w:hideMark/>
          </w:tcPr>
          <w:p w14:paraId="4EF7377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143430</w:t>
            </w:r>
          </w:p>
        </w:tc>
        <w:tc>
          <w:tcPr>
            <w:tcW w:w="1082" w:type="dxa"/>
            <w:shd w:val="clear" w:color="auto" w:fill="auto"/>
            <w:noWrap/>
            <w:vAlign w:val="center"/>
            <w:hideMark/>
          </w:tcPr>
          <w:p w14:paraId="7D18BC4E"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2800,0</w:t>
            </w:r>
          </w:p>
        </w:tc>
        <w:tc>
          <w:tcPr>
            <w:tcW w:w="1082" w:type="dxa"/>
            <w:shd w:val="clear" w:color="000000" w:fill="FFFFFF"/>
            <w:noWrap/>
            <w:vAlign w:val="center"/>
            <w:hideMark/>
          </w:tcPr>
          <w:p w14:paraId="38FCECE1"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2690,0</w:t>
            </w:r>
          </w:p>
        </w:tc>
        <w:tc>
          <w:tcPr>
            <w:tcW w:w="1082" w:type="dxa"/>
            <w:shd w:val="clear" w:color="auto" w:fill="auto"/>
            <w:noWrap/>
            <w:vAlign w:val="center"/>
            <w:hideMark/>
          </w:tcPr>
          <w:p w14:paraId="5A1846FB"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1970,0</w:t>
            </w:r>
          </w:p>
        </w:tc>
        <w:tc>
          <w:tcPr>
            <w:tcW w:w="1082" w:type="dxa"/>
            <w:shd w:val="clear" w:color="auto" w:fill="auto"/>
            <w:noWrap/>
            <w:vAlign w:val="center"/>
            <w:hideMark/>
          </w:tcPr>
          <w:p w14:paraId="706803D1"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4397,9</w:t>
            </w:r>
          </w:p>
        </w:tc>
        <w:tc>
          <w:tcPr>
            <w:tcW w:w="991" w:type="dxa"/>
            <w:shd w:val="clear" w:color="auto" w:fill="auto"/>
            <w:noWrap/>
            <w:vAlign w:val="center"/>
            <w:hideMark/>
          </w:tcPr>
          <w:p w14:paraId="616753B2"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28016,2</w:t>
            </w:r>
          </w:p>
        </w:tc>
        <w:tc>
          <w:tcPr>
            <w:tcW w:w="900" w:type="dxa"/>
            <w:shd w:val="clear" w:color="auto" w:fill="auto"/>
            <w:noWrap/>
            <w:vAlign w:val="center"/>
            <w:hideMark/>
          </w:tcPr>
          <w:p w14:paraId="5402CDB9"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611,2</w:t>
            </w:r>
          </w:p>
        </w:tc>
      </w:tr>
      <w:tr w:rsidR="00EB2832" w:rsidRPr="00E82CC1" w14:paraId="73B0976F" w14:textId="77777777" w:rsidTr="00CF64BE">
        <w:trPr>
          <w:trHeight w:val="20"/>
        </w:trPr>
        <w:tc>
          <w:tcPr>
            <w:tcW w:w="6941" w:type="dxa"/>
            <w:shd w:val="clear" w:color="auto" w:fill="auto"/>
            <w:vAlign w:val="bottom"/>
            <w:hideMark/>
          </w:tcPr>
          <w:p w14:paraId="788BE124"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ALTE VENITURI ŞI VENITURI NEIDENTIFICATE</w:t>
            </w:r>
          </w:p>
        </w:tc>
        <w:tc>
          <w:tcPr>
            <w:tcW w:w="764" w:type="dxa"/>
            <w:shd w:val="clear" w:color="auto" w:fill="auto"/>
            <w:noWrap/>
            <w:vAlign w:val="center"/>
            <w:hideMark/>
          </w:tcPr>
          <w:p w14:paraId="29491E50"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145</w:t>
            </w:r>
          </w:p>
        </w:tc>
        <w:tc>
          <w:tcPr>
            <w:tcW w:w="1082" w:type="dxa"/>
            <w:shd w:val="clear" w:color="auto" w:fill="auto"/>
            <w:noWrap/>
            <w:vAlign w:val="center"/>
            <w:hideMark/>
          </w:tcPr>
          <w:p w14:paraId="751C9CD4"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251500,0</w:t>
            </w:r>
          </w:p>
        </w:tc>
        <w:tc>
          <w:tcPr>
            <w:tcW w:w="1082" w:type="dxa"/>
            <w:shd w:val="clear" w:color="000000" w:fill="FFFFFF"/>
            <w:noWrap/>
            <w:vAlign w:val="center"/>
            <w:hideMark/>
          </w:tcPr>
          <w:p w14:paraId="65B972F0"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270379,4</w:t>
            </w:r>
          </w:p>
        </w:tc>
        <w:tc>
          <w:tcPr>
            <w:tcW w:w="1082" w:type="dxa"/>
            <w:shd w:val="clear" w:color="000000" w:fill="FFFFFF"/>
            <w:noWrap/>
            <w:vAlign w:val="center"/>
            <w:hideMark/>
          </w:tcPr>
          <w:p w14:paraId="167B6032"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293757,8</w:t>
            </w:r>
          </w:p>
        </w:tc>
        <w:tc>
          <w:tcPr>
            <w:tcW w:w="1082" w:type="dxa"/>
            <w:shd w:val="clear" w:color="000000" w:fill="FFFFFF"/>
            <w:noWrap/>
            <w:vAlign w:val="center"/>
            <w:hideMark/>
          </w:tcPr>
          <w:p w14:paraId="16260D12"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299056,7</w:t>
            </w:r>
          </w:p>
        </w:tc>
        <w:tc>
          <w:tcPr>
            <w:tcW w:w="991" w:type="dxa"/>
            <w:shd w:val="clear" w:color="000000" w:fill="FFFFFF"/>
            <w:noWrap/>
            <w:vAlign w:val="center"/>
            <w:hideMark/>
          </w:tcPr>
          <w:p w14:paraId="4CD03A2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28118,0</w:t>
            </w:r>
          </w:p>
        </w:tc>
        <w:tc>
          <w:tcPr>
            <w:tcW w:w="900" w:type="dxa"/>
            <w:shd w:val="clear" w:color="000000" w:fill="FFFFFF"/>
            <w:noWrap/>
            <w:vAlign w:val="center"/>
            <w:hideMark/>
          </w:tcPr>
          <w:p w14:paraId="6B533F4F"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6379,4</w:t>
            </w:r>
          </w:p>
        </w:tc>
      </w:tr>
      <w:tr w:rsidR="00EB2832" w:rsidRPr="00E82CC1" w14:paraId="67706A80" w14:textId="77777777" w:rsidTr="00CF64BE">
        <w:trPr>
          <w:trHeight w:val="20"/>
        </w:trPr>
        <w:tc>
          <w:tcPr>
            <w:tcW w:w="6941" w:type="dxa"/>
            <w:shd w:val="clear" w:color="auto" w:fill="auto"/>
            <w:vAlign w:val="bottom"/>
            <w:hideMark/>
          </w:tcPr>
          <w:p w14:paraId="58AE6027" w14:textId="77777777"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Alte venituri încasate în bugetul asigurărilor sociale de stat </w:t>
            </w:r>
          </w:p>
        </w:tc>
        <w:tc>
          <w:tcPr>
            <w:tcW w:w="764" w:type="dxa"/>
            <w:shd w:val="clear" w:color="auto" w:fill="auto"/>
            <w:noWrap/>
            <w:vAlign w:val="center"/>
            <w:hideMark/>
          </w:tcPr>
          <w:p w14:paraId="34ABA87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145120</w:t>
            </w:r>
          </w:p>
        </w:tc>
        <w:tc>
          <w:tcPr>
            <w:tcW w:w="1082" w:type="dxa"/>
            <w:shd w:val="clear" w:color="auto" w:fill="auto"/>
            <w:noWrap/>
            <w:vAlign w:val="center"/>
            <w:hideMark/>
          </w:tcPr>
          <w:p w14:paraId="386B819A"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2800,0</w:t>
            </w:r>
          </w:p>
        </w:tc>
        <w:tc>
          <w:tcPr>
            <w:tcW w:w="1082" w:type="dxa"/>
            <w:shd w:val="clear" w:color="000000" w:fill="FFFFFF"/>
            <w:noWrap/>
            <w:vAlign w:val="center"/>
            <w:hideMark/>
          </w:tcPr>
          <w:p w14:paraId="0F57C1A5"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1900,0</w:t>
            </w:r>
          </w:p>
        </w:tc>
        <w:tc>
          <w:tcPr>
            <w:tcW w:w="1082" w:type="dxa"/>
            <w:shd w:val="clear" w:color="auto" w:fill="auto"/>
            <w:noWrap/>
            <w:vAlign w:val="center"/>
            <w:hideMark/>
          </w:tcPr>
          <w:p w14:paraId="34ACA27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1033,8</w:t>
            </w:r>
          </w:p>
        </w:tc>
        <w:tc>
          <w:tcPr>
            <w:tcW w:w="1082" w:type="dxa"/>
            <w:shd w:val="clear" w:color="auto" w:fill="auto"/>
            <w:noWrap/>
            <w:vAlign w:val="center"/>
            <w:hideMark/>
          </w:tcPr>
          <w:p w14:paraId="5DE1B30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935,3</w:t>
            </w:r>
          </w:p>
        </w:tc>
        <w:tc>
          <w:tcPr>
            <w:tcW w:w="991" w:type="dxa"/>
            <w:shd w:val="clear" w:color="auto" w:fill="auto"/>
            <w:noWrap/>
            <w:vAlign w:val="center"/>
            <w:hideMark/>
          </w:tcPr>
          <w:p w14:paraId="369E00CA"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50,4</w:t>
            </w:r>
          </w:p>
        </w:tc>
        <w:tc>
          <w:tcPr>
            <w:tcW w:w="900" w:type="dxa"/>
            <w:shd w:val="clear" w:color="auto" w:fill="auto"/>
            <w:noWrap/>
            <w:vAlign w:val="center"/>
            <w:hideMark/>
          </w:tcPr>
          <w:p w14:paraId="669118C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r>
      <w:tr w:rsidR="00EB2832" w:rsidRPr="00E82CC1" w14:paraId="4C644DB0" w14:textId="77777777" w:rsidTr="00CF64BE">
        <w:trPr>
          <w:trHeight w:val="20"/>
        </w:trPr>
        <w:tc>
          <w:tcPr>
            <w:tcW w:w="6941" w:type="dxa"/>
            <w:shd w:val="clear" w:color="auto" w:fill="auto"/>
            <w:vAlign w:val="bottom"/>
            <w:hideMark/>
          </w:tcPr>
          <w:p w14:paraId="5EB29307" w14:textId="63C0FAB5" w:rsidR="00EB2832" w:rsidRPr="00E82CC1" w:rsidRDefault="00EB2832" w:rsidP="0098332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Impozit unic perceput  de la rezidenţii parcurilor pen</w:t>
            </w:r>
            <w:r w:rsidR="00155159">
              <w:rPr>
                <w:rFonts w:asciiTheme="majorHAnsi" w:eastAsia="Times New Roman" w:hAnsiTheme="majorHAnsi" w:cstheme="majorHAnsi"/>
                <w:sz w:val="18"/>
                <w:szCs w:val="18"/>
                <w:lang w:val="ro-RO"/>
              </w:rPr>
              <w:t>t</w:t>
            </w:r>
            <w:r w:rsidRPr="00E82CC1">
              <w:rPr>
                <w:rFonts w:asciiTheme="majorHAnsi" w:eastAsia="Times New Roman" w:hAnsiTheme="majorHAnsi" w:cstheme="majorHAnsi"/>
                <w:sz w:val="18"/>
                <w:szCs w:val="18"/>
                <w:lang w:val="ro-RO"/>
              </w:rPr>
              <w:t>ru tehnologii informaţionale</w:t>
            </w:r>
          </w:p>
        </w:tc>
        <w:tc>
          <w:tcPr>
            <w:tcW w:w="764" w:type="dxa"/>
            <w:shd w:val="clear" w:color="auto" w:fill="auto"/>
            <w:noWrap/>
            <w:vAlign w:val="center"/>
            <w:hideMark/>
          </w:tcPr>
          <w:p w14:paraId="03BF6E4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145161</w:t>
            </w:r>
          </w:p>
        </w:tc>
        <w:tc>
          <w:tcPr>
            <w:tcW w:w="1082" w:type="dxa"/>
            <w:shd w:val="clear" w:color="auto" w:fill="auto"/>
            <w:noWrap/>
            <w:vAlign w:val="center"/>
            <w:hideMark/>
          </w:tcPr>
          <w:p w14:paraId="61F6617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248700,0</w:t>
            </w:r>
          </w:p>
        </w:tc>
        <w:tc>
          <w:tcPr>
            <w:tcW w:w="1082" w:type="dxa"/>
            <w:shd w:val="clear" w:color="000000" w:fill="FFFFFF"/>
            <w:noWrap/>
            <w:vAlign w:val="center"/>
            <w:hideMark/>
          </w:tcPr>
          <w:p w14:paraId="44073ED2"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268479,4</w:t>
            </w:r>
          </w:p>
        </w:tc>
        <w:tc>
          <w:tcPr>
            <w:tcW w:w="1082" w:type="dxa"/>
            <w:shd w:val="clear" w:color="auto" w:fill="auto"/>
            <w:noWrap/>
            <w:vAlign w:val="center"/>
            <w:hideMark/>
          </w:tcPr>
          <w:p w14:paraId="6501D787"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292724,0</w:t>
            </w:r>
          </w:p>
        </w:tc>
        <w:tc>
          <w:tcPr>
            <w:tcW w:w="1082" w:type="dxa"/>
            <w:shd w:val="clear" w:color="auto" w:fill="auto"/>
            <w:noWrap/>
            <w:vAlign w:val="center"/>
            <w:hideMark/>
          </w:tcPr>
          <w:p w14:paraId="12B63CB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298121,4</w:t>
            </w:r>
          </w:p>
        </w:tc>
        <w:tc>
          <w:tcPr>
            <w:tcW w:w="991" w:type="dxa"/>
            <w:shd w:val="clear" w:color="auto" w:fill="auto"/>
            <w:noWrap/>
            <w:vAlign w:val="center"/>
            <w:hideMark/>
          </w:tcPr>
          <w:p w14:paraId="74434CA8"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28067,6</w:t>
            </w:r>
          </w:p>
        </w:tc>
        <w:tc>
          <w:tcPr>
            <w:tcW w:w="900" w:type="dxa"/>
            <w:shd w:val="clear" w:color="auto" w:fill="auto"/>
            <w:noWrap/>
            <w:vAlign w:val="center"/>
            <w:hideMark/>
          </w:tcPr>
          <w:p w14:paraId="54E0BA9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6379,4</w:t>
            </w:r>
          </w:p>
        </w:tc>
      </w:tr>
      <w:tr w:rsidR="00EB2832" w:rsidRPr="00E82CC1" w14:paraId="0F5CFC40" w14:textId="77777777" w:rsidTr="00CF64BE">
        <w:trPr>
          <w:trHeight w:val="20"/>
        </w:trPr>
        <w:tc>
          <w:tcPr>
            <w:tcW w:w="6941" w:type="dxa"/>
            <w:shd w:val="clear" w:color="auto" w:fill="auto"/>
            <w:hideMark/>
          </w:tcPr>
          <w:p w14:paraId="3F05304E"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TRANSFERURI PRIMITE ÎN CADRUL BUGETULUI PUBLIC NAŢIONAL</w:t>
            </w:r>
          </w:p>
        </w:tc>
        <w:tc>
          <w:tcPr>
            <w:tcW w:w="764" w:type="dxa"/>
            <w:shd w:val="clear" w:color="auto" w:fill="auto"/>
            <w:noWrap/>
            <w:vAlign w:val="center"/>
            <w:hideMark/>
          </w:tcPr>
          <w:p w14:paraId="451AF23C"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19</w:t>
            </w:r>
          </w:p>
        </w:tc>
        <w:tc>
          <w:tcPr>
            <w:tcW w:w="1082" w:type="dxa"/>
            <w:shd w:val="clear" w:color="auto" w:fill="auto"/>
            <w:noWrap/>
            <w:vAlign w:val="center"/>
            <w:hideMark/>
          </w:tcPr>
          <w:p w14:paraId="35CBAFBB"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10454586,4</w:t>
            </w:r>
          </w:p>
        </w:tc>
        <w:tc>
          <w:tcPr>
            <w:tcW w:w="1082" w:type="dxa"/>
            <w:shd w:val="clear" w:color="000000" w:fill="FFFFFF"/>
            <w:noWrap/>
            <w:vAlign w:val="center"/>
            <w:hideMark/>
          </w:tcPr>
          <w:p w14:paraId="62215ACB"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11067966,8</w:t>
            </w:r>
          </w:p>
        </w:tc>
        <w:tc>
          <w:tcPr>
            <w:tcW w:w="1082" w:type="dxa"/>
            <w:shd w:val="clear" w:color="auto" w:fill="auto"/>
            <w:noWrap/>
            <w:vAlign w:val="center"/>
            <w:hideMark/>
          </w:tcPr>
          <w:p w14:paraId="34A510FD"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10724685,9</w:t>
            </w:r>
          </w:p>
        </w:tc>
        <w:tc>
          <w:tcPr>
            <w:tcW w:w="1082" w:type="dxa"/>
            <w:shd w:val="clear" w:color="auto" w:fill="auto"/>
            <w:noWrap/>
            <w:vAlign w:val="center"/>
            <w:hideMark/>
          </w:tcPr>
          <w:p w14:paraId="3B897B53"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c>
          <w:tcPr>
            <w:tcW w:w="991" w:type="dxa"/>
            <w:shd w:val="clear" w:color="auto" w:fill="auto"/>
            <w:noWrap/>
            <w:vAlign w:val="center"/>
            <w:hideMark/>
          </w:tcPr>
          <w:p w14:paraId="244CE896"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35837645"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r>
      <w:tr w:rsidR="00EB2832" w:rsidRPr="00E82CC1" w14:paraId="50FCBC8F" w14:textId="77777777" w:rsidTr="00CF64BE">
        <w:trPr>
          <w:trHeight w:val="20"/>
        </w:trPr>
        <w:tc>
          <w:tcPr>
            <w:tcW w:w="6941" w:type="dxa"/>
            <w:shd w:val="clear" w:color="auto" w:fill="auto"/>
            <w:vAlign w:val="bottom"/>
            <w:hideMark/>
          </w:tcPr>
          <w:p w14:paraId="7D45EC27" w14:textId="77777777" w:rsidR="00EB2832" w:rsidRPr="00E82CC1" w:rsidRDefault="00EB2832" w:rsidP="00983329">
            <w:pPr>
              <w:spacing w:after="0" w:line="240" w:lineRule="auto"/>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Transferuri primite în cadrul bugetului consolidat central</w:t>
            </w:r>
          </w:p>
        </w:tc>
        <w:tc>
          <w:tcPr>
            <w:tcW w:w="764" w:type="dxa"/>
            <w:shd w:val="clear" w:color="auto" w:fill="auto"/>
            <w:noWrap/>
            <w:vAlign w:val="center"/>
            <w:hideMark/>
          </w:tcPr>
          <w:p w14:paraId="7E818A40"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192</w:t>
            </w:r>
          </w:p>
        </w:tc>
        <w:tc>
          <w:tcPr>
            <w:tcW w:w="1082" w:type="dxa"/>
            <w:shd w:val="clear" w:color="auto" w:fill="auto"/>
            <w:noWrap/>
            <w:vAlign w:val="center"/>
            <w:hideMark/>
          </w:tcPr>
          <w:p w14:paraId="4AA1C3A4"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10454586,4</w:t>
            </w:r>
          </w:p>
        </w:tc>
        <w:tc>
          <w:tcPr>
            <w:tcW w:w="1082" w:type="dxa"/>
            <w:shd w:val="clear" w:color="000000" w:fill="FFFFFF"/>
            <w:noWrap/>
            <w:vAlign w:val="center"/>
            <w:hideMark/>
          </w:tcPr>
          <w:p w14:paraId="3ADB574D"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11067966,8</w:t>
            </w:r>
          </w:p>
        </w:tc>
        <w:tc>
          <w:tcPr>
            <w:tcW w:w="1082" w:type="dxa"/>
            <w:shd w:val="clear" w:color="auto" w:fill="auto"/>
            <w:noWrap/>
            <w:vAlign w:val="center"/>
            <w:hideMark/>
          </w:tcPr>
          <w:p w14:paraId="0BB0EDF5"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10724685,9</w:t>
            </w:r>
          </w:p>
        </w:tc>
        <w:tc>
          <w:tcPr>
            <w:tcW w:w="1082" w:type="dxa"/>
            <w:shd w:val="clear" w:color="auto" w:fill="auto"/>
            <w:noWrap/>
            <w:vAlign w:val="center"/>
            <w:hideMark/>
          </w:tcPr>
          <w:p w14:paraId="1DA58056"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c>
          <w:tcPr>
            <w:tcW w:w="991" w:type="dxa"/>
            <w:shd w:val="clear" w:color="auto" w:fill="auto"/>
            <w:noWrap/>
            <w:vAlign w:val="center"/>
            <w:hideMark/>
          </w:tcPr>
          <w:p w14:paraId="71391CC9"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3712380B" w14:textId="77777777" w:rsidR="00EB2832" w:rsidRPr="00E82CC1" w:rsidRDefault="00EB2832" w:rsidP="00983329">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r>
      <w:tr w:rsidR="00EB2832" w:rsidRPr="00E82CC1" w14:paraId="5B394DD5" w14:textId="77777777" w:rsidTr="00CF64BE">
        <w:trPr>
          <w:trHeight w:val="20"/>
        </w:trPr>
        <w:tc>
          <w:tcPr>
            <w:tcW w:w="6941" w:type="dxa"/>
            <w:shd w:val="clear" w:color="auto" w:fill="auto"/>
            <w:vAlign w:val="bottom"/>
            <w:hideMark/>
          </w:tcPr>
          <w:p w14:paraId="0ADAAD7E" w14:textId="57FED44C" w:rsidR="00EB2832" w:rsidRPr="00E82CC1" w:rsidRDefault="00EB2832" w:rsidP="0015515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Transferuri curente primite cu destinaţie special</w:t>
            </w:r>
            <w:r w:rsidR="00155159">
              <w:rPr>
                <w:rFonts w:asciiTheme="majorHAnsi" w:eastAsia="Times New Roman" w:hAnsiTheme="majorHAnsi" w:cstheme="majorHAnsi"/>
                <w:sz w:val="18"/>
                <w:szCs w:val="18"/>
                <w:lang w:val="ro-RO"/>
              </w:rPr>
              <w:t>ă</w:t>
            </w:r>
            <w:r w:rsidRPr="00E82CC1">
              <w:rPr>
                <w:rFonts w:asciiTheme="majorHAnsi" w:eastAsia="Times New Roman" w:hAnsiTheme="majorHAnsi" w:cstheme="majorHAnsi"/>
                <w:sz w:val="18"/>
                <w:szCs w:val="18"/>
                <w:lang w:val="ro-RO"/>
              </w:rPr>
              <w:t xml:space="preserve"> între bugetul de stat </w:t>
            </w:r>
            <w:r w:rsidR="00155159">
              <w:rPr>
                <w:rFonts w:asciiTheme="majorHAnsi" w:eastAsia="Times New Roman" w:hAnsiTheme="majorHAnsi" w:cstheme="majorHAnsi"/>
                <w:sz w:val="18"/>
                <w:szCs w:val="18"/>
                <w:lang w:val="ro-RO"/>
              </w:rPr>
              <w:t>ș</w:t>
            </w:r>
            <w:r w:rsidRPr="00E82CC1">
              <w:rPr>
                <w:rFonts w:asciiTheme="majorHAnsi" w:eastAsia="Times New Roman" w:hAnsiTheme="majorHAnsi" w:cstheme="majorHAnsi"/>
                <w:sz w:val="18"/>
                <w:szCs w:val="18"/>
                <w:lang w:val="ro-RO"/>
              </w:rPr>
              <w:t>i bugetul asigur</w:t>
            </w:r>
            <w:r w:rsidR="00155159">
              <w:rPr>
                <w:rFonts w:asciiTheme="majorHAnsi" w:eastAsia="Times New Roman" w:hAnsiTheme="majorHAnsi" w:cstheme="majorHAnsi"/>
                <w:sz w:val="18"/>
                <w:szCs w:val="18"/>
                <w:lang w:val="ro-RO"/>
              </w:rPr>
              <w:t>ă</w:t>
            </w:r>
            <w:r w:rsidRPr="00E82CC1">
              <w:rPr>
                <w:rFonts w:asciiTheme="majorHAnsi" w:eastAsia="Times New Roman" w:hAnsiTheme="majorHAnsi" w:cstheme="majorHAnsi"/>
                <w:sz w:val="18"/>
                <w:szCs w:val="18"/>
                <w:lang w:val="ro-RO"/>
              </w:rPr>
              <w:t>rilor sociale de stat</w:t>
            </w:r>
          </w:p>
        </w:tc>
        <w:tc>
          <w:tcPr>
            <w:tcW w:w="764" w:type="dxa"/>
            <w:shd w:val="clear" w:color="auto" w:fill="auto"/>
            <w:vAlign w:val="center"/>
            <w:hideMark/>
          </w:tcPr>
          <w:p w14:paraId="023E71B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192110</w:t>
            </w:r>
          </w:p>
        </w:tc>
        <w:tc>
          <w:tcPr>
            <w:tcW w:w="1082" w:type="dxa"/>
            <w:shd w:val="clear" w:color="auto" w:fill="auto"/>
            <w:vAlign w:val="center"/>
            <w:hideMark/>
          </w:tcPr>
          <w:p w14:paraId="309C98F9"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7263029,0</w:t>
            </w:r>
          </w:p>
        </w:tc>
        <w:tc>
          <w:tcPr>
            <w:tcW w:w="1082" w:type="dxa"/>
            <w:shd w:val="clear" w:color="000000" w:fill="FFFFFF"/>
            <w:vAlign w:val="center"/>
            <w:hideMark/>
          </w:tcPr>
          <w:p w14:paraId="02A5641A"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8227923,9</w:t>
            </w:r>
          </w:p>
        </w:tc>
        <w:tc>
          <w:tcPr>
            <w:tcW w:w="1082" w:type="dxa"/>
            <w:shd w:val="clear" w:color="auto" w:fill="auto"/>
            <w:vAlign w:val="center"/>
            <w:hideMark/>
          </w:tcPr>
          <w:p w14:paraId="1DFDE32F"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7884643,0</w:t>
            </w:r>
          </w:p>
        </w:tc>
        <w:tc>
          <w:tcPr>
            <w:tcW w:w="1082" w:type="dxa"/>
            <w:shd w:val="clear" w:color="auto" w:fill="auto"/>
            <w:vAlign w:val="center"/>
            <w:hideMark/>
          </w:tcPr>
          <w:p w14:paraId="30013C39"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91" w:type="dxa"/>
            <w:shd w:val="clear" w:color="auto" w:fill="auto"/>
            <w:noWrap/>
            <w:vAlign w:val="center"/>
            <w:hideMark/>
          </w:tcPr>
          <w:p w14:paraId="3A701F63"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7A70FA25"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r>
      <w:tr w:rsidR="00EB2832" w:rsidRPr="00E82CC1" w14:paraId="2C4AC437" w14:textId="77777777" w:rsidTr="00CF64BE">
        <w:trPr>
          <w:trHeight w:val="20"/>
        </w:trPr>
        <w:tc>
          <w:tcPr>
            <w:tcW w:w="6941" w:type="dxa"/>
            <w:shd w:val="clear" w:color="auto" w:fill="auto"/>
            <w:vAlign w:val="bottom"/>
            <w:hideMark/>
          </w:tcPr>
          <w:p w14:paraId="406BCFE7" w14:textId="751F0194" w:rsidR="00EB2832" w:rsidRPr="00E82CC1" w:rsidRDefault="00EB2832" w:rsidP="00155159">
            <w:pPr>
              <w:spacing w:after="0" w:line="240" w:lineRule="auto"/>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Transferuri curente primite cu destinaţie generală între bugetul de stat </w:t>
            </w:r>
            <w:r w:rsidR="00155159">
              <w:rPr>
                <w:rFonts w:asciiTheme="majorHAnsi" w:eastAsia="Times New Roman" w:hAnsiTheme="majorHAnsi" w:cstheme="majorHAnsi"/>
                <w:sz w:val="18"/>
                <w:szCs w:val="18"/>
                <w:lang w:val="ro-RO"/>
              </w:rPr>
              <w:t>ș</w:t>
            </w:r>
            <w:r w:rsidRPr="00E82CC1">
              <w:rPr>
                <w:rFonts w:asciiTheme="majorHAnsi" w:eastAsia="Times New Roman" w:hAnsiTheme="majorHAnsi" w:cstheme="majorHAnsi"/>
                <w:sz w:val="18"/>
                <w:szCs w:val="18"/>
                <w:lang w:val="ro-RO"/>
              </w:rPr>
              <w:t>i bugetul asigur</w:t>
            </w:r>
            <w:r w:rsidR="00155159">
              <w:rPr>
                <w:rFonts w:asciiTheme="majorHAnsi" w:eastAsia="Times New Roman" w:hAnsiTheme="majorHAnsi" w:cstheme="majorHAnsi"/>
                <w:sz w:val="18"/>
                <w:szCs w:val="18"/>
                <w:lang w:val="ro-RO"/>
              </w:rPr>
              <w:t>ă</w:t>
            </w:r>
            <w:r w:rsidRPr="00E82CC1">
              <w:rPr>
                <w:rFonts w:asciiTheme="majorHAnsi" w:eastAsia="Times New Roman" w:hAnsiTheme="majorHAnsi" w:cstheme="majorHAnsi"/>
                <w:sz w:val="18"/>
                <w:szCs w:val="18"/>
                <w:lang w:val="ro-RO"/>
              </w:rPr>
              <w:t>rilor sociale de stat</w:t>
            </w:r>
          </w:p>
        </w:tc>
        <w:tc>
          <w:tcPr>
            <w:tcW w:w="764" w:type="dxa"/>
            <w:shd w:val="clear" w:color="auto" w:fill="auto"/>
            <w:vAlign w:val="center"/>
            <w:hideMark/>
          </w:tcPr>
          <w:p w14:paraId="03139D8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192130</w:t>
            </w:r>
          </w:p>
        </w:tc>
        <w:tc>
          <w:tcPr>
            <w:tcW w:w="1082" w:type="dxa"/>
            <w:shd w:val="clear" w:color="auto" w:fill="auto"/>
            <w:vAlign w:val="center"/>
            <w:hideMark/>
          </w:tcPr>
          <w:p w14:paraId="228DDD0B"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3191557,4</w:t>
            </w:r>
          </w:p>
        </w:tc>
        <w:tc>
          <w:tcPr>
            <w:tcW w:w="1082" w:type="dxa"/>
            <w:shd w:val="clear" w:color="000000" w:fill="FFFFFF"/>
            <w:vAlign w:val="center"/>
            <w:hideMark/>
          </w:tcPr>
          <w:p w14:paraId="3765A28D"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2840042,9</w:t>
            </w:r>
          </w:p>
        </w:tc>
        <w:tc>
          <w:tcPr>
            <w:tcW w:w="1082" w:type="dxa"/>
            <w:shd w:val="clear" w:color="auto" w:fill="auto"/>
            <w:vAlign w:val="center"/>
            <w:hideMark/>
          </w:tcPr>
          <w:p w14:paraId="5119C48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2840042,9</w:t>
            </w:r>
          </w:p>
        </w:tc>
        <w:tc>
          <w:tcPr>
            <w:tcW w:w="1082" w:type="dxa"/>
            <w:shd w:val="clear" w:color="auto" w:fill="auto"/>
            <w:vAlign w:val="center"/>
            <w:hideMark/>
          </w:tcPr>
          <w:p w14:paraId="64945510"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91" w:type="dxa"/>
            <w:shd w:val="clear" w:color="auto" w:fill="auto"/>
            <w:noWrap/>
            <w:vAlign w:val="center"/>
            <w:hideMark/>
          </w:tcPr>
          <w:p w14:paraId="29903C9A"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1D71A81B" w14:textId="77777777" w:rsidR="00EB2832" w:rsidRPr="00E82CC1" w:rsidRDefault="00EB2832" w:rsidP="00983329">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r>
    </w:tbl>
    <w:p w14:paraId="4B56327E" w14:textId="2CD3C063" w:rsidR="00EB2832" w:rsidRPr="00E82CC1" w:rsidRDefault="00EB2832" w:rsidP="00EB2832">
      <w:pPr>
        <w:rPr>
          <w:rFonts w:ascii="Calibri Light" w:eastAsia="Calibri" w:hAnsi="Calibri Light" w:cs="Calibri Light"/>
          <w:i/>
          <w:szCs w:val="16"/>
          <w:lang w:val="ro-RO"/>
        </w:rPr>
      </w:pPr>
      <w:r w:rsidRPr="00E82CC1">
        <w:rPr>
          <w:rFonts w:ascii="Calibri Light" w:eastAsia="Calibri" w:hAnsi="Calibri Light" w:cs="Calibri Light"/>
          <w:b/>
          <w:bCs/>
          <w:i/>
          <w:szCs w:val="16"/>
          <w:lang w:val="ro-RO"/>
        </w:rPr>
        <w:t>Sursă:</w:t>
      </w:r>
      <w:r w:rsidRPr="00E82CC1">
        <w:rPr>
          <w:rFonts w:ascii="Calibri Light" w:eastAsia="Calibri" w:hAnsi="Calibri Light" w:cs="Calibri Light"/>
          <w:i/>
          <w:szCs w:val="16"/>
          <w:lang w:val="ro-RO"/>
        </w:rPr>
        <w:t xml:space="preserve"> Raportul privind executarea bugetului asigurărilor sociale de stat pentru anul 2021 (Formularul nr.4.2 CNAS).</w:t>
      </w:r>
    </w:p>
    <w:p w14:paraId="44DBF4AC" w14:textId="77777777" w:rsidR="0056175F" w:rsidRPr="00E82CC1" w:rsidRDefault="0056175F" w:rsidP="00B050E3">
      <w:pPr>
        <w:spacing w:after="0" w:line="240" w:lineRule="auto"/>
        <w:rPr>
          <w:rFonts w:ascii="Calibri Light" w:eastAsia="Times New Roman" w:hAnsi="Calibri Light" w:cs="Calibri Light"/>
          <w:b/>
          <w:bCs/>
          <w:color w:val="000000"/>
          <w:sz w:val="24"/>
          <w:szCs w:val="20"/>
          <w:lang w:val="ro-RO"/>
        </w:rPr>
        <w:sectPr w:rsidR="0056175F" w:rsidRPr="00E82CC1" w:rsidSect="00B050E3">
          <w:pgSz w:w="15840" w:h="12240" w:orient="landscape"/>
          <w:pgMar w:top="1135" w:right="1134" w:bottom="851" w:left="1134" w:header="709" w:footer="709" w:gutter="0"/>
          <w:cols w:space="708"/>
          <w:docGrid w:linePitch="360"/>
        </w:sectPr>
      </w:pPr>
    </w:p>
    <w:p w14:paraId="45464FB6" w14:textId="77777777" w:rsidR="00CD2A08" w:rsidRPr="00E82CC1" w:rsidRDefault="00CD2A08" w:rsidP="00CD2A08">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Anexa nr. 2</w:t>
      </w:r>
    </w:p>
    <w:p w14:paraId="73B4B954" w14:textId="77777777" w:rsidR="00155159" w:rsidRDefault="00CD2A08" w:rsidP="00CD2A08">
      <w:pPr>
        <w:spacing w:after="0" w:line="240" w:lineRule="auto"/>
        <w:jc w:val="center"/>
        <w:rPr>
          <w:rFonts w:ascii="Calibri Light" w:eastAsia="Times New Roman" w:hAnsi="Calibri Light" w:cs="Calibri Light"/>
          <w:b/>
          <w:bCs/>
          <w:color w:val="000000"/>
          <w:sz w:val="24"/>
          <w:szCs w:val="20"/>
          <w:lang w:val="ro-RO"/>
        </w:rPr>
      </w:pPr>
      <w:r w:rsidRPr="00E82CC1">
        <w:rPr>
          <w:rFonts w:ascii="Calibri Light" w:eastAsia="Times New Roman" w:hAnsi="Calibri Light" w:cs="Calibri Light"/>
          <w:b/>
          <w:bCs/>
          <w:color w:val="000000"/>
          <w:sz w:val="24"/>
          <w:szCs w:val="20"/>
          <w:lang w:val="ro-RO"/>
        </w:rPr>
        <w:t>Analiza modificărilor operate la Legea bugetului asigurărilor sociale de stat pe anul 2021</w:t>
      </w:r>
      <w:r w:rsidR="00155159">
        <w:rPr>
          <w:rFonts w:ascii="Calibri Light" w:eastAsia="Times New Roman" w:hAnsi="Calibri Light" w:cs="Calibri Light"/>
          <w:b/>
          <w:bCs/>
          <w:color w:val="000000"/>
          <w:sz w:val="24"/>
          <w:szCs w:val="20"/>
          <w:lang w:val="ro-RO"/>
        </w:rPr>
        <w:t xml:space="preserve"> </w:t>
      </w:r>
    </w:p>
    <w:p w14:paraId="356CE22B" w14:textId="56D2E554" w:rsidR="00CD2A08" w:rsidRPr="00E82CC1" w:rsidRDefault="00CD2A08" w:rsidP="00617E4A">
      <w:pPr>
        <w:spacing w:after="0" w:line="240" w:lineRule="auto"/>
        <w:jc w:val="right"/>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(mii lei)</w:t>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900"/>
        <w:gridCol w:w="1900"/>
        <w:gridCol w:w="1880"/>
        <w:gridCol w:w="1700"/>
        <w:gridCol w:w="1840"/>
      </w:tblGrid>
      <w:tr w:rsidR="00CD2A08" w:rsidRPr="00E82CC1" w14:paraId="3EA43BD4" w14:textId="77777777" w:rsidTr="00CF64BE">
        <w:trPr>
          <w:trHeight w:val="20"/>
        </w:trPr>
        <w:tc>
          <w:tcPr>
            <w:tcW w:w="4800" w:type="dxa"/>
            <w:vMerge w:val="restart"/>
            <w:shd w:val="clear" w:color="auto" w:fill="auto"/>
            <w:noWrap/>
            <w:vAlign w:val="center"/>
            <w:hideMark/>
          </w:tcPr>
          <w:p w14:paraId="2D2D586D"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Indicatori</w:t>
            </w:r>
          </w:p>
        </w:tc>
        <w:tc>
          <w:tcPr>
            <w:tcW w:w="1900" w:type="dxa"/>
            <w:shd w:val="clear" w:color="auto" w:fill="auto"/>
            <w:noWrap/>
            <w:vAlign w:val="bottom"/>
            <w:hideMark/>
          </w:tcPr>
          <w:p w14:paraId="3FA6080B"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Aprobat</w:t>
            </w:r>
          </w:p>
        </w:tc>
        <w:tc>
          <w:tcPr>
            <w:tcW w:w="5480" w:type="dxa"/>
            <w:gridSpan w:val="3"/>
            <w:shd w:val="clear" w:color="auto" w:fill="auto"/>
            <w:noWrap/>
            <w:vAlign w:val="bottom"/>
            <w:hideMark/>
          </w:tcPr>
          <w:p w14:paraId="5F8F5B8C"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Modificări operate de Parlament</w:t>
            </w:r>
          </w:p>
        </w:tc>
        <w:tc>
          <w:tcPr>
            <w:tcW w:w="1840" w:type="dxa"/>
            <w:shd w:val="clear" w:color="auto" w:fill="auto"/>
            <w:noWrap/>
            <w:vAlign w:val="bottom"/>
            <w:hideMark/>
          </w:tcPr>
          <w:p w14:paraId="19B7E3A0"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Devieri (+/-)</w:t>
            </w:r>
          </w:p>
        </w:tc>
      </w:tr>
      <w:tr w:rsidR="00CD2A08" w:rsidRPr="00E82CC1" w14:paraId="00AE1A34" w14:textId="77777777" w:rsidTr="00CF64BE">
        <w:trPr>
          <w:trHeight w:val="20"/>
        </w:trPr>
        <w:tc>
          <w:tcPr>
            <w:tcW w:w="4800" w:type="dxa"/>
            <w:vMerge/>
            <w:shd w:val="clear" w:color="auto" w:fill="auto"/>
            <w:vAlign w:val="center"/>
            <w:hideMark/>
          </w:tcPr>
          <w:p w14:paraId="3D981187"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p>
        </w:tc>
        <w:tc>
          <w:tcPr>
            <w:tcW w:w="1900" w:type="dxa"/>
            <w:shd w:val="clear" w:color="auto" w:fill="auto"/>
            <w:vAlign w:val="bottom"/>
            <w:hideMark/>
          </w:tcPr>
          <w:p w14:paraId="0DE535E6"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Legea nr.255 din 16.12.2020</w:t>
            </w:r>
          </w:p>
        </w:tc>
        <w:tc>
          <w:tcPr>
            <w:tcW w:w="1900" w:type="dxa"/>
            <w:shd w:val="clear" w:color="auto" w:fill="auto"/>
            <w:vAlign w:val="bottom"/>
            <w:hideMark/>
          </w:tcPr>
          <w:p w14:paraId="2D516178"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Legea nr.27 din 12.03.2021</w:t>
            </w:r>
          </w:p>
        </w:tc>
        <w:tc>
          <w:tcPr>
            <w:tcW w:w="1880" w:type="dxa"/>
            <w:shd w:val="clear" w:color="auto" w:fill="auto"/>
            <w:vAlign w:val="bottom"/>
            <w:hideMark/>
          </w:tcPr>
          <w:p w14:paraId="2614F2D1"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 xml:space="preserve"> Legea nr.136 din 14.10.2021</w:t>
            </w:r>
          </w:p>
        </w:tc>
        <w:tc>
          <w:tcPr>
            <w:tcW w:w="1700" w:type="dxa"/>
            <w:shd w:val="clear" w:color="auto" w:fill="auto"/>
            <w:vAlign w:val="bottom"/>
            <w:hideMark/>
          </w:tcPr>
          <w:p w14:paraId="0CB3F493"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Legea nr.191 din 25.11.2021</w:t>
            </w:r>
          </w:p>
        </w:tc>
        <w:tc>
          <w:tcPr>
            <w:tcW w:w="1840" w:type="dxa"/>
            <w:shd w:val="clear" w:color="auto" w:fill="auto"/>
            <w:vAlign w:val="bottom"/>
            <w:hideMark/>
          </w:tcPr>
          <w:p w14:paraId="6EBA6B2A"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Ultima modificare/aprobat</w:t>
            </w:r>
          </w:p>
        </w:tc>
      </w:tr>
      <w:tr w:rsidR="00CD2A08" w:rsidRPr="00E82CC1" w14:paraId="600A12D2" w14:textId="77777777" w:rsidTr="00CF64BE">
        <w:trPr>
          <w:trHeight w:val="20"/>
        </w:trPr>
        <w:tc>
          <w:tcPr>
            <w:tcW w:w="4800" w:type="dxa"/>
            <w:shd w:val="clear" w:color="auto" w:fill="auto"/>
            <w:noWrap/>
            <w:vAlign w:val="bottom"/>
            <w:hideMark/>
          </w:tcPr>
          <w:p w14:paraId="322FFEC1" w14:textId="77777777" w:rsidR="00CD2A08" w:rsidRPr="00E82CC1" w:rsidRDefault="00CD2A08" w:rsidP="00CD2A08">
            <w:pPr>
              <w:spacing w:after="0" w:line="240" w:lineRule="auto"/>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w:t>
            </w:r>
          </w:p>
        </w:tc>
        <w:tc>
          <w:tcPr>
            <w:tcW w:w="1900" w:type="dxa"/>
            <w:shd w:val="clear" w:color="auto" w:fill="auto"/>
            <w:vAlign w:val="bottom"/>
            <w:hideMark/>
          </w:tcPr>
          <w:p w14:paraId="764CFEFD"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2</w:t>
            </w:r>
          </w:p>
        </w:tc>
        <w:tc>
          <w:tcPr>
            <w:tcW w:w="1900" w:type="dxa"/>
            <w:shd w:val="clear" w:color="auto" w:fill="auto"/>
            <w:vAlign w:val="bottom"/>
            <w:hideMark/>
          </w:tcPr>
          <w:p w14:paraId="02DF2331"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3</w:t>
            </w:r>
          </w:p>
        </w:tc>
        <w:tc>
          <w:tcPr>
            <w:tcW w:w="1880" w:type="dxa"/>
            <w:shd w:val="clear" w:color="auto" w:fill="auto"/>
            <w:vAlign w:val="bottom"/>
            <w:hideMark/>
          </w:tcPr>
          <w:p w14:paraId="4555C0A1"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4</w:t>
            </w:r>
          </w:p>
        </w:tc>
        <w:tc>
          <w:tcPr>
            <w:tcW w:w="1700" w:type="dxa"/>
            <w:shd w:val="clear" w:color="auto" w:fill="auto"/>
            <w:vAlign w:val="bottom"/>
            <w:hideMark/>
          </w:tcPr>
          <w:p w14:paraId="05CBB251"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5</w:t>
            </w:r>
          </w:p>
        </w:tc>
        <w:tc>
          <w:tcPr>
            <w:tcW w:w="1840" w:type="dxa"/>
            <w:shd w:val="clear" w:color="auto" w:fill="auto"/>
            <w:noWrap/>
            <w:vAlign w:val="bottom"/>
            <w:hideMark/>
          </w:tcPr>
          <w:p w14:paraId="72847F07"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6=5(4)-2</w:t>
            </w:r>
          </w:p>
        </w:tc>
      </w:tr>
      <w:tr w:rsidR="00CD2A08" w:rsidRPr="00E82CC1" w14:paraId="0000E0B2" w14:textId="77777777" w:rsidTr="00CF64BE">
        <w:trPr>
          <w:trHeight w:val="20"/>
        </w:trPr>
        <w:tc>
          <w:tcPr>
            <w:tcW w:w="4800" w:type="dxa"/>
            <w:shd w:val="clear" w:color="auto" w:fill="auto"/>
            <w:hideMark/>
          </w:tcPr>
          <w:p w14:paraId="7D80F60D"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I. Venituri, total</w:t>
            </w:r>
          </w:p>
        </w:tc>
        <w:tc>
          <w:tcPr>
            <w:tcW w:w="1900" w:type="dxa"/>
            <w:shd w:val="clear" w:color="auto" w:fill="auto"/>
            <w:hideMark/>
          </w:tcPr>
          <w:p w14:paraId="576C42EA"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25791984.4</w:t>
            </w:r>
          </w:p>
        </w:tc>
        <w:tc>
          <w:tcPr>
            <w:tcW w:w="1900" w:type="dxa"/>
            <w:shd w:val="clear" w:color="auto" w:fill="auto"/>
            <w:noWrap/>
            <w:hideMark/>
          </w:tcPr>
          <w:p w14:paraId="6F4FDDF3"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26400519.1</w:t>
            </w:r>
          </w:p>
        </w:tc>
        <w:tc>
          <w:tcPr>
            <w:tcW w:w="1880" w:type="dxa"/>
            <w:shd w:val="clear" w:color="auto" w:fill="auto"/>
            <w:noWrap/>
            <w:hideMark/>
          </w:tcPr>
          <w:p w14:paraId="6602B666"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27490068.2</w:t>
            </w:r>
          </w:p>
        </w:tc>
        <w:tc>
          <w:tcPr>
            <w:tcW w:w="1700" w:type="dxa"/>
            <w:shd w:val="clear" w:color="auto" w:fill="auto"/>
            <w:noWrap/>
            <w:hideMark/>
          </w:tcPr>
          <w:p w14:paraId="111C6277"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27629046.7</w:t>
            </w:r>
          </w:p>
        </w:tc>
        <w:tc>
          <w:tcPr>
            <w:tcW w:w="1840" w:type="dxa"/>
            <w:shd w:val="clear" w:color="auto" w:fill="auto"/>
            <w:noWrap/>
            <w:hideMark/>
          </w:tcPr>
          <w:p w14:paraId="08FA28EE"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1837062.3</w:t>
            </w:r>
          </w:p>
        </w:tc>
      </w:tr>
      <w:tr w:rsidR="00CD2A08" w:rsidRPr="00E82CC1" w14:paraId="46499D5F" w14:textId="77777777" w:rsidTr="00CF64BE">
        <w:trPr>
          <w:trHeight w:val="20"/>
        </w:trPr>
        <w:tc>
          <w:tcPr>
            <w:tcW w:w="4800" w:type="dxa"/>
            <w:shd w:val="clear" w:color="auto" w:fill="auto"/>
            <w:hideMark/>
          </w:tcPr>
          <w:p w14:paraId="3CB8C2EA" w14:textId="77777777" w:rsidR="00CD2A08" w:rsidRPr="00E82CC1" w:rsidRDefault="00CD2A08" w:rsidP="00CD2A08">
            <w:pPr>
              <w:spacing w:after="0" w:line="240" w:lineRule="auto"/>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inclusiv transferuri de la bugetul de stat</w:t>
            </w:r>
          </w:p>
        </w:tc>
        <w:tc>
          <w:tcPr>
            <w:tcW w:w="1900" w:type="dxa"/>
            <w:shd w:val="clear" w:color="auto" w:fill="auto"/>
            <w:hideMark/>
          </w:tcPr>
          <w:p w14:paraId="171A51F8"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10454586.4</w:t>
            </w:r>
          </w:p>
        </w:tc>
        <w:tc>
          <w:tcPr>
            <w:tcW w:w="1900" w:type="dxa"/>
            <w:shd w:val="clear" w:color="auto" w:fill="auto"/>
            <w:noWrap/>
            <w:hideMark/>
          </w:tcPr>
          <w:p w14:paraId="67C758E1"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11063121.1</w:t>
            </w:r>
          </w:p>
        </w:tc>
        <w:tc>
          <w:tcPr>
            <w:tcW w:w="1880" w:type="dxa"/>
            <w:shd w:val="clear" w:color="auto" w:fill="auto"/>
            <w:noWrap/>
            <w:hideMark/>
          </w:tcPr>
          <w:p w14:paraId="65A99C02"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10928988.3</w:t>
            </w:r>
          </w:p>
        </w:tc>
        <w:tc>
          <w:tcPr>
            <w:tcW w:w="1700" w:type="dxa"/>
            <w:shd w:val="clear" w:color="auto" w:fill="auto"/>
            <w:noWrap/>
            <w:hideMark/>
          </w:tcPr>
          <w:p w14:paraId="36D2E4A0"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11067966.8</w:t>
            </w:r>
          </w:p>
        </w:tc>
        <w:tc>
          <w:tcPr>
            <w:tcW w:w="1840" w:type="dxa"/>
            <w:shd w:val="clear" w:color="auto" w:fill="auto"/>
            <w:noWrap/>
            <w:hideMark/>
          </w:tcPr>
          <w:p w14:paraId="5399972E"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613380.4</w:t>
            </w:r>
          </w:p>
        </w:tc>
      </w:tr>
      <w:tr w:rsidR="00CD2A08" w:rsidRPr="00E82CC1" w14:paraId="23FBBC0D" w14:textId="77777777" w:rsidTr="00CF64BE">
        <w:trPr>
          <w:trHeight w:val="20"/>
        </w:trPr>
        <w:tc>
          <w:tcPr>
            <w:tcW w:w="4800" w:type="dxa"/>
            <w:shd w:val="clear" w:color="auto" w:fill="auto"/>
            <w:hideMark/>
          </w:tcPr>
          <w:p w14:paraId="1127214D"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II. Cheltuieli, total</w:t>
            </w:r>
          </w:p>
        </w:tc>
        <w:tc>
          <w:tcPr>
            <w:tcW w:w="1900" w:type="dxa"/>
            <w:shd w:val="clear" w:color="auto" w:fill="auto"/>
            <w:hideMark/>
          </w:tcPr>
          <w:p w14:paraId="25354E02"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25791984.4</w:t>
            </w:r>
          </w:p>
        </w:tc>
        <w:tc>
          <w:tcPr>
            <w:tcW w:w="1900" w:type="dxa"/>
            <w:shd w:val="clear" w:color="auto" w:fill="auto"/>
            <w:noWrap/>
            <w:hideMark/>
          </w:tcPr>
          <w:p w14:paraId="08FE5DB3"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26400519.1</w:t>
            </w:r>
          </w:p>
        </w:tc>
        <w:tc>
          <w:tcPr>
            <w:tcW w:w="1880" w:type="dxa"/>
            <w:shd w:val="clear" w:color="auto" w:fill="auto"/>
            <w:noWrap/>
            <w:hideMark/>
          </w:tcPr>
          <w:p w14:paraId="215D4DA2"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27490068.2</w:t>
            </w:r>
          </w:p>
        </w:tc>
        <w:tc>
          <w:tcPr>
            <w:tcW w:w="1700" w:type="dxa"/>
            <w:shd w:val="clear" w:color="auto" w:fill="auto"/>
            <w:noWrap/>
            <w:hideMark/>
          </w:tcPr>
          <w:p w14:paraId="1377FCC5"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27629046.7</w:t>
            </w:r>
          </w:p>
        </w:tc>
        <w:tc>
          <w:tcPr>
            <w:tcW w:w="1840" w:type="dxa"/>
            <w:shd w:val="clear" w:color="auto" w:fill="auto"/>
            <w:noWrap/>
            <w:hideMark/>
          </w:tcPr>
          <w:p w14:paraId="7D28DEE4"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1837062.3</w:t>
            </w:r>
          </w:p>
        </w:tc>
      </w:tr>
      <w:tr w:rsidR="00CD2A08" w:rsidRPr="00E82CC1" w14:paraId="3455B8F4" w14:textId="77777777" w:rsidTr="00CF64BE">
        <w:trPr>
          <w:trHeight w:val="20"/>
        </w:trPr>
        <w:tc>
          <w:tcPr>
            <w:tcW w:w="4800" w:type="dxa"/>
            <w:shd w:val="clear" w:color="auto" w:fill="auto"/>
            <w:hideMark/>
          </w:tcPr>
          <w:p w14:paraId="0B6A15DE" w14:textId="77777777" w:rsidR="00CD2A08" w:rsidRPr="00E82CC1" w:rsidRDefault="00CD2A08" w:rsidP="00CD2A08">
            <w:pPr>
              <w:spacing w:after="0" w:line="240" w:lineRule="auto"/>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inclusiv cheltuieli de personal</w:t>
            </w:r>
          </w:p>
        </w:tc>
        <w:tc>
          <w:tcPr>
            <w:tcW w:w="1900" w:type="dxa"/>
            <w:shd w:val="clear" w:color="auto" w:fill="auto"/>
            <w:hideMark/>
          </w:tcPr>
          <w:p w14:paraId="7FD5A2A3"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175632.7</w:t>
            </w:r>
          </w:p>
        </w:tc>
        <w:tc>
          <w:tcPr>
            <w:tcW w:w="1900" w:type="dxa"/>
            <w:shd w:val="clear" w:color="auto" w:fill="auto"/>
            <w:noWrap/>
            <w:hideMark/>
          </w:tcPr>
          <w:p w14:paraId="41CD41DF" w14:textId="77777777" w:rsidR="00CD2A08" w:rsidRPr="00E82CC1" w:rsidRDefault="00CD2A08" w:rsidP="00CD2A08">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x</w:t>
            </w:r>
          </w:p>
        </w:tc>
        <w:tc>
          <w:tcPr>
            <w:tcW w:w="1880" w:type="dxa"/>
            <w:shd w:val="clear" w:color="auto" w:fill="auto"/>
            <w:noWrap/>
            <w:hideMark/>
          </w:tcPr>
          <w:p w14:paraId="7A64EF2F"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176401.3</w:t>
            </w:r>
          </w:p>
        </w:tc>
        <w:tc>
          <w:tcPr>
            <w:tcW w:w="1700" w:type="dxa"/>
            <w:shd w:val="clear" w:color="auto" w:fill="auto"/>
            <w:noWrap/>
            <w:hideMark/>
          </w:tcPr>
          <w:p w14:paraId="0D38E2DA"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176401.3</w:t>
            </w:r>
          </w:p>
        </w:tc>
        <w:tc>
          <w:tcPr>
            <w:tcW w:w="1840" w:type="dxa"/>
            <w:shd w:val="clear" w:color="auto" w:fill="auto"/>
            <w:noWrap/>
            <w:hideMark/>
          </w:tcPr>
          <w:p w14:paraId="5A637393"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768.6</w:t>
            </w:r>
          </w:p>
        </w:tc>
      </w:tr>
      <w:tr w:rsidR="00CD2A08" w:rsidRPr="00E82CC1" w14:paraId="06D60E8D" w14:textId="77777777" w:rsidTr="00CF64BE">
        <w:trPr>
          <w:trHeight w:val="20"/>
        </w:trPr>
        <w:tc>
          <w:tcPr>
            <w:tcW w:w="4800" w:type="dxa"/>
            <w:shd w:val="clear" w:color="auto" w:fill="auto"/>
            <w:noWrap/>
            <w:hideMark/>
          </w:tcPr>
          <w:p w14:paraId="57A5275B"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Protecția socială</w:t>
            </w:r>
          </w:p>
        </w:tc>
        <w:tc>
          <w:tcPr>
            <w:tcW w:w="1900" w:type="dxa"/>
            <w:shd w:val="clear" w:color="auto" w:fill="auto"/>
            <w:hideMark/>
          </w:tcPr>
          <w:p w14:paraId="75E3A92B"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25791984.4</w:t>
            </w:r>
          </w:p>
        </w:tc>
        <w:tc>
          <w:tcPr>
            <w:tcW w:w="1900" w:type="dxa"/>
            <w:shd w:val="clear" w:color="auto" w:fill="auto"/>
            <w:noWrap/>
            <w:hideMark/>
          </w:tcPr>
          <w:p w14:paraId="39DDD207"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26400519.1</w:t>
            </w:r>
          </w:p>
        </w:tc>
        <w:tc>
          <w:tcPr>
            <w:tcW w:w="1880" w:type="dxa"/>
            <w:shd w:val="clear" w:color="auto" w:fill="auto"/>
            <w:noWrap/>
            <w:hideMark/>
          </w:tcPr>
          <w:p w14:paraId="0DCF36AE"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27490068.2</w:t>
            </w:r>
          </w:p>
        </w:tc>
        <w:tc>
          <w:tcPr>
            <w:tcW w:w="1700" w:type="dxa"/>
            <w:shd w:val="clear" w:color="auto" w:fill="auto"/>
            <w:noWrap/>
            <w:hideMark/>
          </w:tcPr>
          <w:p w14:paraId="61716669"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27629046.7</w:t>
            </w:r>
          </w:p>
        </w:tc>
        <w:tc>
          <w:tcPr>
            <w:tcW w:w="1840" w:type="dxa"/>
            <w:shd w:val="clear" w:color="auto" w:fill="auto"/>
            <w:noWrap/>
            <w:hideMark/>
          </w:tcPr>
          <w:p w14:paraId="5672A2A2"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1837062.3</w:t>
            </w:r>
          </w:p>
        </w:tc>
      </w:tr>
      <w:tr w:rsidR="00CD2A08" w:rsidRPr="00E82CC1" w14:paraId="56973D6B" w14:textId="77777777" w:rsidTr="00CF64BE">
        <w:trPr>
          <w:trHeight w:val="20"/>
        </w:trPr>
        <w:tc>
          <w:tcPr>
            <w:tcW w:w="4800" w:type="dxa"/>
            <w:shd w:val="clear" w:color="auto" w:fill="auto"/>
            <w:hideMark/>
          </w:tcPr>
          <w:p w14:paraId="5CF8E7B3"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Administrarea sistemului public de asigurări sociale</w:t>
            </w:r>
          </w:p>
        </w:tc>
        <w:tc>
          <w:tcPr>
            <w:tcW w:w="1900" w:type="dxa"/>
            <w:shd w:val="clear" w:color="auto" w:fill="auto"/>
            <w:hideMark/>
          </w:tcPr>
          <w:p w14:paraId="53DDABDF"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245136.4</w:t>
            </w:r>
          </w:p>
        </w:tc>
        <w:tc>
          <w:tcPr>
            <w:tcW w:w="1900" w:type="dxa"/>
            <w:shd w:val="clear" w:color="auto" w:fill="auto"/>
            <w:noWrap/>
            <w:hideMark/>
          </w:tcPr>
          <w:p w14:paraId="7A176EC9"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700220FC"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700" w:type="dxa"/>
            <w:shd w:val="clear" w:color="auto" w:fill="auto"/>
            <w:noWrap/>
            <w:hideMark/>
          </w:tcPr>
          <w:p w14:paraId="1CB84914"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64D83C89"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CD2A08" w:rsidRPr="00E82CC1" w14:paraId="37D9C43A" w14:textId="77777777" w:rsidTr="00CF64BE">
        <w:trPr>
          <w:trHeight w:val="20"/>
        </w:trPr>
        <w:tc>
          <w:tcPr>
            <w:tcW w:w="4800" w:type="dxa"/>
            <w:shd w:val="clear" w:color="auto" w:fill="auto"/>
            <w:hideMark/>
          </w:tcPr>
          <w:p w14:paraId="031C100F"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în caz de incapacitate temporară de muncă</w:t>
            </w:r>
          </w:p>
        </w:tc>
        <w:tc>
          <w:tcPr>
            <w:tcW w:w="1900" w:type="dxa"/>
            <w:shd w:val="clear" w:color="auto" w:fill="auto"/>
            <w:hideMark/>
          </w:tcPr>
          <w:p w14:paraId="66A0CF49"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866284.5</w:t>
            </w:r>
          </w:p>
        </w:tc>
        <w:tc>
          <w:tcPr>
            <w:tcW w:w="1900" w:type="dxa"/>
            <w:shd w:val="clear" w:color="auto" w:fill="auto"/>
            <w:noWrap/>
            <w:hideMark/>
          </w:tcPr>
          <w:p w14:paraId="423D1A6F"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3D2BE8EB"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997379.2</w:t>
            </w:r>
          </w:p>
        </w:tc>
        <w:tc>
          <w:tcPr>
            <w:tcW w:w="1700" w:type="dxa"/>
            <w:shd w:val="clear" w:color="auto" w:fill="auto"/>
            <w:noWrap/>
            <w:hideMark/>
          </w:tcPr>
          <w:p w14:paraId="58935BFB"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283C998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131094.7</w:t>
            </w:r>
          </w:p>
        </w:tc>
      </w:tr>
      <w:tr w:rsidR="00CD2A08" w:rsidRPr="00E82CC1" w14:paraId="45B4CAE8" w14:textId="77777777" w:rsidTr="00CF64BE">
        <w:trPr>
          <w:trHeight w:val="20"/>
        </w:trPr>
        <w:tc>
          <w:tcPr>
            <w:tcW w:w="4800" w:type="dxa"/>
            <w:shd w:val="clear" w:color="auto" w:fill="auto"/>
            <w:hideMark/>
          </w:tcPr>
          <w:p w14:paraId="3849C128"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persoanelor în etate</w:t>
            </w:r>
          </w:p>
        </w:tc>
        <w:tc>
          <w:tcPr>
            <w:tcW w:w="1900" w:type="dxa"/>
            <w:shd w:val="clear" w:color="auto" w:fill="auto"/>
            <w:hideMark/>
          </w:tcPr>
          <w:p w14:paraId="0083FE71"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15615526.5</w:t>
            </w:r>
          </w:p>
        </w:tc>
        <w:tc>
          <w:tcPr>
            <w:tcW w:w="1900" w:type="dxa"/>
            <w:shd w:val="clear" w:color="auto" w:fill="auto"/>
            <w:noWrap/>
            <w:hideMark/>
          </w:tcPr>
          <w:p w14:paraId="62C4DF89"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16122246.5</w:t>
            </w:r>
          </w:p>
        </w:tc>
        <w:tc>
          <w:tcPr>
            <w:tcW w:w="1880" w:type="dxa"/>
            <w:shd w:val="clear" w:color="auto" w:fill="auto"/>
            <w:noWrap/>
            <w:hideMark/>
          </w:tcPr>
          <w:p w14:paraId="35C0643C"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16852359.2</w:t>
            </w:r>
          </w:p>
        </w:tc>
        <w:tc>
          <w:tcPr>
            <w:tcW w:w="1700" w:type="dxa"/>
            <w:shd w:val="clear" w:color="auto" w:fill="auto"/>
            <w:noWrap/>
            <w:hideMark/>
          </w:tcPr>
          <w:p w14:paraId="30D23275"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0AE6721F"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1236832.7</w:t>
            </w:r>
          </w:p>
        </w:tc>
      </w:tr>
      <w:tr w:rsidR="00CD2A08" w:rsidRPr="00E82CC1" w14:paraId="76556ABA" w14:textId="77777777" w:rsidTr="00CF64BE">
        <w:trPr>
          <w:trHeight w:val="20"/>
        </w:trPr>
        <w:tc>
          <w:tcPr>
            <w:tcW w:w="4800" w:type="dxa"/>
            <w:shd w:val="clear" w:color="auto" w:fill="auto"/>
            <w:hideMark/>
          </w:tcPr>
          <w:p w14:paraId="43D8F03C"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în legătură cu pierderea întreținătorului</w:t>
            </w:r>
          </w:p>
        </w:tc>
        <w:tc>
          <w:tcPr>
            <w:tcW w:w="1900" w:type="dxa"/>
            <w:shd w:val="clear" w:color="auto" w:fill="auto"/>
            <w:hideMark/>
          </w:tcPr>
          <w:p w14:paraId="74851259"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331603</w:t>
            </w:r>
          </w:p>
        </w:tc>
        <w:tc>
          <w:tcPr>
            <w:tcW w:w="1900" w:type="dxa"/>
            <w:shd w:val="clear" w:color="auto" w:fill="auto"/>
            <w:noWrap/>
            <w:hideMark/>
          </w:tcPr>
          <w:p w14:paraId="301DD765"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339104.9</w:t>
            </w:r>
          </w:p>
        </w:tc>
        <w:tc>
          <w:tcPr>
            <w:tcW w:w="1880" w:type="dxa"/>
            <w:shd w:val="clear" w:color="auto" w:fill="auto"/>
            <w:noWrap/>
            <w:hideMark/>
          </w:tcPr>
          <w:p w14:paraId="03DD094C"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381544.1</w:t>
            </w:r>
          </w:p>
        </w:tc>
        <w:tc>
          <w:tcPr>
            <w:tcW w:w="1700" w:type="dxa"/>
            <w:shd w:val="clear" w:color="auto" w:fill="auto"/>
            <w:noWrap/>
            <w:hideMark/>
          </w:tcPr>
          <w:p w14:paraId="51BA66A6"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7700D76D"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49941.1</w:t>
            </w:r>
          </w:p>
        </w:tc>
      </w:tr>
      <w:tr w:rsidR="00CD2A08" w:rsidRPr="00E82CC1" w14:paraId="26DBBDAB" w14:textId="77777777" w:rsidTr="00CF64BE">
        <w:trPr>
          <w:trHeight w:val="20"/>
        </w:trPr>
        <w:tc>
          <w:tcPr>
            <w:tcW w:w="4800" w:type="dxa"/>
            <w:shd w:val="clear" w:color="auto" w:fill="auto"/>
            <w:hideMark/>
          </w:tcPr>
          <w:p w14:paraId="45EC64C5"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familiei și copilului</w:t>
            </w:r>
          </w:p>
        </w:tc>
        <w:tc>
          <w:tcPr>
            <w:tcW w:w="1900" w:type="dxa"/>
            <w:shd w:val="clear" w:color="auto" w:fill="auto"/>
            <w:hideMark/>
          </w:tcPr>
          <w:p w14:paraId="18E2B582"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2873575.8</w:t>
            </w:r>
          </w:p>
        </w:tc>
        <w:tc>
          <w:tcPr>
            <w:tcW w:w="1900" w:type="dxa"/>
            <w:shd w:val="clear" w:color="auto" w:fill="auto"/>
            <w:noWrap/>
            <w:hideMark/>
          </w:tcPr>
          <w:p w14:paraId="4C59EAD5"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3092C678"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2870130.1</w:t>
            </w:r>
          </w:p>
        </w:tc>
        <w:tc>
          <w:tcPr>
            <w:tcW w:w="1700" w:type="dxa"/>
            <w:shd w:val="clear" w:color="auto" w:fill="auto"/>
            <w:noWrap/>
            <w:hideMark/>
          </w:tcPr>
          <w:p w14:paraId="09D4C250"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422F2CF0"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-3445.7</w:t>
            </w:r>
          </w:p>
        </w:tc>
      </w:tr>
      <w:tr w:rsidR="00CD2A08" w:rsidRPr="00E82CC1" w14:paraId="56C268D6" w14:textId="77777777" w:rsidTr="00CF64BE">
        <w:trPr>
          <w:trHeight w:val="20"/>
        </w:trPr>
        <w:tc>
          <w:tcPr>
            <w:tcW w:w="4800" w:type="dxa"/>
            <w:shd w:val="clear" w:color="auto" w:fill="auto"/>
            <w:hideMark/>
          </w:tcPr>
          <w:p w14:paraId="570811BA"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șomerilor</w:t>
            </w:r>
          </w:p>
        </w:tc>
        <w:tc>
          <w:tcPr>
            <w:tcW w:w="1900" w:type="dxa"/>
            <w:shd w:val="clear" w:color="auto" w:fill="auto"/>
            <w:hideMark/>
          </w:tcPr>
          <w:p w14:paraId="6B9CE6C8"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79960.1</w:t>
            </w:r>
          </w:p>
        </w:tc>
        <w:tc>
          <w:tcPr>
            <w:tcW w:w="1900" w:type="dxa"/>
            <w:shd w:val="clear" w:color="auto" w:fill="auto"/>
            <w:noWrap/>
            <w:hideMark/>
          </w:tcPr>
          <w:p w14:paraId="7D4E7B2B"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46D80BD8"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60093.9</w:t>
            </w:r>
          </w:p>
        </w:tc>
        <w:tc>
          <w:tcPr>
            <w:tcW w:w="1700" w:type="dxa"/>
            <w:shd w:val="clear" w:color="auto" w:fill="auto"/>
            <w:noWrap/>
            <w:hideMark/>
          </w:tcPr>
          <w:p w14:paraId="694B349C"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75093.9</w:t>
            </w:r>
          </w:p>
        </w:tc>
        <w:tc>
          <w:tcPr>
            <w:tcW w:w="1840" w:type="dxa"/>
            <w:shd w:val="clear" w:color="auto" w:fill="auto"/>
            <w:noWrap/>
            <w:hideMark/>
          </w:tcPr>
          <w:p w14:paraId="052E2808"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-4866.2</w:t>
            </w:r>
          </w:p>
        </w:tc>
      </w:tr>
      <w:tr w:rsidR="00CD2A08" w:rsidRPr="00E82CC1" w14:paraId="2F0F3460" w14:textId="77777777" w:rsidTr="00CF64BE">
        <w:trPr>
          <w:trHeight w:val="20"/>
        </w:trPr>
        <w:tc>
          <w:tcPr>
            <w:tcW w:w="4800" w:type="dxa"/>
            <w:shd w:val="clear" w:color="auto" w:fill="auto"/>
            <w:hideMark/>
          </w:tcPr>
          <w:p w14:paraId="7B3CC0D7"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socială a persoanelor cu dizabilități</w:t>
            </w:r>
          </w:p>
        </w:tc>
        <w:tc>
          <w:tcPr>
            <w:tcW w:w="1900" w:type="dxa"/>
            <w:shd w:val="clear" w:color="auto" w:fill="auto"/>
            <w:hideMark/>
          </w:tcPr>
          <w:p w14:paraId="64BEF5E8"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2970108.8</w:t>
            </w:r>
          </w:p>
        </w:tc>
        <w:tc>
          <w:tcPr>
            <w:tcW w:w="1900" w:type="dxa"/>
            <w:shd w:val="clear" w:color="auto" w:fill="auto"/>
            <w:noWrap/>
            <w:hideMark/>
          </w:tcPr>
          <w:p w14:paraId="0CECC496"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3063838.8</w:t>
            </w:r>
          </w:p>
        </w:tc>
        <w:tc>
          <w:tcPr>
            <w:tcW w:w="1880" w:type="dxa"/>
            <w:shd w:val="clear" w:color="auto" w:fill="auto"/>
            <w:noWrap/>
            <w:hideMark/>
          </w:tcPr>
          <w:p w14:paraId="723E7945"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3144665.3</w:t>
            </w:r>
          </w:p>
        </w:tc>
        <w:tc>
          <w:tcPr>
            <w:tcW w:w="1700" w:type="dxa"/>
            <w:shd w:val="clear" w:color="auto" w:fill="auto"/>
            <w:noWrap/>
            <w:hideMark/>
          </w:tcPr>
          <w:p w14:paraId="61BF308B"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7EB634A9"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174556.5</w:t>
            </w:r>
          </w:p>
        </w:tc>
      </w:tr>
      <w:tr w:rsidR="00CD2A08" w:rsidRPr="00E82CC1" w14:paraId="2AC3E748" w14:textId="77777777" w:rsidTr="00CF64BE">
        <w:trPr>
          <w:trHeight w:val="20"/>
        </w:trPr>
        <w:tc>
          <w:tcPr>
            <w:tcW w:w="4800" w:type="dxa"/>
            <w:shd w:val="clear" w:color="auto" w:fill="auto"/>
            <w:hideMark/>
          </w:tcPr>
          <w:p w14:paraId="75591FD0"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Susținerea suplimentară a unor categorii de populație</w:t>
            </w:r>
          </w:p>
        </w:tc>
        <w:tc>
          <w:tcPr>
            <w:tcW w:w="1900" w:type="dxa"/>
            <w:shd w:val="clear" w:color="auto" w:fill="auto"/>
            <w:hideMark/>
          </w:tcPr>
          <w:p w14:paraId="77265FB4"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1209575.3</w:t>
            </w:r>
          </w:p>
        </w:tc>
        <w:tc>
          <w:tcPr>
            <w:tcW w:w="1900" w:type="dxa"/>
            <w:shd w:val="clear" w:color="auto" w:fill="auto"/>
            <w:noWrap/>
            <w:hideMark/>
          </w:tcPr>
          <w:p w14:paraId="16326106"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25C0D48F"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1176765.5</w:t>
            </w:r>
          </w:p>
        </w:tc>
        <w:tc>
          <w:tcPr>
            <w:tcW w:w="1700" w:type="dxa"/>
            <w:shd w:val="clear" w:color="auto" w:fill="auto"/>
            <w:noWrap/>
            <w:hideMark/>
          </w:tcPr>
          <w:p w14:paraId="71A74052"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385B89D8"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-32809.8</w:t>
            </w:r>
          </w:p>
        </w:tc>
      </w:tr>
      <w:tr w:rsidR="00CD2A08" w:rsidRPr="00E82CC1" w14:paraId="668DDFDE" w14:textId="77777777" w:rsidTr="00CF64BE">
        <w:trPr>
          <w:trHeight w:val="20"/>
        </w:trPr>
        <w:tc>
          <w:tcPr>
            <w:tcW w:w="4800" w:type="dxa"/>
            <w:shd w:val="clear" w:color="auto" w:fill="auto"/>
            <w:hideMark/>
          </w:tcPr>
          <w:p w14:paraId="388C7765"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socială în cazuri excepționale</w:t>
            </w:r>
          </w:p>
        </w:tc>
        <w:tc>
          <w:tcPr>
            <w:tcW w:w="1900" w:type="dxa"/>
            <w:shd w:val="clear" w:color="auto" w:fill="auto"/>
            <w:hideMark/>
          </w:tcPr>
          <w:p w14:paraId="7FCD270B"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1130118.1</w:t>
            </w:r>
          </w:p>
        </w:tc>
        <w:tc>
          <w:tcPr>
            <w:tcW w:w="1900" w:type="dxa"/>
            <w:shd w:val="clear" w:color="auto" w:fill="auto"/>
            <w:noWrap/>
            <w:hideMark/>
          </w:tcPr>
          <w:p w14:paraId="7C5FCA87"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01E98EDD"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1256360.2</w:t>
            </w:r>
          </w:p>
        </w:tc>
        <w:tc>
          <w:tcPr>
            <w:tcW w:w="1700" w:type="dxa"/>
            <w:shd w:val="clear" w:color="auto" w:fill="auto"/>
            <w:noWrap/>
            <w:hideMark/>
          </w:tcPr>
          <w:p w14:paraId="781A6476"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1360338.7</w:t>
            </w:r>
          </w:p>
        </w:tc>
        <w:tc>
          <w:tcPr>
            <w:tcW w:w="1840" w:type="dxa"/>
            <w:shd w:val="clear" w:color="auto" w:fill="auto"/>
            <w:noWrap/>
            <w:hideMark/>
          </w:tcPr>
          <w:p w14:paraId="278CFB35"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230220.6</w:t>
            </w:r>
          </w:p>
        </w:tc>
      </w:tr>
      <w:tr w:rsidR="00CD2A08" w:rsidRPr="00E82CC1" w14:paraId="65B72E07" w14:textId="77777777" w:rsidTr="00CF64BE">
        <w:trPr>
          <w:trHeight w:val="20"/>
        </w:trPr>
        <w:tc>
          <w:tcPr>
            <w:tcW w:w="4800" w:type="dxa"/>
            <w:shd w:val="clear" w:color="auto" w:fill="auto"/>
            <w:hideMark/>
          </w:tcPr>
          <w:p w14:paraId="6BD229A7" w14:textId="77777777" w:rsidR="00CD2A08" w:rsidRPr="00E82CC1" w:rsidRDefault="00CD2A08" w:rsidP="00CD2A08">
            <w:pPr>
              <w:spacing w:after="0" w:line="240" w:lineRule="auto"/>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Protecția socială a unor categorii de cetățeni</w:t>
            </w:r>
          </w:p>
        </w:tc>
        <w:tc>
          <w:tcPr>
            <w:tcW w:w="1900" w:type="dxa"/>
            <w:shd w:val="clear" w:color="auto" w:fill="auto"/>
            <w:hideMark/>
          </w:tcPr>
          <w:p w14:paraId="7894DBFB"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470095.9</w:t>
            </w:r>
          </w:p>
        </w:tc>
        <w:tc>
          <w:tcPr>
            <w:tcW w:w="1900" w:type="dxa"/>
            <w:shd w:val="clear" w:color="auto" w:fill="auto"/>
            <w:noWrap/>
            <w:hideMark/>
          </w:tcPr>
          <w:p w14:paraId="01C8372E"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470678.7</w:t>
            </w:r>
          </w:p>
        </w:tc>
        <w:tc>
          <w:tcPr>
            <w:tcW w:w="1880" w:type="dxa"/>
            <w:shd w:val="clear" w:color="auto" w:fill="auto"/>
            <w:noWrap/>
            <w:hideMark/>
          </w:tcPr>
          <w:p w14:paraId="78F99116"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505634.3</w:t>
            </w:r>
          </w:p>
        </w:tc>
        <w:tc>
          <w:tcPr>
            <w:tcW w:w="1700" w:type="dxa"/>
            <w:shd w:val="clear" w:color="auto" w:fill="auto"/>
            <w:noWrap/>
            <w:hideMark/>
          </w:tcPr>
          <w:p w14:paraId="193FEDBC" w14:textId="77777777" w:rsidR="00CD2A08" w:rsidRPr="00E82CC1" w:rsidRDefault="00CD2A08" w:rsidP="00CD2A08">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525634.3</w:t>
            </w:r>
          </w:p>
        </w:tc>
        <w:tc>
          <w:tcPr>
            <w:tcW w:w="1840" w:type="dxa"/>
            <w:shd w:val="clear" w:color="auto" w:fill="auto"/>
            <w:noWrap/>
            <w:hideMark/>
          </w:tcPr>
          <w:p w14:paraId="44900FB3"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55538.4</w:t>
            </w:r>
          </w:p>
        </w:tc>
      </w:tr>
      <w:tr w:rsidR="00CD2A08" w:rsidRPr="00E82CC1" w14:paraId="0DF39120" w14:textId="77777777" w:rsidTr="00CF64BE">
        <w:trPr>
          <w:trHeight w:val="20"/>
        </w:trPr>
        <w:tc>
          <w:tcPr>
            <w:tcW w:w="4800" w:type="dxa"/>
            <w:shd w:val="clear" w:color="auto" w:fill="auto"/>
            <w:hideMark/>
          </w:tcPr>
          <w:p w14:paraId="3F6DA0E1"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III. Sold bugetar</w:t>
            </w:r>
          </w:p>
        </w:tc>
        <w:tc>
          <w:tcPr>
            <w:tcW w:w="1900" w:type="dxa"/>
            <w:shd w:val="clear" w:color="auto" w:fill="auto"/>
            <w:hideMark/>
          </w:tcPr>
          <w:p w14:paraId="6BC1A583"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7EF7814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7826A5C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7DB1C2CA"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278AABF5"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CD2A08" w:rsidRPr="00E82CC1" w14:paraId="33E5BAA9" w14:textId="77777777" w:rsidTr="00CF64BE">
        <w:trPr>
          <w:trHeight w:val="20"/>
        </w:trPr>
        <w:tc>
          <w:tcPr>
            <w:tcW w:w="4800" w:type="dxa"/>
            <w:shd w:val="clear" w:color="auto" w:fill="auto"/>
            <w:hideMark/>
          </w:tcPr>
          <w:p w14:paraId="5413382A"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IV. Surse de finanțare, total</w:t>
            </w:r>
          </w:p>
        </w:tc>
        <w:tc>
          <w:tcPr>
            <w:tcW w:w="1900" w:type="dxa"/>
            <w:shd w:val="clear" w:color="auto" w:fill="auto"/>
            <w:hideMark/>
          </w:tcPr>
          <w:p w14:paraId="005E7E4D"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441FF7AF"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196DD8C2"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262146B9"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65A2DC2E"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CD2A08" w:rsidRPr="00E82CC1" w14:paraId="6112E870" w14:textId="77777777" w:rsidTr="00CF64BE">
        <w:trPr>
          <w:trHeight w:val="20"/>
        </w:trPr>
        <w:tc>
          <w:tcPr>
            <w:tcW w:w="4800" w:type="dxa"/>
            <w:shd w:val="clear" w:color="auto" w:fill="auto"/>
            <w:hideMark/>
          </w:tcPr>
          <w:p w14:paraId="0F36B918"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Active financiare</w:t>
            </w:r>
          </w:p>
        </w:tc>
        <w:tc>
          <w:tcPr>
            <w:tcW w:w="1900" w:type="dxa"/>
            <w:shd w:val="clear" w:color="auto" w:fill="auto"/>
            <w:hideMark/>
          </w:tcPr>
          <w:p w14:paraId="41677D13"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noWrap/>
            <w:hideMark/>
          </w:tcPr>
          <w:p w14:paraId="3A3613F3" w14:textId="77777777" w:rsidR="00CD2A08" w:rsidRPr="00E82CC1" w:rsidRDefault="00CD2A08" w:rsidP="00CD2A08">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x</w:t>
            </w:r>
          </w:p>
        </w:tc>
        <w:tc>
          <w:tcPr>
            <w:tcW w:w="1880" w:type="dxa"/>
            <w:shd w:val="clear" w:color="auto" w:fill="auto"/>
            <w:noWrap/>
            <w:hideMark/>
          </w:tcPr>
          <w:p w14:paraId="47A82725"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c>
          <w:tcPr>
            <w:tcW w:w="1700" w:type="dxa"/>
            <w:shd w:val="clear" w:color="auto" w:fill="auto"/>
            <w:noWrap/>
            <w:hideMark/>
          </w:tcPr>
          <w:p w14:paraId="18F2966D" w14:textId="77777777" w:rsidR="00CD2A08" w:rsidRPr="00E82CC1" w:rsidRDefault="00CD2A08" w:rsidP="00CD2A08">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-41028.5</w:t>
            </w:r>
          </w:p>
        </w:tc>
        <w:tc>
          <w:tcPr>
            <w:tcW w:w="1840" w:type="dxa"/>
            <w:shd w:val="clear" w:color="auto" w:fill="auto"/>
            <w:noWrap/>
            <w:hideMark/>
          </w:tcPr>
          <w:p w14:paraId="2D81A13A"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r>
      <w:tr w:rsidR="00CD2A08" w:rsidRPr="00E82CC1" w14:paraId="4FBEC6A2" w14:textId="77777777" w:rsidTr="00CF64BE">
        <w:trPr>
          <w:trHeight w:val="20"/>
        </w:trPr>
        <w:tc>
          <w:tcPr>
            <w:tcW w:w="4800" w:type="dxa"/>
            <w:shd w:val="clear" w:color="auto" w:fill="auto"/>
            <w:hideMark/>
          </w:tcPr>
          <w:p w14:paraId="2D6BFDA2"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Datorii</w:t>
            </w:r>
          </w:p>
        </w:tc>
        <w:tc>
          <w:tcPr>
            <w:tcW w:w="1900" w:type="dxa"/>
            <w:shd w:val="clear" w:color="auto" w:fill="auto"/>
            <w:hideMark/>
          </w:tcPr>
          <w:p w14:paraId="22EE0DBD"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2191D5FE"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72CB2BF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77619F0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771DDD46"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CD2A08" w:rsidRPr="00E82CC1" w14:paraId="01F73701" w14:textId="77777777" w:rsidTr="00CF64BE">
        <w:trPr>
          <w:trHeight w:val="20"/>
        </w:trPr>
        <w:tc>
          <w:tcPr>
            <w:tcW w:w="4800" w:type="dxa"/>
            <w:shd w:val="clear" w:color="auto" w:fill="auto"/>
            <w:hideMark/>
          </w:tcPr>
          <w:p w14:paraId="64D70699"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Modificarea soldului de mijloace bănești</w:t>
            </w:r>
          </w:p>
        </w:tc>
        <w:tc>
          <w:tcPr>
            <w:tcW w:w="1900" w:type="dxa"/>
            <w:shd w:val="clear" w:color="auto" w:fill="auto"/>
            <w:hideMark/>
          </w:tcPr>
          <w:p w14:paraId="2824FBF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noWrap/>
            <w:hideMark/>
          </w:tcPr>
          <w:p w14:paraId="2DE216A8" w14:textId="77777777" w:rsidR="00CD2A08" w:rsidRPr="00E82CC1" w:rsidRDefault="00CD2A08" w:rsidP="00CD2A08">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x</w:t>
            </w:r>
          </w:p>
        </w:tc>
        <w:tc>
          <w:tcPr>
            <w:tcW w:w="1880" w:type="dxa"/>
            <w:shd w:val="clear" w:color="auto" w:fill="auto"/>
            <w:noWrap/>
            <w:hideMark/>
          </w:tcPr>
          <w:p w14:paraId="558BF728"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c>
          <w:tcPr>
            <w:tcW w:w="1700" w:type="dxa"/>
            <w:shd w:val="clear" w:color="auto" w:fill="auto"/>
            <w:noWrap/>
            <w:hideMark/>
          </w:tcPr>
          <w:p w14:paraId="7595A859" w14:textId="77777777" w:rsidR="00CD2A08" w:rsidRPr="00E82CC1" w:rsidRDefault="00CD2A08" w:rsidP="00CD2A08">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41028.5</w:t>
            </w:r>
          </w:p>
        </w:tc>
        <w:tc>
          <w:tcPr>
            <w:tcW w:w="1840" w:type="dxa"/>
            <w:shd w:val="clear" w:color="auto" w:fill="auto"/>
            <w:noWrap/>
            <w:hideMark/>
          </w:tcPr>
          <w:p w14:paraId="096850FA"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r>
      <w:tr w:rsidR="00CD2A08" w:rsidRPr="00E82CC1" w14:paraId="5DA18E82" w14:textId="77777777" w:rsidTr="00CF64BE">
        <w:trPr>
          <w:trHeight w:val="20"/>
        </w:trPr>
        <w:tc>
          <w:tcPr>
            <w:tcW w:w="4800" w:type="dxa"/>
            <w:shd w:val="clear" w:color="auto" w:fill="auto"/>
            <w:hideMark/>
          </w:tcPr>
          <w:p w14:paraId="0405CCFA"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Sold de mijloace bănești la începutul perioadei</w:t>
            </w:r>
          </w:p>
        </w:tc>
        <w:tc>
          <w:tcPr>
            <w:tcW w:w="1900" w:type="dxa"/>
            <w:shd w:val="clear" w:color="auto" w:fill="auto"/>
            <w:hideMark/>
          </w:tcPr>
          <w:p w14:paraId="6D953B5B"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noWrap/>
            <w:hideMark/>
          </w:tcPr>
          <w:p w14:paraId="11130D29" w14:textId="77777777" w:rsidR="00CD2A08" w:rsidRPr="00E82CC1" w:rsidRDefault="00CD2A08" w:rsidP="00CD2A08">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x</w:t>
            </w:r>
          </w:p>
        </w:tc>
        <w:tc>
          <w:tcPr>
            <w:tcW w:w="1880" w:type="dxa"/>
            <w:shd w:val="clear" w:color="auto" w:fill="auto"/>
            <w:noWrap/>
            <w:hideMark/>
          </w:tcPr>
          <w:p w14:paraId="22EC92DF"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c>
          <w:tcPr>
            <w:tcW w:w="1700" w:type="dxa"/>
            <w:shd w:val="clear" w:color="auto" w:fill="auto"/>
            <w:noWrap/>
            <w:hideMark/>
          </w:tcPr>
          <w:p w14:paraId="68CB3898" w14:textId="77777777" w:rsidR="00CD2A08" w:rsidRPr="00E82CC1" w:rsidRDefault="00CD2A08" w:rsidP="00CD2A08">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41028.5</w:t>
            </w:r>
          </w:p>
        </w:tc>
        <w:tc>
          <w:tcPr>
            <w:tcW w:w="1840" w:type="dxa"/>
            <w:shd w:val="clear" w:color="auto" w:fill="auto"/>
            <w:noWrap/>
            <w:hideMark/>
          </w:tcPr>
          <w:p w14:paraId="57471947"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r>
      <w:tr w:rsidR="00CD2A08" w:rsidRPr="00E82CC1" w14:paraId="4589C82D" w14:textId="77777777" w:rsidTr="00CF64BE">
        <w:trPr>
          <w:trHeight w:val="20"/>
        </w:trPr>
        <w:tc>
          <w:tcPr>
            <w:tcW w:w="4800" w:type="dxa"/>
            <w:shd w:val="clear" w:color="auto" w:fill="auto"/>
            <w:hideMark/>
          </w:tcPr>
          <w:p w14:paraId="19E509A4" w14:textId="77777777" w:rsidR="00CD2A08" w:rsidRPr="00E82CC1" w:rsidRDefault="00CD2A08" w:rsidP="00CD2A08">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Sold de mijloace bănești la sfârșitul perioadei</w:t>
            </w:r>
          </w:p>
        </w:tc>
        <w:tc>
          <w:tcPr>
            <w:tcW w:w="1900" w:type="dxa"/>
            <w:shd w:val="clear" w:color="auto" w:fill="auto"/>
            <w:hideMark/>
          </w:tcPr>
          <w:p w14:paraId="02AF8816"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23046D9D"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7BEDEDA9"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71C36421"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6FE52A04"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bl>
    <w:p w14:paraId="51D12F67" w14:textId="552B13E5" w:rsidR="00CD2A08" w:rsidRPr="00E82CC1" w:rsidRDefault="00CD2A08" w:rsidP="00CD2A08">
      <w:pPr>
        <w:rPr>
          <w:rFonts w:ascii="Calibri" w:eastAsia="Calibri" w:hAnsi="Calibri" w:cs="Times New Roman"/>
          <w:lang w:val="ro-RO"/>
        </w:rPr>
      </w:pPr>
      <w:r w:rsidRPr="00E82CC1">
        <w:rPr>
          <w:rFonts w:ascii="Calibri Light" w:eastAsia="Times New Roman" w:hAnsi="Calibri Light" w:cs="Calibri Light"/>
          <w:b/>
          <w:bCs/>
          <w:i/>
          <w:iCs/>
          <w:color w:val="000000"/>
          <w:sz w:val="20"/>
          <w:szCs w:val="20"/>
          <w:lang w:val="ro-RO"/>
        </w:rPr>
        <w:t>Sursă:</w:t>
      </w:r>
      <w:r w:rsidRPr="00E82CC1">
        <w:rPr>
          <w:rFonts w:ascii="Calibri Light" w:eastAsia="Times New Roman" w:hAnsi="Calibri Light" w:cs="Calibri Light"/>
          <w:i/>
          <w:iCs/>
          <w:color w:val="000000"/>
          <w:sz w:val="20"/>
          <w:szCs w:val="20"/>
          <w:lang w:val="ro-RO"/>
        </w:rPr>
        <w:t xml:space="preserve"> Legea bugetului asigurărilor sociale de stat pentru anul 2021</w:t>
      </w:r>
      <w:r w:rsidR="002172F0">
        <w:rPr>
          <w:rFonts w:ascii="Calibri Light" w:eastAsia="Times New Roman" w:hAnsi="Calibri Light" w:cs="Calibri Light"/>
          <w:i/>
          <w:iCs/>
          <w:color w:val="000000"/>
          <w:sz w:val="20"/>
          <w:szCs w:val="20"/>
          <w:lang w:val="ro-RO"/>
        </w:rPr>
        <w:t>.</w:t>
      </w:r>
    </w:p>
    <w:p w14:paraId="61146014" w14:textId="77777777" w:rsidR="00EB2832" w:rsidRPr="00E82CC1" w:rsidRDefault="00EB2832" w:rsidP="00CD2A08">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br w:type="page"/>
      </w:r>
    </w:p>
    <w:p w14:paraId="65B6BB0D" w14:textId="77777777" w:rsidR="00CD2A08" w:rsidRPr="00E82CC1" w:rsidRDefault="00CD2A08" w:rsidP="00CD2A08">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Anexa nr. 3</w:t>
      </w:r>
    </w:p>
    <w:p w14:paraId="3592448C" w14:textId="77777777" w:rsidR="00155159" w:rsidRDefault="00CD2A08" w:rsidP="00CD2A08">
      <w:pPr>
        <w:tabs>
          <w:tab w:val="left" w:pos="162"/>
        </w:tabs>
        <w:spacing w:after="0" w:line="276" w:lineRule="auto"/>
        <w:jc w:val="center"/>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Executarea veniturilor bugetului asigurărilor sociale de stat în anii 2020-2021 </w:t>
      </w:r>
    </w:p>
    <w:p w14:paraId="2E32CF1F" w14:textId="693BC8C6" w:rsidR="00CD2A08" w:rsidRPr="00617E4A" w:rsidRDefault="00CD2A08" w:rsidP="00617E4A">
      <w:pPr>
        <w:tabs>
          <w:tab w:val="left" w:pos="162"/>
        </w:tabs>
        <w:spacing w:after="0" w:line="276" w:lineRule="auto"/>
        <w:jc w:val="right"/>
        <w:rPr>
          <w:rFonts w:ascii="Calibri Light" w:eastAsia="Times New Roman" w:hAnsi="Calibri Light" w:cs="Calibri Light"/>
          <w:b/>
          <w:sz w:val="20"/>
          <w:szCs w:val="20"/>
          <w:lang w:val="ro-RO"/>
        </w:rPr>
      </w:pPr>
      <w:r w:rsidRPr="00617E4A">
        <w:rPr>
          <w:rFonts w:ascii="Calibri Light" w:eastAsia="Times New Roman" w:hAnsi="Calibri Light" w:cs="Calibri Light"/>
          <w:b/>
          <w:sz w:val="20"/>
          <w:szCs w:val="20"/>
          <w:lang w:val="ro-RO"/>
        </w:rPr>
        <w:t>(mil. lei)</w:t>
      </w: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998"/>
        <w:gridCol w:w="1058"/>
        <w:gridCol w:w="1118"/>
        <w:gridCol w:w="998"/>
        <w:gridCol w:w="1092"/>
        <w:gridCol w:w="952"/>
        <w:gridCol w:w="890"/>
        <w:gridCol w:w="909"/>
        <w:gridCol w:w="909"/>
        <w:gridCol w:w="222"/>
      </w:tblGrid>
      <w:tr w:rsidR="004D7171" w:rsidRPr="00E82CC1" w14:paraId="1BBCE208" w14:textId="77777777" w:rsidTr="00045716">
        <w:trPr>
          <w:gridAfter w:val="1"/>
          <w:wAfter w:w="222" w:type="dxa"/>
          <w:trHeight w:val="20"/>
        </w:trPr>
        <w:tc>
          <w:tcPr>
            <w:tcW w:w="4954" w:type="dxa"/>
            <w:vMerge w:val="restart"/>
            <w:shd w:val="clear" w:color="auto" w:fill="auto"/>
            <w:vAlign w:val="center"/>
            <w:hideMark/>
          </w:tcPr>
          <w:p w14:paraId="6E40933A"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Indicatorii</w:t>
            </w:r>
          </w:p>
        </w:tc>
        <w:tc>
          <w:tcPr>
            <w:tcW w:w="998" w:type="dxa"/>
            <w:shd w:val="clear" w:color="auto" w:fill="auto"/>
            <w:vAlign w:val="center"/>
            <w:hideMark/>
          </w:tcPr>
          <w:p w14:paraId="3E5D1666"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Anul</w:t>
            </w:r>
          </w:p>
        </w:tc>
        <w:tc>
          <w:tcPr>
            <w:tcW w:w="3174" w:type="dxa"/>
            <w:gridSpan w:val="3"/>
            <w:shd w:val="clear" w:color="auto" w:fill="auto"/>
            <w:vAlign w:val="center"/>
            <w:hideMark/>
          </w:tcPr>
          <w:p w14:paraId="14312A7D" w14:textId="0F372287" w:rsidR="004D7171" w:rsidRPr="00E82CC1" w:rsidRDefault="00155159" w:rsidP="00866B53">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o-RO"/>
              </w:rPr>
              <w:t xml:space="preserve">Anul </w:t>
            </w:r>
            <w:r w:rsidR="004D7171" w:rsidRPr="00E82CC1">
              <w:rPr>
                <w:rFonts w:ascii="Calibri Light" w:eastAsia="Times New Roman" w:hAnsi="Calibri Light" w:cs="Calibri Light"/>
                <w:b/>
                <w:bCs/>
                <w:color w:val="000000"/>
                <w:sz w:val="18"/>
                <w:szCs w:val="18"/>
                <w:lang w:val="ro-RO"/>
              </w:rPr>
              <w:t>2021</w:t>
            </w:r>
          </w:p>
        </w:tc>
        <w:tc>
          <w:tcPr>
            <w:tcW w:w="1092" w:type="dxa"/>
            <w:shd w:val="clear" w:color="auto" w:fill="auto"/>
            <w:vAlign w:val="center"/>
            <w:hideMark/>
          </w:tcPr>
          <w:p w14:paraId="3D37B24F"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Ponderea, executat în suma totală</w:t>
            </w:r>
          </w:p>
        </w:tc>
        <w:tc>
          <w:tcPr>
            <w:tcW w:w="3660" w:type="dxa"/>
            <w:gridSpan w:val="4"/>
            <w:shd w:val="clear" w:color="auto" w:fill="auto"/>
            <w:vAlign w:val="center"/>
            <w:hideMark/>
          </w:tcPr>
          <w:p w14:paraId="1CC063AF"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Executat 2021, faţă de:</w:t>
            </w:r>
          </w:p>
        </w:tc>
      </w:tr>
      <w:tr w:rsidR="004D7171" w:rsidRPr="00E82CC1" w14:paraId="306EA9F8" w14:textId="77777777" w:rsidTr="00045716">
        <w:trPr>
          <w:gridAfter w:val="1"/>
          <w:wAfter w:w="222" w:type="dxa"/>
          <w:trHeight w:val="20"/>
        </w:trPr>
        <w:tc>
          <w:tcPr>
            <w:tcW w:w="4954" w:type="dxa"/>
            <w:vMerge/>
            <w:shd w:val="clear" w:color="auto" w:fill="auto"/>
            <w:vAlign w:val="center"/>
            <w:hideMark/>
          </w:tcPr>
          <w:p w14:paraId="3837FBE3"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p>
        </w:tc>
        <w:tc>
          <w:tcPr>
            <w:tcW w:w="998" w:type="dxa"/>
            <w:shd w:val="clear" w:color="auto" w:fill="auto"/>
            <w:vAlign w:val="center"/>
            <w:hideMark/>
          </w:tcPr>
          <w:p w14:paraId="56C70908"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2020,</w:t>
            </w:r>
          </w:p>
        </w:tc>
        <w:tc>
          <w:tcPr>
            <w:tcW w:w="1058" w:type="dxa"/>
            <w:vMerge w:val="restart"/>
            <w:shd w:val="clear" w:color="auto" w:fill="auto"/>
            <w:vAlign w:val="center"/>
            <w:hideMark/>
          </w:tcPr>
          <w:p w14:paraId="2CB26261"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aprobat</w:t>
            </w:r>
          </w:p>
        </w:tc>
        <w:tc>
          <w:tcPr>
            <w:tcW w:w="1118" w:type="dxa"/>
            <w:vMerge w:val="restart"/>
            <w:shd w:val="clear" w:color="auto" w:fill="auto"/>
            <w:vAlign w:val="center"/>
            <w:hideMark/>
          </w:tcPr>
          <w:p w14:paraId="52750159"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precizat</w:t>
            </w:r>
          </w:p>
        </w:tc>
        <w:tc>
          <w:tcPr>
            <w:tcW w:w="998" w:type="dxa"/>
            <w:vMerge w:val="restart"/>
            <w:shd w:val="clear" w:color="auto" w:fill="auto"/>
            <w:vAlign w:val="center"/>
            <w:hideMark/>
          </w:tcPr>
          <w:p w14:paraId="6DC19290"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executat</w:t>
            </w:r>
          </w:p>
        </w:tc>
        <w:tc>
          <w:tcPr>
            <w:tcW w:w="1092" w:type="dxa"/>
            <w:shd w:val="clear" w:color="auto" w:fill="auto"/>
            <w:vAlign w:val="center"/>
            <w:hideMark/>
          </w:tcPr>
          <w:p w14:paraId="36209958"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1842" w:type="dxa"/>
            <w:gridSpan w:val="2"/>
            <w:shd w:val="clear" w:color="auto" w:fill="auto"/>
            <w:vAlign w:val="center"/>
            <w:hideMark/>
          </w:tcPr>
          <w:p w14:paraId="1BA7A8B3"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executat 2020</w:t>
            </w:r>
          </w:p>
        </w:tc>
        <w:tc>
          <w:tcPr>
            <w:tcW w:w="1818" w:type="dxa"/>
            <w:gridSpan w:val="2"/>
            <w:shd w:val="clear" w:color="auto" w:fill="auto"/>
            <w:vAlign w:val="center"/>
            <w:hideMark/>
          </w:tcPr>
          <w:p w14:paraId="09FFABCE"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precizat 2021</w:t>
            </w:r>
          </w:p>
        </w:tc>
      </w:tr>
      <w:tr w:rsidR="004D7171" w:rsidRPr="00E82CC1" w14:paraId="685CC2D2" w14:textId="77777777" w:rsidTr="00045716">
        <w:trPr>
          <w:gridAfter w:val="1"/>
          <w:wAfter w:w="222" w:type="dxa"/>
          <w:trHeight w:val="20"/>
        </w:trPr>
        <w:tc>
          <w:tcPr>
            <w:tcW w:w="4954" w:type="dxa"/>
            <w:vMerge/>
            <w:shd w:val="clear" w:color="auto" w:fill="auto"/>
            <w:vAlign w:val="center"/>
            <w:hideMark/>
          </w:tcPr>
          <w:p w14:paraId="207B6869"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p>
        </w:tc>
        <w:tc>
          <w:tcPr>
            <w:tcW w:w="998" w:type="dxa"/>
            <w:shd w:val="clear" w:color="auto" w:fill="auto"/>
            <w:vAlign w:val="center"/>
            <w:hideMark/>
          </w:tcPr>
          <w:p w14:paraId="39614B67"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executat</w:t>
            </w:r>
          </w:p>
        </w:tc>
        <w:tc>
          <w:tcPr>
            <w:tcW w:w="1058" w:type="dxa"/>
            <w:vMerge/>
            <w:shd w:val="clear" w:color="auto" w:fill="auto"/>
            <w:vAlign w:val="center"/>
            <w:hideMark/>
          </w:tcPr>
          <w:p w14:paraId="64967E4A"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p>
        </w:tc>
        <w:tc>
          <w:tcPr>
            <w:tcW w:w="1118" w:type="dxa"/>
            <w:vMerge/>
            <w:shd w:val="clear" w:color="auto" w:fill="auto"/>
            <w:vAlign w:val="center"/>
            <w:hideMark/>
          </w:tcPr>
          <w:p w14:paraId="7C77CED8"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p>
        </w:tc>
        <w:tc>
          <w:tcPr>
            <w:tcW w:w="998" w:type="dxa"/>
            <w:vMerge/>
            <w:shd w:val="clear" w:color="auto" w:fill="auto"/>
            <w:vAlign w:val="center"/>
            <w:hideMark/>
          </w:tcPr>
          <w:p w14:paraId="1B473F3D"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p>
        </w:tc>
        <w:tc>
          <w:tcPr>
            <w:tcW w:w="1092" w:type="dxa"/>
            <w:shd w:val="clear" w:color="auto" w:fill="auto"/>
            <w:vAlign w:val="center"/>
            <w:hideMark/>
          </w:tcPr>
          <w:p w14:paraId="1751C9ED" w14:textId="77777777" w:rsidR="004D7171" w:rsidRPr="00E82CC1" w:rsidRDefault="004D7171" w:rsidP="00866B53">
            <w:pPr>
              <w:spacing w:after="0" w:line="240" w:lineRule="auto"/>
              <w:rPr>
                <w:rFonts w:ascii="Calibri" w:eastAsia="Times New Roman" w:hAnsi="Calibri" w:cs="Calibri"/>
                <w:color w:val="000000"/>
                <w:sz w:val="18"/>
                <w:szCs w:val="18"/>
                <w:lang w:val="ro-RO"/>
              </w:rPr>
            </w:pPr>
            <w:r w:rsidRPr="00E82CC1">
              <w:rPr>
                <w:rFonts w:ascii="Calibri" w:eastAsia="Times New Roman" w:hAnsi="Calibri" w:cs="Calibri"/>
                <w:color w:val="000000"/>
                <w:sz w:val="18"/>
                <w:szCs w:val="18"/>
                <w:lang w:val="ro-RO"/>
              </w:rPr>
              <w:t> </w:t>
            </w:r>
          </w:p>
        </w:tc>
        <w:tc>
          <w:tcPr>
            <w:tcW w:w="952" w:type="dxa"/>
            <w:shd w:val="clear" w:color="auto" w:fill="auto"/>
            <w:vAlign w:val="center"/>
            <w:hideMark/>
          </w:tcPr>
          <w:p w14:paraId="37BC3681"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890" w:type="dxa"/>
            <w:shd w:val="clear" w:color="auto" w:fill="auto"/>
            <w:vAlign w:val="center"/>
            <w:hideMark/>
          </w:tcPr>
          <w:p w14:paraId="4A83CF8D"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909" w:type="dxa"/>
            <w:shd w:val="clear" w:color="auto" w:fill="auto"/>
            <w:vAlign w:val="center"/>
            <w:hideMark/>
          </w:tcPr>
          <w:p w14:paraId="3DBE2226"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909" w:type="dxa"/>
            <w:shd w:val="clear" w:color="auto" w:fill="auto"/>
            <w:vAlign w:val="center"/>
            <w:hideMark/>
          </w:tcPr>
          <w:p w14:paraId="4230E20C" w14:textId="77777777" w:rsidR="004D7171" w:rsidRPr="00E82CC1" w:rsidRDefault="004D7171" w:rsidP="00866B53">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r>
      <w:tr w:rsidR="004D7171" w:rsidRPr="00E82CC1" w14:paraId="1B4A54BC" w14:textId="77777777" w:rsidTr="00045716">
        <w:trPr>
          <w:gridAfter w:val="1"/>
          <w:wAfter w:w="222" w:type="dxa"/>
          <w:trHeight w:val="20"/>
        </w:trPr>
        <w:tc>
          <w:tcPr>
            <w:tcW w:w="4954" w:type="dxa"/>
            <w:shd w:val="clear" w:color="auto" w:fill="auto"/>
            <w:hideMark/>
          </w:tcPr>
          <w:p w14:paraId="49AAD1AC"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A</w:t>
            </w:r>
          </w:p>
        </w:tc>
        <w:tc>
          <w:tcPr>
            <w:tcW w:w="998" w:type="dxa"/>
            <w:shd w:val="clear" w:color="auto" w:fill="auto"/>
            <w:hideMark/>
          </w:tcPr>
          <w:p w14:paraId="393A9617"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w:t>
            </w:r>
          </w:p>
        </w:tc>
        <w:tc>
          <w:tcPr>
            <w:tcW w:w="1058" w:type="dxa"/>
            <w:shd w:val="clear" w:color="auto" w:fill="auto"/>
            <w:hideMark/>
          </w:tcPr>
          <w:p w14:paraId="179CCBB2"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w:t>
            </w:r>
          </w:p>
        </w:tc>
        <w:tc>
          <w:tcPr>
            <w:tcW w:w="1118" w:type="dxa"/>
            <w:shd w:val="clear" w:color="auto" w:fill="auto"/>
            <w:hideMark/>
          </w:tcPr>
          <w:p w14:paraId="753F2F3F"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w:t>
            </w:r>
          </w:p>
        </w:tc>
        <w:tc>
          <w:tcPr>
            <w:tcW w:w="998" w:type="dxa"/>
            <w:shd w:val="clear" w:color="auto" w:fill="auto"/>
            <w:hideMark/>
          </w:tcPr>
          <w:p w14:paraId="14047DF3"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4</w:t>
            </w:r>
          </w:p>
        </w:tc>
        <w:tc>
          <w:tcPr>
            <w:tcW w:w="1092" w:type="dxa"/>
            <w:shd w:val="clear" w:color="auto" w:fill="auto"/>
            <w:hideMark/>
          </w:tcPr>
          <w:p w14:paraId="0B6082B6"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5</w:t>
            </w:r>
          </w:p>
        </w:tc>
        <w:tc>
          <w:tcPr>
            <w:tcW w:w="952" w:type="dxa"/>
            <w:shd w:val="clear" w:color="auto" w:fill="auto"/>
            <w:hideMark/>
          </w:tcPr>
          <w:p w14:paraId="108332C6"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w:t>
            </w:r>
          </w:p>
        </w:tc>
        <w:tc>
          <w:tcPr>
            <w:tcW w:w="890" w:type="dxa"/>
            <w:shd w:val="clear" w:color="auto" w:fill="auto"/>
            <w:hideMark/>
          </w:tcPr>
          <w:p w14:paraId="143F8151"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w:t>
            </w:r>
          </w:p>
        </w:tc>
        <w:tc>
          <w:tcPr>
            <w:tcW w:w="909" w:type="dxa"/>
            <w:shd w:val="clear" w:color="auto" w:fill="auto"/>
            <w:hideMark/>
          </w:tcPr>
          <w:p w14:paraId="6350BA6B"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8</w:t>
            </w:r>
          </w:p>
        </w:tc>
        <w:tc>
          <w:tcPr>
            <w:tcW w:w="909" w:type="dxa"/>
            <w:shd w:val="clear" w:color="auto" w:fill="auto"/>
            <w:hideMark/>
          </w:tcPr>
          <w:p w14:paraId="2B0C8B57" w14:textId="77777777" w:rsidR="004D7171" w:rsidRPr="00E82CC1" w:rsidRDefault="004D7171" w:rsidP="00866B53">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w:t>
            </w:r>
          </w:p>
        </w:tc>
      </w:tr>
      <w:tr w:rsidR="004D7171" w:rsidRPr="00E82CC1" w14:paraId="4D4662B6" w14:textId="77777777" w:rsidTr="00045716">
        <w:trPr>
          <w:gridAfter w:val="1"/>
          <w:wAfter w:w="222" w:type="dxa"/>
          <w:trHeight w:val="20"/>
        </w:trPr>
        <w:tc>
          <w:tcPr>
            <w:tcW w:w="4954" w:type="dxa"/>
            <w:shd w:val="clear" w:color="auto" w:fill="auto"/>
            <w:hideMark/>
          </w:tcPr>
          <w:p w14:paraId="0DA178C2"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Venituri, total</w:t>
            </w:r>
          </w:p>
        </w:tc>
        <w:tc>
          <w:tcPr>
            <w:tcW w:w="998" w:type="dxa"/>
            <w:shd w:val="clear" w:color="auto" w:fill="auto"/>
            <w:hideMark/>
          </w:tcPr>
          <w:p w14:paraId="06A25065"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24285.5</w:t>
            </w:r>
          </w:p>
        </w:tc>
        <w:tc>
          <w:tcPr>
            <w:tcW w:w="1058" w:type="dxa"/>
            <w:shd w:val="clear" w:color="auto" w:fill="auto"/>
            <w:hideMark/>
          </w:tcPr>
          <w:p w14:paraId="1BF2E2B9"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25791.9</w:t>
            </w:r>
          </w:p>
        </w:tc>
        <w:tc>
          <w:tcPr>
            <w:tcW w:w="1118" w:type="dxa"/>
            <w:shd w:val="clear" w:color="auto" w:fill="auto"/>
            <w:hideMark/>
          </w:tcPr>
          <w:p w14:paraId="4FF0973E"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27629.0</w:t>
            </w:r>
          </w:p>
        </w:tc>
        <w:tc>
          <w:tcPr>
            <w:tcW w:w="998" w:type="dxa"/>
            <w:shd w:val="clear" w:color="auto" w:fill="auto"/>
            <w:hideMark/>
          </w:tcPr>
          <w:p w14:paraId="5BE6FCAA"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27246.8</w:t>
            </w:r>
          </w:p>
        </w:tc>
        <w:tc>
          <w:tcPr>
            <w:tcW w:w="1092" w:type="dxa"/>
            <w:shd w:val="clear" w:color="auto" w:fill="auto"/>
            <w:hideMark/>
          </w:tcPr>
          <w:p w14:paraId="4777E91D"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100</w:t>
            </w:r>
          </w:p>
        </w:tc>
        <w:tc>
          <w:tcPr>
            <w:tcW w:w="952" w:type="dxa"/>
            <w:shd w:val="clear" w:color="auto" w:fill="auto"/>
            <w:hideMark/>
          </w:tcPr>
          <w:p w14:paraId="5E36D1D4"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2961.3</w:t>
            </w:r>
          </w:p>
        </w:tc>
        <w:tc>
          <w:tcPr>
            <w:tcW w:w="890" w:type="dxa"/>
            <w:shd w:val="clear" w:color="auto" w:fill="auto"/>
            <w:hideMark/>
          </w:tcPr>
          <w:p w14:paraId="781C991D"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112.2</w:t>
            </w:r>
          </w:p>
        </w:tc>
        <w:tc>
          <w:tcPr>
            <w:tcW w:w="909" w:type="dxa"/>
            <w:shd w:val="clear" w:color="auto" w:fill="auto"/>
            <w:hideMark/>
          </w:tcPr>
          <w:p w14:paraId="7C2AEB56"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-382.2</w:t>
            </w:r>
          </w:p>
        </w:tc>
        <w:tc>
          <w:tcPr>
            <w:tcW w:w="909" w:type="dxa"/>
            <w:shd w:val="clear" w:color="auto" w:fill="auto"/>
            <w:hideMark/>
          </w:tcPr>
          <w:p w14:paraId="1593418C" w14:textId="77777777" w:rsidR="004D7171" w:rsidRPr="00E82CC1" w:rsidRDefault="004D7171" w:rsidP="00866B53">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98.6</w:t>
            </w:r>
          </w:p>
        </w:tc>
      </w:tr>
      <w:tr w:rsidR="004D7171" w:rsidRPr="00E82CC1" w14:paraId="0FCBD034" w14:textId="77777777" w:rsidTr="00045716">
        <w:trPr>
          <w:gridAfter w:val="1"/>
          <w:wAfter w:w="222" w:type="dxa"/>
          <w:trHeight w:val="20"/>
        </w:trPr>
        <w:tc>
          <w:tcPr>
            <w:tcW w:w="4954" w:type="dxa"/>
            <w:shd w:val="clear" w:color="auto" w:fill="auto"/>
            <w:hideMark/>
          </w:tcPr>
          <w:p w14:paraId="2045CB91"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1.</w:t>
            </w:r>
            <w:r w:rsidRPr="00E82CC1">
              <w:rPr>
                <w:rFonts w:ascii="Times New Roman" w:eastAsia="Times New Roman" w:hAnsi="Times New Roman" w:cs="Times New Roman"/>
                <w:b/>
                <w:bCs/>
                <w:color w:val="000000"/>
                <w:sz w:val="18"/>
                <w:szCs w:val="18"/>
                <w:lang w:val="ro-RO"/>
              </w:rPr>
              <w:t xml:space="preserve">          </w:t>
            </w:r>
            <w:r w:rsidRPr="00E82CC1">
              <w:rPr>
                <w:rFonts w:ascii="Calibri Light" w:eastAsia="Times New Roman" w:hAnsi="Calibri Light" w:cs="Calibri Light"/>
                <w:b/>
                <w:bCs/>
                <w:color w:val="000000"/>
                <w:sz w:val="18"/>
                <w:szCs w:val="18"/>
                <w:lang w:val="ro-RO"/>
              </w:rPr>
              <w:t>Resurse proprii ale BASS</w:t>
            </w:r>
          </w:p>
        </w:tc>
        <w:tc>
          <w:tcPr>
            <w:tcW w:w="998" w:type="dxa"/>
            <w:shd w:val="clear" w:color="auto" w:fill="auto"/>
            <w:hideMark/>
          </w:tcPr>
          <w:p w14:paraId="309F3F49"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14516.09</w:t>
            </w:r>
          </w:p>
        </w:tc>
        <w:tc>
          <w:tcPr>
            <w:tcW w:w="1058" w:type="dxa"/>
            <w:shd w:val="clear" w:color="auto" w:fill="auto"/>
            <w:hideMark/>
          </w:tcPr>
          <w:p w14:paraId="684BA38A"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15337.30</w:t>
            </w:r>
          </w:p>
        </w:tc>
        <w:tc>
          <w:tcPr>
            <w:tcW w:w="1118" w:type="dxa"/>
            <w:shd w:val="clear" w:color="auto" w:fill="auto"/>
            <w:hideMark/>
          </w:tcPr>
          <w:p w14:paraId="38CDE509"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16561.00</w:t>
            </w:r>
          </w:p>
        </w:tc>
        <w:tc>
          <w:tcPr>
            <w:tcW w:w="998" w:type="dxa"/>
            <w:shd w:val="clear" w:color="auto" w:fill="auto"/>
            <w:hideMark/>
          </w:tcPr>
          <w:p w14:paraId="4DD8666E"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16522.00</w:t>
            </w:r>
          </w:p>
        </w:tc>
        <w:tc>
          <w:tcPr>
            <w:tcW w:w="1092" w:type="dxa"/>
            <w:shd w:val="clear" w:color="auto" w:fill="auto"/>
            <w:hideMark/>
          </w:tcPr>
          <w:p w14:paraId="01DE73D7"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60.64</w:t>
            </w:r>
          </w:p>
        </w:tc>
        <w:tc>
          <w:tcPr>
            <w:tcW w:w="952" w:type="dxa"/>
            <w:shd w:val="clear" w:color="auto" w:fill="auto"/>
            <w:hideMark/>
          </w:tcPr>
          <w:p w14:paraId="4E0EA578"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2005.91</w:t>
            </w:r>
          </w:p>
        </w:tc>
        <w:tc>
          <w:tcPr>
            <w:tcW w:w="890" w:type="dxa"/>
            <w:shd w:val="clear" w:color="auto" w:fill="auto"/>
            <w:hideMark/>
          </w:tcPr>
          <w:p w14:paraId="22EEC670"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113.82</w:t>
            </w:r>
          </w:p>
        </w:tc>
        <w:tc>
          <w:tcPr>
            <w:tcW w:w="909" w:type="dxa"/>
            <w:shd w:val="clear" w:color="auto" w:fill="auto"/>
            <w:hideMark/>
          </w:tcPr>
          <w:p w14:paraId="3D3F7900"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-39.00</w:t>
            </w:r>
          </w:p>
        </w:tc>
        <w:tc>
          <w:tcPr>
            <w:tcW w:w="909" w:type="dxa"/>
            <w:shd w:val="clear" w:color="auto" w:fill="auto"/>
            <w:hideMark/>
          </w:tcPr>
          <w:p w14:paraId="4711C553"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99.76</w:t>
            </w:r>
          </w:p>
        </w:tc>
      </w:tr>
      <w:tr w:rsidR="004D7171" w:rsidRPr="00E82CC1" w14:paraId="19410334" w14:textId="77777777" w:rsidTr="00045716">
        <w:trPr>
          <w:gridAfter w:val="1"/>
          <w:wAfter w:w="222" w:type="dxa"/>
          <w:trHeight w:val="20"/>
        </w:trPr>
        <w:tc>
          <w:tcPr>
            <w:tcW w:w="4954" w:type="dxa"/>
            <w:shd w:val="clear" w:color="auto" w:fill="auto"/>
            <w:hideMark/>
          </w:tcPr>
          <w:p w14:paraId="18FF2692" w14:textId="418C8C9E" w:rsidR="004D7171" w:rsidRPr="00E82CC1" w:rsidRDefault="004D7171" w:rsidP="00155159">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1.1. Contribuţii şi prime de asigurări sociale de stat obligatorii,  inclusiv:</w:t>
            </w:r>
          </w:p>
        </w:tc>
        <w:tc>
          <w:tcPr>
            <w:tcW w:w="998" w:type="dxa"/>
            <w:shd w:val="clear" w:color="auto" w:fill="auto"/>
            <w:hideMark/>
          </w:tcPr>
          <w:p w14:paraId="0F77740D"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14295.39</w:t>
            </w:r>
          </w:p>
        </w:tc>
        <w:tc>
          <w:tcPr>
            <w:tcW w:w="1058" w:type="dxa"/>
            <w:shd w:val="clear" w:color="auto" w:fill="auto"/>
            <w:hideMark/>
          </w:tcPr>
          <w:p w14:paraId="74ABD55C"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15080.1</w:t>
            </w:r>
          </w:p>
        </w:tc>
        <w:tc>
          <w:tcPr>
            <w:tcW w:w="1118" w:type="dxa"/>
            <w:shd w:val="clear" w:color="auto" w:fill="auto"/>
            <w:hideMark/>
          </w:tcPr>
          <w:p w14:paraId="7F2524ED"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16284.9</w:t>
            </w:r>
          </w:p>
        </w:tc>
        <w:tc>
          <w:tcPr>
            <w:tcW w:w="998" w:type="dxa"/>
            <w:shd w:val="clear" w:color="auto" w:fill="auto"/>
            <w:hideMark/>
          </w:tcPr>
          <w:p w14:paraId="4F0697B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16223.9</w:t>
            </w:r>
          </w:p>
        </w:tc>
        <w:tc>
          <w:tcPr>
            <w:tcW w:w="1092" w:type="dxa"/>
            <w:shd w:val="clear" w:color="auto" w:fill="auto"/>
            <w:hideMark/>
          </w:tcPr>
          <w:p w14:paraId="4AF694C1"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98.20</w:t>
            </w:r>
          </w:p>
        </w:tc>
        <w:tc>
          <w:tcPr>
            <w:tcW w:w="952" w:type="dxa"/>
            <w:shd w:val="clear" w:color="auto" w:fill="auto"/>
            <w:hideMark/>
          </w:tcPr>
          <w:p w14:paraId="70B58B1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1928.5</w:t>
            </w:r>
          </w:p>
        </w:tc>
        <w:tc>
          <w:tcPr>
            <w:tcW w:w="890" w:type="dxa"/>
            <w:shd w:val="clear" w:color="auto" w:fill="auto"/>
            <w:hideMark/>
          </w:tcPr>
          <w:p w14:paraId="7FA5455E"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113.5</w:t>
            </w:r>
          </w:p>
        </w:tc>
        <w:tc>
          <w:tcPr>
            <w:tcW w:w="909" w:type="dxa"/>
            <w:shd w:val="clear" w:color="auto" w:fill="auto"/>
            <w:hideMark/>
          </w:tcPr>
          <w:p w14:paraId="026335E4"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-61.0</w:t>
            </w:r>
          </w:p>
        </w:tc>
        <w:tc>
          <w:tcPr>
            <w:tcW w:w="909" w:type="dxa"/>
            <w:shd w:val="clear" w:color="auto" w:fill="auto"/>
            <w:hideMark/>
          </w:tcPr>
          <w:p w14:paraId="3317205B"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99.6</w:t>
            </w:r>
          </w:p>
        </w:tc>
      </w:tr>
      <w:tr w:rsidR="004D7171" w:rsidRPr="00E82CC1" w14:paraId="607B5031" w14:textId="77777777" w:rsidTr="00045716">
        <w:trPr>
          <w:gridAfter w:val="1"/>
          <w:wAfter w:w="222" w:type="dxa"/>
          <w:trHeight w:val="20"/>
        </w:trPr>
        <w:tc>
          <w:tcPr>
            <w:tcW w:w="4954" w:type="dxa"/>
            <w:shd w:val="clear" w:color="auto" w:fill="auto"/>
            <w:hideMark/>
          </w:tcPr>
          <w:p w14:paraId="6E249896" w14:textId="77777777" w:rsidR="004D7171" w:rsidRPr="00E82CC1" w:rsidRDefault="004D7171" w:rsidP="00866B53">
            <w:pPr>
              <w:spacing w:after="0" w:line="240" w:lineRule="auto"/>
              <w:jc w:val="both"/>
              <w:rPr>
                <w:rFonts w:ascii="Calibri Light" w:eastAsia="Times New Roman" w:hAnsi="Calibri Light" w:cs="Calibri Light"/>
                <w:color w:val="000000"/>
                <w:sz w:val="16"/>
                <w:szCs w:val="16"/>
                <w:lang w:val="ro-RO"/>
              </w:rPr>
            </w:pPr>
            <w:r w:rsidRPr="00E82CC1">
              <w:rPr>
                <w:rFonts w:ascii="Calibri Light" w:eastAsia="Times New Roman" w:hAnsi="Calibri Light" w:cs="Calibri Light"/>
                <w:color w:val="000000"/>
                <w:sz w:val="16"/>
                <w:szCs w:val="16"/>
                <w:lang w:val="ro-RO"/>
              </w:rPr>
              <w:t>Contribuţii de asigurări sociale de stat obligatorii virate de angajatori</w:t>
            </w:r>
          </w:p>
        </w:tc>
        <w:tc>
          <w:tcPr>
            <w:tcW w:w="998" w:type="dxa"/>
            <w:shd w:val="clear" w:color="auto" w:fill="auto"/>
            <w:noWrap/>
            <w:vAlign w:val="center"/>
            <w:hideMark/>
          </w:tcPr>
          <w:p w14:paraId="0CFEA343"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14138.0</w:t>
            </w:r>
          </w:p>
        </w:tc>
        <w:tc>
          <w:tcPr>
            <w:tcW w:w="1058" w:type="dxa"/>
            <w:shd w:val="clear" w:color="auto" w:fill="auto"/>
            <w:noWrap/>
            <w:vAlign w:val="center"/>
            <w:hideMark/>
          </w:tcPr>
          <w:p w14:paraId="1FCA030E"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14921.5</w:t>
            </w:r>
          </w:p>
        </w:tc>
        <w:tc>
          <w:tcPr>
            <w:tcW w:w="1118" w:type="dxa"/>
            <w:shd w:val="clear" w:color="auto" w:fill="auto"/>
            <w:noWrap/>
            <w:vAlign w:val="center"/>
            <w:hideMark/>
          </w:tcPr>
          <w:p w14:paraId="23E3EF07"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16082.5</w:t>
            </w:r>
          </w:p>
        </w:tc>
        <w:tc>
          <w:tcPr>
            <w:tcW w:w="998" w:type="dxa"/>
            <w:shd w:val="clear" w:color="auto" w:fill="auto"/>
            <w:noWrap/>
            <w:vAlign w:val="center"/>
            <w:hideMark/>
          </w:tcPr>
          <w:p w14:paraId="7A55A932"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16017.7</w:t>
            </w:r>
          </w:p>
        </w:tc>
        <w:tc>
          <w:tcPr>
            <w:tcW w:w="1092" w:type="dxa"/>
            <w:shd w:val="clear" w:color="auto" w:fill="auto"/>
            <w:vAlign w:val="center"/>
            <w:hideMark/>
          </w:tcPr>
          <w:p w14:paraId="4348D235"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98.73</w:t>
            </w:r>
          </w:p>
        </w:tc>
        <w:tc>
          <w:tcPr>
            <w:tcW w:w="952" w:type="dxa"/>
            <w:shd w:val="clear" w:color="auto" w:fill="auto"/>
            <w:vAlign w:val="center"/>
            <w:hideMark/>
          </w:tcPr>
          <w:p w14:paraId="5BB51C96"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1879.6</w:t>
            </w:r>
          </w:p>
        </w:tc>
        <w:tc>
          <w:tcPr>
            <w:tcW w:w="890" w:type="dxa"/>
            <w:shd w:val="clear" w:color="auto" w:fill="auto"/>
            <w:vAlign w:val="center"/>
            <w:hideMark/>
          </w:tcPr>
          <w:p w14:paraId="4E167E75"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113.30</w:t>
            </w:r>
          </w:p>
        </w:tc>
        <w:tc>
          <w:tcPr>
            <w:tcW w:w="909" w:type="dxa"/>
            <w:shd w:val="clear" w:color="auto" w:fill="auto"/>
            <w:vAlign w:val="center"/>
            <w:hideMark/>
          </w:tcPr>
          <w:p w14:paraId="4FFE31C9"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-64.8</w:t>
            </w:r>
          </w:p>
        </w:tc>
        <w:tc>
          <w:tcPr>
            <w:tcW w:w="909" w:type="dxa"/>
            <w:shd w:val="clear" w:color="auto" w:fill="auto"/>
            <w:vAlign w:val="center"/>
            <w:hideMark/>
          </w:tcPr>
          <w:p w14:paraId="65C8B958"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99.60</w:t>
            </w:r>
          </w:p>
        </w:tc>
      </w:tr>
      <w:tr w:rsidR="004D7171" w:rsidRPr="00E82CC1" w14:paraId="104258C1" w14:textId="77777777" w:rsidTr="00045716">
        <w:trPr>
          <w:gridAfter w:val="1"/>
          <w:wAfter w:w="222" w:type="dxa"/>
          <w:trHeight w:val="20"/>
        </w:trPr>
        <w:tc>
          <w:tcPr>
            <w:tcW w:w="4954" w:type="dxa"/>
            <w:shd w:val="clear" w:color="auto" w:fill="auto"/>
            <w:hideMark/>
          </w:tcPr>
          <w:p w14:paraId="75C03EDD" w14:textId="47FB5AFF" w:rsidR="004D7171" w:rsidRPr="00E82CC1" w:rsidRDefault="004D7171" w:rsidP="00155159">
            <w:pPr>
              <w:spacing w:after="0" w:line="240" w:lineRule="auto"/>
              <w:jc w:val="both"/>
              <w:rPr>
                <w:rFonts w:ascii="Calibri Light" w:eastAsia="Times New Roman" w:hAnsi="Calibri Light" w:cs="Calibri Light"/>
                <w:color w:val="000000"/>
                <w:sz w:val="16"/>
                <w:szCs w:val="16"/>
                <w:lang w:val="ro-RO"/>
              </w:rPr>
            </w:pPr>
            <w:r w:rsidRPr="00E82CC1">
              <w:rPr>
                <w:rFonts w:ascii="Calibri Light" w:eastAsia="Times New Roman" w:hAnsi="Calibri Light" w:cs="Calibri Light"/>
                <w:color w:val="000000"/>
                <w:sz w:val="16"/>
                <w:szCs w:val="16"/>
                <w:lang w:val="ro-RO"/>
              </w:rPr>
              <w:t>Contribuţii de asigur</w:t>
            </w:r>
            <w:r w:rsidR="00155159">
              <w:rPr>
                <w:rFonts w:ascii="Calibri Light" w:eastAsia="Times New Roman" w:hAnsi="Calibri Light" w:cs="Calibri Light"/>
                <w:color w:val="000000"/>
                <w:sz w:val="16"/>
                <w:szCs w:val="16"/>
                <w:lang w:val="ro-RO"/>
              </w:rPr>
              <w:t>ă</w:t>
            </w:r>
            <w:r w:rsidRPr="00E82CC1">
              <w:rPr>
                <w:rFonts w:ascii="Calibri Light" w:eastAsia="Times New Roman" w:hAnsi="Calibri Light" w:cs="Calibri Light"/>
                <w:color w:val="000000"/>
                <w:sz w:val="16"/>
                <w:szCs w:val="16"/>
                <w:lang w:val="ro-RO"/>
              </w:rPr>
              <w:t>ri sociale de stat obligatorii, virate de persoanele fizice ce îşi desfăşoară activitate</w:t>
            </w:r>
            <w:r w:rsidR="00155159">
              <w:rPr>
                <w:rFonts w:ascii="Calibri Light" w:eastAsia="Times New Roman" w:hAnsi="Calibri Light" w:cs="Calibri Light"/>
                <w:color w:val="000000"/>
                <w:sz w:val="16"/>
                <w:szCs w:val="16"/>
                <w:lang w:val="ro-RO"/>
              </w:rPr>
              <w:t>a</w:t>
            </w:r>
            <w:r w:rsidRPr="00E82CC1">
              <w:rPr>
                <w:rFonts w:ascii="Calibri Light" w:eastAsia="Times New Roman" w:hAnsi="Calibri Light" w:cs="Calibri Light"/>
                <w:color w:val="000000"/>
                <w:sz w:val="16"/>
                <w:szCs w:val="16"/>
                <w:lang w:val="ro-RO"/>
              </w:rPr>
              <w:t xml:space="preserve"> pe cont propriu</w:t>
            </w:r>
          </w:p>
        </w:tc>
        <w:tc>
          <w:tcPr>
            <w:tcW w:w="998" w:type="dxa"/>
            <w:shd w:val="clear" w:color="auto" w:fill="auto"/>
            <w:vAlign w:val="center"/>
            <w:hideMark/>
          </w:tcPr>
          <w:p w14:paraId="6B38A708"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85.8</w:t>
            </w:r>
          </w:p>
        </w:tc>
        <w:tc>
          <w:tcPr>
            <w:tcW w:w="1058" w:type="dxa"/>
            <w:shd w:val="clear" w:color="auto" w:fill="auto"/>
            <w:vAlign w:val="center"/>
            <w:hideMark/>
          </w:tcPr>
          <w:p w14:paraId="776CDCC2"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110.3</w:t>
            </w:r>
          </w:p>
        </w:tc>
        <w:tc>
          <w:tcPr>
            <w:tcW w:w="1118" w:type="dxa"/>
            <w:shd w:val="clear" w:color="auto" w:fill="auto"/>
            <w:vAlign w:val="center"/>
            <w:hideMark/>
          </w:tcPr>
          <w:p w14:paraId="265DEC40"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116.8</w:t>
            </w:r>
          </w:p>
        </w:tc>
        <w:tc>
          <w:tcPr>
            <w:tcW w:w="998" w:type="dxa"/>
            <w:shd w:val="clear" w:color="auto" w:fill="auto"/>
            <w:vAlign w:val="center"/>
            <w:hideMark/>
          </w:tcPr>
          <w:p w14:paraId="7C3D0AC5"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118.6</w:t>
            </w:r>
          </w:p>
        </w:tc>
        <w:tc>
          <w:tcPr>
            <w:tcW w:w="1092" w:type="dxa"/>
            <w:shd w:val="clear" w:color="auto" w:fill="auto"/>
            <w:vAlign w:val="center"/>
            <w:hideMark/>
          </w:tcPr>
          <w:p w14:paraId="4CD31842"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0.73</w:t>
            </w:r>
          </w:p>
        </w:tc>
        <w:tc>
          <w:tcPr>
            <w:tcW w:w="952" w:type="dxa"/>
            <w:shd w:val="clear" w:color="auto" w:fill="auto"/>
            <w:vAlign w:val="center"/>
            <w:hideMark/>
          </w:tcPr>
          <w:p w14:paraId="59567D02"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32.8</w:t>
            </w:r>
          </w:p>
        </w:tc>
        <w:tc>
          <w:tcPr>
            <w:tcW w:w="890" w:type="dxa"/>
            <w:shd w:val="clear" w:color="auto" w:fill="auto"/>
            <w:vAlign w:val="center"/>
            <w:hideMark/>
          </w:tcPr>
          <w:p w14:paraId="6606982E"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138.2</w:t>
            </w:r>
          </w:p>
        </w:tc>
        <w:tc>
          <w:tcPr>
            <w:tcW w:w="909" w:type="dxa"/>
            <w:shd w:val="clear" w:color="auto" w:fill="auto"/>
            <w:vAlign w:val="center"/>
            <w:hideMark/>
          </w:tcPr>
          <w:p w14:paraId="2609107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1.8</w:t>
            </w:r>
          </w:p>
        </w:tc>
        <w:tc>
          <w:tcPr>
            <w:tcW w:w="909" w:type="dxa"/>
            <w:shd w:val="clear" w:color="auto" w:fill="auto"/>
            <w:vAlign w:val="center"/>
            <w:hideMark/>
          </w:tcPr>
          <w:p w14:paraId="44C9E426"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101.6</w:t>
            </w:r>
          </w:p>
        </w:tc>
      </w:tr>
      <w:tr w:rsidR="004D7171" w:rsidRPr="00E82CC1" w14:paraId="7E612B95" w14:textId="77777777" w:rsidTr="00045716">
        <w:trPr>
          <w:gridAfter w:val="1"/>
          <w:wAfter w:w="222" w:type="dxa"/>
          <w:trHeight w:val="20"/>
        </w:trPr>
        <w:tc>
          <w:tcPr>
            <w:tcW w:w="4954" w:type="dxa"/>
            <w:shd w:val="clear" w:color="auto" w:fill="auto"/>
            <w:hideMark/>
          </w:tcPr>
          <w:p w14:paraId="5C539A83" w14:textId="77777777" w:rsidR="004D7171" w:rsidRPr="00E82CC1" w:rsidRDefault="004D7171" w:rsidP="00866B53">
            <w:pPr>
              <w:spacing w:after="0" w:line="240" w:lineRule="auto"/>
              <w:jc w:val="both"/>
              <w:rPr>
                <w:rFonts w:ascii="Calibri Light" w:eastAsia="Times New Roman" w:hAnsi="Calibri Light" w:cs="Calibri Light"/>
                <w:color w:val="000000"/>
                <w:sz w:val="16"/>
                <w:szCs w:val="16"/>
                <w:lang w:val="ro-RO"/>
              </w:rPr>
            </w:pPr>
            <w:r w:rsidRPr="00E82CC1">
              <w:rPr>
                <w:rFonts w:ascii="Calibri Light" w:eastAsia="Times New Roman" w:hAnsi="Calibri Light" w:cs="Calibri Light"/>
                <w:color w:val="000000"/>
                <w:sz w:val="16"/>
                <w:szCs w:val="16"/>
                <w:lang w:val="ro-RO"/>
              </w:rPr>
              <w:t>Contribuţii de asigurări sociale de stat individuale virate de persoanele fizice care au încheiat contract individual</w:t>
            </w:r>
          </w:p>
        </w:tc>
        <w:tc>
          <w:tcPr>
            <w:tcW w:w="998" w:type="dxa"/>
            <w:shd w:val="clear" w:color="auto" w:fill="auto"/>
            <w:noWrap/>
            <w:vAlign w:val="center"/>
            <w:hideMark/>
          </w:tcPr>
          <w:p w14:paraId="0E5B687D"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4.4</w:t>
            </w:r>
          </w:p>
        </w:tc>
        <w:tc>
          <w:tcPr>
            <w:tcW w:w="1058" w:type="dxa"/>
            <w:shd w:val="clear" w:color="auto" w:fill="auto"/>
            <w:noWrap/>
            <w:vAlign w:val="center"/>
            <w:hideMark/>
          </w:tcPr>
          <w:p w14:paraId="63C42F2B"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3.0</w:t>
            </w:r>
          </w:p>
        </w:tc>
        <w:tc>
          <w:tcPr>
            <w:tcW w:w="1118" w:type="dxa"/>
            <w:shd w:val="clear" w:color="auto" w:fill="auto"/>
            <w:noWrap/>
            <w:vAlign w:val="center"/>
            <w:hideMark/>
          </w:tcPr>
          <w:p w14:paraId="78526174"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4.3</w:t>
            </w:r>
          </w:p>
        </w:tc>
        <w:tc>
          <w:tcPr>
            <w:tcW w:w="998" w:type="dxa"/>
            <w:shd w:val="clear" w:color="auto" w:fill="auto"/>
            <w:noWrap/>
            <w:vAlign w:val="center"/>
            <w:hideMark/>
          </w:tcPr>
          <w:p w14:paraId="0B71A15F"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5.6</w:t>
            </w:r>
          </w:p>
        </w:tc>
        <w:tc>
          <w:tcPr>
            <w:tcW w:w="1092" w:type="dxa"/>
            <w:shd w:val="clear" w:color="auto" w:fill="auto"/>
            <w:vAlign w:val="center"/>
            <w:hideMark/>
          </w:tcPr>
          <w:p w14:paraId="2148614D"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0.03</w:t>
            </w:r>
          </w:p>
        </w:tc>
        <w:tc>
          <w:tcPr>
            <w:tcW w:w="952" w:type="dxa"/>
            <w:shd w:val="clear" w:color="auto" w:fill="auto"/>
            <w:vAlign w:val="center"/>
            <w:hideMark/>
          </w:tcPr>
          <w:p w14:paraId="70C98BC1"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w:t>
            </w:r>
          </w:p>
        </w:tc>
        <w:tc>
          <w:tcPr>
            <w:tcW w:w="890" w:type="dxa"/>
            <w:shd w:val="clear" w:color="auto" w:fill="auto"/>
            <w:vAlign w:val="center"/>
            <w:hideMark/>
          </w:tcPr>
          <w:p w14:paraId="7F036192"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124.6</w:t>
            </w:r>
          </w:p>
        </w:tc>
        <w:tc>
          <w:tcPr>
            <w:tcW w:w="909" w:type="dxa"/>
            <w:shd w:val="clear" w:color="auto" w:fill="auto"/>
            <w:vAlign w:val="center"/>
            <w:hideMark/>
          </w:tcPr>
          <w:p w14:paraId="3FC324FC"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w:t>
            </w:r>
          </w:p>
        </w:tc>
        <w:tc>
          <w:tcPr>
            <w:tcW w:w="909" w:type="dxa"/>
            <w:shd w:val="clear" w:color="auto" w:fill="auto"/>
            <w:vAlign w:val="center"/>
            <w:hideMark/>
          </w:tcPr>
          <w:p w14:paraId="3C6EB6A2"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130.1</w:t>
            </w:r>
          </w:p>
        </w:tc>
      </w:tr>
      <w:tr w:rsidR="004D7171" w:rsidRPr="00E82CC1" w14:paraId="3605689D" w14:textId="77777777" w:rsidTr="00045716">
        <w:trPr>
          <w:gridAfter w:val="1"/>
          <w:wAfter w:w="222" w:type="dxa"/>
          <w:trHeight w:val="20"/>
        </w:trPr>
        <w:tc>
          <w:tcPr>
            <w:tcW w:w="4954" w:type="dxa"/>
            <w:shd w:val="clear" w:color="auto" w:fill="auto"/>
            <w:hideMark/>
          </w:tcPr>
          <w:p w14:paraId="70D1DEF3" w14:textId="77777777" w:rsidR="004D7171" w:rsidRPr="00E82CC1" w:rsidRDefault="004D7171" w:rsidP="00866B53">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Contribuţii  de asigurări sociale de stat obligatorii, virate de titularii de patentă de întreprinzător</w:t>
            </w:r>
          </w:p>
        </w:tc>
        <w:tc>
          <w:tcPr>
            <w:tcW w:w="998" w:type="dxa"/>
            <w:shd w:val="clear" w:color="auto" w:fill="auto"/>
            <w:vAlign w:val="center"/>
            <w:hideMark/>
          </w:tcPr>
          <w:p w14:paraId="3E62F8CE"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35.3</w:t>
            </w:r>
          </w:p>
        </w:tc>
        <w:tc>
          <w:tcPr>
            <w:tcW w:w="1058" w:type="dxa"/>
            <w:shd w:val="clear" w:color="auto" w:fill="auto"/>
            <w:vAlign w:val="center"/>
            <w:hideMark/>
          </w:tcPr>
          <w:p w14:paraId="75EFB94B"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45.3</w:t>
            </w:r>
          </w:p>
        </w:tc>
        <w:tc>
          <w:tcPr>
            <w:tcW w:w="1118" w:type="dxa"/>
            <w:shd w:val="clear" w:color="auto" w:fill="auto"/>
            <w:vAlign w:val="center"/>
            <w:hideMark/>
          </w:tcPr>
          <w:p w14:paraId="08A476DF"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45.3</w:t>
            </w:r>
          </w:p>
        </w:tc>
        <w:tc>
          <w:tcPr>
            <w:tcW w:w="998" w:type="dxa"/>
            <w:shd w:val="clear" w:color="auto" w:fill="auto"/>
            <w:vAlign w:val="center"/>
            <w:hideMark/>
          </w:tcPr>
          <w:p w14:paraId="28710FF8"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41.1</w:t>
            </w:r>
          </w:p>
        </w:tc>
        <w:tc>
          <w:tcPr>
            <w:tcW w:w="1092" w:type="dxa"/>
            <w:shd w:val="clear" w:color="auto" w:fill="auto"/>
            <w:vAlign w:val="center"/>
            <w:hideMark/>
          </w:tcPr>
          <w:p w14:paraId="147E7776"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0.25</w:t>
            </w:r>
          </w:p>
        </w:tc>
        <w:tc>
          <w:tcPr>
            <w:tcW w:w="952" w:type="dxa"/>
            <w:shd w:val="clear" w:color="auto" w:fill="auto"/>
            <w:vAlign w:val="center"/>
            <w:hideMark/>
          </w:tcPr>
          <w:p w14:paraId="52B99F97"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5.8</w:t>
            </w:r>
          </w:p>
        </w:tc>
        <w:tc>
          <w:tcPr>
            <w:tcW w:w="890" w:type="dxa"/>
            <w:shd w:val="clear" w:color="auto" w:fill="auto"/>
            <w:vAlign w:val="center"/>
            <w:hideMark/>
          </w:tcPr>
          <w:p w14:paraId="362C46C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116.3</w:t>
            </w:r>
          </w:p>
        </w:tc>
        <w:tc>
          <w:tcPr>
            <w:tcW w:w="909" w:type="dxa"/>
            <w:shd w:val="clear" w:color="auto" w:fill="auto"/>
            <w:vAlign w:val="center"/>
            <w:hideMark/>
          </w:tcPr>
          <w:p w14:paraId="5BA377B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-4.2</w:t>
            </w:r>
          </w:p>
        </w:tc>
        <w:tc>
          <w:tcPr>
            <w:tcW w:w="909" w:type="dxa"/>
            <w:shd w:val="clear" w:color="auto" w:fill="auto"/>
            <w:vAlign w:val="center"/>
            <w:hideMark/>
          </w:tcPr>
          <w:p w14:paraId="29337467"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90.7</w:t>
            </w:r>
          </w:p>
        </w:tc>
      </w:tr>
      <w:tr w:rsidR="004D7171" w:rsidRPr="00E82CC1" w14:paraId="1FDAF260" w14:textId="77777777" w:rsidTr="00045716">
        <w:trPr>
          <w:gridAfter w:val="1"/>
          <w:wAfter w:w="222" w:type="dxa"/>
          <w:trHeight w:val="20"/>
        </w:trPr>
        <w:tc>
          <w:tcPr>
            <w:tcW w:w="4954" w:type="dxa"/>
            <w:shd w:val="clear" w:color="auto" w:fill="auto"/>
            <w:hideMark/>
          </w:tcPr>
          <w:p w14:paraId="088B16AC" w14:textId="77777777" w:rsidR="004D7171" w:rsidRPr="00E82CC1" w:rsidRDefault="004D7171" w:rsidP="00866B53">
            <w:pPr>
              <w:spacing w:after="0" w:line="240" w:lineRule="auto"/>
              <w:jc w:val="both"/>
              <w:rPr>
                <w:rFonts w:ascii="Calibri Light" w:eastAsia="Times New Roman" w:hAnsi="Calibri Light" w:cs="Calibri Light"/>
                <w:color w:val="000000"/>
                <w:sz w:val="16"/>
                <w:szCs w:val="16"/>
                <w:lang w:val="ro-RO"/>
              </w:rPr>
            </w:pPr>
            <w:r w:rsidRPr="00E82CC1">
              <w:rPr>
                <w:rFonts w:ascii="Calibri Light" w:eastAsia="Times New Roman" w:hAnsi="Calibri Light" w:cs="Calibri Light"/>
                <w:color w:val="000000"/>
                <w:sz w:val="16"/>
                <w:szCs w:val="16"/>
                <w:lang w:val="ro-RO"/>
              </w:rPr>
              <w:t>Contribuţii de asigurări sociale de stat obligatorii, virate de persoanele fizice, proprietarii de terenuri agricole</w:t>
            </w:r>
          </w:p>
        </w:tc>
        <w:tc>
          <w:tcPr>
            <w:tcW w:w="998" w:type="dxa"/>
            <w:shd w:val="clear" w:color="auto" w:fill="auto"/>
            <w:vAlign w:val="center"/>
            <w:hideMark/>
          </w:tcPr>
          <w:p w14:paraId="5AF16A79"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0.09</w:t>
            </w:r>
          </w:p>
        </w:tc>
        <w:tc>
          <w:tcPr>
            <w:tcW w:w="1058" w:type="dxa"/>
            <w:shd w:val="clear" w:color="auto" w:fill="auto"/>
            <w:vAlign w:val="center"/>
            <w:hideMark/>
          </w:tcPr>
          <w:p w14:paraId="7A8E8150"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w:t>
            </w:r>
          </w:p>
        </w:tc>
        <w:tc>
          <w:tcPr>
            <w:tcW w:w="1118" w:type="dxa"/>
            <w:shd w:val="clear" w:color="auto" w:fill="auto"/>
            <w:vAlign w:val="center"/>
            <w:hideMark/>
          </w:tcPr>
          <w:p w14:paraId="4803E6B4"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w:t>
            </w:r>
          </w:p>
        </w:tc>
        <w:tc>
          <w:tcPr>
            <w:tcW w:w="998" w:type="dxa"/>
            <w:shd w:val="clear" w:color="auto" w:fill="auto"/>
            <w:vAlign w:val="center"/>
            <w:hideMark/>
          </w:tcPr>
          <w:p w14:paraId="58B65EFB"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0.1</w:t>
            </w:r>
          </w:p>
        </w:tc>
        <w:tc>
          <w:tcPr>
            <w:tcW w:w="1092" w:type="dxa"/>
            <w:shd w:val="clear" w:color="auto" w:fill="auto"/>
            <w:vAlign w:val="center"/>
            <w:hideMark/>
          </w:tcPr>
          <w:p w14:paraId="6766A9FC"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0.00</w:t>
            </w:r>
          </w:p>
        </w:tc>
        <w:tc>
          <w:tcPr>
            <w:tcW w:w="952" w:type="dxa"/>
            <w:shd w:val="clear" w:color="auto" w:fill="auto"/>
            <w:vAlign w:val="center"/>
            <w:hideMark/>
          </w:tcPr>
          <w:p w14:paraId="68940A7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w:t>
            </w:r>
          </w:p>
        </w:tc>
        <w:tc>
          <w:tcPr>
            <w:tcW w:w="890" w:type="dxa"/>
            <w:shd w:val="clear" w:color="auto" w:fill="auto"/>
            <w:vAlign w:val="center"/>
            <w:hideMark/>
          </w:tcPr>
          <w:p w14:paraId="1262D3AC"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126.8</w:t>
            </w:r>
          </w:p>
        </w:tc>
        <w:tc>
          <w:tcPr>
            <w:tcW w:w="909" w:type="dxa"/>
            <w:shd w:val="clear" w:color="auto" w:fill="auto"/>
            <w:vAlign w:val="center"/>
            <w:hideMark/>
          </w:tcPr>
          <w:p w14:paraId="745F2FCB"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0.1</w:t>
            </w:r>
          </w:p>
        </w:tc>
        <w:tc>
          <w:tcPr>
            <w:tcW w:w="909" w:type="dxa"/>
            <w:shd w:val="clear" w:color="auto" w:fill="auto"/>
            <w:vAlign w:val="center"/>
            <w:hideMark/>
          </w:tcPr>
          <w:p w14:paraId="02B9757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x</w:t>
            </w:r>
          </w:p>
        </w:tc>
      </w:tr>
      <w:tr w:rsidR="004D7171" w:rsidRPr="00E82CC1" w14:paraId="68EE0D7B" w14:textId="77777777" w:rsidTr="00045716">
        <w:trPr>
          <w:gridAfter w:val="1"/>
          <w:wAfter w:w="222" w:type="dxa"/>
          <w:trHeight w:val="20"/>
        </w:trPr>
        <w:tc>
          <w:tcPr>
            <w:tcW w:w="4954" w:type="dxa"/>
            <w:shd w:val="clear" w:color="auto" w:fill="auto"/>
            <w:hideMark/>
          </w:tcPr>
          <w:p w14:paraId="2D91188E" w14:textId="10DEBB10" w:rsidR="004D7171" w:rsidRPr="00E82CC1" w:rsidRDefault="004D7171" w:rsidP="00155159">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Majorarea de înt</w:t>
            </w:r>
            <w:r w:rsidR="00155159">
              <w:rPr>
                <w:rFonts w:ascii="Calibri Light" w:eastAsia="Times New Roman" w:hAnsi="Calibri Light" w:cs="Calibri Light"/>
                <w:i/>
                <w:iCs/>
                <w:color w:val="000000"/>
                <w:sz w:val="16"/>
                <w:szCs w:val="16"/>
                <w:lang w:val="ro-RO"/>
              </w:rPr>
              <w:t>â</w:t>
            </w:r>
            <w:r w:rsidRPr="00E82CC1">
              <w:rPr>
                <w:rFonts w:ascii="Calibri Light" w:eastAsia="Times New Roman" w:hAnsi="Calibri Light" w:cs="Calibri Light"/>
                <w:i/>
                <w:iCs/>
                <w:color w:val="000000"/>
                <w:sz w:val="16"/>
                <w:szCs w:val="16"/>
                <w:lang w:val="ro-RO"/>
              </w:rPr>
              <w:t>rziere (penalitatea)</w:t>
            </w:r>
            <w:r w:rsidR="00155159">
              <w:rPr>
                <w:rFonts w:ascii="Calibri Light" w:eastAsia="Times New Roman" w:hAnsi="Calibri Light" w:cs="Calibri Light"/>
                <w:i/>
                <w:iCs/>
                <w:color w:val="000000"/>
                <w:sz w:val="16"/>
                <w:szCs w:val="16"/>
                <w:lang w:val="ro-RO"/>
              </w:rPr>
              <w:t xml:space="preserve"> </w:t>
            </w:r>
            <w:r w:rsidRPr="00E82CC1">
              <w:rPr>
                <w:rFonts w:ascii="Calibri Light" w:eastAsia="Times New Roman" w:hAnsi="Calibri Light" w:cs="Calibri Light"/>
                <w:i/>
                <w:iCs/>
                <w:color w:val="000000"/>
                <w:sz w:val="16"/>
                <w:szCs w:val="16"/>
                <w:lang w:val="ro-RO"/>
              </w:rPr>
              <w:t>calculată pentru neachitarea în termen a contribuţiilor de asigurări sociale de stat obligatorii</w:t>
            </w:r>
          </w:p>
        </w:tc>
        <w:tc>
          <w:tcPr>
            <w:tcW w:w="998" w:type="dxa"/>
            <w:shd w:val="clear" w:color="auto" w:fill="auto"/>
            <w:vAlign w:val="center"/>
            <w:hideMark/>
          </w:tcPr>
          <w:p w14:paraId="3267DB99"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31.7</w:t>
            </w:r>
          </w:p>
        </w:tc>
        <w:tc>
          <w:tcPr>
            <w:tcW w:w="1058" w:type="dxa"/>
            <w:shd w:val="clear" w:color="auto" w:fill="auto"/>
            <w:vAlign w:val="center"/>
            <w:hideMark/>
          </w:tcPr>
          <w:p w14:paraId="55605885"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w:t>
            </w:r>
          </w:p>
        </w:tc>
        <w:tc>
          <w:tcPr>
            <w:tcW w:w="1118" w:type="dxa"/>
            <w:shd w:val="clear" w:color="auto" w:fill="auto"/>
            <w:vAlign w:val="center"/>
            <w:hideMark/>
          </w:tcPr>
          <w:p w14:paraId="6C30BB48"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36.1</w:t>
            </w:r>
          </w:p>
        </w:tc>
        <w:tc>
          <w:tcPr>
            <w:tcW w:w="998" w:type="dxa"/>
            <w:shd w:val="clear" w:color="auto" w:fill="auto"/>
            <w:vAlign w:val="center"/>
            <w:hideMark/>
          </w:tcPr>
          <w:p w14:paraId="248DB89C" w14:textId="77777777" w:rsidR="004D7171" w:rsidRPr="00E82CC1" w:rsidRDefault="004D7171" w:rsidP="00866B53">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40.8</w:t>
            </w:r>
          </w:p>
        </w:tc>
        <w:tc>
          <w:tcPr>
            <w:tcW w:w="1092" w:type="dxa"/>
            <w:shd w:val="clear" w:color="auto" w:fill="auto"/>
            <w:vAlign w:val="center"/>
            <w:hideMark/>
          </w:tcPr>
          <w:p w14:paraId="6BF01176"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0.25</w:t>
            </w:r>
          </w:p>
        </w:tc>
        <w:tc>
          <w:tcPr>
            <w:tcW w:w="952" w:type="dxa"/>
            <w:shd w:val="clear" w:color="auto" w:fill="auto"/>
            <w:vAlign w:val="center"/>
            <w:hideMark/>
          </w:tcPr>
          <w:p w14:paraId="73DABF12"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9.1</w:t>
            </w:r>
          </w:p>
        </w:tc>
        <w:tc>
          <w:tcPr>
            <w:tcW w:w="890" w:type="dxa"/>
            <w:shd w:val="clear" w:color="auto" w:fill="auto"/>
            <w:vAlign w:val="center"/>
            <w:hideMark/>
          </w:tcPr>
          <w:p w14:paraId="29E1024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128.9</w:t>
            </w:r>
          </w:p>
        </w:tc>
        <w:tc>
          <w:tcPr>
            <w:tcW w:w="909" w:type="dxa"/>
            <w:shd w:val="clear" w:color="auto" w:fill="auto"/>
            <w:vAlign w:val="center"/>
            <w:hideMark/>
          </w:tcPr>
          <w:p w14:paraId="38208D65"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4.7</w:t>
            </w:r>
          </w:p>
        </w:tc>
        <w:tc>
          <w:tcPr>
            <w:tcW w:w="909" w:type="dxa"/>
            <w:shd w:val="clear" w:color="auto" w:fill="auto"/>
            <w:vAlign w:val="center"/>
            <w:hideMark/>
          </w:tcPr>
          <w:p w14:paraId="53DD395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113.1</w:t>
            </w:r>
          </w:p>
        </w:tc>
      </w:tr>
      <w:tr w:rsidR="004D7171" w:rsidRPr="00E82CC1" w14:paraId="13E73540" w14:textId="77777777" w:rsidTr="00045716">
        <w:trPr>
          <w:gridAfter w:val="1"/>
          <w:wAfter w:w="222" w:type="dxa"/>
          <w:trHeight w:val="20"/>
        </w:trPr>
        <w:tc>
          <w:tcPr>
            <w:tcW w:w="4954" w:type="dxa"/>
            <w:shd w:val="clear" w:color="auto" w:fill="auto"/>
            <w:hideMark/>
          </w:tcPr>
          <w:p w14:paraId="0F881515" w14:textId="77777777" w:rsidR="004D7171" w:rsidRPr="00E82CC1" w:rsidRDefault="004D7171" w:rsidP="00866B53">
            <w:pPr>
              <w:spacing w:after="0" w:line="240" w:lineRule="auto"/>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1.2. Alte venituri</w:t>
            </w:r>
          </w:p>
        </w:tc>
        <w:tc>
          <w:tcPr>
            <w:tcW w:w="998" w:type="dxa"/>
            <w:shd w:val="clear" w:color="auto" w:fill="auto"/>
            <w:hideMark/>
          </w:tcPr>
          <w:p w14:paraId="729D8198"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220.7</w:t>
            </w:r>
          </w:p>
        </w:tc>
        <w:tc>
          <w:tcPr>
            <w:tcW w:w="1058" w:type="dxa"/>
            <w:shd w:val="clear" w:color="auto" w:fill="auto"/>
            <w:hideMark/>
          </w:tcPr>
          <w:p w14:paraId="1F81A28D"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257.3</w:t>
            </w:r>
          </w:p>
        </w:tc>
        <w:tc>
          <w:tcPr>
            <w:tcW w:w="1118" w:type="dxa"/>
            <w:shd w:val="clear" w:color="auto" w:fill="auto"/>
            <w:hideMark/>
          </w:tcPr>
          <w:p w14:paraId="4B45B84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276.2</w:t>
            </w:r>
          </w:p>
        </w:tc>
        <w:tc>
          <w:tcPr>
            <w:tcW w:w="998" w:type="dxa"/>
            <w:shd w:val="clear" w:color="auto" w:fill="auto"/>
            <w:hideMark/>
          </w:tcPr>
          <w:p w14:paraId="4CBBCA25"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298.3</w:t>
            </w:r>
          </w:p>
        </w:tc>
        <w:tc>
          <w:tcPr>
            <w:tcW w:w="1092" w:type="dxa"/>
            <w:shd w:val="clear" w:color="auto" w:fill="auto"/>
            <w:hideMark/>
          </w:tcPr>
          <w:p w14:paraId="5B46D06C"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1.80</w:t>
            </w:r>
          </w:p>
        </w:tc>
        <w:tc>
          <w:tcPr>
            <w:tcW w:w="952" w:type="dxa"/>
            <w:shd w:val="clear" w:color="auto" w:fill="auto"/>
            <w:hideMark/>
          </w:tcPr>
          <w:p w14:paraId="46B6970D"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77.5</w:t>
            </w:r>
          </w:p>
        </w:tc>
        <w:tc>
          <w:tcPr>
            <w:tcW w:w="890" w:type="dxa"/>
            <w:shd w:val="clear" w:color="auto" w:fill="auto"/>
            <w:hideMark/>
          </w:tcPr>
          <w:p w14:paraId="65CDA31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135.1</w:t>
            </w:r>
          </w:p>
        </w:tc>
        <w:tc>
          <w:tcPr>
            <w:tcW w:w="909" w:type="dxa"/>
            <w:shd w:val="clear" w:color="auto" w:fill="auto"/>
            <w:hideMark/>
          </w:tcPr>
          <w:p w14:paraId="1CF598BF"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22.08</w:t>
            </w:r>
          </w:p>
        </w:tc>
        <w:tc>
          <w:tcPr>
            <w:tcW w:w="909" w:type="dxa"/>
            <w:shd w:val="clear" w:color="auto" w:fill="auto"/>
            <w:hideMark/>
          </w:tcPr>
          <w:p w14:paraId="14F19B8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108.00</w:t>
            </w:r>
          </w:p>
        </w:tc>
      </w:tr>
      <w:tr w:rsidR="004D7171" w:rsidRPr="00E82CC1" w14:paraId="3BA84AD8" w14:textId="77777777" w:rsidTr="00045716">
        <w:trPr>
          <w:gridAfter w:val="1"/>
          <w:wAfter w:w="222" w:type="dxa"/>
          <w:trHeight w:val="20"/>
        </w:trPr>
        <w:tc>
          <w:tcPr>
            <w:tcW w:w="4954" w:type="dxa"/>
            <w:shd w:val="clear" w:color="auto" w:fill="auto"/>
            <w:hideMark/>
          </w:tcPr>
          <w:p w14:paraId="27F2911F" w14:textId="77777777" w:rsidR="004D7171" w:rsidRPr="00E82CC1" w:rsidRDefault="004D7171" w:rsidP="00866B53">
            <w:pPr>
              <w:spacing w:after="0" w:line="240" w:lineRule="auto"/>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w:t>
            </w:r>
            <w:r w:rsidRPr="00E82CC1">
              <w:rPr>
                <w:rFonts w:ascii="Times New Roman" w:eastAsia="Times New Roman" w:hAnsi="Times New Roman" w:cs="Times New Roman"/>
                <w:b/>
                <w:bCs/>
                <w:color w:val="000000"/>
                <w:sz w:val="18"/>
                <w:szCs w:val="18"/>
                <w:lang w:val="ro-RO"/>
              </w:rPr>
              <w:t xml:space="preserve">        </w:t>
            </w:r>
            <w:r w:rsidRPr="00E82CC1">
              <w:rPr>
                <w:rFonts w:ascii="Calibri Light" w:eastAsia="Times New Roman" w:hAnsi="Calibri Light" w:cs="Calibri Light"/>
                <w:b/>
                <w:bCs/>
                <w:color w:val="000000"/>
                <w:sz w:val="18"/>
                <w:szCs w:val="18"/>
                <w:lang w:val="ro-RO"/>
              </w:rPr>
              <w:t>Transferuri primite în cadrul bugetului public naţional</w:t>
            </w:r>
          </w:p>
        </w:tc>
        <w:tc>
          <w:tcPr>
            <w:tcW w:w="998" w:type="dxa"/>
            <w:shd w:val="clear" w:color="auto" w:fill="auto"/>
            <w:hideMark/>
          </w:tcPr>
          <w:p w14:paraId="1FB626EF"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9769.4</w:t>
            </w:r>
          </w:p>
        </w:tc>
        <w:tc>
          <w:tcPr>
            <w:tcW w:w="1058" w:type="dxa"/>
            <w:shd w:val="clear" w:color="auto" w:fill="auto"/>
            <w:hideMark/>
          </w:tcPr>
          <w:p w14:paraId="2A005C0B"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10454.6</w:t>
            </w:r>
          </w:p>
        </w:tc>
        <w:tc>
          <w:tcPr>
            <w:tcW w:w="1118" w:type="dxa"/>
            <w:shd w:val="clear" w:color="auto" w:fill="auto"/>
            <w:hideMark/>
          </w:tcPr>
          <w:p w14:paraId="6AD7D4D4"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11068.0</w:t>
            </w:r>
          </w:p>
        </w:tc>
        <w:tc>
          <w:tcPr>
            <w:tcW w:w="998" w:type="dxa"/>
            <w:shd w:val="clear" w:color="auto" w:fill="auto"/>
            <w:hideMark/>
          </w:tcPr>
          <w:p w14:paraId="750CCA1D"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10724.7</w:t>
            </w:r>
          </w:p>
        </w:tc>
        <w:tc>
          <w:tcPr>
            <w:tcW w:w="1092" w:type="dxa"/>
            <w:shd w:val="clear" w:color="auto" w:fill="auto"/>
            <w:hideMark/>
          </w:tcPr>
          <w:p w14:paraId="06B2B98B"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39.36</w:t>
            </w:r>
          </w:p>
        </w:tc>
        <w:tc>
          <w:tcPr>
            <w:tcW w:w="952" w:type="dxa"/>
            <w:shd w:val="clear" w:color="auto" w:fill="auto"/>
            <w:hideMark/>
          </w:tcPr>
          <w:p w14:paraId="1184B87B"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955.3</w:t>
            </w:r>
          </w:p>
        </w:tc>
        <w:tc>
          <w:tcPr>
            <w:tcW w:w="890" w:type="dxa"/>
            <w:shd w:val="clear" w:color="auto" w:fill="auto"/>
            <w:hideMark/>
          </w:tcPr>
          <w:p w14:paraId="2BA5F5E4"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109.8</w:t>
            </w:r>
          </w:p>
        </w:tc>
        <w:tc>
          <w:tcPr>
            <w:tcW w:w="909" w:type="dxa"/>
            <w:shd w:val="clear" w:color="auto" w:fill="auto"/>
            <w:hideMark/>
          </w:tcPr>
          <w:p w14:paraId="18D6EFF1"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-343.30</w:t>
            </w:r>
          </w:p>
        </w:tc>
        <w:tc>
          <w:tcPr>
            <w:tcW w:w="909" w:type="dxa"/>
            <w:shd w:val="clear" w:color="auto" w:fill="auto"/>
            <w:hideMark/>
          </w:tcPr>
          <w:p w14:paraId="08BFA84D" w14:textId="77777777" w:rsidR="004D7171" w:rsidRPr="00E82CC1" w:rsidRDefault="004D7171" w:rsidP="00866B53">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96.90</w:t>
            </w:r>
          </w:p>
        </w:tc>
      </w:tr>
      <w:tr w:rsidR="004D7171" w:rsidRPr="00E82CC1" w14:paraId="5884EC2F" w14:textId="77777777" w:rsidTr="00045716">
        <w:trPr>
          <w:gridAfter w:val="1"/>
          <w:wAfter w:w="222" w:type="dxa"/>
          <w:trHeight w:val="20"/>
        </w:trPr>
        <w:tc>
          <w:tcPr>
            <w:tcW w:w="4954" w:type="dxa"/>
            <w:shd w:val="clear" w:color="auto" w:fill="auto"/>
            <w:hideMark/>
          </w:tcPr>
          <w:p w14:paraId="424C1523" w14:textId="77777777" w:rsidR="004D7171" w:rsidRPr="00E82CC1" w:rsidRDefault="004D7171" w:rsidP="00866B53">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2.1. Transferuri curente primite cu destinaţie specială între bugetul de stat şi bugetul asigurărilor sociale de stat</w:t>
            </w:r>
          </w:p>
        </w:tc>
        <w:tc>
          <w:tcPr>
            <w:tcW w:w="998" w:type="dxa"/>
            <w:shd w:val="clear" w:color="auto" w:fill="auto"/>
            <w:hideMark/>
          </w:tcPr>
          <w:p w14:paraId="7BD3C34B"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7214.7</w:t>
            </w:r>
          </w:p>
        </w:tc>
        <w:tc>
          <w:tcPr>
            <w:tcW w:w="1058" w:type="dxa"/>
            <w:shd w:val="clear" w:color="auto" w:fill="auto"/>
            <w:hideMark/>
          </w:tcPr>
          <w:p w14:paraId="05F7FD7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7263.0</w:t>
            </w:r>
          </w:p>
        </w:tc>
        <w:tc>
          <w:tcPr>
            <w:tcW w:w="1118" w:type="dxa"/>
            <w:shd w:val="clear" w:color="auto" w:fill="auto"/>
            <w:hideMark/>
          </w:tcPr>
          <w:p w14:paraId="15C2D928"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8227.9</w:t>
            </w:r>
          </w:p>
        </w:tc>
        <w:tc>
          <w:tcPr>
            <w:tcW w:w="998" w:type="dxa"/>
            <w:shd w:val="clear" w:color="auto" w:fill="auto"/>
            <w:hideMark/>
          </w:tcPr>
          <w:p w14:paraId="6F1185BB"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7884.6</w:t>
            </w:r>
          </w:p>
        </w:tc>
        <w:tc>
          <w:tcPr>
            <w:tcW w:w="1092" w:type="dxa"/>
            <w:shd w:val="clear" w:color="auto" w:fill="auto"/>
            <w:hideMark/>
          </w:tcPr>
          <w:p w14:paraId="0E444B9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73.52</w:t>
            </w:r>
          </w:p>
        </w:tc>
        <w:tc>
          <w:tcPr>
            <w:tcW w:w="952" w:type="dxa"/>
            <w:shd w:val="clear" w:color="auto" w:fill="auto"/>
            <w:hideMark/>
          </w:tcPr>
          <w:p w14:paraId="6D14FF6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669.9</w:t>
            </w:r>
          </w:p>
        </w:tc>
        <w:tc>
          <w:tcPr>
            <w:tcW w:w="890" w:type="dxa"/>
            <w:shd w:val="clear" w:color="auto" w:fill="auto"/>
            <w:hideMark/>
          </w:tcPr>
          <w:p w14:paraId="5995FB1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109.3</w:t>
            </w:r>
          </w:p>
        </w:tc>
        <w:tc>
          <w:tcPr>
            <w:tcW w:w="909" w:type="dxa"/>
            <w:shd w:val="clear" w:color="auto" w:fill="auto"/>
            <w:hideMark/>
          </w:tcPr>
          <w:p w14:paraId="69CD71F2"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-343.30</w:t>
            </w:r>
          </w:p>
        </w:tc>
        <w:tc>
          <w:tcPr>
            <w:tcW w:w="909" w:type="dxa"/>
            <w:shd w:val="clear" w:color="auto" w:fill="auto"/>
            <w:hideMark/>
          </w:tcPr>
          <w:p w14:paraId="099948A7"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95.8</w:t>
            </w:r>
          </w:p>
        </w:tc>
      </w:tr>
      <w:tr w:rsidR="004D7171" w:rsidRPr="00E82CC1" w14:paraId="65F3BBCA" w14:textId="77777777" w:rsidTr="00045716">
        <w:trPr>
          <w:gridAfter w:val="1"/>
          <w:wAfter w:w="222" w:type="dxa"/>
          <w:trHeight w:val="20"/>
        </w:trPr>
        <w:tc>
          <w:tcPr>
            <w:tcW w:w="4954" w:type="dxa"/>
            <w:shd w:val="clear" w:color="auto" w:fill="auto"/>
            <w:hideMark/>
          </w:tcPr>
          <w:p w14:paraId="7E65A5C8" w14:textId="77777777" w:rsidR="004D7171" w:rsidRPr="00E82CC1" w:rsidRDefault="004D7171" w:rsidP="00866B53">
            <w:pPr>
              <w:spacing w:after="0" w:line="240" w:lineRule="auto"/>
              <w:jc w:val="right"/>
              <w:rPr>
                <w:rFonts w:ascii="Calibri Light" w:eastAsia="Times New Roman" w:hAnsi="Calibri Light" w:cs="Calibri Light"/>
                <w:i/>
                <w:iCs/>
                <w:color w:val="000000"/>
                <w:sz w:val="15"/>
                <w:szCs w:val="15"/>
                <w:lang w:val="ro-RO"/>
              </w:rPr>
            </w:pPr>
            <w:r w:rsidRPr="00E82CC1">
              <w:rPr>
                <w:rFonts w:ascii="Calibri Light" w:eastAsia="Times New Roman" w:hAnsi="Calibri Light" w:cs="Calibri Light"/>
                <w:i/>
                <w:iCs/>
                <w:color w:val="000000"/>
                <w:sz w:val="15"/>
                <w:szCs w:val="15"/>
                <w:lang w:val="ro-RO"/>
              </w:rPr>
              <w:t>inclusiv:</w:t>
            </w:r>
          </w:p>
        </w:tc>
        <w:tc>
          <w:tcPr>
            <w:tcW w:w="998" w:type="dxa"/>
            <w:shd w:val="clear" w:color="auto" w:fill="auto"/>
            <w:hideMark/>
          </w:tcPr>
          <w:p w14:paraId="1C95DA47"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058" w:type="dxa"/>
            <w:shd w:val="clear" w:color="auto" w:fill="auto"/>
            <w:hideMark/>
          </w:tcPr>
          <w:p w14:paraId="3BE38992"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118" w:type="dxa"/>
            <w:shd w:val="clear" w:color="auto" w:fill="auto"/>
            <w:hideMark/>
          </w:tcPr>
          <w:p w14:paraId="23216D39"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98" w:type="dxa"/>
            <w:shd w:val="clear" w:color="auto" w:fill="auto"/>
            <w:hideMark/>
          </w:tcPr>
          <w:p w14:paraId="5467EC9D"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092" w:type="dxa"/>
            <w:shd w:val="clear" w:color="auto" w:fill="auto"/>
            <w:hideMark/>
          </w:tcPr>
          <w:p w14:paraId="31ED12C3"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52" w:type="dxa"/>
            <w:shd w:val="clear" w:color="auto" w:fill="auto"/>
            <w:hideMark/>
          </w:tcPr>
          <w:p w14:paraId="6EF58081"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890" w:type="dxa"/>
            <w:shd w:val="clear" w:color="auto" w:fill="auto"/>
            <w:hideMark/>
          </w:tcPr>
          <w:p w14:paraId="5B4FC182"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09" w:type="dxa"/>
            <w:shd w:val="clear" w:color="auto" w:fill="auto"/>
            <w:hideMark/>
          </w:tcPr>
          <w:p w14:paraId="1DBF80C1"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09" w:type="dxa"/>
            <w:shd w:val="clear" w:color="auto" w:fill="auto"/>
            <w:hideMark/>
          </w:tcPr>
          <w:p w14:paraId="56BB2E80"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r>
      <w:tr w:rsidR="004D7171" w:rsidRPr="00E82CC1" w14:paraId="44010E23" w14:textId="77777777" w:rsidTr="00045716">
        <w:trPr>
          <w:gridAfter w:val="1"/>
          <w:wAfter w:w="222" w:type="dxa"/>
          <w:trHeight w:val="183"/>
        </w:trPr>
        <w:tc>
          <w:tcPr>
            <w:tcW w:w="4954" w:type="dxa"/>
            <w:vMerge w:val="restart"/>
            <w:shd w:val="clear" w:color="auto" w:fill="auto"/>
            <w:hideMark/>
          </w:tcPr>
          <w:p w14:paraId="527825AC" w14:textId="77777777" w:rsidR="004D7171" w:rsidRPr="00E82CC1" w:rsidRDefault="004D7171" w:rsidP="00866B53">
            <w:pPr>
              <w:spacing w:after="0" w:line="240" w:lineRule="auto"/>
              <w:rPr>
                <w:rFonts w:ascii="Calibri Light" w:eastAsia="Times New Roman" w:hAnsi="Calibri Light" w:cs="Calibri Light"/>
                <w:i/>
                <w:iCs/>
                <w:color w:val="000000"/>
                <w:sz w:val="15"/>
                <w:szCs w:val="15"/>
                <w:lang w:val="ro-RO"/>
              </w:rPr>
            </w:pPr>
            <w:r w:rsidRPr="00E82CC1">
              <w:rPr>
                <w:rFonts w:ascii="Calibri Light" w:eastAsia="Times New Roman" w:hAnsi="Calibri Light" w:cs="Calibri Light"/>
                <w:i/>
                <w:iCs/>
                <w:color w:val="000000"/>
                <w:sz w:val="15"/>
                <w:szCs w:val="15"/>
                <w:lang w:val="ro-RO"/>
              </w:rPr>
              <w:t>transferuri pentru plata prestaţiilor de asistenţă socială</w:t>
            </w:r>
          </w:p>
        </w:tc>
        <w:tc>
          <w:tcPr>
            <w:tcW w:w="998" w:type="dxa"/>
            <w:vMerge w:val="restart"/>
            <w:shd w:val="clear" w:color="auto" w:fill="auto"/>
            <w:hideMark/>
          </w:tcPr>
          <w:p w14:paraId="664A29E6"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7154.1</w:t>
            </w:r>
          </w:p>
        </w:tc>
        <w:tc>
          <w:tcPr>
            <w:tcW w:w="1058" w:type="dxa"/>
            <w:vMerge w:val="restart"/>
            <w:shd w:val="clear" w:color="auto" w:fill="auto"/>
            <w:hideMark/>
          </w:tcPr>
          <w:p w14:paraId="46364468"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7190.2</w:t>
            </w:r>
          </w:p>
        </w:tc>
        <w:tc>
          <w:tcPr>
            <w:tcW w:w="1118" w:type="dxa"/>
            <w:vMerge w:val="restart"/>
            <w:shd w:val="clear" w:color="auto" w:fill="auto"/>
            <w:hideMark/>
          </w:tcPr>
          <w:p w14:paraId="2AEB1A2E"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8154.6</w:t>
            </w:r>
          </w:p>
        </w:tc>
        <w:tc>
          <w:tcPr>
            <w:tcW w:w="998" w:type="dxa"/>
            <w:vMerge w:val="restart"/>
            <w:shd w:val="clear" w:color="auto" w:fill="auto"/>
            <w:hideMark/>
          </w:tcPr>
          <w:p w14:paraId="18582CBB"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7811.4</w:t>
            </w:r>
          </w:p>
        </w:tc>
        <w:tc>
          <w:tcPr>
            <w:tcW w:w="1092" w:type="dxa"/>
            <w:vMerge w:val="restart"/>
            <w:shd w:val="clear" w:color="auto" w:fill="auto"/>
            <w:hideMark/>
          </w:tcPr>
          <w:p w14:paraId="09B8C97E"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99.10</w:t>
            </w:r>
          </w:p>
        </w:tc>
        <w:tc>
          <w:tcPr>
            <w:tcW w:w="952" w:type="dxa"/>
            <w:vMerge w:val="restart"/>
            <w:shd w:val="clear" w:color="auto" w:fill="auto"/>
            <w:hideMark/>
          </w:tcPr>
          <w:p w14:paraId="1116AC29"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657.3</w:t>
            </w:r>
          </w:p>
        </w:tc>
        <w:tc>
          <w:tcPr>
            <w:tcW w:w="890" w:type="dxa"/>
            <w:vMerge w:val="restart"/>
            <w:shd w:val="clear" w:color="auto" w:fill="auto"/>
            <w:hideMark/>
          </w:tcPr>
          <w:p w14:paraId="2DD75C04"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109.2</w:t>
            </w:r>
          </w:p>
        </w:tc>
        <w:tc>
          <w:tcPr>
            <w:tcW w:w="909" w:type="dxa"/>
            <w:vMerge w:val="restart"/>
            <w:shd w:val="clear" w:color="auto" w:fill="auto"/>
            <w:hideMark/>
          </w:tcPr>
          <w:p w14:paraId="39F1C4FE"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-343.2</w:t>
            </w:r>
          </w:p>
        </w:tc>
        <w:tc>
          <w:tcPr>
            <w:tcW w:w="909" w:type="dxa"/>
            <w:vMerge w:val="restart"/>
            <w:shd w:val="clear" w:color="auto" w:fill="auto"/>
            <w:hideMark/>
          </w:tcPr>
          <w:p w14:paraId="0B1F1F51"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95.8</w:t>
            </w:r>
          </w:p>
        </w:tc>
      </w:tr>
      <w:tr w:rsidR="004D7171" w:rsidRPr="00E82CC1" w14:paraId="60E18DA8" w14:textId="77777777" w:rsidTr="00045716">
        <w:trPr>
          <w:trHeight w:val="20"/>
        </w:trPr>
        <w:tc>
          <w:tcPr>
            <w:tcW w:w="4954" w:type="dxa"/>
            <w:vMerge/>
            <w:shd w:val="clear" w:color="auto" w:fill="auto"/>
            <w:vAlign w:val="center"/>
            <w:hideMark/>
          </w:tcPr>
          <w:p w14:paraId="778838E4" w14:textId="77777777" w:rsidR="004D7171" w:rsidRPr="00E82CC1" w:rsidRDefault="004D7171" w:rsidP="00866B53">
            <w:pPr>
              <w:spacing w:after="0" w:line="240" w:lineRule="auto"/>
              <w:rPr>
                <w:rFonts w:ascii="Calibri Light" w:eastAsia="Times New Roman" w:hAnsi="Calibri Light" w:cs="Calibri Light"/>
                <w:i/>
                <w:iCs/>
                <w:color w:val="000000"/>
                <w:sz w:val="15"/>
                <w:szCs w:val="15"/>
                <w:lang w:val="ro-RO"/>
              </w:rPr>
            </w:pPr>
          </w:p>
        </w:tc>
        <w:tc>
          <w:tcPr>
            <w:tcW w:w="998" w:type="dxa"/>
            <w:vMerge/>
            <w:shd w:val="clear" w:color="auto" w:fill="auto"/>
            <w:vAlign w:val="center"/>
            <w:hideMark/>
          </w:tcPr>
          <w:p w14:paraId="3FFB7D69" w14:textId="77777777" w:rsidR="004D7171" w:rsidRPr="00E82CC1" w:rsidRDefault="004D7171" w:rsidP="00866B53">
            <w:pPr>
              <w:spacing w:after="0" w:line="240" w:lineRule="auto"/>
              <w:rPr>
                <w:rFonts w:ascii="Calibri Light" w:eastAsia="Times New Roman" w:hAnsi="Calibri Light" w:cs="Calibri Light"/>
                <w:i/>
                <w:iCs/>
                <w:color w:val="000000"/>
                <w:sz w:val="18"/>
                <w:szCs w:val="18"/>
                <w:lang w:val="ro-RO"/>
              </w:rPr>
            </w:pPr>
          </w:p>
        </w:tc>
        <w:tc>
          <w:tcPr>
            <w:tcW w:w="1058" w:type="dxa"/>
            <w:vMerge/>
            <w:shd w:val="clear" w:color="auto" w:fill="auto"/>
            <w:vAlign w:val="center"/>
            <w:hideMark/>
          </w:tcPr>
          <w:p w14:paraId="2E070547"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1118" w:type="dxa"/>
            <w:vMerge/>
            <w:shd w:val="clear" w:color="auto" w:fill="auto"/>
            <w:vAlign w:val="center"/>
            <w:hideMark/>
          </w:tcPr>
          <w:p w14:paraId="5E62505B"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998" w:type="dxa"/>
            <w:vMerge/>
            <w:shd w:val="clear" w:color="auto" w:fill="auto"/>
            <w:vAlign w:val="center"/>
            <w:hideMark/>
          </w:tcPr>
          <w:p w14:paraId="7CB18B8C"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1092" w:type="dxa"/>
            <w:vMerge/>
            <w:shd w:val="clear" w:color="auto" w:fill="auto"/>
            <w:vAlign w:val="center"/>
            <w:hideMark/>
          </w:tcPr>
          <w:p w14:paraId="4243678E"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952" w:type="dxa"/>
            <w:vMerge/>
            <w:shd w:val="clear" w:color="auto" w:fill="auto"/>
            <w:vAlign w:val="center"/>
            <w:hideMark/>
          </w:tcPr>
          <w:p w14:paraId="2EE8896E"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890" w:type="dxa"/>
            <w:vMerge/>
            <w:shd w:val="clear" w:color="auto" w:fill="auto"/>
            <w:vAlign w:val="center"/>
            <w:hideMark/>
          </w:tcPr>
          <w:p w14:paraId="29ED0872"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909" w:type="dxa"/>
            <w:vMerge/>
            <w:shd w:val="clear" w:color="auto" w:fill="auto"/>
            <w:vAlign w:val="center"/>
            <w:hideMark/>
          </w:tcPr>
          <w:p w14:paraId="0569BBD5"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909" w:type="dxa"/>
            <w:vMerge/>
            <w:shd w:val="clear" w:color="auto" w:fill="auto"/>
            <w:vAlign w:val="center"/>
            <w:hideMark/>
          </w:tcPr>
          <w:p w14:paraId="4457999E" w14:textId="77777777" w:rsidR="004D7171" w:rsidRPr="00E82CC1" w:rsidRDefault="004D7171" w:rsidP="00866B53">
            <w:pPr>
              <w:spacing w:after="0" w:line="240" w:lineRule="auto"/>
              <w:rPr>
                <w:rFonts w:ascii="Calibri Light" w:eastAsia="Times New Roman" w:hAnsi="Calibri Light" w:cs="Calibri Light"/>
                <w:color w:val="000000"/>
                <w:sz w:val="18"/>
                <w:szCs w:val="18"/>
                <w:lang w:val="ro-RO"/>
              </w:rPr>
            </w:pPr>
          </w:p>
        </w:tc>
        <w:tc>
          <w:tcPr>
            <w:tcW w:w="222" w:type="dxa"/>
            <w:shd w:val="clear" w:color="auto" w:fill="auto"/>
            <w:noWrap/>
            <w:vAlign w:val="bottom"/>
            <w:hideMark/>
          </w:tcPr>
          <w:p w14:paraId="6FAD27EC"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p>
        </w:tc>
      </w:tr>
      <w:tr w:rsidR="004D7171" w:rsidRPr="00E82CC1" w14:paraId="3FC78978" w14:textId="77777777" w:rsidTr="00045716">
        <w:trPr>
          <w:trHeight w:val="20"/>
        </w:trPr>
        <w:tc>
          <w:tcPr>
            <w:tcW w:w="4954" w:type="dxa"/>
            <w:shd w:val="clear" w:color="auto" w:fill="auto"/>
            <w:hideMark/>
          </w:tcPr>
          <w:p w14:paraId="480448DD" w14:textId="77777777" w:rsidR="004D7171" w:rsidRPr="00E82CC1" w:rsidRDefault="004D7171" w:rsidP="00866B53">
            <w:pPr>
              <w:spacing w:after="0" w:line="240" w:lineRule="auto"/>
              <w:jc w:val="both"/>
              <w:rPr>
                <w:rFonts w:ascii="Calibri Light" w:eastAsia="Times New Roman" w:hAnsi="Calibri Light" w:cs="Calibri Light"/>
                <w:i/>
                <w:iCs/>
                <w:color w:val="000000"/>
                <w:sz w:val="15"/>
                <w:szCs w:val="15"/>
                <w:lang w:val="ro-RO"/>
              </w:rPr>
            </w:pPr>
            <w:r w:rsidRPr="00E82CC1">
              <w:rPr>
                <w:rFonts w:ascii="Calibri Light" w:eastAsia="Times New Roman" w:hAnsi="Calibri Light" w:cs="Calibri Light"/>
                <w:i/>
                <w:iCs/>
                <w:color w:val="000000"/>
                <w:sz w:val="15"/>
                <w:szCs w:val="15"/>
                <w:lang w:val="ro-RO"/>
              </w:rPr>
              <w:t>transferuri pentru compensarea diferenţei de tarife de asigurări sociale de stat obligatorii în sectorul agrar</w:t>
            </w:r>
          </w:p>
        </w:tc>
        <w:tc>
          <w:tcPr>
            <w:tcW w:w="998" w:type="dxa"/>
            <w:shd w:val="clear" w:color="auto" w:fill="auto"/>
            <w:hideMark/>
          </w:tcPr>
          <w:p w14:paraId="676C102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60.3</w:t>
            </w:r>
          </w:p>
        </w:tc>
        <w:tc>
          <w:tcPr>
            <w:tcW w:w="1058" w:type="dxa"/>
            <w:shd w:val="clear" w:color="auto" w:fill="auto"/>
            <w:hideMark/>
          </w:tcPr>
          <w:p w14:paraId="37B4F8D8"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72.4</w:t>
            </w:r>
          </w:p>
        </w:tc>
        <w:tc>
          <w:tcPr>
            <w:tcW w:w="1118" w:type="dxa"/>
            <w:shd w:val="clear" w:color="auto" w:fill="auto"/>
            <w:hideMark/>
          </w:tcPr>
          <w:p w14:paraId="34BB4B4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72.4</w:t>
            </w:r>
          </w:p>
        </w:tc>
        <w:tc>
          <w:tcPr>
            <w:tcW w:w="998" w:type="dxa"/>
            <w:shd w:val="clear" w:color="auto" w:fill="auto"/>
            <w:hideMark/>
          </w:tcPr>
          <w:p w14:paraId="1044210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72.4</w:t>
            </w:r>
          </w:p>
        </w:tc>
        <w:tc>
          <w:tcPr>
            <w:tcW w:w="1092" w:type="dxa"/>
            <w:shd w:val="clear" w:color="auto" w:fill="auto"/>
            <w:hideMark/>
          </w:tcPr>
          <w:p w14:paraId="20B4373B"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0.90</w:t>
            </w:r>
          </w:p>
        </w:tc>
        <w:tc>
          <w:tcPr>
            <w:tcW w:w="952" w:type="dxa"/>
            <w:shd w:val="clear" w:color="auto" w:fill="auto"/>
            <w:hideMark/>
          </w:tcPr>
          <w:p w14:paraId="3CB7878F"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12.1</w:t>
            </w:r>
          </w:p>
        </w:tc>
        <w:tc>
          <w:tcPr>
            <w:tcW w:w="890" w:type="dxa"/>
            <w:shd w:val="clear" w:color="auto" w:fill="auto"/>
            <w:hideMark/>
          </w:tcPr>
          <w:p w14:paraId="67D84A78"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120.10</w:t>
            </w:r>
          </w:p>
        </w:tc>
        <w:tc>
          <w:tcPr>
            <w:tcW w:w="909" w:type="dxa"/>
            <w:shd w:val="clear" w:color="auto" w:fill="auto"/>
            <w:hideMark/>
          </w:tcPr>
          <w:p w14:paraId="6FADCF68"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0</w:t>
            </w:r>
          </w:p>
        </w:tc>
        <w:tc>
          <w:tcPr>
            <w:tcW w:w="909" w:type="dxa"/>
            <w:shd w:val="clear" w:color="auto" w:fill="auto"/>
            <w:hideMark/>
          </w:tcPr>
          <w:p w14:paraId="79FAC59C"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100.00</w:t>
            </w:r>
          </w:p>
        </w:tc>
        <w:tc>
          <w:tcPr>
            <w:tcW w:w="222" w:type="dxa"/>
            <w:shd w:val="clear" w:color="auto" w:fill="auto"/>
            <w:vAlign w:val="center"/>
            <w:hideMark/>
          </w:tcPr>
          <w:p w14:paraId="247BE331" w14:textId="77777777" w:rsidR="004D7171" w:rsidRPr="00E82CC1" w:rsidRDefault="004D7171" w:rsidP="00866B53">
            <w:pPr>
              <w:spacing w:after="0" w:line="240" w:lineRule="auto"/>
              <w:rPr>
                <w:rFonts w:ascii="Times New Roman" w:eastAsia="Times New Roman" w:hAnsi="Times New Roman" w:cs="Times New Roman"/>
                <w:sz w:val="20"/>
                <w:szCs w:val="20"/>
                <w:lang w:val="ro-RO"/>
              </w:rPr>
            </w:pPr>
          </w:p>
        </w:tc>
      </w:tr>
      <w:tr w:rsidR="004D7171" w:rsidRPr="00E82CC1" w14:paraId="3DEBB9E1" w14:textId="77777777" w:rsidTr="00045716">
        <w:trPr>
          <w:trHeight w:val="20"/>
        </w:trPr>
        <w:tc>
          <w:tcPr>
            <w:tcW w:w="4954" w:type="dxa"/>
            <w:shd w:val="clear" w:color="auto" w:fill="auto"/>
            <w:hideMark/>
          </w:tcPr>
          <w:p w14:paraId="64F1A30C" w14:textId="4BBB00CC" w:rsidR="004D7171" w:rsidRPr="00E82CC1" w:rsidRDefault="004D7171" w:rsidP="00155159">
            <w:pPr>
              <w:spacing w:after="0" w:line="240" w:lineRule="auto"/>
              <w:jc w:val="both"/>
              <w:rPr>
                <w:rFonts w:ascii="Calibri Light" w:eastAsia="Times New Roman" w:hAnsi="Calibri Light" w:cs="Calibri Light"/>
                <w:i/>
                <w:iCs/>
                <w:color w:val="000000"/>
                <w:sz w:val="15"/>
                <w:szCs w:val="15"/>
                <w:lang w:val="ro-RO"/>
              </w:rPr>
            </w:pPr>
            <w:r w:rsidRPr="00E82CC1">
              <w:rPr>
                <w:rFonts w:ascii="Calibri Light" w:eastAsia="Times New Roman" w:hAnsi="Calibri Light" w:cs="Calibri Light"/>
                <w:i/>
                <w:iCs/>
                <w:color w:val="000000"/>
                <w:sz w:val="15"/>
                <w:szCs w:val="15"/>
                <w:lang w:val="ro-RO"/>
              </w:rPr>
              <w:t>transferuri pentru sumele anulate a contribuţiilor de asigurări sociale de stat obligatorii în legătură cu scutirea deţinătorilor de terenuri agricole situate după traseul R</w:t>
            </w:r>
            <w:r w:rsidR="00155159">
              <w:rPr>
                <w:rFonts w:ascii="Calibri Light" w:eastAsia="Times New Roman" w:hAnsi="Calibri Light" w:cs="Calibri Light"/>
                <w:i/>
                <w:iCs/>
                <w:color w:val="000000"/>
                <w:sz w:val="15"/>
                <w:szCs w:val="15"/>
                <w:lang w:val="ro-RO"/>
              </w:rPr>
              <w:t>â</w:t>
            </w:r>
            <w:r w:rsidRPr="00E82CC1">
              <w:rPr>
                <w:rFonts w:ascii="Calibri Light" w:eastAsia="Times New Roman" w:hAnsi="Calibri Light" w:cs="Calibri Light"/>
                <w:i/>
                <w:iCs/>
                <w:color w:val="000000"/>
                <w:sz w:val="15"/>
                <w:szCs w:val="15"/>
                <w:lang w:val="ro-RO"/>
              </w:rPr>
              <w:t>bniţa</w:t>
            </w:r>
            <w:r w:rsidR="00155159">
              <w:rPr>
                <w:rFonts w:ascii="Calibri Light" w:eastAsia="Times New Roman" w:hAnsi="Calibri Light" w:cs="Calibri Light"/>
                <w:i/>
                <w:iCs/>
                <w:color w:val="000000"/>
                <w:sz w:val="15"/>
                <w:szCs w:val="15"/>
                <w:lang w:val="ro-RO"/>
              </w:rPr>
              <w:t xml:space="preserve"> - </w:t>
            </w:r>
            <w:r w:rsidRPr="00E82CC1">
              <w:rPr>
                <w:rFonts w:ascii="Calibri Light" w:eastAsia="Times New Roman" w:hAnsi="Calibri Light" w:cs="Calibri Light"/>
                <w:i/>
                <w:iCs/>
                <w:color w:val="000000"/>
                <w:sz w:val="15"/>
                <w:szCs w:val="15"/>
                <w:lang w:val="ro-RO"/>
              </w:rPr>
              <w:t>Tiraspol de plata contribuţiilor de asigurări sociale de stat obligatorii</w:t>
            </w:r>
          </w:p>
        </w:tc>
        <w:tc>
          <w:tcPr>
            <w:tcW w:w="998" w:type="dxa"/>
            <w:shd w:val="clear" w:color="auto" w:fill="auto"/>
            <w:hideMark/>
          </w:tcPr>
          <w:p w14:paraId="2508F72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0.3</w:t>
            </w:r>
          </w:p>
        </w:tc>
        <w:tc>
          <w:tcPr>
            <w:tcW w:w="1058" w:type="dxa"/>
            <w:shd w:val="clear" w:color="auto" w:fill="auto"/>
            <w:hideMark/>
          </w:tcPr>
          <w:p w14:paraId="63FD527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0.5</w:t>
            </w:r>
          </w:p>
        </w:tc>
        <w:tc>
          <w:tcPr>
            <w:tcW w:w="1118" w:type="dxa"/>
            <w:shd w:val="clear" w:color="auto" w:fill="auto"/>
            <w:hideMark/>
          </w:tcPr>
          <w:p w14:paraId="0850FF17"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0.8</w:t>
            </w:r>
          </w:p>
        </w:tc>
        <w:tc>
          <w:tcPr>
            <w:tcW w:w="998" w:type="dxa"/>
            <w:shd w:val="clear" w:color="auto" w:fill="auto"/>
            <w:hideMark/>
          </w:tcPr>
          <w:p w14:paraId="2656CBC1"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0.8</w:t>
            </w:r>
          </w:p>
        </w:tc>
        <w:tc>
          <w:tcPr>
            <w:tcW w:w="1092" w:type="dxa"/>
            <w:shd w:val="clear" w:color="auto" w:fill="auto"/>
            <w:hideMark/>
          </w:tcPr>
          <w:p w14:paraId="6AD38001"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0.00</w:t>
            </w:r>
          </w:p>
        </w:tc>
        <w:tc>
          <w:tcPr>
            <w:tcW w:w="952" w:type="dxa"/>
            <w:shd w:val="clear" w:color="auto" w:fill="auto"/>
            <w:hideMark/>
          </w:tcPr>
          <w:p w14:paraId="4EE29ED9"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0.5</w:t>
            </w:r>
          </w:p>
        </w:tc>
        <w:tc>
          <w:tcPr>
            <w:tcW w:w="890" w:type="dxa"/>
            <w:shd w:val="clear" w:color="auto" w:fill="auto"/>
            <w:hideMark/>
          </w:tcPr>
          <w:p w14:paraId="66F4C7AB"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266.7</w:t>
            </w:r>
          </w:p>
        </w:tc>
        <w:tc>
          <w:tcPr>
            <w:tcW w:w="909" w:type="dxa"/>
            <w:shd w:val="clear" w:color="auto" w:fill="auto"/>
            <w:hideMark/>
          </w:tcPr>
          <w:p w14:paraId="579CC6FB"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0</w:t>
            </w:r>
          </w:p>
        </w:tc>
        <w:tc>
          <w:tcPr>
            <w:tcW w:w="909" w:type="dxa"/>
            <w:shd w:val="clear" w:color="auto" w:fill="auto"/>
            <w:hideMark/>
          </w:tcPr>
          <w:p w14:paraId="348A7F8C" w14:textId="77777777" w:rsidR="004D7171" w:rsidRPr="00E82CC1" w:rsidRDefault="004D7171" w:rsidP="00866B53">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100.00</w:t>
            </w:r>
          </w:p>
        </w:tc>
        <w:tc>
          <w:tcPr>
            <w:tcW w:w="222" w:type="dxa"/>
            <w:shd w:val="clear" w:color="auto" w:fill="auto"/>
            <w:vAlign w:val="center"/>
            <w:hideMark/>
          </w:tcPr>
          <w:p w14:paraId="404BFB12" w14:textId="77777777" w:rsidR="004D7171" w:rsidRPr="00E82CC1" w:rsidRDefault="004D7171" w:rsidP="00866B53">
            <w:pPr>
              <w:spacing w:after="0" w:line="240" w:lineRule="auto"/>
              <w:rPr>
                <w:rFonts w:ascii="Times New Roman" w:eastAsia="Times New Roman" w:hAnsi="Times New Roman" w:cs="Times New Roman"/>
                <w:sz w:val="20"/>
                <w:szCs w:val="20"/>
                <w:lang w:val="ro-RO"/>
              </w:rPr>
            </w:pPr>
          </w:p>
        </w:tc>
      </w:tr>
      <w:tr w:rsidR="004D7171" w:rsidRPr="00E82CC1" w14:paraId="2F60C7BB" w14:textId="77777777" w:rsidTr="00045716">
        <w:trPr>
          <w:trHeight w:val="20"/>
        </w:trPr>
        <w:tc>
          <w:tcPr>
            <w:tcW w:w="4954" w:type="dxa"/>
            <w:shd w:val="clear" w:color="auto" w:fill="auto"/>
            <w:hideMark/>
          </w:tcPr>
          <w:p w14:paraId="1746CC80" w14:textId="77777777" w:rsidR="004D7171" w:rsidRPr="00E82CC1" w:rsidRDefault="004D7171" w:rsidP="00866B53">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2.2. Transferuri curente primite cu destinație generală între bugetul de stat şi bugetul asigurărilor sociale de stat</w:t>
            </w:r>
          </w:p>
        </w:tc>
        <w:tc>
          <w:tcPr>
            <w:tcW w:w="998" w:type="dxa"/>
            <w:shd w:val="clear" w:color="auto" w:fill="auto"/>
            <w:hideMark/>
          </w:tcPr>
          <w:p w14:paraId="12200339"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2554.6</w:t>
            </w:r>
          </w:p>
        </w:tc>
        <w:tc>
          <w:tcPr>
            <w:tcW w:w="1058" w:type="dxa"/>
            <w:shd w:val="clear" w:color="auto" w:fill="auto"/>
            <w:hideMark/>
          </w:tcPr>
          <w:p w14:paraId="7128687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3191.6</w:t>
            </w:r>
          </w:p>
        </w:tc>
        <w:tc>
          <w:tcPr>
            <w:tcW w:w="1118" w:type="dxa"/>
            <w:shd w:val="clear" w:color="auto" w:fill="auto"/>
            <w:hideMark/>
          </w:tcPr>
          <w:p w14:paraId="363B7C83"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2840.0</w:t>
            </w:r>
          </w:p>
        </w:tc>
        <w:tc>
          <w:tcPr>
            <w:tcW w:w="998" w:type="dxa"/>
            <w:shd w:val="clear" w:color="auto" w:fill="auto"/>
            <w:hideMark/>
          </w:tcPr>
          <w:p w14:paraId="23246FC1"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2840.0</w:t>
            </w:r>
          </w:p>
        </w:tc>
        <w:tc>
          <w:tcPr>
            <w:tcW w:w="1092" w:type="dxa"/>
            <w:shd w:val="clear" w:color="auto" w:fill="auto"/>
            <w:hideMark/>
          </w:tcPr>
          <w:p w14:paraId="47E00180"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26.5</w:t>
            </w:r>
          </w:p>
        </w:tc>
        <w:tc>
          <w:tcPr>
            <w:tcW w:w="952" w:type="dxa"/>
            <w:shd w:val="clear" w:color="auto" w:fill="auto"/>
            <w:hideMark/>
          </w:tcPr>
          <w:p w14:paraId="77A662CA"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285.4</w:t>
            </w:r>
          </w:p>
        </w:tc>
        <w:tc>
          <w:tcPr>
            <w:tcW w:w="890" w:type="dxa"/>
            <w:shd w:val="clear" w:color="auto" w:fill="auto"/>
            <w:hideMark/>
          </w:tcPr>
          <w:p w14:paraId="4528D0AD"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111.2</w:t>
            </w:r>
          </w:p>
        </w:tc>
        <w:tc>
          <w:tcPr>
            <w:tcW w:w="909" w:type="dxa"/>
            <w:shd w:val="clear" w:color="auto" w:fill="auto"/>
            <w:hideMark/>
          </w:tcPr>
          <w:p w14:paraId="49DA48E6"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w:t>
            </w:r>
          </w:p>
        </w:tc>
        <w:tc>
          <w:tcPr>
            <w:tcW w:w="909" w:type="dxa"/>
            <w:shd w:val="clear" w:color="auto" w:fill="auto"/>
            <w:hideMark/>
          </w:tcPr>
          <w:p w14:paraId="562B8767" w14:textId="77777777" w:rsidR="004D7171" w:rsidRPr="00E82CC1" w:rsidRDefault="004D7171" w:rsidP="00866B53">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100.00</w:t>
            </w:r>
          </w:p>
        </w:tc>
        <w:tc>
          <w:tcPr>
            <w:tcW w:w="222" w:type="dxa"/>
            <w:shd w:val="clear" w:color="auto" w:fill="auto"/>
            <w:vAlign w:val="center"/>
            <w:hideMark/>
          </w:tcPr>
          <w:p w14:paraId="5EF6712E" w14:textId="77777777" w:rsidR="004D7171" w:rsidRPr="00E82CC1" w:rsidRDefault="004D7171" w:rsidP="00866B53">
            <w:pPr>
              <w:spacing w:after="0" w:line="240" w:lineRule="auto"/>
              <w:rPr>
                <w:rFonts w:ascii="Times New Roman" w:eastAsia="Times New Roman" w:hAnsi="Times New Roman" w:cs="Times New Roman"/>
                <w:sz w:val="20"/>
                <w:szCs w:val="20"/>
                <w:lang w:val="ro-RO"/>
              </w:rPr>
            </w:pPr>
          </w:p>
        </w:tc>
      </w:tr>
    </w:tbl>
    <w:p w14:paraId="2EDB187E" w14:textId="601A5D7C" w:rsidR="00CD2A08" w:rsidRPr="00E82CC1" w:rsidRDefault="00CD2A08" w:rsidP="00CD2A08">
      <w:pPr>
        <w:rPr>
          <w:rFonts w:ascii="Calibri Light" w:eastAsia="Calibri" w:hAnsi="Calibri Light" w:cs="Calibri Light"/>
          <w:i/>
          <w:sz w:val="16"/>
          <w:szCs w:val="16"/>
          <w:lang w:val="ro-RO"/>
        </w:rPr>
      </w:pPr>
      <w:r w:rsidRPr="00E82CC1">
        <w:rPr>
          <w:rFonts w:ascii="Calibri Light" w:eastAsia="Calibri" w:hAnsi="Calibri Light" w:cs="Calibri Light"/>
          <w:b/>
          <w:bCs/>
          <w:i/>
          <w:sz w:val="16"/>
          <w:szCs w:val="16"/>
          <w:lang w:val="ro-RO"/>
        </w:rPr>
        <w:t>Sursă:</w:t>
      </w:r>
      <w:r w:rsidRPr="00E82CC1">
        <w:rPr>
          <w:rFonts w:ascii="Calibri Light" w:eastAsia="Calibri" w:hAnsi="Calibri Light" w:cs="Calibri Light"/>
          <w:i/>
          <w:sz w:val="16"/>
          <w:szCs w:val="16"/>
          <w:lang w:val="ro-RO"/>
        </w:rPr>
        <w:t xml:space="preserve"> Rapo</w:t>
      </w:r>
      <w:r w:rsidR="00155159">
        <w:rPr>
          <w:rFonts w:ascii="Calibri Light" w:eastAsia="Calibri" w:hAnsi="Calibri Light" w:cs="Calibri Light"/>
          <w:i/>
          <w:sz w:val="16"/>
          <w:szCs w:val="16"/>
          <w:lang w:val="ro-RO"/>
        </w:rPr>
        <w:t>a</w:t>
      </w:r>
      <w:r w:rsidRPr="00E82CC1">
        <w:rPr>
          <w:rFonts w:ascii="Calibri Light" w:eastAsia="Calibri" w:hAnsi="Calibri Light" w:cs="Calibri Light"/>
          <w:i/>
          <w:sz w:val="16"/>
          <w:szCs w:val="16"/>
          <w:lang w:val="ro-RO"/>
        </w:rPr>
        <w:t>rt</w:t>
      </w:r>
      <w:r w:rsidR="00155159">
        <w:rPr>
          <w:rFonts w:ascii="Calibri Light" w:eastAsia="Calibri" w:hAnsi="Calibri Light" w:cs="Calibri Light"/>
          <w:i/>
          <w:sz w:val="16"/>
          <w:szCs w:val="16"/>
          <w:lang w:val="ro-RO"/>
        </w:rPr>
        <w:t>e</w:t>
      </w:r>
      <w:r w:rsidRPr="00E82CC1">
        <w:rPr>
          <w:rFonts w:ascii="Calibri Light" w:eastAsia="Calibri" w:hAnsi="Calibri Light" w:cs="Calibri Light"/>
          <w:i/>
          <w:sz w:val="16"/>
          <w:szCs w:val="16"/>
          <w:lang w:val="ro-RO"/>
        </w:rPr>
        <w:t>l</w:t>
      </w:r>
      <w:r w:rsidR="00155159">
        <w:rPr>
          <w:rFonts w:ascii="Calibri Light" w:eastAsia="Calibri" w:hAnsi="Calibri Light" w:cs="Calibri Light"/>
          <w:i/>
          <w:sz w:val="16"/>
          <w:szCs w:val="16"/>
          <w:lang w:val="ro-RO"/>
        </w:rPr>
        <w:t>e</w:t>
      </w:r>
      <w:r w:rsidRPr="00E82CC1">
        <w:rPr>
          <w:rFonts w:ascii="Calibri Light" w:eastAsia="Calibri" w:hAnsi="Calibri Light" w:cs="Calibri Light"/>
          <w:i/>
          <w:sz w:val="16"/>
          <w:szCs w:val="16"/>
          <w:lang w:val="ro-RO"/>
        </w:rPr>
        <w:t xml:space="preserve"> privind executarea bugetului asigurărilor sociale de stat pentru anii 2020 și 2021 (Formularul nr.4 CNAS).</w:t>
      </w:r>
    </w:p>
    <w:p w14:paraId="26475F29" w14:textId="77777777" w:rsidR="00CD2A08" w:rsidRPr="00E82CC1" w:rsidRDefault="00CD2A08" w:rsidP="00CD2A08">
      <w:pPr>
        <w:rPr>
          <w:rFonts w:ascii="Calibri" w:eastAsia="Calibri" w:hAnsi="Calibri" w:cs="Times New Roman"/>
          <w:lang w:val="ro-RO"/>
        </w:rPr>
        <w:sectPr w:rsidR="00CD2A08" w:rsidRPr="00E82CC1" w:rsidSect="00D470AF">
          <w:pgSz w:w="15840" w:h="12240" w:orient="landscape"/>
          <w:pgMar w:top="1350" w:right="1138" w:bottom="850" w:left="1138" w:header="720" w:footer="720" w:gutter="0"/>
          <w:cols w:space="720"/>
          <w:docGrid w:linePitch="360"/>
        </w:sectPr>
      </w:pPr>
    </w:p>
    <w:p w14:paraId="1B1A6304" w14:textId="299D11AC" w:rsidR="00CD2A08" w:rsidRDefault="00CD2A08" w:rsidP="00CD2A08">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Anexa nr. 4 </w:t>
      </w:r>
    </w:p>
    <w:p w14:paraId="5DE97F60" w14:textId="6E8153E8" w:rsidR="00BB5682" w:rsidRDefault="00590DF4" w:rsidP="00590DF4">
      <w:pPr>
        <w:jc w:val="center"/>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Informații privind soldul mijloacelor bănești</w:t>
      </w:r>
    </w:p>
    <w:p w14:paraId="09BBB9FF" w14:textId="54A3332F" w:rsidR="00590DF4" w:rsidRPr="00617E4A" w:rsidRDefault="005D770F" w:rsidP="00617E4A">
      <w:pPr>
        <w:jc w:val="right"/>
        <w:rPr>
          <w:rFonts w:ascii="Calibri Light" w:eastAsia="Times New Roman" w:hAnsi="Calibri Light" w:cs="Calibri Light"/>
          <w:b/>
          <w:sz w:val="20"/>
          <w:szCs w:val="20"/>
          <w:lang w:val="ro-RO"/>
        </w:rPr>
      </w:pPr>
      <w:r>
        <w:rPr>
          <w:rFonts w:ascii="Calibri Light" w:eastAsia="Times New Roman" w:hAnsi="Calibri Light" w:cs="Calibri Light"/>
          <w:b/>
          <w:sz w:val="24"/>
          <w:szCs w:val="24"/>
          <w:lang w:val="ro-RO"/>
        </w:rPr>
        <w:t xml:space="preserve"> </w:t>
      </w:r>
      <w:r w:rsidR="00BB5682" w:rsidRPr="00617E4A">
        <w:rPr>
          <w:rFonts w:ascii="Calibri Light" w:eastAsia="Times New Roman" w:hAnsi="Calibri Light" w:cs="Calibri Light"/>
          <w:b/>
          <w:sz w:val="20"/>
          <w:szCs w:val="20"/>
          <w:lang w:val="ro-RO"/>
        </w:rPr>
        <w:t>(</w:t>
      </w:r>
      <w:r w:rsidRPr="00617E4A">
        <w:rPr>
          <w:rFonts w:ascii="Calibri Light" w:eastAsia="Times New Roman" w:hAnsi="Calibri Light" w:cs="Calibri Light"/>
          <w:b/>
          <w:sz w:val="20"/>
          <w:szCs w:val="20"/>
          <w:lang w:val="ro-RO"/>
        </w:rPr>
        <w:t>mii lei</w:t>
      </w:r>
      <w:r w:rsidR="00BB5682" w:rsidRPr="00617E4A">
        <w:rPr>
          <w:rFonts w:ascii="Calibri Light" w:eastAsia="Times New Roman" w:hAnsi="Calibri Light" w:cs="Calibri Light"/>
          <w:b/>
          <w:sz w:val="20"/>
          <w:szCs w:val="20"/>
          <w:lang w:val="ro-RO"/>
        </w:rPr>
        <w:t>)</w:t>
      </w:r>
    </w:p>
    <w:tbl>
      <w:tblPr>
        <w:tblW w:w="10252" w:type="dxa"/>
        <w:tblLook w:val="04A0" w:firstRow="1" w:lastRow="0" w:firstColumn="1" w:lastColumn="0" w:noHBand="0" w:noVBand="1"/>
      </w:tblPr>
      <w:tblGrid>
        <w:gridCol w:w="2456"/>
        <w:gridCol w:w="1195"/>
        <w:gridCol w:w="936"/>
        <w:gridCol w:w="939"/>
        <w:gridCol w:w="1139"/>
        <w:gridCol w:w="1139"/>
        <w:gridCol w:w="1224"/>
        <w:gridCol w:w="1224"/>
      </w:tblGrid>
      <w:tr w:rsidR="00374340" w:rsidRPr="00590DF4" w14:paraId="746068F1" w14:textId="77777777" w:rsidTr="006B205A">
        <w:trPr>
          <w:trHeight w:val="20"/>
        </w:trPr>
        <w:tc>
          <w:tcPr>
            <w:tcW w:w="2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F3DC1F"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Denumirea</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078E3"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ECO</w:t>
            </w:r>
          </w:p>
        </w:tc>
        <w:tc>
          <w:tcPr>
            <w:tcW w:w="1875" w:type="dxa"/>
            <w:gridSpan w:val="2"/>
            <w:tcBorders>
              <w:top w:val="single" w:sz="4" w:space="0" w:color="auto"/>
              <w:left w:val="nil"/>
              <w:bottom w:val="single" w:sz="4" w:space="0" w:color="auto"/>
              <w:right w:val="single" w:sz="4" w:space="0" w:color="000000"/>
            </w:tcBorders>
            <w:shd w:val="clear" w:color="auto" w:fill="auto"/>
            <w:vAlign w:val="center"/>
            <w:hideMark/>
          </w:tcPr>
          <w:p w14:paraId="373A7E52"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Plan</w:t>
            </w:r>
          </w:p>
        </w:tc>
        <w:tc>
          <w:tcPr>
            <w:tcW w:w="1139" w:type="dxa"/>
            <w:vMerge w:val="restart"/>
            <w:tcBorders>
              <w:top w:val="single" w:sz="4" w:space="0" w:color="auto"/>
              <w:left w:val="nil"/>
              <w:right w:val="single" w:sz="4" w:space="0" w:color="auto"/>
            </w:tcBorders>
            <w:shd w:val="clear" w:color="auto" w:fill="auto"/>
            <w:vAlign w:val="center"/>
            <w:hideMark/>
          </w:tcPr>
          <w:p w14:paraId="5A0CF252"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Executat anul curent</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DB90829" w14:textId="727CE0C4" w:rsidR="00374340" w:rsidRPr="00FC77D1" w:rsidRDefault="00374340" w:rsidP="00BB5682">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Executat faţă de precizat</w:t>
            </w:r>
            <w:r w:rsidRPr="00FC77D1">
              <w:rPr>
                <w:rFonts w:asciiTheme="majorHAnsi" w:eastAsia="Times New Roman" w:hAnsiTheme="majorHAnsi" w:cstheme="majorHAnsi"/>
                <w:b/>
                <w:color w:val="000000"/>
                <w:lang w:val="ro-RO"/>
              </w:rPr>
              <w:br/>
            </w:r>
          </w:p>
        </w:tc>
        <w:tc>
          <w:tcPr>
            <w:tcW w:w="1224" w:type="dxa"/>
            <w:vMerge w:val="restart"/>
            <w:tcBorders>
              <w:top w:val="single" w:sz="4" w:space="0" w:color="auto"/>
              <w:left w:val="nil"/>
              <w:right w:val="single" w:sz="4" w:space="0" w:color="auto"/>
            </w:tcBorders>
            <w:shd w:val="clear" w:color="auto" w:fill="auto"/>
            <w:vAlign w:val="center"/>
            <w:hideMark/>
          </w:tcPr>
          <w:p w14:paraId="7E7AD499"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Executat anul precedent</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93AEB44"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Executat</w:t>
            </w:r>
            <w:r w:rsidRPr="00FC77D1">
              <w:rPr>
                <w:rFonts w:asciiTheme="majorHAnsi" w:eastAsia="Times New Roman" w:hAnsiTheme="majorHAnsi" w:cstheme="majorHAnsi"/>
                <w:b/>
                <w:color w:val="000000"/>
                <w:lang w:val="ro-RO"/>
              </w:rPr>
              <w:br/>
              <w:t>anul curent faţă de anul precedent</w:t>
            </w:r>
          </w:p>
        </w:tc>
      </w:tr>
      <w:tr w:rsidR="00374340" w:rsidRPr="00590DF4" w14:paraId="5B565B97" w14:textId="77777777" w:rsidTr="006B205A">
        <w:trPr>
          <w:trHeight w:val="20"/>
        </w:trPr>
        <w:tc>
          <w:tcPr>
            <w:tcW w:w="2456" w:type="dxa"/>
            <w:vMerge/>
            <w:tcBorders>
              <w:top w:val="single" w:sz="4" w:space="0" w:color="auto"/>
              <w:left w:val="single" w:sz="4" w:space="0" w:color="auto"/>
              <w:bottom w:val="single" w:sz="4" w:space="0" w:color="000000"/>
              <w:right w:val="single" w:sz="4" w:space="0" w:color="auto"/>
            </w:tcBorders>
            <w:vAlign w:val="center"/>
            <w:hideMark/>
          </w:tcPr>
          <w:p w14:paraId="31A6CC34"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66F4BB08"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p>
        </w:tc>
        <w:tc>
          <w:tcPr>
            <w:tcW w:w="936" w:type="dxa"/>
            <w:tcBorders>
              <w:top w:val="nil"/>
              <w:left w:val="nil"/>
              <w:bottom w:val="single" w:sz="4" w:space="0" w:color="auto"/>
              <w:right w:val="single" w:sz="4" w:space="0" w:color="auto"/>
            </w:tcBorders>
            <w:shd w:val="clear" w:color="auto" w:fill="auto"/>
            <w:vAlign w:val="center"/>
            <w:hideMark/>
          </w:tcPr>
          <w:p w14:paraId="55B8216F" w14:textId="01BE5870"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 xml:space="preserve">Aprobat </w:t>
            </w:r>
            <w:r w:rsidRPr="00FC77D1">
              <w:rPr>
                <w:rFonts w:asciiTheme="majorHAnsi" w:eastAsia="Times New Roman" w:hAnsiTheme="majorHAnsi" w:cstheme="majorHAnsi"/>
                <w:b/>
                <w:color w:val="000000"/>
                <w:lang w:val="ro-RO"/>
              </w:rPr>
              <w:br/>
              <w:t>pe an</w:t>
            </w:r>
          </w:p>
        </w:tc>
        <w:tc>
          <w:tcPr>
            <w:tcW w:w="939" w:type="dxa"/>
            <w:tcBorders>
              <w:top w:val="nil"/>
              <w:left w:val="nil"/>
              <w:bottom w:val="single" w:sz="4" w:space="0" w:color="auto"/>
              <w:right w:val="single" w:sz="4" w:space="0" w:color="auto"/>
            </w:tcBorders>
            <w:shd w:val="clear" w:color="auto" w:fill="auto"/>
            <w:vAlign w:val="center"/>
            <w:hideMark/>
          </w:tcPr>
          <w:p w14:paraId="13E77F03" w14:textId="7E5371C3"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Precizat</w:t>
            </w:r>
            <w:r w:rsidRPr="00FC77D1">
              <w:rPr>
                <w:rFonts w:asciiTheme="majorHAnsi" w:eastAsia="Times New Roman" w:hAnsiTheme="majorHAnsi" w:cstheme="majorHAnsi"/>
                <w:b/>
                <w:color w:val="000000"/>
                <w:lang w:val="ro-RO"/>
              </w:rPr>
              <w:br/>
              <w:t>pe an</w:t>
            </w:r>
          </w:p>
        </w:tc>
        <w:tc>
          <w:tcPr>
            <w:tcW w:w="1139" w:type="dxa"/>
            <w:vMerge/>
            <w:tcBorders>
              <w:left w:val="nil"/>
              <w:bottom w:val="single" w:sz="4" w:space="0" w:color="auto"/>
              <w:right w:val="single" w:sz="4" w:space="0" w:color="auto"/>
            </w:tcBorders>
            <w:shd w:val="clear" w:color="auto" w:fill="auto"/>
            <w:vAlign w:val="center"/>
            <w:hideMark/>
          </w:tcPr>
          <w:p w14:paraId="330047D8" w14:textId="62404512" w:rsidR="00374340" w:rsidRPr="00FC77D1" w:rsidRDefault="00374340" w:rsidP="00590DF4">
            <w:pPr>
              <w:spacing w:after="0" w:line="240" w:lineRule="auto"/>
              <w:jc w:val="center"/>
              <w:rPr>
                <w:rFonts w:asciiTheme="majorHAnsi" w:eastAsia="Times New Roman" w:hAnsiTheme="majorHAnsi" w:cstheme="majorHAnsi"/>
                <w:b/>
                <w:color w:val="000000"/>
                <w:lang w:val="ro-RO"/>
              </w:rPr>
            </w:pPr>
          </w:p>
        </w:tc>
        <w:tc>
          <w:tcPr>
            <w:tcW w:w="1139" w:type="dxa"/>
            <w:tcBorders>
              <w:top w:val="nil"/>
              <w:left w:val="nil"/>
              <w:bottom w:val="single" w:sz="4" w:space="0" w:color="auto"/>
              <w:right w:val="single" w:sz="4" w:space="0" w:color="auto"/>
            </w:tcBorders>
            <w:shd w:val="clear" w:color="auto" w:fill="auto"/>
            <w:vAlign w:val="center"/>
            <w:hideMark/>
          </w:tcPr>
          <w:p w14:paraId="2CD0F453"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devieri</w:t>
            </w:r>
            <w:r w:rsidRPr="00FC77D1">
              <w:rPr>
                <w:rFonts w:asciiTheme="majorHAnsi" w:eastAsia="Times New Roman" w:hAnsiTheme="majorHAnsi" w:cstheme="majorHAnsi"/>
                <w:b/>
                <w:color w:val="000000"/>
                <w:lang w:val="ro-RO"/>
              </w:rPr>
              <w:br/>
              <w:t>(+/-)</w:t>
            </w:r>
          </w:p>
        </w:tc>
        <w:tc>
          <w:tcPr>
            <w:tcW w:w="1224" w:type="dxa"/>
            <w:vMerge/>
            <w:tcBorders>
              <w:left w:val="nil"/>
              <w:bottom w:val="single" w:sz="4" w:space="0" w:color="auto"/>
              <w:right w:val="single" w:sz="4" w:space="0" w:color="auto"/>
            </w:tcBorders>
            <w:shd w:val="clear" w:color="auto" w:fill="auto"/>
            <w:vAlign w:val="center"/>
            <w:hideMark/>
          </w:tcPr>
          <w:p w14:paraId="6739D93C" w14:textId="56A69E6D" w:rsidR="00374340" w:rsidRPr="00FC77D1" w:rsidRDefault="00374340" w:rsidP="00590DF4">
            <w:pPr>
              <w:spacing w:after="0" w:line="240" w:lineRule="auto"/>
              <w:jc w:val="center"/>
              <w:rPr>
                <w:rFonts w:asciiTheme="majorHAnsi" w:eastAsia="Times New Roman" w:hAnsiTheme="majorHAnsi" w:cstheme="majorHAnsi"/>
                <w:b/>
                <w:color w:val="000000"/>
                <w:lang w:val="ro-RO"/>
              </w:rPr>
            </w:pPr>
          </w:p>
        </w:tc>
        <w:tc>
          <w:tcPr>
            <w:tcW w:w="1224" w:type="dxa"/>
            <w:tcBorders>
              <w:top w:val="nil"/>
              <w:left w:val="nil"/>
              <w:bottom w:val="single" w:sz="4" w:space="0" w:color="auto"/>
              <w:right w:val="single" w:sz="4" w:space="0" w:color="auto"/>
            </w:tcBorders>
            <w:shd w:val="clear" w:color="auto" w:fill="auto"/>
            <w:vAlign w:val="center"/>
            <w:hideMark/>
          </w:tcPr>
          <w:p w14:paraId="314FBEC5" w14:textId="77777777" w:rsidR="00374340" w:rsidRPr="00FC77D1" w:rsidRDefault="00374340" w:rsidP="00590D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devieri</w:t>
            </w:r>
            <w:r w:rsidRPr="00FC77D1">
              <w:rPr>
                <w:rFonts w:asciiTheme="majorHAnsi" w:eastAsia="Times New Roman" w:hAnsiTheme="majorHAnsi" w:cstheme="majorHAnsi"/>
                <w:b/>
                <w:color w:val="000000"/>
                <w:lang w:val="ro-RO"/>
              </w:rPr>
              <w:br/>
              <w:t>(+/-)</w:t>
            </w:r>
          </w:p>
        </w:tc>
      </w:tr>
      <w:tr w:rsidR="00590DF4" w:rsidRPr="00590DF4" w14:paraId="4B81F62E" w14:textId="77777777" w:rsidTr="00374340">
        <w:trPr>
          <w:trHeight w:val="20"/>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1B048966" w14:textId="77777777" w:rsidR="00FC77D1" w:rsidRPr="00FC77D1" w:rsidRDefault="00FC77D1" w:rsidP="00FC77D1">
            <w:pPr>
              <w:spacing w:after="0" w:line="240" w:lineRule="auto"/>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SOLD DE MIJLOACE BĂNEŞTI LA ÎNCEPUTUL PERIOADEI</w:t>
            </w:r>
          </w:p>
        </w:tc>
        <w:tc>
          <w:tcPr>
            <w:tcW w:w="1195" w:type="dxa"/>
            <w:tcBorders>
              <w:top w:val="nil"/>
              <w:left w:val="nil"/>
              <w:bottom w:val="single" w:sz="4" w:space="0" w:color="auto"/>
              <w:right w:val="single" w:sz="4" w:space="0" w:color="auto"/>
            </w:tcBorders>
            <w:shd w:val="clear" w:color="auto" w:fill="auto"/>
            <w:vAlign w:val="bottom"/>
            <w:hideMark/>
          </w:tcPr>
          <w:p w14:paraId="1817C3DB" w14:textId="77777777" w:rsidR="00FC77D1" w:rsidRPr="00FC77D1" w:rsidRDefault="00FC77D1" w:rsidP="00FC77D1">
            <w:pPr>
              <w:spacing w:after="0" w:line="240" w:lineRule="auto"/>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91</w:t>
            </w:r>
          </w:p>
        </w:tc>
        <w:tc>
          <w:tcPr>
            <w:tcW w:w="936" w:type="dxa"/>
            <w:tcBorders>
              <w:top w:val="nil"/>
              <w:left w:val="nil"/>
              <w:bottom w:val="single" w:sz="4" w:space="0" w:color="auto"/>
              <w:right w:val="single" w:sz="4" w:space="0" w:color="auto"/>
            </w:tcBorders>
            <w:shd w:val="clear" w:color="auto" w:fill="auto"/>
            <w:vAlign w:val="bottom"/>
            <w:hideMark/>
          </w:tcPr>
          <w:p w14:paraId="62C16C11"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939" w:type="dxa"/>
            <w:tcBorders>
              <w:top w:val="nil"/>
              <w:left w:val="nil"/>
              <w:bottom w:val="single" w:sz="4" w:space="0" w:color="auto"/>
              <w:right w:val="single" w:sz="4" w:space="0" w:color="auto"/>
            </w:tcBorders>
            <w:shd w:val="clear" w:color="auto" w:fill="auto"/>
            <w:vAlign w:val="bottom"/>
            <w:hideMark/>
          </w:tcPr>
          <w:p w14:paraId="315BBB44"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41028,5</w:t>
            </w:r>
          </w:p>
        </w:tc>
        <w:tc>
          <w:tcPr>
            <w:tcW w:w="1139" w:type="dxa"/>
            <w:tcBorders>
              <w:top w:val="nil"/>
              <w:left w:val="nil"/>
              <w:bottom w:val="single" w:sz="4" w:space="0" w:color="auto"/>
              <w:right w:val="single" w:sz="4" w:space="0" w:color="auto"/>
            </w:tcBorders>
            <w:shd w:val="clear" w:color="auto" w:fill="auto"/>
            <w:vAlign w:val="bottom"/>
            <w:hideMark/>
          </w:tcPr>
          <w:p w14:paraId="272BF98B"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41028,5</w:t>
            </w:r>
          </w:p>
        </w:tc>
        <w:tc>
          <w:tcPr>
            <w:tcW w:w="1139" w:type="dxa"/>
            <w:tcBorders>
              <w:top w:val="nil"/>
              <w:left w:val="nil"/>
              <w:bottom w:val="single" w:sz="4" w:space="0" w:color="auto"/>
              <w:right w:val="single" w:sz="4" w:space="0" w:color="auto"/>
            </w:tcBorders>
            <w:shd w:val="clear" w:color="auto" w:fill="auto"/>
            <w:vAlign w:val="bottom"/>
            <w:hideMark/>
          </w:tcPr>
          <w:p w14:paraId="5D111B2B"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1224" w:type="dxa"/>
            <w:tcBorders>
              <w:top w:val="nil"/>
              <w:left w:val="nil"/>
              <w:bottom w:val="single" w:sz="4" w:space="0" w:color="auto"/>
              <w:right w:val="single" w:sz="4" w:space="0" w:color="auto"/>
            </w:tcBorders>
            <w:shd w:val="clear" w:color="auto" w:fill="auto"/>
            <w:vAlign w:val="bottom"/>
            <w:hideMark/>
          </w:tcPr>
          <w:p w14:paraId="744C1A02"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163043,7</w:t>
            </w:r>
          </w:p>
        </w:tc>
        <w:tc>
          <w:tcPr>
            <w:tcW w:w="1224" w:type="dxa"/>
            <w:tcBorders>
              <w:top w:val="nil"/>
              <w:left w:val="nil"/>
              <w:bottom w:val="single" w:sz="4" w:space="0" w:color="auto"/>
              <w:right w:val="single" w:sz="4" w:space="0" w:color="auto"/>
            </w:tcBorders>
            <w:shd w:val="clear" w:color="auto" w:fill="auto"/>
            <w:vAlign w:val="bottom"/>
            <w:hideMark/>
          </w:tcPr>
          <w:p w14:paraId="268EB351"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-122015,2</w:t>
            </w:r>
          </w:p>
        </w:tc>
      </w:tr>
      <w:tr w:rsidR="00590DF4" w:rsidRPr="00590DF4" w14:paraId="6FA4A080" w14:textId="77777777" w:rsidTr="00374340">
        <w:trPr>
          <w:trHeight w:val="20"/>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53CE0EB0" w14:textId="3BC7B837" w:rsidR="00FC77D1" w:rsidRPr="00FC77D1" w:rsidRDefault="00FC77D1" w:rsidP="00BB5682">
            <w:pPr>
              <w:spacing w:after="0" w:line="240" w:lineRule="auto"/>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SOLD DE MIJLOACE BĂNEŞTI LA SF</w:t>
            </w:r>
            <w:r w:rsidR="00BB5682">
              <w:rPr>
                <w:rFonts w:asciiTheme="majorHAnsi" w:eastAsia="Times New Roman" w:hAnsiTheme="majorHAnsi" w:cstheme="majorHAnsi"/>
                <w:color w:val="000000"/>
                <w:lang w:val="ro-RO"/>
              </w:rPr>
              <w:t>Â</w:t>
            </w:r>
            <w:r w:rsidRPr="00FC77D1">
              <w:rPr>
                <w:rFonts w:asciiTheme="majorHAnsi" w:eastAsia="Times New Roman" w:hAnsiTheme="majorHAnsi" w:cstheme="majorHAnsi"/>
                <w:color w:val="000000"/>
                <w:lang w:val="ro-RO"/>
              </w:rPr>
              <w:t>RŞITUL PERIOADEI</w:t>
            </w:r>
          </w:p>
        </w:tc>
        <w:tc>
          <w:tcPr>
            <w:tcW w:w="1195" w:type="dxa"/>
            <w:tcBorders>
              <w:top w:val="nil"/>
              <w:left w:val="nil"/>
              <w:bottom w:val="single" w:sz="4" w:space="0" w:color="auto"/>
              <w:right w:val="single" w:sz="4" w:space="0" w:color="auto"/>
            </w:tcBorders>
            <w:shd w:val="clear" w:color="auto" w:fill="auto"/>
            <w:vAlign w:val="bottom"/>
            <w:hideMark/>
          </w:tcPr>
          <w:p w14:paraId="231656D2" w14:textId="77777777" w:rsidR="00FC77D1" w:rsidRPr="00FC77D1" w:rsidRDefault="00FC77D1" w:rsidP="00FC77D1">
            <w:pPr>
              <w:spacing w:after="0" w:line="240" w:lineRule="auto"/>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93</w:t>
            </w:r>
          </w:p>
        </w:tc>
        <w:tc>
          <w:tcPr>
            <w:tcW w:w="936" w:type="dxa"/>
            <w:tcBorders>
              <w:top w:val="nil"/>
              <w:left w:val="nil"/>
              <w:bottom w:val="single" w:sz="4" w:space="0" w:color="auto"/>
              <w:right w:val="single" w:sz="4" w:space="0" w:color="auto"/>
            </w:tcBorders>
            <w:shd w:val="clear" w:color="auto" w:fill="auto"/>
            <w:vAlign w:val="bottom"/>
            <w:hideMark/>
          </w:tcPr>
          <w:p w14:paraId="2B0D8ACF"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939" w:type="dxa"/>
            <w:tcBorders>
              <w:top w:val="nil"/>
              <w:left w:val="nil"/>
              <w:bottom w:val="single" w:sz="4" w:space="0" w:color="auto"/>
              <w:right w:val="single" w:sz="4" w:space="0" w:color="auto"/>
            </w:tcBorders>
            <w:shd w:val="clear" w:color="auto" w:fill="auto"/>
            <w:vAlign w:val="bottom"/>
            <w:hideMark/>
          </w:tcPr>
          <w:p w14:paraId="4192FCD8"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1139" w:type="dxa"/>
            <w:tcBorders>
              <w:top w:val="nil"/>
              <w:left w:val="nil"/>
              <w:bottom w:val="single" w:sz="4" w:space="0" w:color="auto"/>
              <w:right w:val="single" w:sz="4" w:space="0" w:color="auto"/>
            </w:tcBorders>
            <w:shd w:val="clear" w:color="auto" w:fill="auto"/>
            <w:vAlign w:val="bottom"/>
            <w:hideMark/>
          </w:tcPr>
          <w:p w14:paraId="3EFAB58C"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60376,5</w:t>
            </w:r>
          </w:p>
        </w:tc>
        <w:tc>
          <w:tcPr>
            <w:tcW w:w="1139" w:type="dxa"/>
            <w:tcBorders>
              <w:top w:val="nil"/>
              <w:left w:val="nil"/>
              <w:bottom w:val="single" w:sz="4" w:space="0" w:color="auto"/>
              <w:right w:val="single" w:sz="4" w:space="0" w:color="auto"/>
            </w:tcBorders>
            <w:shd w:val="clear" w:color="auto" w:fill="auto"/>
            <w:vAlign w:val="bottom"/>
            <w:hideMark/>
          </w:tcPr>
          <w:p w14:paraId="331395D9"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60376,5</w:t>
            </w:r>
          </w:p>
        </w:tc>
        <w:tc>
          <w:tcPr>
            <w:tcW w:w="1224" w:type="dxa"/>
            <w:tcBorders>
              <w:top w:val="nil"/>
              <w:left w:val="nil"/>
              <w:bottom w:val="single" w:sz="4" w:space="0" w:color="auto"/>
              <w:right w:val="single" w:sz="4" w:space="0" w:color="auto"/>
            </w:tcBorders>
            <w:shd w:val="clear" w:color="auto" w:fill="auto"/>
            <w:vAlign w:val="bottom"/>
            <w:hideMark/>
          </w:tcPr>
          <w:p w14:paraId="11688572"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41028,5</w:t>
            </w:r>
          </w:p>
        </w:tc>
        <w:tc>
          <w:tcPr>
            <w:tcW w:w="1224" w:type="dxa"/>
            <w:tcBorders>
              <w:top w:val="nil"/>
              <w:left w:val="nil"/>
              <w:bottom w:val="single" w:sz="4" w:space="0" w:color="auto"/>
              <w:right w:val="single" w:sz="4" w:space="0" w:color="auto"/>
            </w:tcBorders>
            <w:shd w:val="clear" w:color="auto" w:fill="auto"/>
            <w:vAlign w:val="bottom"/>
            <w:hideMark/>
          </w:tcPr>
          <w:p w14:paraId="71D41132" w14:textId="77777777" w:rsidR="00FC77D1" w:rsidRPr="00FC77D1" w:rsidRDefault="00FC77D1" w:rsidP="00FC77D1">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19348</w:t>
            </w:r>
          </w:p>
        </w:tc>
      </w:tr>
    </w:tbl>
    <w:p w14:paraId="78F5EF3E" w14:textId="3C15117F" w:rsidR="00FC77D1" w:rsidRDefault="00590DF4" w:rsidP="00FC77D1">
      <w:pPr>
        <w:rPr>
          <w:rFonts w:ascii="Calibri Light" w:eastAsia="Calibri" w:hAnsi="Calibri Light" w:cs="Calibri Light"/>
          <w:i/>
          <w:sz w:val="20"/>
          <w:szCs w:val="20"/>
          <w:lang w:val="ro-RO"/>
        </w:rPr>
      </w:pPr>
      <w:r w:rsidRPr="00590DF4">
        <w:rPr>
          <w:rFonts w:ascii="Calibri Light" w:eastAsia="Times New Roman" w:hAnsi="Calibri Light" w:cs="Calibri Light"/>
          <w:b/>
          <w:i/>
          <w:szCs w:val="24"/>
          <w:lang w:val="ro-RO"/>
        </w:rPr>
        <w:t>Sursă:</w:t>
      </w:r>
      <w:r w:rsidRPr="00590DF4">
        <w:rPr>
          <w:rFonts w:ascii="Calibri Light" w:eastAsia="Calibri" w:hAnsi="Calibri Light" w:cs="Calibri Light"/>
          <w:i/>
          <w:sz w:val="18"/>
          <w:szCs w:val="20"/>
          <w:lang w:val="ro-RO"/>
        </w:rPr>
        <w:t xml:space="preserve"> </w:t>
      </w:r>
      <w:r w:rsidRPr="00E82CC1">
        <w:rPr>
          <w:rFonts w:ascii="Calibri Light" w:eastAsia="Calibri" w:hAnsi="Calibri Light" w:cs="Calibri Light"/>
          <w:i/>
          <w:sz w:val="20"/>
          <w:szCs w:val="20"/>
          <w:lang w:val="ro-RO"/>
        </w:rPr>
        <w:t>Raportul privind executarea bugetului asigurărilor sociale de stat pentru anul 2021 (Formularul nr.4 CNAS).</w:t>
      </w:r>
    </w:p>
    <w:p w14:paraId="0F4D175F" w14:textId="77777777" w:rsidR="00590DF4" w:rsidRPr="00E82CC1" w:rsidRDefault="00590DF4" w:rsidP="00590DF4">
      <w:pPr>
        <w:rPr>
          <w:rFonts w:ascii="Calibri Light" w:eastAsia="Times New Roman" w:hAnsi="Calibri Light" w:cs="Calibri Light"/>
          <w:b/>
          <w:sz w:val="24"/>
          <w:szCs w:val="24"/>
          <w:lang w:val="ro-RO"/>
        </w:rPr>
      </w:pPr>
    </w:p>
    <w:p w14:paraId="16A696CF" w14:textId="4E183168" w:rsidR="00590DF4" w:rsidRDefault="00CD2A08" w:rsidP="00814A01">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Anexa nr. </w:t>
      </w:r>
      <w:r w:rsidR="00590DF4">
        <w:rPr>
          <w:rFonts w:ascii="Calibri Light" w:eastAsia="Times New Roman" w:hAnsi="Calibri Light" w:cs="Calibri Light"/>
          <w:b/>
          <w:sz w:val="24"/>
          <w:szCs w:val="24"/>
          <w:lang w:val="ro-RO"/>
        </w:rPr>
        <w:t>5</w:t>
      </w:r>
    </w:p>
    <w:p w14:paraId="37D1EB26" w14:textId="77F2D6F1" w:rsidR="00590DF4" w:rsidRPr="00617E4A" w:rsidRDefault="00590DF4" w:rsidP="00BB5682">
      <w:pPr>
        <w:spacing w:after="0" w:line="276" w:lineRule="auto"/>
        <w:jc w:val="center"/>
        <w:rPr>
          <w:rFonts w:ascii="Calibri Light" w:eastAsia="Calibri" w:hAnsi="Calibri Light" w:cs="Calibri Light"/>
          <w:b/>
          <w:bCs/>
          <w:sz w:val="20"/>
          <w:szCs w:val="20"/>
          <w:lang w:val="ro-RO"/>
        </w:rPr>
      </w:pPr>
      <w:r w:rsidRPr="00CD2A08">
        <w:rPr>
          <w:rFonts w:ascii="Calibri Light" w:eastAsia="Calibri" w:hAnsi="Calibri Light" w:cs="Calibri Light"/>
          <w:b/>
          <w:bCs/>
          <w:sz w:val="24"/>
          <w:szCs w:val="24"/>
          <w:lang w:val="ro-RO"/>
        </w:rPr>
        <w:t xml:space="preserve">Structura veniturilor BASS în anul 2021 </w:t>
      </w:r>
    </w:p>
    <w:p w14:paraId="0B36DC30" w14:textId="77777777" w:rsidR="00590DF4" w:rsidRPr="00CD2A08" w:rsidRDefault="00590DF4" w:rsidP="00590DF4">
      <w:pPr>
        <w:spacing w:after="0" w:line="276" w:lineRule="auto"/>
        <w:jc w:val="center"/>
        <w:rPr>
          <w:rFonts w:ascii="Calibri Light" w:eastAsia="Calibri" w:hAnsi="Calibri Light" w:cs="Calibri Light"/>
          <w:b/>
          <w:bCs/>
          <w:sz w:val="24"/>
          <w:szCs w:val="24"/>
          <w:lang w:val="ro-RO"/>
        </w:rPr>
      </w:pPr>
      <w:r w:rsidRPr="00CD2A08">
        <w:rPr>
          <w:rFonts w:ascii="Calibri" w:eastAsia="Calibri" w:hAnsi="Calibri" w:cs="Times New Roman"/>
          <w:noProof/>
          <w:lang w:val="ru-RU" w:eastAsia="ru-RU"/>
        </w:rPr>
        <w:drawing>
          <wp:inline distT="0" distB="0" distL="0" distR="0" wp14:anchorId="5633C487" wp14:editId="4502A774">
            <wp:extent cx="6372860" cy="3790315"/>
            <wp:effectExtent l="0" t="0" r="8890" b="635"/>
            <wp:docPr id="10" name="Chart 1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D7C96BB-D2F8-4942-868B-F56C68949E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22CF869" w14:textId="52A9C693" w:rsidR="00CD2A08" w:rsidRPr="00E82CC1" w:rsidRDefault="00590DF4" w:rsidP="00590DF4">
      <w:pPr>
        <w:rPr>
          <w:rFonts w:ascii="Calibri Light" w:eastAsia="Times New Roman" w:hAnsi="Calibri Light" w:cs="Calibri Light"/>
          <w:b/>
          <w:sz w:val="24"/>
          <w:szCs w:val="24"/>
          <w:lang w:val="ro-RO"/>
        </w:rPr>
      </w:pPr>
      <w:r w:rsidRPr="00CD2A08">
        <w:rPr>
          <w:rFonts w:ascii="Calibri Light" w:eastAsia="Calibri" w:hAnsi="Calibri Light" w:cs="Calibri Light"/>
          <w:b/>
          <w:bCs/>
          <w:i/>
          <w:sz w:val="20"/>
          <w:szCs w:val="20"/>
          <w:lang w:val="ro-RO"/>
        </w:rPr>
        <w:t>Sursă:</w:t>
      </w:r>
      <w:r w:rsidRPr="00CD2A08">
        <w:rPr>
          <w:rFonts w:ascii="Calibri Light" w:eastAsia="Calibri" w:hAnsi="Calibri Light" w:cs="Calibri Light"/>
          <w:i/>
          <w:sz w:val="20"/>
          <w:szCs w:val="20"/>
          <w:lang w:val="ro-RO"/>
        </w:rPr>
        <w:t xml:space="preserve"> Raportul privind executarea bugetului asigurărilor sociale de stat pentru anul 2021 (Formularul nr.4 CNAS).</w:t>
      </w:r>
      <w:r w:rsidR="00CD2A08" w:rsidRPr="00E82CC1">
        <w:rPr>
          <w:rFonts w:ascii="Calibri Light" w:eastAsia="Times New Roman" w:hAnsi="Calibri Light" w:cs="Calibri Light"/>
          <w:b/>
          <w:sz w:val="24"/>
          <w:szCs w:val="24"/>
          <w:lang w:val="ro-RO"/>
        </w:rPr>
        <w:t xml:space="preserve"> </w:t>
      </w:r>
    </w:p>
    <w:p w14:paraId="1B7C6EF1" w14:textId="77777777" w:rsidR="00590DF4" w:rsidRDefault="00590DF4" w:rsidP="00CD2A08">
      <w:pPr>
        <w:widowControl w:val="0"/>
        <w:spacing w:after="0" w:line="276" w:lineRule="auto"/>
        <w:jc w:val="center"/>
        <w:rPr>
          <w:rFonts w:ascii="Calibri Light" w:eastAsia="Book Antiqua" w:hAnsi="Calibri Light" w:cs="Calibri Light"/>
          <w:b/>
          <w:sz w:val="24"/>
          <w:szCs w:val="24"/>
          <w:lang w:val="ro-RO"/>
        </w:rPr>
      </w:pPr>
    </w:p>
    <w:p w14:paraId="147972C0" w14:textId="77777777" w:rsidR="00590DF4" w:rsidRDefault="00590DF4" w:rsidP="00CD2A08">
      <w:pPr>
        <w:widowControl w:val="0"/>
        <w:spacing w:after="0" w:line="276" w:lineRule="auto"/>
        <w:jc w:val="center"/>
        <w:rPr>
          <w:rFonts w:ascii="Calibri Light" w:eastAsia="Book Antiqua" w:hAnsi="Calibri Light" w:cs="Calibri Light"/>
          <w:b/>
          <w:sz w:val="24"/>
          <w:szCs w:val="24"/>
          <w:lang w:val="ro-RO"/>
        </w:rPr>
      </w:pPr>
    </w:p>
    <w:p w14:paraId="4F06B298" w14:textId="085A0452" w:rsidR="00590DF4" w:rsidRPr="00590DF4" w:rsidRDefault="00590DF4" w:rsidP="00590DF4">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Anexa nr. </w:t>
      </w:r>
      <w:r>
        <w:rPr>
          <w:rFonts w:ascii="Calibri Light" w:eastAsia="Times New Roman" w:hAnsi="Calibri Light" w:cs="Calibri Light"/>
          <w:b/>
          <w:sz w:val="24"/>
          <w:szCs w:val="24"/>
          <w:lang w:val="ro-RO"/>
        </w:rPr>
        <w:t>6</w:t>
      </w:r>
    </w:p>
    <w:p w14:paraId="45103BF0" w14:textId="77777777" w:rsidR="00BB5682" w:rsidRDefault="00CD2A08" w:rsidP="00CD2A08">
      <w:pPr>
        <w:widowControl w:val="0"/>
        <w:spacing w:after="0" w:line="276" w:lineRule="auto"/>
        <w:jc w:val="center"/>
        <w:rPr>
          <w:rFonts w:ascii="Calibri Light" w:eastAsia="Book Antiqua" w:hAnsi="Calibri Light" w:cs="Calibri Light"/>
          <w:b/>
          <w:sz w:val="24"/>
          <w:szCs w:val="24"/>
          <w:lang w:val="ro-RO"/>
        </w:rPr>
      </w:pPr>
      <w:r w:rsidRPr="00E82CC1">
        <w:rPr>
          <w:rFonts w:ascii="Calibri Light" w:eastAsia="Book Antiqua" w:hAnsi="Calibri Light" w:cs="Calibri Light"/>
          <w:b/>
          <w:sz w:val="24"/>
          <w:szCs w:val="24"/>
          <w:lang w:val="ro-RO"/>
        </w:rPr>
        <w:t xml:space="preserve">Dinamica executării veniturilor bugetului asigurărilor sociale de stat în anii 2018-2021 </w:t>
      </w:r>
    </w:p>
    <w:p w14:paraId="7242B447" w14:textId="6174488D" w:rsidR="00CD2A08" w:rsidRPr="00617E4A" w:rsidRDefault="00CD2A08" w:rsidP="00617E4A">
      <w:pPr>
        <w:widowControl w:val="0"/>
        <w:spacing w:after="0" w:line="276" w:lineRule="auto"/>
        <w:jc w:val="right"/>
        <w:rPr>
          <w:rFonts w:ascii="Calibri Light" w:eastAsia="Book Antiqua" w:hAnsi="Calibri Light" w:cs="Calibri Light"/>
          <w:b/>
          <w:sz w:val="20"/>
          <w:szCs w:val="20"/>
          <w:lang w:val="ro-RO"/>
        </w:rPr>
      </w:pPr>
      <w:r w:rsidRPr="00617E4A">
        <w:rPr>
          <w:rFonts w:ascii="Calibri Light" w:eastAsia="Book Antiqua" w:hAnsi="Calibri Light" w:cs="Calibri Light"/>
          <w:b/>
          <w:sz w:val="20"/>
          <w:szCs w:val="20"/>
          <w:lang w:val="ro-RO"/>
        </w:rPr>
        <w:t>(mil.lei)</w:t>
      </w:r>
    </w:p>
    <w:p w14:paraId="040AFA5D" w14:textId="77777777" w:rsidR="00CD2A08" w:rsidRPr="00E82CC1" w:rsidRDefault="00CD2A08" w:rsidP="00CD2A08">
      <w:pPr>
        <w:widowControl w:val="0"/>
        <w:spacing w:after="0" w:line="276" w:lineRule="auto"/>
        <w:jc w:val="center"/>
        <w:rPr>
          <w:rFonts w:ascii="Calibri Light" w:eastAsia="Book Antiqua" w:hAnsi="Calibri Light" w:cs="Calibri Light"/>
          <w:b/>
          <w:sz w:val="24"/>
          <w:szCs w:val="24"/>
          <w:lang w:val="ro-RO"/>
        </w:rPr>
      </w:pPr>
      <w:r w:rsidRPr="00E82CC1">
        <w:rPr>
          <w:rFonts w:ascii="Book Antiqua" w:eastAsia="Book Antiqua" w:hAnsi="Book Antiqua" w:cs="Book Antiqua"/>
          <w:noProof/>
          <w:sz w:val="18"/>
          <w:szCs w:val="18"/>
          <w:lang w:val="ru-RU" w:eastAsia="ru-RU"/>
        </w:rPr>
        <w:drawing>
          <wp:inline distT="0" distB="0" distL="0" distR="0" wp14:anchorId="3A0E1DF8" wp14:editId="784FCB0C">
            <wp:extent cx="5981700" cy="3131820"/>
            <wp:effectExtent l="0" t="0" r="0" b="11430"/>
            <wp:docPr id="11" name="Chart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B36291E-89F3-40FF-A0E9-C57AEBC7D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336AEC" w14:textId="77777777" w:rsidR="00CD2A08" w:rsidRPr="00E82CC1" w:rsidRDefault="00CD2A08" w:rsidP="00CD2A08">
      <w:pPr>
        <w:tabs>
          <w:tab w:val="left" w:pos="162"/>
        </w:tabs>
        <w:spacing w:after="0" w:line="276" w:lineRule="auto"/>
        <w:rPr>
          <w:rFonts w:ascii="Calibri Light" w:eastAsia="Times New Roman" w:hAnsi="Calibri Light" w:cs="Calibri Light"/>
          <w:i/>
          <w:sz w:val="20"/>
          <w:szCs w:val="20"/>
          <w:lang w:val="ro-RO"/>
        </w:rPr>
      </w:pPr>
      <w:r w:rsidRPr="00E82CC1">
        <w:rPr>
          <w:rFonts w:ascii="Calibri Light" w:eastAsia="Times New Roman" w:hAnsi="Calibri Light" w:cs="Calibri Light"/>
          <w:b/>
          <w:bCs/>
          <w:i/>
          <w:sz w:val="20"/>
          <w:szCs w:val="20"/>
          <w:lang w:val="ro-RO"/>
        </w:rPr>
        <w:t>Sursă:</w:t>
      </w:r>
      <w:r w:rsidRPr="00E82CC1">
        <w:rPr>
          <w:rFonts w:ascii="Calibri Light" w:eastAsia="Times New Roman" w:hAnsi="Calibri Light" w:cs="Calibri Light"/>
          <w:i/>
          <w:sz w:val="20"/>
          <w:szCs w:val="20"/>
          <w:lang w:val="ro-RO"/>
        </w:rPr>
        <w:t xml:space="preserve"> Raportul privind executarea bugetului asigurărilor sociale de stat pentru anii 2018-2021.</w:t>
      </w:r>
    </w:p>
    <w:p w14:paraId="3399AEDC" w14:textId="5CD28C3A" w:rsidR="00CD2A08" w:rsidRPr="00E82CC1" w:rsidRDefault="00CD2A08" w:rsidP="00CD2A08">
      <w:pPr>
        <w:keepNext/>
        <w:keepLines/>
        <w:spacing w:before="40" w:after="0" w:line="240" w:lineRule="auto"/>
        <w:jc w:val="right"/>
        <w:outlineLvl w:val="1"/>
        <w:rPr>
          <w:rFonts w:ascii="Calibri Light" w:eastAsia="Times New Roman" w:hAnsi="Calibri Light" w:cs="Calibri Light"/>
          <w:b/>
          <w:color w:val="000000"/>
          <w:sz w:val="24"/>
          <w:szCs w:val="20"/>
          <w:lang w:val="ro-RO" w:eastAsia="ro-RO"/>
        </w:rPr>
      </w:pPr>
      <w:r w:rsidRPr="00E82CC1">
        <w:rPr>
          <w:rFonts w:ascii="Calibri Light" w:eastAsia="Times New Roman" w:hAnsi="Calibri Light" w:cs="Calibri Light"/>
          <w:b/>
          <w:color w:val="000000"/>
          <w:sz w:val="24"/>
          <w:szCs w:val="20"/>
          <w:lang w:val="ro-RO" w:eastAsia="ro-RO"/>
        </w:rPr>
        <w:t xml:space="preserve">Anexa nr. </w:t>
      </w:r>
      <w:r w:rsidR="00590DF4">
        <w:rPr>
          <w:rFonts w:ascii="Calibri Light" w:eastAsia="Times New Roman" w:hAnsi="Calibri Light" w:cs="Calibri Light"/>
          <w:b/>
          <w:color w:val="000000"/>
          <w:sz w:val="24"/>
          <w:szCs w:val="20"/>
          <w:lang w:val="ro-RO" w:eastAsia="ro-RO"/>
        </w:rPr>
        <w:t>7</w:t>
      </w:r>
    </w:p>
    <w:p w14:paraId="29D60092" w14:textId="77777777" w:rsidR="00CD2A08" w:rsidRPr="00E82CC1" w:rsidRDefault="00CD2A08" w:rsidP="00CD2A08">
      <w:pPr>
        <w:spacing w:after="0" w:line="240" w:lineRule="auto"/>
        <w:jc w:val="center"/>
        <w:rPr>
          <w:rFonts w:ascii="Calibri Light" w:eastAsia="Times New Roman" w:hAnsi="Calibri Light" w:cs="Calibri Light"/>
          <w:b/>
          <w:bCs/>
          <w:color w:val="000000"/>
          <w:sz w:val="20"/>
          <w:szCs w:val="20"/>
          <w:lang w:val="ro-RO"/>
        </w:rPr>
      </w:pPr>
    </w:p>
    <w:p w14:paraId="11E0A1EE" w14:textId="235D1C6C" w:rsidR="00CD2A08" w:rsidRPr="00E82CC1" w:rsidRDefault="00CD2A08" w:rsidP="00CD2A08">
      <w:pPr>
        <w:tabs>
          <w:tab w:val="left" w:pos="162"/>
        </w:tabs>
        <w:spacing w:after="0" w:line="276" w:lineRule="auto"/>
        <w:jc w:val="center"/>
        <w:rPr>
          <w:rFonts w:ascii="Calibri Light" w:eastAsia="Times New Roman" w:hAnsi="Calibri Light" w:cs="Calibri Light"/>
          <w:b/>
          <w:bCs/>
          <w:color w:val="000000"/>
          <w:sz w:val="24"/>
          <w:szCs w:val="20"/>
          <w:lang w:val="ro-RO"/>
        </w:rPr>
      </w:pPr>
      <w:r w:rsidRPr="00E82CC1">
        <w:rPr>
          <w:rFonts w:ascii="Calibri Light" w:eastAsia="Times New Roman" w:hAnsi="Calibri Light" w:cs="Calibri Light"/>
          <w:b/>
          <w:bCs/>
          <w:color w:val="000000"/>
          <w:sz w:val="24"/>
          <w:szCs w:val="20"/>
          <w:lang w:val="ro-RO"/>
        </w:rPr>
        <w:t xml:space="preserve">Analiza transferurilor la </w:t>
      </w:r>
      <w:r w:rsidR="00855127">
        <w:rPr>
          <w:rFonts w:ascii="Calibri Light" w:eastAsia="Times New Roman" w:hAnsi="Calibri Light" w:cs="Calibri Light"/>
          <w:b/>
          <w:bCs/>
          <w:color w:val="000000"/>
          <w:sz w:val="24"/>
          <w:szCs w:val="20"/>
          <w:lang w:val="ro-RO"/>
        </w:rPr>
        <w:t>b</w:t>
      </w:r>
      <w:r w:rsidRPr="00E82CC1">
        <w:rPr>
          <w:rFonts w:ascii="Calibri Light" w:eastAsia="Times New Roman" w:hAnsi="Calibri Light" w:cs="Calibri Light"/>
          <w:b/>
          <w:bCs/>
          <w:color w:val="000000"/>
          <w:sz w:val="24"/>
          <w:szCs w:val="20"/>
          <w:lang w:val="ro-RO"/>
        </w:rPr>
        <w:t xml:space="preserve">ugetul </w:t>
      </w:r>
      <w:r w:rsidR="00855127">
        <w:rPr>
          <w:rFonts w:ascii="Calibri Light" w:eastAsia="Times New Roman" w:hAnsi="Calibri Light" w:cs="Calibri Light"/>
          <w:b/>
          <w:bCs/>
          <w:color w:val="000000"/>
          <w:sz w:val="24"/>
          <w:szCs w:val="20"/>
          <w:lang w:val="ro-RO"/>
        </w:rPr>
        <w:t>a</w:t>
      </w:r>
      <w:r w:rsidRPr="00E82CC1">
        <w:rPr>
          <w:rFonts w:ascii="Calibri Light" w:eastAsia="Times New Roman" w:hAnsi="Calibri Light" w:cs="Calibri Light"/>
          <w:b/>
          <w:bCs/>
          <w:color w:val="000000"/>
          <w:sz w:val="24"/>
          <w:szCs w:val="20"/>
          <w:lang w:val="ro-RO"/>
        </w:rPr>
        <w:t xml:space="preserve">sigurărilor </w:t>
      </w:r>
      <w:r w:rsidR="00855127">
        <w:rPr>
          <w:rFonts w:ascii="Calibri Light" w:eastAsia="Times New Roman" w:hAnsi="Calibri Light" w:cs="Calibri Light"/>
          <w:b/>
          <w:bCs/>
          <w:color w:val="000000"/>
          <w:sz w:val="24"/>
          <w:szCs w:val="20"/>
          <w:lang w:val="ro-RO"/>
        </w:rPr>
        <w:t>s</w:t>
      </w:r>
      <w:r w:rsidRPr="00E82CC1">
        <w:rPr>
          <w:rFonts w:ascii="Calibri Light" w:eastAsia="Times New Roman" w:hAnsi="Calibri Light" w:cs="Calibri Light"/>
          <w:b/>
          <w:bCs/>
          <w:color w:val="000000"/>
          <w:sz w:val="24"/>
          <w:szCs w:val="20"/>
          <w:lang w:val="ro-RO"/>
        </w:rPr>
        <w:t xml:space="preserve">ociale de </w:t>
      </w:r>
      <w:r w:rsidR="00855127">
        <w:rPr>
          <w:rFonts w:ascii="Calibri Light" w:eastAsia="Times New Roman" w:hAnsi="Calibri Light" w:cs="Calibri Light"/>
          <w:b/>
          <w:bCs/>
          <w:color w:val="000000"/>
          <w:sz w:val="24"/>
          <w:szCs w:val="20"/>
          <w:lang w:val="ro-RO"/>
        </w:rPr>
        <w:t>s</w:t>
      </w:r>
      <w:r w:rsidRPr="00E82CC1">
        <w:rPr>
          <w:rFonts w:ascii="Calibri Light" w:eastAsia="Times New Roman" w:hAnsi="Calibri Light" w:cs="Calibri Light"/>
          <w:b/>
          <w:bCs/>
          <w:color w:val="000000"/>
          <w:sz w:val="24"/>
          <w:szCs w:val="20"/>
          <w:lang w:val="ro-RO"/>
        </w:rPr>
        <w:t>tat</w:t>
      </w:r>
    </w:p>
    <w:p w14:paraId="71B0E679" w14:textId="4DA14FA6" w:rsidR="00CD2A08" w:rsidRPr="00E82CC1" w:rsidRDefault="00BB5682" w:rsidP="00CD2A08">
      <w:pPr>
        <w:tabs>
          <w:tab w:val="left" w:pos="162"/>
          <w:tab w:val="left" w:pos="2268"/>
        </w:tabs>
        <w:spacing w:after="0" w:line="276" w:lineRule="auto"/>
        <w:jc w:val="right"/>
        <w:rPr>
          <w:rFonts w:ascii="Calibri Light" w:eastAsia="Times New Roman" w:hAnsi="Calibri Light" w:cs="Calibri Light"/>
          <w:b/>
          <w:bCs/>
          <w:iCs/>
          <w:sz w:val="20"/>
          <w:szCs w:val="20"/>
          <w:lang w:val="ro-RO"/>
        </w:rPr>
      </w:pPr>
      <w:r>
        <w:rPr>
          <w:rFonts w:ascii="Calibri Light" w:eastAsia="Times New Roman" w:hAnsi="Calibri Light" w:cs="Calibri Light"/>
          <w:b/>
          <w:bCs/>
          <w:iCs/>
          <w:sz w:val="20"/>
          <w:szCs w:val="20"/>
          <w:lang w:val="ro-RO"/>
        </w:rPr>
        <w:t>(</w:t>
      </w:r>
      <w:r w:rsidR="00CD2A08" w:rsidRPr="00E82CC1">
        <w:rPr>
          <w:rFonts w:ascii="Calibri Light" w:eastAsia="Times New Roman" w:hAnsi="Calibri Light" w:cs="Calibri Light"/>
          <w:b/>
          <w:bCs/>
          <w:iCs/>
          <w:sz w:val="20"/>
          <w:szCs w:val="20"/>
          <w:lang w:val="ro-RO"/>
        </w:rPr>
        <w:t>mii lei</w:t>
      </w:r>
      <w:r>
        <w:rPr>
          <w:rFonts w:ascii="Calibri Light" w:eastAsia="Times New Roman" w:hAnsi="Calibri Light" w:cs="Calibri Light"/>
          <w:b/>
          <w:bCs/>
          <w:iCs/>
          <w:sz w:val="20"/>
          <w:szCs w:val="20"/>
          <w:lang w:val="ro-RO"/>
        </w:rPr>
        <w:t>)</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713"/>
        <w:gridCol w:w="1037"/>
        <w:gridCol w:w="1143"/>
        <w:gridCol w:w="1143"/>
        <w:gridCol w:w="1162"/>
        <w:gridCol w:w="1066"/>
        <w:gridCol w:w="931"/>
      </w:tblGrid>
      <w:tr w:rsidR="00CD2A08" w:rsidRPr="00E82CC1" w14:paraId="50703940" w14:textId="77777777" w:rsidTr="00045716">
        <w:trPr>
          <w:trHeight w:val="20"/>
        </w:trPr>
        <w:tc>
          <w:tcPr>
            <w:tcW w:w="2821" w:type="dxa"/>
            <w:vMerge w:val="restart"/>
            <w:shd w:val="clear" w:color="auto" w:fill="auto"/>
            <w:noWrap/>
            <w:vAlign w:val="center"/>
            <w:hideMark/>
          </w:tcPr>
          <w:p w14:paraId="2A86A6F2"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Denumirea</w:t>
            </w:r>
          </w:p>
        </w:tc>
        <w:tc>
          <w:tcPr>
            <w:tcW w:w="713" w:type="dxa"/>
            <w:vMerge w:val="restart"/>
            <w:shd w:val="clear" w:color="auto" w:fill="auto"/>
            <w:noWrap/>
            <w:vAlign w:val="center"/>
            <w:hideMark/>
          </w:tcPr>
          <w:p w14:paraId="0ABF567A"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ECO</w:t>
            </w:r>
          </w:p>
        </w:tc>
        <w:tc>
          <w:tcPr>
            <w:tcW w:w="2180" w:type="dxa"/>
            <w:gridSpan w:val="2"/>
            <w:vMerge w:val="restart"/>
            <w:shd w:val="clear" w:color="auto" w:fill="auto"/>
            <w:noWrap/>
            <w:vAlign w:val="center"/>
            <w:hideMark/>
          </w:tcPr>
          <w:p w14:paraId="69654183"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Plan</w:t>
            </w:r>
          </w:p>
        </w:tc>
        <w:tc>
          <w:tcPr>
            <w:tcW w:w="1143" w:type="dxa"/>
            <w:vMerge w:val="restart"/>
            <w:shd w:val="clear" w:color="auto" w:fill="auto"/>
            <w:vAlign w:val="center"/>
            <w:hideMark/>
          </w:tcPr>
          <w:p w14:paraId="6C8F2B75"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Executat anul curent</w:t>
            </w:r>
          </w:p>
        </w:tc>
        <w:tc>
          <w:tcPr>
            <w:tcW w:w="1162" w:type="dxa"/>
            <w:vMerge w:val="restart"/>
            <w:shd w:val="clear" w:color="auto" w:fill="auto"/>
            <w:vAlign w:val="center"/>
            <w:hideMark/>
          </w:tcPr>
          <w:p w14:paraId="4B8324C9"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Executat anul precedent</w:t>
            </w:r>
          </w:p>
        </w:tc>
        <w:tc>
          <w:tcPr>
            <w:tcW w:w="1997" w:type="dxa"/>
            <w:gridSpan w:val="2"/>
            <w:shd w:val="clear" w:color="auto" w:fill="auto"/>
            <w:vAlign w:val="center"/>
            <w:hideMark/>
          </w:tcPr>
          <w:p w14:paraId="01270179"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Executat</w:t>
            </w:r>
          </w:p>
        </w:tc>
      </w:tr>
      <w:tr w:rsidR="00CD2A08" w:rsidRPr="00E82CC1" w14:paraId="0EF855DE" w14:textId="77777777" w:rsidTr="00045716">
        <w:trPr>
          <w:trHeight w:val="20"/>
        </w:trPr>
        <w:tc>
          <w:tcPr>
            <w:tcW w:w="2821" w:type="dxa"/>
            <w:vMerge/>
            <w:shd w:val="clear" w:color="auto" w:fill="auto"/>
            <w:vAlign w:val="center"/>
            <w:hideMark/>
          </w:tcPr>
          <w:p w14:paraId="7C51323A"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713" w:type="dxa"/>
            <w:vMerge/>
            <w:shd w:val="clear" w:color="auto" w:fill="auto"/>
            <w:vAlign w:val="center"/>
            <w:hideMark/>
          </w:tcPr>
          <w:p w14:paraId="5200C88A"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2180" w:type="dxa"/>
            <w:gridSpan w:val="2"/>
            <w:vMerge/>
            <w:shd w:val="clear" w:color="auto" w:fill="auto"/>
            <w:vAlign w:val="center"/>
            <w:hideMark/>
          </w:tcPr>
          <w:p w14:paraId="031A3E83"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143" w:type="dxa"/>
            <w:vMerge/>
            <w:shd w:val="clear" w:color="auto" w:fill="auto"/>
            <w:vAlign w:val="center"/>
            <w:hideMark/>
          </w:tcPr>
          <w:p w14:paraId="20DCDC0B"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162" w:type="dxa"/>
            <w:vMerge/>
            <w:shd w:val="clear" w:color="auto" w:fill="auto"/>
            <w:vAlign w:val="center"/>
            <w:hideMark/>
          </w:tcPr>
          <w:p w14:paraId="53F24B2B"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997" w:type="dxa"/>
            <w:gridSpan w:val="2"/>
            <w:shd w:val="clear" w:color="auto" w:fill="auto"/>
            <w:vAlign w:val="center"/>
            <w:hideMark/>
          </w:tcPr>
          <w:p w14:paraId="113A91CE"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anul curent faţă de anul precedent</w:t>
            </w:r>
          </w:p>
        </w:tc>
      </w:tr>
      <w:tr w:rsidR="00CD2A08" w:rsidRPr="00E82CC1" w14:paraId="12F41102" w14:textId="77777777" w:rsidTr="00045716">
        <w:trPr>
          <w:trHeight w:val="20"/>
        </w:trPr>
        <w:tc>
          <w:tcPr>
            <w:tcW w:w="2821" w:type="dxa"/>
            <w:vMerge/>
            <w:shd w:val="clear" w:color="auto" w:fill="auto"/>
            <w:vAlign w:val="center"/>
            <w:hideMark/>
          </w:tcPr>
          <w:p w14:paraId="6802EACE"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713" w:type="dxa"/>
            <w:vMerge/>
            <w:shd w:val="clear" w:color="auto" w:fill="auto"/>
            <w:vAlign w:val="center"/>
            <w:hideMark/>
          </w:tcPr>
          <w:p w14:paraId="52F6D3C6"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037" w:type="dxa"/>
            <w:shd w:val="clear" w:color="auto" w:fill="auto"/>
            <w:vAlign w:val="center"/>
            <w:hideMark/>
          </w:tcPr>
          <w:p w14:paraId="62274532"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aprobat</w:t>
            </w:r>
          </w:p>
        </w:tc>
        <w:tc>
          <w:tcPr>
            <w:tcW w:w="1143" w:type="dxa"/>
            <w:shd w:val="clear" w:color="auto" w:fill="auto"/>
            <w:vAlign w:val="center"/>
            <w:hideMark/>
          </w:tcPr>
          <w:p w14:paraId="17966915"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precizat</w:t>
            </w:r>
          </w:p>
        </w:tc>
        <w:tc>
          <w:tcPr>
            <w:tcW w:w="1143" w:type="dxa"/>
            <w:vMerge/>
            <w:shd w:val="clear" w:color="auto" w:fill="auto"/>
            <w:vAlign w:val="center"/>
            <w:hideMark/>
          </w:tcPr>
          <w:p w14:paraId="0049FCE9"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162" w:type="dxa"/>
            <w:vMerge/>
            <w:shd w:val="clear" w:color="auto" w:fill="auto"/>
            <w:vAlign w:val="center"/>
            <w:hideMark/>
          </w:tcPr>
          <w:p w14:paraId="3178258D"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066" w:type="dxa"/>
            <w:shd w:val="clear" w:color="auto" w:fill="auto"/>
            <w:vAlign w:val="center"/>
            <w:hideMark/>
          </w:tcPr>
          <w:p w14:paraId="694560D2"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devieri</w:t>
            </w:r>
          </w:p>
        </w:tc>
        <w:tc>
          <w:tcPr>
            <w:tcW w:w="931" w:type="dxa"/>
            <w:shd w:val="clear" w:color="auto" w:fill="auto"/>
            <w:vAlign w:val="center"/>
            <w:hideMark/>
          </w:tcPr>
          <w:p w14:paraId="25A05545"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în</w:t>
            </w:r>
          </w:p>
        </w:tc>
      </w:tr>
      <w:tr w:rsidR="00CD2A08" w:rsidRPr="00E82CC1" w14:paraId="0D2FDDA9" w14:textId="77777777" w:rsidTr="00045716">
        <w:trPr>
          <w:trHeight w:val="20"/>
        </w:trPr>
        <w:tc>
          <w:tcPr>
            <w:tcW w:w="2821" w:type="dxa"/>
            <w:vMerge/>
            <w:shd w:val="clear" w:color="auto" w:fill="auto"/>
            <w:vAlign w:val="center"/>
            <w:hideMark/>
          </w:tcPr>
          <w:p w14:paraId="383D4481"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713" w:type="dxa"/>
            <w:vMerge/>
            <w:shd w:val="clear" w:color="auto" w:fill="auto"/>
            <w:vAlign w:val="center"/>
            <w:hideMark/>
          </w:tcPr>
          <w:p w14:paraId="2179ED58"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037" w:type="dxa"/>
            <w:shd w:val="clear" w:color="auto" w:fill="auto"/>
            <w:vAlign w:val="center"/>
            <w:hideMark/>
          </w:tcPr>
          <w:p w14:paraId="5D9312B2"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xml:space="preserve">pe an </w:t>
            </w:r>
          </w:p>
        </w:tc>
        <w:tc>
          <w:tcPr>
            <w:tcW w:w="1143" w:type="dxa"/>
            <w:shd w:val="clear" w:color="auto" w:fill="auto"/>
            <w:vAlign w:val="center"/>
            <w:hideMark/>
          </w:tcPr>
          <w:p w14:paraId="6E412CAC"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xml:space="preserve">pe an </w:t>
            </w:r>
          </w:p>
        </w:tc>
        <w:tc>
          <w:tcPr>
            <w:tcW w:w="1143" w:type="dxa"/>
            <w:vMerge/>
            <w:shd w:val="clear" w:color="auto" w:fill="auto"/>
            <w:vAlign w:val="center"/>
            <w:hideMark/>
          </w:tcPr>
          <w:p w14:paraId="555BC5E8"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162" w:type="dxa"/>
            <w:vMerge/>
            <w:shd w:val="clear" w:color="auto" w:fill="auto"/>
            <w:vAlign w:val="center"/>
            <w:hideMark/>
          </w:tcPr>
          <w:p w14:paraId="3CC44633"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p>
        </w:tc>
        <w:tc>
          <w:tcPr>
            <w:tcW w:w="1066" w:type="dxa"/>
            <w:shd w:val="clear" w:color="auto" w:fill="auto"/>
            <w:vAlign w:val="center"/>
            <w:hideMark/>
          </w:tcPr>
          <w:p w14:paraId="50C5E21A"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w:t>
            </w:r>
          </w:p>
        </w:tc>
        <w:tc>
          <w:tcPr>
            <w:tcW w:w="931" w:type="dxa"/>
            <w:shd w:val="clear" w:color="auto" w:fill="auto"/>
            <w:vAlign w:val="center"/>
            <w:hideMark/>
          </w:tcPr>
          <w:p w14:paraId="527FD58A"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xml:space="preserve"> %%</w:t>
            </w:r>
          </w:p>
        </w:tc>
      </w:tr>
      <w:tr w:rsidR="00CD2A08" w:rsidRPr="00E82CC1" w14:paraId="65596060" w14:textId="77777777" w:rsidTr="00045716">
        <w:trPr>
          <w:trHeight w:val="20"/>
        </w:trPr>
        <w:tc>
          <w:tcPr>
            <w:tcW w:w="2821" w:type="dxa"/>
            <w:shd w:val="clear" w:color="auto" w:fill="auto"/>
            <w:noWrap/>
            <w:vAlign w:val="center"/>
            <w:hideMark/>
          </w:tcPr>
          <w:p w14:paraId="00575DA9"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w:t>
            </w:r>
          </w:p>
        </w:tc>
        <w:tc>
          <w:tcPr>
            <w:tcW w:w="713" w:type="dxa"/>
            <w:shd w:val="clear" w:color="auto" w:fill="auto"/>
            <w:noWrap/>
            <w:vAlign w:val="center"/>
            <w:hideMark/>
          </w:tcPr>
          <w:p w14:paraId="32B0D7E4"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w:t>
            </w:r>
          </w:p>
        </w:tc>
        <w:tc>
          <w:tcPr>
            <w:tcW w:w="1037" w:type="dxa"/>
            <w:shd w:val="clear" w:color="auto" w:fill="auto"/>
            <w:noWrap/>
            <w:vAlign w:val="center"/>
            <w:hideMark/>
          </w:tcPr>
          <w:p w14:paraId="455701D9"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w:t>
            </w:r>
          </w:p>
        </w:tc>
        <w:tc>
          <w:tcPr>
            <w:tcW w:w="1143" w:type="dxa"/>
            <w:shd w:val="clear" w:color="auto" w:fill="auto"/>
            <w:noWrap/>
            <w:vAlign w:val="center"/>
            <w:hideMark/>
          </w:tcPr>
          <w:p w14:paraId="35EEB6A7"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w:t>
            </w:r>
          </w:p>
        </w:tc>
        <w:tc>
          <w:tcPr>
            <w:tcW w:w="1143" w:type="dxa"/>
            <w:shd w:val="clear" w:color="auto" w:fill="auto"/>
            <w:noWrap/>
            <w:vAlign w:val="center"/>
            <w:hideMark/>
          </w:tcPr>
          <w:p w14:paraId="21E1EFD3"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5</w:t>
            </w:r>
          </w:p>
        </w:tc>
        <w:tc>
          <w:tcPr>
            <w:tcW w:w="1162" w:type="dxa"/>
            <w:shd w:val="clear" w:color="auto" w:fill="auto"/>
            <w:noWrap/>
            <w:vAlign w:val="center"/>
            <w:hideMark/>
          </w:tcPr>
          <w:p w14:paraId="73BA2C3E"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8</w:t>
            </w:r>
          </w:p>
        </w:tc>
        <w:tc>
          <w:tcPr>
            <w:tcW w:w="1066" w:type="dxa"/>
            <w:shd w:val="clear" w:color="auto" w:fill="auto"/>
            <w:noWrap/>
            <w:vAlign w:val="center"/>
            <w:hideMark/>
          </w:tcPr>
          <w:p w14:paraId="48404860"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9</w:t>
            </w:r>
          </w:p>
        </w:tc>
        <w:tc>
          <w:tcPr>
            <w:tcW w:w="931" w:type="dxa"/>
            <w:shd w:val="clear" w:color="auto" w:fill="auto"/>
            <w:noWrap/>
            <w:vAlign w:val="center"/>
            <w:hideMark/>
          </w:tcPr>
          <w:p w14:paraId="65255C78"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10</w:t>
            </w:r>
          </w:p>
        </w:tc>
      </w:tr>
      <w:tr w:rsidR="00CD2A08" w:rsidRPr="00E82CC1" w14:paraId="15C6FF3F" w14:textId="77777777" w:rsidTr="00045716">
        <w:trPr>
          <w:trHeight w:val="20"/>
        </w:trPr>
        <w:tc>
          <w:tcPr>
            <w:tcW w:w="2821" w:type="dxa"/>
            <w:shd w:val="clear" w:color="auto" w:fill="auto"/>
            <w:noWrap/>
            <w:vAlign w:val="center"/>
            <w:hideMark/>
          </w:tcPr>
          <w:p w14:paraId="30D33B96"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I.  VENITURI</w:t>
            </w:r>
          </w:p>
        </w:tc>
        <w:tc>
          <w:tcPr>
            <w:tcW w:w="713" w:type="dxa"/>
            <w:shd w:val="clear" w:color="auto" w:fill="auto"/>
            <w:noWrap/>
            <w:vAlign w:val="center"/>
            <w:hideMark/>
          </w:tcPr>
          <w:p w14:paraId="32A1B4DF" w14:textId="77777777" w:rsidR="00CD2A08" w:rsidRPr="00E82CC1" w:rsidRDefault="00CD2A08" w:rsidP="00CD2A08">
            <w:pPr>
              <w:spacing w:after="0" w:line="240" w:lineRule="auto"/>
              <w:jc w:val="right"/>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w:t>
            </w:r>
          </w:p>
        </w:tc>
        <w:tc>
          <w:tcPr>
            <w:tcW w:w="1037" w:type="dxa"/>
            <w:shd w:val="clear" w:color="auto" w:fill="auto"/>
            <w:noWrap/>
            <w:vAlign w:val="center"/>
            <w:hideMark/>
          </w:tcPr>
          <w:p w14:paraId="00A49E84"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25791984.4</w:t>
            </w:r>
          </w:p>
        </w:tc>
        <w:tc>
          <w:tcPr>
            <w:tcW w:w="1143" w:type="dxa"/>
            <w:shd w:val="clear" w:color="auto" w:fill="auto"/>
            <w:noWrap/>
            <w:vAlign w:val="center"/>
            <w:hideMark/>
          </w:tcPr>
          <w:p w14:paraId="4661D6B7"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27629046.7</w:t>
            </w:r>
          </w:p>
        </w:tc>
        <w:tc>
          <w:tcPr>
            <w:tcW w:w="1143" w:type="dxa"/>
            <w:shd w:val="clear" w:color="auto" w:fill="auto"/>
            <w:noWrap/>
            <w:vAlign w:val="center"/>
            <w:hideMark/>
          </w:tcPr>
          <w:p w14:paraId="3276FD21"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27246848.9</w:t>
            </w:r>
          </w:p>
        </w:tc>
        <w:tc>
          <w:tcPr>
            <w:tcW w:w="1162" w:type="dxa"/>
            <w:shd w:val="clear" w:color="auto" w:fill="auto"/>
            <w:noWrap/>
            <w:vAlign w:val="center"/>
            <w:hideMark/>
          </w:tcPr>
          <w:p w14:paraId="19D9A758"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24285552.9</w:t>
            </w:r>
          </w:p>
        </w:tc>
        <w:tc>
          <w:tcPr>
            <w:tcW w:w="1066" w:type="dxa"/>
            <w:shd w:val="clear" w:color="auto" w:fill="auto"/>
            <w:noWrap/>
            <w:vAlign w:val="center"/>
            <w:hideMark/>
          </w:tcPr>
          <w:p w14:paraId="4DF591F7"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2961296.0</w:t>
            </w:r>
          </w:p>
        </w:tc>
        <w:tc>
          <w:tcPr>
            <w:tcW w:w="931" w:type="dxa"/>
            <w:shd w:val="clear" w:color="auto" w:fill="auto"/>
            <w:noWrap/>
            <w:vAlign w:val="center"/>
            <w:hideMark/>
          </w:tcPr>
          <w:p w14:paraId="60ED9702"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112.2</w:t>
            </w:r>
          </w:p>
        </w:tc>
      </w:tr>
      <w:tr w:rsidR="00CD2A08" w:rsidRPr="00E82CC1" w14:paraId="2559DC70" w14:textId="77777777" w:rsidTr="00045716">
        <w:trPr>
          <w:trHeight w:val="20"/>
        </w:trPr>
        <w:tc>
          <w:tcPr>
            <w:tcW w:w="2821" w:type="dxa"/>
            <w:shd w:val="clear" w:color="auto" w:fill="auto"/>
            <w:vAlign w:val="center"/>
            <w:hideMark/>
          </w:tcPr>
          <w:p w14:paraId="0E3ACD5C" w14:textId="77777777" w:rsidR="00CD2A08" w:rsidRPr="00E82CC1" w:rsidRDefault="00CD2A08" w:rsidP="00CD2A08">
            <w:pPr>
              <w:spacing w:after="0" w:line="240" w:lineRule="auto"/>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TRANSFERURI PRIMITE ÎN CADRUL BUGETULUI PUBLIC NAŢIONAL</w:t>
            </w:r>
          </w:p>
        </w:tc>
        <w:tc>
          <w:tcPr>
            <w:tcW w:w="713" w:type="dxa"/>
            <w:shd w:val="clear" w:color="auto" w:fill="auto"/>
            <w:noWrap/>
            <w:vAlign w:val="center"/>
            <w:hideMark/>
          </w:tcPr>
          <w:p w14:paraId="00E5021D" w14:textId="77777777" w:rsidR="00CD2A08" w:rsidRPr="00E82CC1" w:rsidRDefault="00CD2A08" w:rsidP="00CD2A08">
            <w:pPr>
              <w:spacing w:after="0" w:line="240" w:lineRule="auto"/>
              <w:jc w:val="right"/>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19</w:t>
            </w:r>
          </w:p>
        </w:tc>
        <w:tc>
          <w:tcPr>
            <w:tcW w:w="1037" w:type="dxa"/>
            <w:shd w:val="clear" w:color="auto" w:fill="auto"/>
            <w:noWrap/>
            <w:vAlign w:val="center"/>
            <w:hideMark/>
          </w:tcPr>
          <w:p w14:paraId="6C8ED525"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10454586.4</w:t>
            </w:r>
          </w:p>
        </w:tc>
        <w:tc>
          <w:tcPr>
            <w:tcW w:w="1143" w:type="dxa"/>
            <w:shd w:val="clear" w:color="auto" w:fill="auto"/>
            <w:noWrap/>
            <w:vAlign w:val="center"/>
            <w:hideMark/>
          </w:tcPr>
          <w:p w14:paraId="3E93D8A4"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11067966.8</w:t>
            </w:r>
          </w:p>
        </w:tc>
        <w:tc>
          <w:tcPr>
            <w:tcW w:w="1143" w:type="dxa"/>
            <w:shd w:val="clear" w:color="auto" w:fill="auto"/>
            <w:noWrap/>
            <w:vAlign w:val="center"/>
            <w:hideMark/>
          </w:tcPr>
          <w:p w14:paraId="48EAD5AF"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10724685.9</w:t>
            </w:r>
          </w:p>
        </w:tc>
        <w:tc>
          <w:tcPr>
            <w:tcW w:w="1162" w:type="dxa"/>
            <w:shd w:val="clear" w:color="auto" w:fill="auto"/>
            <w:noWrap/>
            <w:vAlign w:val="center"/>
            <w:hideMark/>
          </w:tcPr>
          <w:p w14:paraId="741466B3"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9769402.7</w:t>
            </w:r>
          </w:p>
        </w:tc>
        <w:tc>
          <w:tcPr>
            <w:tcW w:w="1066" w:type="dxa"/>
            <w:shd w:val="clear" w:color="auto" w:fill="auto"/>
            <w:noWrap/>
            <w:vAlign w:val="center"/>
            <w:hideMark/>
          </w:tcPr>
          <w:p w14:paraId="4DB4CFD9"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955283.2</w:t>
            </w:r>
          </w:p>
        </w:tc>
        <w:tc>
          <w:tcPr>
            <w:tcW w:w="931" w:type="dxa"/>
            <w:shd w:val="clear" w:color="auto" w:fill="auto"/>
            <w:noWrap/>
            <w:vAlign w:val="center"/>
            <w:hideMark/>
          </w:tcPr>
          <w:p w14:paraId="2C96842F" w14:textId="77777777" w:rsidR="00CD2A08" w:rsidRPr="00E82CC1" w:rsidRDefault="00CD2A08" w:rsidP="00CD2A08">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109.8</w:t>
            </w:r>
          </w:p>
        </w:tc>
      </w:tr>
      <w:tr w:rsidR="00CD2A08" w:rsidRPr="00E82CC1" w14:paraId="77FD097A" w14:textId="77777777" w:rsidTr="00045716">
        <w:trPr>
          <w:trHeight w:val="20"/>
        </w:trPr>
        <w:tc>
          <w:tcPr>
            <w:tcW w:w="2821" w:type="dxa"/>
            <w:shd w:val="clear" w:color="auto" w:fill="D9D9D9" w:themeFill="background1" w:themeFillShade="D9"/>
            <w:vAlign w:val="center"/>
            <w:hideMark/>
          </w:tcPr>
          <w:p w14:paraId="036A749B"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Ponderea transferurilor în total venituri</w:t>
            </w:r>
          </w:p>
        </w:tc>
        <w:tc>
          <w:tcPr>
            <w:tcW w:w="713" w:type="dxa"/>
            <w:shd w:val="clear" w:color="auto" w:fill="D9D9D9" w:themeFill="background1" w:themeFillShade="D9"/>
            <w:noWrap/>
            <w:vAlign w:val="center"/>
            <w:hideMark/>
          </w:tcPr>
          <w:p w14:paraId="26080F77"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w:t>
            </w:r>
          </w:p>
        </w:tc>
        <w:tc>
          <w:tcPr>
            <w:tcW w:w="1037" w:type="dxa"/>
            <w:shd w:val="clear" w:color="auto" w:fill="D9D9D9" w:themeFill="background1" w:themeFillShade="D9"/>
            <w:noWrap/>
            <w:vAlign w:val="center"/>
            <w:hideMark/>
          </w:tcPr>
          <w:p w14:paraId="1E4601B4"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40.54%</w:t>
            </w:r>
          </w:p>
        </w:tc>
        <w:tc>
          <w:tcPr>
            <w:tcW w:w="1143" w:type="dxa"/>
            <w:shd w:val="clear" w:color="auto" w:fill="D9D9D9" w:themeFill="background1" w:themeFillShade="D9"/>
            <w:noWrap/>
            <w:vAlign w:val="center"/>
            <w:hideMark/>
          </w:tcPr>
          <w:p w14:paraId="7EBC1614"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40.06%</w:t>
            </w:r>
          </w:p>
        </w:tc>
        <w:tc>
          <w:tcPr>
            <w:tcW w:w="1143" w:type="dxa"/>
            <w:shd w:val="clear" w:color="auto" w:fill="D9D9D9" w:themeFill="background1" w:themeFillShade="D9"/>
            <w:noWrap/>
            <w:vAlign w:val="center"/>
            <w:hideMark/>
          </w:tcPr>
          <w:p w14:paraId="10A7E63E"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39.36</w:t>
            </w:r>
          </w:p>
        </w:tc>
        <w:tc>
          <w:tcPr>
            <w:tcW w:w="1162" w:type="dxa"/>
            <w:shd w:val="clear" w:color="auto" w:fill="D9D9D9" w:themeFill="background1" w:themeFillShade="D9"/>
            <w:noWrap/>
            <w:vAlign w:val="center"/>
            <w:hideMark/>
          </w:tcPr>
          <w:p w14:paraId="14389E6F"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40.23</w:t>
            </w:r>
          </w:p>
        </w:tc>
        <w:tc>
          <w:tcPr>
            <w:tcW w:w="1066" w:type="dxa"/>
            <w:shd w:val="clear" w:color="auto" w:fill="D9D9D9" w:themeFill="background1" w:themeFillShade="D9"/>
            <w:noWrap/>
            <w:vAlign w:val="center"/>
            <w:hideMark/>
          </w:tcPr>
          <w:p w14:paraId="5B22CDDB"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32.26</w:t>
            </w:r>
          </w:p>
        </w:tc>
        <w:tc>
          <w:tcPr>
            <w:tcW w:w="931" w:type="dxa"/>
            <w:shd w:val="clear" w:color="auto" w:fill="D9D9D9" w:themeFill="background1" w:themeFillShade="D9"/>
            <w:noWrap/>
            <w:vAlign w:val="center"/>
            <w:hideMark/>
          </w:tcPr>
          <w:p w14:paraId="614039FA"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x</w:t>
            </w:r>
          </w:p>
        </w:tc>
      </w:tr>
      <w:tr w:rsidR="00CD2A08" w:rsidRPr="00E82CC1" w14:paraId="7C294340" w14:textId="77777777" w:rsidTr="00045716">
        <w:trPr>
          <w:trHeight w:val="20"/>
        </w:trPr>
        <w:tc>
          <w:tcPr>
            <w:tcW w:w="2821" w:type="dxa"/>
            <w:shd w:val="clear" w:color="auto" w:fill="auto"/>
            <w:vAlign w:val="center"/>
            <w:hideMark/>
          </w:tcPr>
          <w:p w14:paraId="41618F79" w14:textId="77777777" w:rsidR="00CD2A08" w:rsidRPr="00E82CC1" w:rsidRDefault="00CD2A08" w:rsidP="00CD2A08">
            <w:pPr>
              <w:spacing w:after="0" w:line="240" w:lineRule="auto"/>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Transferuri curente primite cu destinație specială între bugetul de stat și bugetul asigurărilor sociale de stat</w:t>
            </w:r>
          </w:p>
        </w:tc>
        <w:tc>
          <w:tcPr>
            <w:tcW w:w="713" w:type="dxa"/>
            <w:shd w:val="clear" w:color="auto" w:fill="auto"/>
            <w:vAlign w:val="center"/>
            <w:hideMark/>
          </w:tcPr>
          <w:p w14:paraId="56C9DC10" w14:textId="77777777" w:rsidR="00CD2A08" w:rsidRPr="00E82CC1" w:rsidRDefault="00CD2A08" w:rsidP="00CD2A08">
            <w:pPr>
              <w:spacing w:after="0" w:line="240" w:lineRule="auto"/>
              <w:jc w:val="right"/>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192110</w:t>
            </w:r>
          </w:p>
        </w:tc>
        <w:tc>
          <w:tcPr>
            <w:tcW w:w="1037" w:type="dxa"/>
            <w:shd w:val="clear" w:color="auto" w:fill="auto"/>
            <w:vAlign w:val="center"/>
            <w:hideMark/>
          </w:tcPr>
          <w:p w14:paraId="190C3A1E"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7263029.0</w:t>
            </w:r>
          </w:p>
        </w:tc>
        <w:tc>
          <w:tcPr>
            <w:tcW w:w="1143" w:type="dxa"/>
            <w:shd w:val="clear" w:color="auto" w:fill="auto"/>
            <w:vAlign w:val="center"/>
            <w:hideMark/>
          </w:tcPr>
          <w:p w14:paraId="051E3E62"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8227923.9</w:t>
            </w:r>
          </w:p>
        </w:tc>
        <w:tc>
          <w:tcPr>
            <w:tcW w:w="1143" w:type="dxa"/>
            <w:shd w:val="clear" w:color="auto" w:fill="auto"/>
            <w:vAlign w:val="center"/>
            <w:hideMark/>
          </w:tcPr>
          <w:p w14:paraId="744BF2E4"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7884643.0</w:t>
            </w:r>
          </w:p>
        </w:tc>
        <w:tc>
          <w:tcPr>
            <w:tcW w:w="1162" w:type="dxa"/>
            <w:shd w:val="clear" w:color="auto" w:fill="auto"/>
            <w:vAlign w:val="center"/>
            <w:hideMark/>
          </w:tcPr>
          <w:p w14:paraId="20B204FF"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7214754.9</w:t>
            </w:r>
          </w:p>
        </w:tc>
        <w:tc>
          <w:tcPr>
            <w:tcW w:w="1066" w:type="dxa"/>
            <w:shd w:val="clear" w:color="auto" w:fill="auto"/>
            <w:noWrap/>
            <w:vAlign w:val="center"/>
            <w:hideMark/>
          </w:tcPr>
          <w:p w14:paraId="68768154"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669888.1</w:t>
            </w:r>
          </w:p>
        </w:tc>
        <w:tc>
          <w:tcPr>
            <w:tcW w:w="931" w:type="dxa"/>
            <w:shd w:val="clear" w:color="auto" w:fill="auto"/>
            <w:noWrap/>
            <w:vAlign w:val="center"/>
            <w:hideMark/>
          </w:tcPr>
          <w:p w14:paraId="254C536D"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109.3</w:t>
            </w:r>
          </w:p>
        </w:tc>
      </w:tr>
      <w:tr w:rsidR="00CD2A08" w:rsidRPr="00E82CC1" w14:paraId="7D096A78" w14:textId="77777777" w:rsidTr="00045716">
        <w:trPr>
          <w:trHeight w:val="20"/>
        </w:trPr>
        <w:tc>
          <w:tcPr>
            <w:tcW w:w="2821" w:type="dxa"/>
            <w:shd w:val="clear" w:color="auto" w:fill="D9D9D9" w:themeFill="background1" w:themeFillShade="D9"/>
            <w:vAlign w:val="center"/>
            <w:hideMark/>
          </w:tcPr>
          <w:p w14:paraId="5605F977"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xml:space="preserve">Ponderea transferurilor cu destinație specială în total transferuri </w:t>
            </w:r>
          </w:p>
        </w:tc>
        <w:tc>
          <w:tcPr>
            <w:tcW w:w="713" w:type="dxa"/>
            <w:shd w:val="clear" w:color="auto" w:fill="D9D9D9" w:themeFill="background1" w:themeFillShade="D9"/>
            <w:vAlign w:val="center"/>
            <w:hideMark/>
          </w:tcPr>
          <w:p w14:paraId="3E4036F4"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w:t>
            </w:r>
          </w:p>
        </w:tc>
        <w:tc>
          <w:tcPr>
            <w:tcW w:w="1037" w:type="dxa"/>
            <w:shd w:val="clear" w:color="auto" w:fill="D9D9D9" w:themeFill="background1" w:themeFillShade="D9"/>
            <w:vAlign w:val="center"/>
            <w:hideMark/>
          </w:tcPr>
          <w:p w14:paraId="4088F79F"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69.47%</w:t>
            </w:r>
          </w:p>
        </w:tc>
        <w:tc>
          <w:tcPr>
            <w:tcW w:w="1143" w:type="dxa"/>
            <w:shd w:val="clear" w:color="auto" w:fill="D9D9D9" w:themeFill="background1" w:themeFillShade="D9"/>
            <w:vAlign w:val="center"/>
            <w:hideMark/>
          </w:tcPr>
          <w:p w14:paraId="61906574"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74.34%</w:t>
            </w:r>
          </w:p>
        </w:tc>
        <w:tc>
          <w:tcPr>
            <w:tcW w:w="1143" w:type="dxa"/>
            <w:shd w:val="clear" w:color="auto" w:fill="D9D9D9" w:themeFill="background1" w:themeFillShade="D9"/>
            <w:vAlign w:val="center"/>
            <w:hideMark/>
          </w:tcPr>
          <w:p w14:paraId="7B90F30C"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73.52%</w:t>
            </w:r>
          </w:p>
        </w:tc>
        <w:tc>
          <w:tcPr>
            <w:tcW w:w="1162" w:type="dxa"/>
            <w:shd w:val="clear" w:color="auto" w:fill="D9D9D9" w:themeFill="background1" w:themeFillShade="D9"/>
            <w:vAlign w:val="center"/>
            <w:hideMark/>
          </w:tcPr>
          <w:p w14:paraId="02C90062"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73.85%</w:t>
            </w:r>
          </w:p>
        </w:tc>
        <w:tc>
          <w:tcPr>
            <w:tcW w:w="1066" w:type="dxa"/>
            <w:shd w:val="clear" w:color="auto" w:fill="D9D9D9" w:themeFill="background1" w:themeFillShade="D9"/>
            <w:vAlign w:val="center"/>
            <w:hideMark/>
          </w:tcPr>
          <w:p w14:paraId="74206E2A"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70.12%</w:t>
            </w:r>
          </w:p>
        </w:tc>
        <w:tc>
          <w:tcPr>
            <w:tcW w:w="931" w:type="dxa"/>
            <w:shd w:val="clear" w:color="auto" w:fill="D9D9D9" w:themeFill="background1" w:themeFillShade="D9"/>
            <w:vAlign w:val="center"/>
            <w:hideMark/>
          </w:tcPr>
          <w:p w14:paraId="1B2F34CD"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x</w:t>
            </w:r>
          </w:p>
        </w:tc>
      </w:tr>
      <w:tr w:rsidR="00CD2A08" w:rsidRPr="00E82CC1" w14:paraId="54D926C7" w14:textId="77777777" w:rsidTr="00045716">
        <w:trPr>
          <w:trHeight w:val="20"/>
        </w:trPr>
        <w:tc>
          <w:tcPr>
            <w:tcW w:w="2821" w:type="dxa"/>
            <w:shd w:val="clear" w:color="auto" w:fill="auto"/>
            <w:vAlign w:val="center"/>
            <w:hideMark/>
          </w:tcPr>
          <w:p w14:paraId="6D46812A" w14:textId="77777777" w:rsidR="00CD2A08" w:rsidRPr="00E82CC1" w:rsidRDefault="00CD2A08" w:rsidP="00CD2A08">
            <w:pPr>
              <w:spacing w:after="0" w:line="240" w:lineRule="auto"/>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Transferuri curente primite cu destinație generală între bugetul de stat și bugetul asigurărilor sociale de stat</w:t>
            </w:r>
          </w:p>
        </w:tc>
        <w:tc>
          <w:tcPr>
            <w:tcW w:w="713" w:type="dxa"/>
            <w:shd w:val="clear" w:color="auto" w:fill="auto"/>
            <w:vAlign w:val="center"/>
            <w:hideMark/>
          </w:tcPr>
          <w:p w14:paraId="44D626F6" w14:textId="77777777" w:rsidR="00CD2A08" w:rsidRPr="00E82CC1" w:rsidRDefault="00CD2A08" w:rsidP="00CD2A08">
            <w:pPr>
              <w:spacing w:after="0" w:line="240" w:lineRule="auto"/>
              <w:jc w:val="right"/>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192130</w:t>
            </w:r>
          </w:p>
        </w:tc>
        <w:tc>
          <w:tcPr>
            <w:tcW w:w="1037" w:type="dxa"/>
            <w:shd w:val="clear" w:color="auto" w:fill="auto"/>
            <w:vAlign w:val="center"/>
            <w:hideMark/>
          </w:tcPr>
          <w:p w14:paraId="66A18B33"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3191557.4</w:t>
            </w:r>
          </w:p>
        </w:tc>
        <w:tc>
          <w:tcPr>
            <w:tcW w:w="1143" w:type="dxa"/>
            <w:shd w:val="clear" w:color="auto" w:fill="auto"/>
            <w:vAlign w:val="center"/>
            <w:hideMark/>
          </w:tcPr>
          <w:p w14:paraId="5E660994"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2840042.9</w:t>
            </w:r>
          </w:p>
        </w:tc>
        <w:tc>
          <w:tcPr>
            <w:tcW w:w="1143" w:type="dxa"/>
            <w:shd w:val="clear" w:color="auto" w:fill="auto"/>
            <w:vAlign w:val="center"/>
            <w:hideMark/>
          </w:tcPr>
          <w:p w14:paraId="0B8A5BBE"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2840042.9</w:t>
            </w:r>
          </w:p>
        </w:tc>
        <w:tc>
          <w:tcPr>
            <w:tcW w:w="1162" w:type="dxa"/>
            <w:shd w:val="clear" w:color="auto" w:fill="auto"/>
            <w:vAlign w:val="center"/>
            <w:hideMark/>
          </w:tcPr>
          <w:p w14:paraId="55EE4DDB"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2554647.8</w:t>
            </w:r>
          </w:p>
        </w:tc>
        <w:tc>
          <w:tcPr>
            <w:tcW w:w="1066" w:type="dxa"/>
            <w:shd w:val="clear" w:color="auto" w:fill="auto"/>
            <w:noWrap/>
            <w:vAlign w:val="center"/>
            <w:hideMark/>
          </w:tcPr>
          <w:p w14:paraId="322DAF7D"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285395.1</w:t>
            </w:r>
          </w:p>
        </w:tc>
        <w:tc>
          <w:tcPr>
            <w:tcW w:w="931" w:type="dxa"/>
            <w:shd w:val="clear" w:color="auto" w:fill="auto"/>
            <w:noWrap/>
            <w:vAlign w:val="center"/>
            <w:hideMark/>
          </w:tcPr>
          <w:p w14:paraId="1DB21B97" w14:textId="77777777" w:rsidR="00CD2A08" w:rsidRPr="00E82CC1" w:rsidRDefault="00CD2A08" w:rsidP="00CD2A08">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111.2</w:t>
            </w:r>
          </w:p>
        </w:tc>
      </w:tr>
      <w:tr w:rsidR="00CD2A08" w:rsidRPr="00E82CC1" w14:paraId="30A6E81A" w14:textId="77777777" w:rsidTr="00045716">
        <w:trPr>
          <w:trHeight w:val="20"/>
        </w:trPr>
        <w:tc>
          <w:tcPr>
            <w:tcW w:w="2821" w:type="dxa"/>
            <w:shd w:val="clear" w:color="auto" w:fill="D9D9D9" w:themeFill="background1" w:themeFillShade="D9"/>
            <w:vAlign w:val="center"/>
            <w:hideMark/>
          </w:tcPr>
          <w:p w14:paraId="29B17F9A" w14:textId="77777777" w:rsidR="00CD2A08" w:rsidRPr="00E82CC1" w:rsidRDefault="00CD2A08" w:rsidP="00CD2A08">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Ponderea transferurilor cu destinație generală în total transferuri</w:t>
            </w:r>
          </w:p>
        </w:tc>
        <w:tc>
          <w:tcPr>
            <w:tcW w:w="713" w:type="dxa"/>
            <w:shd w:val="clear" w:color="auto" w:fill="D9D9D9" w:themeFill="background1" w:themeFillShade="D9"/>
            <w:noWrap/>
            <w:vAlign w:val="center"/>
            <w:hideMark/>
          </w:tcPr>
          <w:p w14:paraId="19791296" w14:textId="77777777" w:rsidR="00CD2A08" w:rsidRPr="00E82CC1" w:rsidRDefault="00CD2A08" w:rsidP="00CD2A08">
            <w:pPr>
              <w:spacing w:after="0" w:line="240" w:lineRule="auto"/>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 </w:t>
            </w:r>
          </w:p>
        </w:tc>
        <w:tc>
          <w:tcPr>
            <w:tcW w:w="1037" w:type="dxa"/>
            <w:shd w:val="clear" w:color="auto" w:fill="D9D9D9" w:themeFill="background1" w:themeFillShade="D9"/>
            <w:noWrap/>
            <w:vAlign w:val="center"/>
            <w:hideMark/>
          </w:tcPr>
          <w:p w14:paraId="54CABD96"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30.53%</w:t>
            </w:r>
          </w:p>
        </w:tc>
        <w:tc>
          <w:tcPr>
            <w:tcW w:w="1143" w:type="dxa"/>
            <w:shd w:val="clear" w:color="auto" w:fill="D9D9D9" w:themeFill="background1" w:themeFillShade="D9"/>
            <w:noWrap/>
            <w:vAlign w:val="center"/>
            <w:hideMark/>
          </w:tcPr>
          <w:p w14:paraId="00D80D12"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25.66%</w:t>
            </w:r>
          </w:p>
        </w:tc>
        <w:tc>
          <w:tcPr>
            <w:tcW w:w="1143" w:type="dxa"/>
            <w:shd w:val="clear" w:color="auto" w:fill="D9D9D9" w:themeFill="background1" w:themeFillShade="D9"/>
            <w:noWrap/>
            <w:vAlign w:val="center"/>
            <w:hideMark/>
          </w:tcPr>
          <w:p w14:paraId="7B7A1C64"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26.48%</w:t>
            </w:r>
          </w:p>
        </w:tc>
        <w:tc>
          <w:tcPr>
            <w:tcW w:w="1162" w:type="dxa"/>
            <w:shd w:val="clear" w:color="auto" w:fill="D9D9D9" w:themeFill="background1" w:themeFillShade="D9"/>
            <w:noWrap/>
            <w:vAlign w:val="center"/>
            <w:hideMark/>
          </w:tcPr>
          <w:p w14:paraId="16A012A8"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26.15%</w:t>
            </w:r>
          </w:p>
        </w:tc>
        <w:tc>
          <w:tcPr>
            <w:tcW w:w="1066" w:type="dxa"/>
            <w:shd w:val="clear" w:color="auto" w:fill="D9D9D9" w:themeFill="background1" w:themeFillShade="D9"/>
            <w:noWrap/>
            <w:vAlign w:val="center"/>
            <w:hideMark/>
          </w:tcPr>
          <w:p w14:paraId="15F86C75"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29.88%</w:t>
            </w:r>
          </w:p>
        </w:tc>
        <w:tc>
          <w:tcPr>
            <w:tcW w:w="931" w:type="dxa"/>
            <w:shd w:val="clear" w:color="auto" w:fill="D9D9D9" w:themeFill="background1" w:themeFillShade="D9"/>
            <w:noWrap/>
            <w:vAlign w:val="center"/>
            <w:hideMark/>
          </w:tcPr>
          <w:p w14:paraId="76658B88" w14:textId="77777777" w:rsidR="00CD2A08" w:rsidRPr="00E82CC1" w:rsidRDefault="00CD2A08" w:rsidP="00CD2A08">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x</w:t>
            </w:r>
          </w:p>
        </w:tc>
      </w:tr>
    </w:tbl>
    <w:p w14:paraId="0E23057D" w14:textId="46180DE3" w:rsidR="00CD2A08" w:rsidRPr="00E82CC1" w:rsidRDefault="00CD2A08" w:rsidP="00CD2A08">
      <w:pPr>
        <w:tabs>
          <w:tab w:val="left" w:pos="162"/>
        </w:tabs>
        <w:spacing w:after="0" w:line="276" w:lineRule="auto"/>
        <w:rPr>
          <w:rFonts w:ascii="Calibri Light" w:eastAsia="Times New Roman" w:hAnsi="Calibri Light" w:cs="Calibri Light"/>
          <w:i/>
          <w:sz w:val="20"/>
          <w:szCs w:val="20"/>
          <w:lang w:val="ro-RO"/>
        </w:rPr>
      </w:pPr>
      <w:r w:rsidRPr="00E82CC1">
        <w:rPr>
          <w:rFonts w:ascii="Calibri Light" w:eastAsia="Times New Roman" w:hAnsi="Calibri Light" w:cs="Calibri Light"/>
          <w:b/>
          <w:i/>
          <w:sz w:val="20"/>
          <w:szCs w:val="20"/>
          <w:lang w:val="ro-RO"/>
        </w:rPr>
        <w:t>Sursă:</w:t>
      </w:r>
      <w:r w:rsidRPr="00E82CC1">
        <w:rPr>
          <w:rFonts w:ascii="Calibri Light" w:eastAsia="Times New Roman" w:hAnsi="Calibri Light" w:cs="Calibri Light"/>
          <w:i/>
          <w:sz w:val="20"/>
          <w:szCs w:val="20"/>
          <w:lang w:val="ro-RO"/>
        </w:rPr>
        <w:t xml:space="preserve"> Rapo</w:t>
      </w:r>
      <w:r w:rsidR="002172F0">
        <w:rPr>
          <w:rFonts w:ascii="Calibri Light" w:eastAsia="Times New Roman" w:hAnsi="Calibri Light" w:cs="Calibri Light"/>
          <w:i/>
          <w:sz w:val="20"/>
          <w:szCs w:val="20"/>
          <w:lang w:val="ro-RO"/>
        </w:rPr>
        <w:t>a</w:t>
      </w:r>
      <w:r w:rsidRPr="00E82CC1">
        <w:rPr>
          <w:rFonts w:ascii="Calibri Light" w:eastAsia="Times New Roman" w:hAnsi="Calibri Light" w:cs="Calibri Light"/>
          <w:i/>
          <w:sz w:val="20"/>
          <w:szCs w:val="20"/>
          <w:lang w:val="ro-RO"/>
        </w:rPr>
        <w:t>rt</w:t>
      </w:r>
      <w:r w:rsidR="002172F0">
        <w:rPr>
          <w:rFonts w:ascii="Calibri Light" w:eastAsia="Times New Roman" w:hAnsi="Calibri Light" w:cs="Calibri Light"/>
          <w:i/>
          <w:sz w:val="20"/>
          <w:szCs w:val="20"/>
          <w:lang w:val="ro-RO"/>
        </w:rPr>
        <w:t>e</w:t>
      </w:r>
      <w:r w:rsidRPr="00E82CC1">
        <w:rPr>
          <w:rFonts w:ascii="Calibri Light" w:eastAsia="Times New Roman" w:hAnsi="Calibri Light" w:cs="Calibri Light"/>
          <w:i/>
          <w:sz w:val="20"/>
          <w:szCs w:val="20"/>
          <w:lang w:val="ro-RO"/>
        </w:rPr>
        <w:t>l</w:t>
      </w:r>
      <w:r w:rsidR="002172F0">
        <w:rPr>
          <w:rFonts w:ascii="Calibri Light" w:eastAsia="Times New Roman" w:hAnsi="Calibri Light" w:cs="Calibri Light"/>
          <w:i/>
          <w:sz w:val="20"/>
          <w:szCs w:val="20"/>
          <w:lang w:val="ro-RO"/>
        </w:rPr>
        <w:t>e</w:t>
      </w:r>
      <w:r w:rsidRPr="00E82CC1">
        <w:rPr>
          <w:rFonts w:ascii="Calibri Light" w:eastAsia="Times New Roman" w:hAnsi="Calibri Light" w:cs="Calibri Light"/>
          <w:i/>
          <w:sz w:val="20"/>
          <w:szCs w:val="20"/>
          <w:lang w:val="ro-RO"/>
        </w:rPr>
        <w:t xml:space="preserve"> privind executarea bugetului asigurărilor sociale de stat pentru anii 2019-2021</w:t>
      </w:r>
      <w:r w:rsidR="002172F0">
        <w:rPr>
          <w:rFonts w:ascii="Calibri Light" w:eastAsia="Times New Roman" w:hAnsi="Calibri Light" w:cs="Calibri Light"/>
          <w:i/>
          <w:sz w:val="20"/>
          <w:szCs w:val="20"/>
          <w:lang w:val="ro-RO"/>
        </w:rPr>
        <w:t>.</w:t>
      </w:r>
    </w:p>
    <w:p w14:paraId="7096504B" w14:textId="3C8A43B6" w:rsidR="00CD2A08" w:rsidRDefault="00CD2A08" w:rsidP="00CD2A08">
      <w:pPr>
        <w:tabs>
          <w:tab w:val="left" w:pos="162"/>
        </w:tabs>
        <w:spacing w:after="0" w:line="276" w:lineRule="auto"/>
        <w:rPr>
          <w:rFonts w:ascii="Calibri Light" w:eastAsia="Times New Roman" w:hAnsi="Calibri Light" w:cs="Calibri Light"/>
          <w:i/>
          <w:sz w:val="20"/>
          <w:szCs w:val="20"/>
          <w:lang w:val="ro-RO"/>
        </w:rPr>
      </w:pPr>
    </w:p>
    <w:p w14:paraId="1F54692C" w14:textId="467F05AF" w:rsidR="00590DF4" w:rsidRDefault="00590DF4" w:rsidP="00CD2A08">
      <w:pPr>
        <w:tabs>
          <w:tab w:val="left" w:pos="162"/>
        </w:tabs>
        <w:spacing w:after="0" w:line="276" w:lineRule="auto"/>
        <w:rPr>
          <w:rFonts w:ascii="Calibri Light" w:eastAsia="Times New Roman" w:hAnsi="Calibri Light" w:cs="Calibri Light"/>
          <w:i/>
          <w:sz w:val="20"/>
          <w:szCs w:val="20"/>
          <w:lang w:val="ro-RO"/>
        </w:rPr>
      </w:pPr>
    </w:p>
    <w:p w14:paraId="1209D1D6" w14:textId="7E5DC5C6" w:rsidR="00590DF4" w:rsidRDefault="00590DF4" w:rsidP="00CD2A08">
      <w:pPr>
        <w:tabs>
          <w:tab w:val="left" w:pos="162"/>
        </w:tabs>
        <w:spacing w:after="0" w:line="276" w:lineRule="auto"/>
        <w:rPr>
          <w:rFonts w:ascii="Calibri Light" w:eastAsia="Times New Roman" w:hAnsi="Calibri Light" w:cs="Calibri Light"/>
          <w:i/>
          <w:sz w:val="20"/>
          <w:szCs w:val="20"/>
          <w:lang w:val="ro-RO"/>
        </w:rPr>
      </w:pPr>
    </w:p>
    <w:p w14:paraId="6E793124" w14:textId="77777777" w:rsidR="00590DF4" w:rsidRPr="00E82CC1" w:rsidRDefault="00590DF4" w:rsidP="00CD2A08">
      <w:pPr>
        <w:tabs>
          <w:tab w:val="left" w:pos="162"/>
        </w:tabs>
        <w:spacing w:after="0" w:line="276" w:lineRule="auto"/>
        <w:rPr>
          <w:rFonts w:ascii="Calibri Light" w:eastAsia="Times New Roman" w:hAnsi="Calibri Light" w:cs="Calibri Light"/>
          <w:i/>
          <w:sz w:val="20"/>
          <w:szCs w:val="20"/>
          <w:lang w:val="ro-RO"/>
        </w:rPr>
      </w:pPr>
    </w:p>
    <w:p w14:paraId="51933CD0" w14:textId="38E3CD63" w:rsidR="00CD2A08" w:rsidRPr="00590DF4" w:rsidRDefault="00CD2A08" w:rsidP="00590DF4">
      <w:pPr>
        <w:pStyle w:val="2"/>
        <w:jc w:val="right"/>
        <w:rPr>
          <w:rFonts w:ascii="Calibri Light" w:eastAsia="Times New Roman" w:hAnsi="Calibri Light" w:cs="Calibri Light"/>
          <w:b/>
          <w:bCs/>
          <w:iCs/>
          <w:color w:val="000000" w:themeColor="text1"/>
          <w:sz w:val="24"/>
          <w:szCs w:val="24"/>
          <w:lang w:val="ro-RO"/>
        </w:rPr>
      </w:pPr>
      <w:r w:rsidRPr="00590DF4">
        <w:rPr>
          <w:rFonts w:ascii="Calibri Light" w:eastAsia="Times New Roman" w:hAnsi="Calibri Light" w:cs="Calibri Light"/>
          <w:b/>
          <w:bCs/>
          <w:iCs/>
          <w:color w:val="000000" w:themeColor="text1"/>
          <w:sz w:val="24"/>
          <w:szCs w:val="24"/>
          <w:lang w:val="ro-RO"/>
        </w:rPr>
        <w:t xml:space="preserve">Anexa nr. </w:t>
      </w:r>
      <w:r w:rsidR="00590DF4">
        <w:rPr>
          <w:rFonts w:ascii="Calibri Light" w:eastAsia="Times New Roman" w:hAnsi="Calibri Light" w:cs="Calibri Light"/>
          <w:b/>
          <w:bCs/>
          <w:iCs/>
          <w:color w:val="000000" w:themeColor="text1"/>
          <w:sz w:val="24"/>
          <w:szCs w:val="24"/>
          <w:lang w:val="ro-RO"/>
        </w:rPr>
        <w:t>8</w:t>
      </w:r>
    </w:p>
    <w:p w14:paraId="1890E33D" w14:textId="77777777" w:rsidR="00CD2A08" w:rsidRPr="00E82CC1" w:rsidRDefault="00CD2A08" w:rsidP="00CD2A08">
      <w:pPr>
        <w:tabs>
          <w:tab w:val="left" w:pos="162"/>
        </w:tabs>
        <w:spacing w:after="0" w:line="276" w:lineRule="auto"/>
        <w:jc w:val="right"/>
        <w:rPr>
          <w:rFonts w:ascii="Calibri Light" w:eastAsia="Times New Roman" w:hAnsi="Calibri Light" w:cs="Calibri Light"/>
          <w:b/>
          <w:bCs/>
          <w:iCs/>
          <w:sz w:val="24"/>
          <w:szCs w:val="24"/>
          <w:lang w:val="ro-RO"/>
        </w:rPr>
      </w:pPr>
    </w:p>
    <w:p w14:paraId="096A4F50" w14:textId="1AB2D5C0" w:rsidR="00CD2A08" w:rsidRPr="00E82CC1" w:rsidRDefault="00CD2A08" w:rsidP="00CD2A08">
      <w:pPr>
        <w:tabs>
          <w:tab w:val="left" w:pos="162"/>
        </w:tabs>
        <w:spacing w:after="0" w:line="276" w:lineRule="auto"/>
        <w:jc w:val="both"/>
        <w:rPr>
          <w:rFonts w:ascii="Calibri Light" w:eastAsia="Times New Roman" w:hAnsi="Calibri Light" w:cs="Calibri Light"/>
          <w:b/>
          <w:bCs/>
          <w:iCs/>
          <w:sz w:val="24"/>
          <w:szCs w:val="24"/>
        </w:rPr>
      </w:pPr>
      <w:r w:rsidRPr="00E82CC1">
        <w:rPr>
          <w:rFonts w:ascii="Calibri Light" w:eastAsia="Times New Roman" w:hAnsi="Calibri Light" w:cs="Calibri Light"/>
          <w:b/>
          <w:bCs/>
          <w:iCs/>
          <w:sz w:val="24"/>
          <w:szCs w:val="24"/>
          <w:lang w:val="ro-RO"/>
        </w:rPr>
        <w:t xml:space="preserve">Evoluția ponderii veniturilor proprii </w:t>
      </w:r>
      <w:r w:rsidR="002172F0">
        <w:rPr>
          <w:rFonts w:ascii="Calibri Light" w:eastAsia="Times New Roman" w:hAnsi="Calibri Light" w:cs="Calibri Light"/>
          <w:b/>
          <w:bCs/>
          <w:iCs/>
          <w:sz w:val="24"/>
          <w:szCs w:val="24"/>
          <w:lang w:val="ro-RO"/>
        </w:rPr>
        <w:t xml:space="preserve">ale BASS </w:t>
      </w:r>
      <w:r w:rsidRPr="00E82CC1">
        <w:rPr>
          <w:rFonts w:ascii="Calibri Light" w:eastAsia="Times New Roman" w:hAnsi="Calibri Light" w:cs="Calibri Light"/>
          <w:b/>
          <w:bCs/>
          <w:iCs/>
          <w:sz w:val="24"/>
          <w:szCs w:val="24"/>
          <w:lang w:val="ro-RO"/>
        </w:rPr>
        <w:t>și transferurilor de la bugetul public național în total</w:t>
      </w:r>
      <w:r w:rsidR="000B645A">
        <w:rPr>
          <w:rFonts w:ascii="Calibri Light" w:eastAsia="Times New Roman" w:hAnsi="Calibri Light" w:cs="Calibri Light"/>
          <w:b/>
          <w:bCs/>
          <w:iCs/>
          <w:sz w:val="24"/>
          <w:szCs w:val="24"/>
          <w:lang w:val="ro-RO"/>
        </w:rPr>
        <w:t>ul</w:t>
      </w:r>
      <w:r w:rsidRPr="00E82CC1">
        <w:rPr>
          <w:rFonts w:ascii="Calibri Light" w:eastAsia="Times New Roman" w:hAnsi="Calibri Light" w:cs="Calibri Light"/>
          <w:b/>
          <w:bCs/>
          <w:iCs/>
          <w:sz w:val="24"/>
          <w:szCs w:val="24"/>
          <w:lang w:val="ro-RO"/>
        </w:rPr>
        <w:t xml:space="preserve"> venituri</w:t>
      </w:r>
      <w:r w:rsidR="000B645A">
        <w:rPr>
          <w:rFonts w:ascii="Calibri Light" w:eastAsia="Times New Roman" w:hAnsi="Calibri Light" w:cs="Calibri Light"/>
          <w:b/>
          <w:bCs/>
          <w:iCs/>
          <w:sz w:val="24"/>
          <w:szCs w:val="24"/>
          <w:lang w:val="ro-RO"/>
        </w:rPr>
        <w:t>lor</w:t>
      </w:r>
    </w:p>
    <w:p w14:paraId="4E7173B9" w14:textId="77777777" w:rsidR="00CD2A08" w:rsidRPr="00E82CC1" w:rsidRDefault="00CD2A08" w:rsidP="00CD2A08">
      <w:pPr>
        <w:tabs>
          <w:tab w:val="left" w:pos="162"/>
        </w:tabs>
        <w:spacing w:after="0" w:line="276" w:lineRule="auto"/>
        <w:jc w:val="right"/>
        <w:rPr>
          <w:rFonts w:ascii="Calibri Light" w:eastAsia="Times New Roman" w:hAnsi="Calibri Light" w:cs="Calibri Light"/>
          <w:i/>
          <w:sz w:val="20"/>
          <w:szCs w:val="20"/>
        </w:rPr>
      </w:pPr>
    </w:p>
    <w:p w14:paraId="71715ADE" w14:textId="77777777" w:rsidR="00CD2A08" w:rsidRPr="00E82CC1" w:rsidRDefault="00CD2A08" w:rsidP="00CD2A08">
      <w:pPr>
        <w:tabs>
          <w:tab w:val="left" w:pos="162"/>
        </w:tabs>
        <w:spacing w:after="0" w:line="276" w:lineRule="auto"/>
        <w:rPr>
          <w:rFonts w:ascii="Calibri Light" w:eastAsia="Times New Roman" w:hAnsi="Calibri Light" w:cs="Calibri Light"/>
          <w:i/>
          <w:sz w:val="20"/>
          <w:szCs w:val="20"/>
          <w:lang w:val="ro-RO"/>
        </w:rPr>
      </w:pPr>
      <w:r w:rsidRPr="00E82CC1">
        <w:rPr>
          <w:rFonts w:ascii="Times New Roman" w:eastAsia="Times New Roman" w:hAnsi="Times New Roman" w:cs="Times New Roman"/>
          <w:noProof/>
          <w:sz w:val="24"/>
          <w:szCs w:val="24"/>
          <w:lang w:val="ru-RU" w:eastAsia="ru-RU"/>
        </w:rPr>
        <w:drawing>
          <wp:inline distT="0" distB="0" distL="0" distR="0" wp14:anchorId="0D7950EC" wp14:editId="3EF39DD0">
            <wp:extent cx="6324600" cy="2644140"/>
            <wp:effectExtent l="0" t="0" r="0" b="3810"/>
            <wp:docPr id="12" name="Chart 1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5FA64E9-967C-4242-A115-69F38CD62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4B7EE9C" w14:textId="23D98F37" w:rsidR="00CD2A08" w:rsidRPr="00E82CC1" w:rsidRDefault="00CD2A08" w:rsidP="00CD2A08">
      <w:pPr>
        <w:tabs>
          <w:tab w:val="left" w:pos="162"/>
        </w:tabs>
        <w:spacing w:after="0" w:line="276" w:lineRule="auto"/>
        <w:rPr>
          <w:rFonts w:ascii="Calibri Light" w:eastAsia="Times New Roman" w:hAnsi="Calibri Light" w:cs="Calibri Light"/>
          <w:i/>
          <w:sz w:val="20"/>
          <w:szCs w:val="20"/>
          <w:lang w:val="ro-RO"/>
        </w:rPr>
        <w:sectPr w:rsidR="00CD2A08" w:rsidRPr="00E82CC1" w:rsidSect="00D470AF">
          <w:pgSz w:w="12240" w:h="15840"/>
          <w:pgMar w:top="1138" w:right="850" w:bottom="1138" w:left="1354" w:header="720" w:footer="720" w:gutter="0"/>
          <w:cols w:space="720"/>
          <w:docGrid w:linePitch="360"/>
        </w:sectPr>
      </w:pPr>
      <w:r w:rsidRPr="00E82CC1">
        <w:rPr>
          <w:rFonts w:ascii="Calibri Light" w:eastAsia="Times New Roman" w:hAnsi="Calibri Light" w:cs="Calibri Light"/>
          <w:b/>
          <w:i/>
          <w:sz w:val="20"/>
          <w:szCs w:val="20"/>
          <w:lang w:val="ro-RO"/>
        </w:rPr>
        <w:t xml:space="preserve">     Sursă:</w:t>
      </w:r>
      <w:r w:rsidRPr="00E82CC1">
        <w:rPr>
          <w:rFonts w:ascii="Calibri Light" w:eastAsia="Times New Roman" w:hAnsi="Calibri Light" w:cs="Calibri Light"/>
          <w:i/>
          <w:sz w:val="20"/>
          <w:szCs w:val="20"/>
          <w:lang w:val="ro-RO"/>
        </w:rPr>
        <w:t xml:space="preserve"> Rapo</w:t>
      </w:r>
      <w:r w:rsidR="002172F0">
        <w:rPr>
          <w:rFonts w:ascii="Calibri Light" w:eastAsia="Times New Roman" w:hAnsi="Calibri Light" w:cs="Calibri Light"/>
          <w:i/>
          <w:sz w:val="20"/>
          <w:szCs w:val="20"/>
          <w:lang w:val="ro-RO"/>
        </w:rPr>
        <w:t>a</w:t>
      </w:r>
      <w:r w:rsidRPr="00E82CC1">
        <w:rPr>
          <w:rFonts w:ascii="Calibri Light" w:eastAsia="Times New Roman" w:hAnsi="Calibri Light" w:cs="Calibri Light"/>
          <w:i/>
          <w:sz w:val="20"/>
          <w:szCs w:val="20"/>
          <w:lang w:val="ro-RO"/>
        </w:rPr>
        <w:t>rt</w:t>
      </w:r>
      <w:r w:rsidR="002172F0">
        <w:rPr>
          <w:rFonts w:ascii="Calibri Light" w:eastAsia="Times New Roman" w:hAnsi="Calibri Light" w:cs="Calibri Light"/>
          <w:i/>
          <w:sz w:val="20"/>
          <w:szCs w:val="20"/>
          <w:lang w:val="ro-RO"/>
        </w:rPr>
        <w:t>e</w:t>
      </w:r>
      <w:r w:rsidRPr="00E82CC1">
        <w:rPr>
          <w:rFonts w:ascii="Calibri Light" w:eastAsia="Times New Roman" w:hAnsi="Calibri Light" w:cs="Calibri Light"/>
          <w:i/>
          <w:sz w:val="20"/>
          <w:szCs w:val="20"/>
          <w:lang w:val="ro-RO"/>
        </w:rPr>
        <w:t>l</w:t>
      </w:r>
      <w:r w:rsidR="002172F0">
        <w:rPr>
          <w:rFonts w:ascii="Calibri Light" w:eastAsia="Times New Roman" w:hAnsi="Calibri Light" w:cs="Calibri Light"/>
          <w:i/>
          <w:sz w:val="20"/>
          <w:szCs w:val="20"/>
          <w:lang w:val="ro-RO"/>
        </w:rPr>
        <w:t>e</w:t>
      </w:r>
      <w:r w:rsidRPr="00E82CC1">
        <w:rPr>
          <w:rFonts w:ascii="Calibri Light" w:eastAsia="Times New Roman" w:hAnsi="Calibri Light" w:cs="Calibri Light"/>
          <w:i/>
          <w:sz w:val="20"/>
          <w:szCs w:val="20"/>
          <w:lang w:val="ro-RO"/>
        </w:rPr>
        <w:t xml:space="preserve"> privind executarea bugetului asigurărilor sociale de stat pentru anii 2019-2021</w:t>
      </w:r>
      <w:r w:rsidR="002172F0">
        <w:rPr>
          <w:rFonts w:ascii="Calibri Light" w:eastAsia="Times New Roman" w:hAnsi="Calibri Light" w:cs="Calibri Light"/>
          <w:i/>
          <w:sz w:val="20"/>
          <w:szCs w:val="20"/>
          <w:lang w:val="ro-RO"/>
        </w:rPr>
        <w:t>.</w:t>
      </w:r>
    </w:p>
    <w:p w14:paraId="3F49A92B" w14:textId="2D82C4F1" w:rsidR="00CD2A08" w:rsidRPr="00E82CC1" w:rsidRDefault="00CD2A08" w:rsidP="00CD2A08">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Anexa nr. </w:t>
      </w:r>
      <w:r w:rsidR="00590DF4">
        <w:rPr>
          <w:rFonts w:ascii="Calibri Light" w:eastAsia="Times New Roman" w:hAnsi="Calibri Light" w:cs="Calibri Light"/>
          <w:b/>
          <w:sz w:val="24"/>
          <w:szCs w:val="24"/>
          <w:lang w:val="ro-RO"/>
        </w:rPr>
        <w:t>9</w:t>
      </w:r>
    </w:p>
    <w:p w14:paraId="0702AEEB" w14:textId="77777777" w:rsidR="00944238" w:rsidRDefault="00CD2A08" w:rsidP="00CD2A08">
      <w:pPr>
        <w:widowControl w:val="0"/>
        <w:spacing w:after="0" w:line="276" w:lineRule="auto"/>
        <w:jc w:val="center"/>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Cheltuielile bugetului asigurărilor sociale de stat în anul 2021 </w:t>
      </w:r>
    </w:p>
    <w:p w14:paraId="07EBAFF0" w14:textId="05076036" w:rsidR="00CD2A08" w:rsidRPr="00617E4A" w:rsidRDefault="00CD2A08" w:rsidP="00617E4A">
      <w:pPr>
        <w:widowControl w:val="0"/>
        <w:spacing w:after="0" w:line="276" w:lineRule="auto"/>
        <w:jc w:val="right"/>
        <w:rPr>
          <w:rFonts w:ascii="Calibri Light" w:eastAsia="Times New Roman" w:hAnsi="Calibri Light" w:cs="Calibri Light"/>
          <w:b/>
          <w:sz w:val="20"/>
          <w:szCs w:val="20"/>
          <w:lang w:val="ro-RO"/>
        </w:rPr>
      </w:pPr>
      <w:r w:rsidRPr="00617E4A">
        <w:rPr>
          <w:rFonts w:ascii="Calibri Light" w:eastAsia="Times New Roman" w:hAnsi="Calibri Light" w:cs="Calibri Light"/>
          <w:b/>
          <w:sz w:val="20"/>
          <w:szCs w:val="20"/>
          <w:lang w:val="ro-RO"/>
        </w:rPr>
        <w:t>(mil. lei)</w:t>
      </w:r>
    </w:p>
    <w:p w14:paraId="77C95171" w14:textId="77777777" w:rsidR="00CD2A08" w:rsidRPr="00E82CC1" w:rsidRDefault="00CD2A08" w:rsidP="00CD2A08">
      <w:pPr>
        <w:widowControl w:val="0"/>
        <w:spacing w:after="0" w:line="276" w:lineRule="auto"/>
        <w:jc w:val="center"/>
        <w:rPr>
          <w:rFonts w:ascii="Calibri Light" w:eastAsia="Times New Roman" w:hAnsi="Calibri Light" w:cs="Calibri Light"/>
          <w:b/>
          <w:szCs w:val="24"/>
          <w:lang w:val="ro-RO"/>
        </w:rPr>
      </w:pPr>
    </w:p>
    <w:tbl>
      <w:tblPr>
        <w:tblW w:w="1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57"/>
        <w:gridCol w:w="960"/>
        <w:gridCol w:w="960"/>
        <w:gridCol w:w="983"/>
        <w:gridCol w:w="960"/>
        <w:gridCol w:w="1358"/>
        <w:gridCol w:w="959"/>
        <w:gridCol w:w="1357"/>
        <w:gridCol w:w="959"/>
        <w:gridCol w:w="1357"/>
      </w:tblGrid>
      <w:tr w:rsidR="00CD2A08" w:rsidRPr="00E82CC1" w14:paraId="5145A83D" w14:textId="77777777" w:rsidTr="00601BDD">
        <w:trPr>
          <w:trHeight w:val="300"/>
        </w:trPr>
        <w:tc>
          <w:tcPr>
            <w:tcW w:w="2840" w:type="dxa"/>
            <w:vMerge w:val="restart"/>
            <w:shd w:val="clear" w:color="auto" w:fill="auto"/>
            <w:vAlign w:val="center"/>
            <w:hideMark/>
          </w:tcPr>
          <w:p w14:paraId="0146524B"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Indicatorii</w:t>
            </w:r>
          </w:p>
        </w:tc>
        <w:tc>
          <w:tcPr>
            <w:tcW w:w="960" w:type="dxa"/>
            <w:shd w:val="clear" w:color="auto" w:fill="auto"/>
            <w:vAlign w:val="center"/>
            <w:hideMark/>
          </w:tcPr>
          <w:p w14:paraId="01CFACA4"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Cod</w:t>
            </w:r>
          </w:p>
        </w:tc>
        <w:tc>
          <w:tcPr>
            <w:tcW w:w="5200" w:type="dxa"/>
            <w:gridSpan w:val="5"/>
            <w:shd w:val="clear" w:color="auto" w:fill="auto"/>
            <w:vAlign w:val="center"/>
            <w:hideMark/>
          </w:tcPr>
          <w:p w14:paraId="171EB532" w14:textId="186E9029" w:rsidR="00CD2A08" w:rsidRPr="00E82CC1" w:rsidRDefault="00944238" w:rsidP="00CD2A08">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o-RO"/>
              </w:rPr>
              <w:t xml:space="preserve">Anul </w:t>
            </w:r>
            <w:r w:rsidR="00CD2A08" w:rsidRPr="00E82CC1">
              <w:rPr>
                <w:rFonts w:ascii="Calibri Light" w:eastAsia="Times New Roman" w:hAnsi="Calibri Light" w:cs="Calibri Light"/>
                <w:b/>
                <w:bCs/>
                <w:color w:val="000000"/>
                <w:lang w:val="ro-RO"/>
              </w:rPr>
              <w:t>2021</w:t>
            </w:r>
          </w:p>
        </w:tc>
        <w:tc>
          <w:tcPr>
            <w:tcW w:w="4640" w:type="dxa"/>
            <w:gridSpan w:val="4"/>
            <w:shd w:val="clear" w:color="auto" w:fill="auto"/>
            <w:vAlign w:val="center"/>
            <w:hideMark/>
          </w:tcPr>
          <w:p w14:paraId="101A052F"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Devieri</w:t>
            </w:r>
          </w:p>
        </w:tc>
      </w:tr>
      <w:tr w:rsidR="00CD2A08" w:rsidRPr="00E82CC1" w14:paraId="2CF46308" w14:textId="77777777" w:rsidTr="00601BDD">
        <w:trPr>
          <w:trHeight w:val="576"/>
        </w:trPr>
        <w:tc>
          <w:tcPr>
            <w:tcW w:w="2840" w:type="dxa"/>
            <w:vMerge/>
            <w:shd w:val="clear" w:color="auto" w:fill="auto"/>
            <w:vAlign w:val="center"/>
            <w:hideMark/>
          </w:tcPr>
          <w:p w14:paraId="78540B47"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shd w:val="clear" w:color="auto" w:fill="auto"/>
            <w:vAlign w:val="center"/>
            <w:hideMark/>
          </w:tcPr>
          <w:p w14:paraId="4B41A684"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Eco</w:t>
            </w:r>
          </w:p>
        </w:tc>
        <w:tc>
          <w:tcPr>
            <w:tcW w:w="960" w:type="dxa"/>
            <w:vMerge w:val="restart"/>
            <w:shd w:val="clear" w:color="auto" w:fill="auto"/>
            <w:vAlign w:val="center"/>
            <w:hideMark/>
          </w:tcPr>
          <w:p w14:paraId="309DFC62"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aprobat</w:t>
            </w:r>
          </w:p>
        </w:tc>
        <w:tc>
          <w:tcPr>
            <w:tcW w:w="960" w:type="dxa"/>
            <w:vMerge w:val="restart"/>
            <w:shd w:val="clear" w:color="auto" w:fill="auto"/>
            <w:vAlign w:val="center"/>
            <w:hideMark/>
          </w:tcPr>
          <w:p w14:paraId="37E7FAB1"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precizat</w:t>
            </w:r>
          </w:p>
        </w:tc>
        <w:tc>
          <w:tcPr>
            <w:tcW w:w="960" w:type="dxa"/>
            <w:vMerge w:val="restart"/>
            <w:shd w:val="clear" w:color="auto" w:fill="auto"/>
            <w:vAlign w:val="center"/>
            <w:hideMark/>
          </w:tcPr>
          <w:p w14:paraId="59892FE4"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executat</w:t>
            </w:r>
          </w:p>
        </w:tc>
        <w:tc>
          <w:tcPr>
            <w:tcW w:w="960" w:type="dxa"/>
            <w:vMerge w:val="restart"/>
            <w:shd w:val="clear" w:color="auto" w:fill="auto"/>
            <w:vAlign w:val="center"/>
            <w:hideMark/>
          </w:tcPr>
          <w:p w14:paraId="7EFF24A0"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efectiv</w:t>
            </w:r>
          </w:p>
        </w:tc>
        <w:tc>
          <w:tcPr>
            <w:tcW w:w="1360" w:type="dxa"/>
            <w:shd w:val="clear" w:color="auto" w:fill="auto"/>
            <w:vAlign w:val="center"/>
            <w:hideMark/>
          </w:tcPr>
          <w:p w14:paraId="1D2D166C"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Ponderea în suma</w:t>
            </w:r>
          </w:p>
        </w:tc>
        <w:tc>
          <w:tcPr>
            <w:tcW w:w="2320" w:type="dxa"/>
            <w:gridSpan w:val="2"/>
            <w:vMerge w:val="restart"/>
            <w:shd w:val="clear" w:color="auto" w:fill="auto"/>
            <w:vAlign w:val="center"/>
            <w:hideMark/>
          </w:tcPr>
          <w:p w14:paraId="65C1F04B"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executat faţă de precizat</w:t>
            </w:r>
          </w:p>
        </w:tc>
        <w:tc>
          <w:tcPr>
            <w:tcW w:w="2320" w:type="dxa"/>
            <w:gridSpan w:val="2"/>
            <w:vMerge w:val="restart"/>
            <w:shd w:val="clear" w:color="auto" w:fill="auto"/>
            <w:vAlign w:val="center"/>
            <w:hideMark/>
          </w:tcPr>
          <w:p w14:paraId="5C2C5CE3"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efectiv faţă de precizat</w:t>
            </w:r>
          </w:p>
        </w:tc>
      </w:tr>
      <w:tr w:rsidR="00CD2A08" w:rsidRPr="00E82CC1" w14:paraId="746B5EA3" w14:textId="77777777" w:rsidTr="00601BDD">
        <w:trPr>
          <w:trHeight w:val="300"/>
        </w:trPr>
        <w:tc>
          <w:tcPr>
            <w:tcW w:w="2840" w:type="dxa"/>
            <w:vMerge/>
            <w:shd w:val="clear" w:color="auto" w:fill="auto"/>
            <w:vAlign w:val="center"/>
            <w:hideMark/>
          </w:tcPr>
          <w:p w14:paraId="3687F955"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shd w:val="clear" w:color="auto" w:fill="auto"/>
            <w:vAlign w:val="center"/>
            <w:hideMark/>
          </w:tcPr>
          <w:p w14:paraId="1974FA0A" w14:textId="77777777" w:rsidR="00CD2A08" w:rsidRPr="00E82CC1" w:rsidRDefault="00CD2A08" w:rsidP="00CD2A08">
            <w:pPr>
              <w:spacing w:after="0" w:line="240" w:lineRule="auto"/>
              <w:jc w:val="center"/>
              <w:rPr>
                <w:rFonts w:ascii="Calibri" w:eastAsia="Times New Roman" w:hAnsi="Calibri" w:cs="Calibri"/>
                <w:color w:val="000000"/>
                <w:lang w:val="ro-RO"/>
              </w:rPr>
            </w:pPr>
            <w:r w:rsidRPr="00E82CC1">
              <w:rPr>
                <w:rFonts w:ascii="Calibri" w:eastAsia="Times New Roman" w:hAnsi="Calibri" w:cs="Calibri"/>
                <w:color w:val="000000"/>
                <w:lang w:val="ro-RO"/>
              </w:rPr>
              <w:t> </w:t>
            </w:r>
          </w:p>
        </w:tc>
        <w:tc>
          <w:tcPr>
            <w:tcW w:w="960" w:type="dxa"/>
            <w:vMerge/>
            <w:shd w:val="clear" w:color="auto" w:fill="auto"/>
            <w:vAlign w:val="center"/>
            <w:hideMark/>
          </w:tcPr>
          <w:p w14:paraId="37A9020A"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69BFFA25"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04EC4658"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77535CD5"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1360" w:type="dxa"/>
            <w:shd w:val="clear" w:color="auto" w:fill="auto"/>
            <w:vAlign w:val="center"/>
            <w:hideMark/>
          </w:tcPr>
          <w:p w14:paraId="541D406D"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totală</w:t>
            </w:r>
          </w:p>
        </w:tc>
        <w:tc>
          <w:tcPr>
            <w:tcW w:w="2320" w:type="dxa"/>
            <w:gridSpan w:val="2"/>
            <w:vMerge/>
            <w:shd w:val="clear" w:color="auto" w:fill="auto"/>
            <w:vAlign w:val="center"/>
            <w:hideMark/>
          </w:tcPr>
          <w:p w14:paraId="013D88EB"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2320" w:type="dxa"/>
            <w:gridSpan w:val="2"/>
            <w:vMerge/>
            <w:shd w:val="clear" w:color="auto" w:fill="auto"/>
            <w:vAlign w:val="center"/>
            <w:hideMark/>
          </w:tcPr>
          <w:p w14:paraId="30BA4164"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r>
      <w:tr w:rsidR="00CD2A08" w:rsidRPr="00E82CC1" w14:paraId="253AD7BB" w14:textId="77777777" w:rsidTr="00601BDD">
        <w:trPr>
          <w:trHeight w:val="300"/>
        </w:trPr>
        <w:tc>
          <w:tcPr>
            <w:tcW w:w="2840" w:type="dxa"/>
            <w:vMerge/>
            <w:shd w:val="clear" w:color="auto" w:fill="auto"/>
            <w:vAlign w:val="center"/>
            <w:hideMark/>
          </w:tcPr>
          <w:p w14:paraId="561A793B"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shd w:val="clear" w:color="auto" w:fill="auto"/>
            <w:vAlign w:val="center"/>
            <w:hideMark/>
          </w:tcPr>
          <w:p w14:paraId="50A99EC7" w14:textId="77777777" w:rsidR="00CD2A08" w:rsidRPr="00E82CC1" w:rsidRDefault="00CD2A08" w:rsidP="00CD2A08">
            <w:pPr>
              <w:spacing w:after="0" w:line="240" w:lineRule="auto"/>
              <w:jc w:val="center"/>
              <w:rPr>
                <w:rFonts w:ascii="Calibri" w:eastAsia="Times New Roman" w:hAnsi="Calibri" w:cs="Calibri"/>
                <w:color w:val="000000"/>
                <w:lang w:val="ro-RO"/>
              </w:rPr>
            </w:pPr>
            <w:r w:rsidRPr="00E82CC1">
              <w:rPr>
                <w:rFonts w:ascii="Calibri" w:eastAsia="Times New Roman" w:hAnsi="Calibri" w:cs="Calibri"/>
                <w:color w:val="000000"/>
                <w:lang w:val="ro-RO"/>
              </w:rPr>
              <w:t> </w:t>
            </w:r>
          </w:p>
        </w:tc>
        <w:tc>
          <w:tcPr>
            <w:tcW w:w="960" w:type="dxa"/>
            <w:vMerge/>
            <w:shd w:val="clear" w:color="auto" w:fill="auto"/>
            <w:vAlign w:val="center"/>
            <w:hideMark/>
          </w:tcPr>
          <w:p w14:paraId="163D2A09"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43826AC5"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7D46D6B0"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21A716F3"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p>
        </w:tc>
        <w:tc>
          <w:tcPr>
            <w:tcW w:w="1360" w:type="dxa"/>
            <w:shd w:val="clear" w:color="auto" w:fill="auto"/>
            <w:vAlign w:val="center"/>
            <w:hideMark/>
          </w:tcPr>
          <w:p w14:paraId="2228293E"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960" w:type="dxa"/>
            <w:shd w:val="clear" w:color="auto" w:fill="auto"/>
            <w:vAlign w:val="center"/>
            <w:hideMark/>
          </w:tcPr>
          <w:p w14:paraId="79C2F581"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1360" w:type="dxa"/>
            <w:shd w:val="clear" w:color="auto" w:fill="auto"/>
            <w:vAlign w:val="center"/>
            <w:hideMark/>
          </w:tcPr>
          <w:p w14:paraId="475148BA"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960" w:type="dxa"/>
            <w:shd w:val="clear" w:color="auto" w:fill="auto"/>
            <w:vAlign w:val="center"/>
            <w:hideMark/>
          </w:tcPr>
          <w:p w14:paraId="145FF2F2"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1360" w:type="dxa"/>
            <w:shd w:val="clear" w:color="auto" w:fill="auto"/>
            <w:vAlign w:val="center"/>
            <w:hideMark/>
          </w:tcPr>
          <w:p w14:paraId="3FF7EC8E" w14:textId="77777777" w:rsidR="00CD2A08" w:rsidRPr="00E82CC1" w:rsidRDefault="00CD2A08" w:rsidP="00CD2A08">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r>
      <w:tr w:rsidR="00CD2A08" w:rsidRPr="00E82CC1" w14:paraId="497E0235" w14:textId="77777777" w:rsidTr="00601BDD">
        <w:trPr>
          <w:trHeight w:val="300"/>
        </w:trPr>
        <w:tc>
          <w:tcPr>
            <w:tcW w:w="2840" w:type="dxa"/>
            <w:shd w:val="clear" w:color="auto" w:fill="auto"/>
            <w:hideMark/>
          </w:tcPr>
          <w:p w14:paraId="5D72FA19"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Ab</w:t>
            </w:r>
          </w:p>
        </w:tc>
        <w:tc>
          <w:tcPr>
            <w:tcW w:w="960" w:type="dxa"/>
            <w:shd w:val="clear" w:color="auto" w:fill="auto"/>
            <w:hideMark/>
          </w:tcPr>
          <w:p w14:paraId="1EF170C5"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1</w:t>
            </w:r>
          </w:p>
        </w:tc>
        <w:tc>
          <w:tcPr>
            <w:tcW w:w="960" w:type="dxa"/>
            <w:shd w:val="clear" w:color="auto" w:fill="auto"/>
            <w:hideMark/>
          </w:tcPr>
          <w:p w14:paraId="2F7FE752"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w:t>
            </w:r>
          </w:p>
        </w:tc>
        <w:tc>
          <w:tcPr>
            <w:tcW w:w="960" w:type="dxa"/>
            <w:shd w:val="clear" w:color="auto" w:fill="auto"/>
            <w:hideMark/>
          </w:tcPr>
          <w:p w14:paraId="58D9FFA4"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w:t>
            </w:r>
          </w:p>
        </w:tc>
        <w:tc>
          <w:tcPr>
            <w:tcW w:w="960" w:type="dxa"/>
            <w:shd w:val="clear" w:color="auto" w:fill="auto"/>
            <w:hideMark/>
          </w:tcPr>
          <w:p w14:paraId="3E312207"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4</w:t>
            </w:r>
          </w:p>
        </w:tc>
        <w:tc>
          <w:tcPr>
            <w:tcW w:w="960" w:type="dxa"/>
            <w:shd w:val="clear" w:color="auto" w:fill="auto"/>
            <w:hideMark/>
          </w:tcPr>
          <w:p w14:paraId="7DF32C26"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5</w:t>
            </w:r>
          </w:p>
        </w:tc>
        <w:tc>
          <w:tcPr>
            <w:tcW w:w="1360" w:type="dxa"/>
            <w:shd w:val="clear" w:color="auto" w:fill="auto"/>
            <w:hideMark/>
          </w:tcPr>
          <w:p w14:paraId="74F1A430"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6</w:t>
            </w:r>
          </w:p>
        </w:tc>
        <w:tc>
          <w:tcPr>
            <w:tcW w:w="960" w:type="dxa"/>
            <w:shd w:val="clear" w:color="auto" w:fill="auto"/>
            <w:hideMark/>
          </w:tcPr>
          <w:p w14:paraId="7534C556"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7</w:t>
            </w:r>
          </w:p>
        </w:tc>
        <w:tc>
          <w:tcPr>
            <w:tcW w:w="1360" w:type="dxa"/>
            <w:shd w:val="clear" w:color="auto" w:fill="auto"/>
            <w:hideMark/>
          </w:tcPr>
          <w:p w14:paraId="048376D9"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8</w:t>
            </w:r>
          </w:p>
        </w:tc>
        <w:tc>
          <w:tcPr>
            <w:tcW w:w="960" w:type="dxa"/>
            <w:shd w:val="clear" w:color="auto" w:fill="auto"/>
            <w:hideMark/>
          </w:tcPr>
          <w:p w14:paraId="42730706" w14:textId="77777777" w:rsidR="00CD2A08" w:rsidRPr="00E82CC1" w:rsidRDefault="00CD2A08" w:rsidP="00CD2A08">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9</w:t>
            </w:r>
          </w:p>
        </w:tc>
        <w:tc>
          <w:tcPr>
            <w:tcW w:w="1360" w:type="dxa"/>
            <w:shd w:val="clear" w:color="auto" w:fill="auto"/>
            <w:hideMark/>
          </w:tcPr>
          <w:p w14:paraId="51E140C1"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10</w:t>
            </w:r>
          </w:p>
        </w:tc>
      </w:tr>
      <w:tr w:rsidR="00CD2A08" w:rsidRPr="00E82CC1" w14:paraId="57C80C5D" w14:textId="77777777" w:rsidTr="00601BDD">
        <w:trPr>
          <w:trHeight w:val="300"/>
        </w:trPr>
        <w:tc>
          <w:tcPr>
            <w:tcW w:w="2840" w:type="dxa"/>
            <w:shd w:val="clear" w:color="auto" w:fill="auto"/>
            <w:vAlign w:val="bottom"/>
            <w:hideMark/>
          </w:tcPr>
          <w:p w14:paraId="022779C8"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Cheltuieli,</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b/>
                <w:bCs/>
                <w:color w:val="000000"/>
                <w:lang w:val="ro-RO"/>
              </w:rPr>
              <w:t>total</w:t>
            </w:r>
          </w:p>
        </w:tc>
        <w:tc>
          <w:tcPr>
            <w:tcW w:w="960" w:type="dxa"/>
            <w:shd w:val="clear" w:color="auto" w:fill="auto"/>
            <w:hideMark/>
          </w:tcPr>
          <w:p w14:paraId="3F77AEEB"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2+3</w:t>
            </w:r>
          </w:p>
        </w:tc>
        <w:tc>
          <w:tcPr>
            <w:tcW w:w="960" w:type="dxa"/>
            <w:shd w:val="clear" w:color="auto" w:fill="auto"/>
            <w:hideMark/>
          </w:tcPr>
          <w:p w14:paraId="6D7E4F3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25791.9</w:t>
            </w:r>
          </w:p>
        </w:tc>
        <w:tc>
          <w:tcPr>
            <w:tcW w:w="960" w:type="dxa"/>
            <w:shd w:val="clear" w:color="auto" w:fill="auto"/>
            <w:hideMark/>
          </w:tcPr>
          <w:p w14:paraId="21B25D75"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27629.0</w:t>
            </w:r>
          </w:p>
        </w:tc>
        <w:tc>
          <w:tcPr>
            <w:tcW w:w="960" w:type="dxa"/>
            <w:shd w:val="clear" w:color="auto" w:fill="auto"/>
            <w:hideMark/>
          </w:tcPr>
          <w:p w14:paraId="52B80EDF"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27186.8</w:t>
            </w:r>
          </w:p>
        </w:tc>
        <w:tc>
          <w:tcPr>
            <w:tcW w:w="960" w:type="dxa"/>
            <w:shd w:val="clear" w:color="auto" w:fill="auto"/>
            <w:hideMark/>
          </w:tcPr>
          <w:p w14:paraId="7A1F51C8"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27149.3</w:t>
            </w:r>
          </w:p>
        </w:tc>
        <w:tc>
          <w:tcPr>
            <w:tcW w:w="1360" w:type="dxa"/>
            <w:shd w:val="clear" w:color="auto" w:fill="auto"/>
            <w:hideMark/>
          </w:tcPr>
          <w:p w14:paraId="1E915E85"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100.00%</w:t>
            </w:r>
          </w:p>
        </w:tc>
        <w:tc>
          <w:tcPr>
            <w:tcW w:w="960" w:type="dxa"/>
            <w:shd w:val="clear" w:color="auto" w:fill="auto"/>
            <w:hideMark/>
          </w:tcPr>
          <w:p w14:paraId="49E3C758"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-442.2</w:t>
            </w:r>
          </w:p>
        </w:tc>
        <w:tc>
          <w:tcPr>
            <w:tcW w:w="1360" w:type="dxa"/>
            <w:shd w:val="clear" w:color="auto" w:fill="auto"/>
            <w:hideMark/>
          </w:tcPr>
          <w:p w14:paraId="42634932"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98.4%</w:t>
            </w:r>
          </w:p>
        </w:tc>
        <w:tc>
          <w:tcPr>
            <w:tcW w:w="960" w:type="dxa"/>
            <w:shd w:val="clear" w:color="auto" w:fill="auto"/>
            <w:hideMark/>
          </w:tcPr>
          <w:p w14:paraId="75FBCEE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-479.7</w:t>
            </w:r>
          </w:p>
        </w:tc>
        <w:tc>
          <w:tcPr>
            <w:tcW w:w="1360" w:type="dxa"/>
            <w:shd w:val="clear" w:color="auto" w:fill="auto"/>
            <w:hideMark/>
          </w:tcPr>
          <w:p w14:paraId="583DD959"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98.3%</w:t>
            </w:r>
          </w:p>
        </w:tc>
      </w:tr>
      <w:tr w:rsidR="00CD2A08" w:rsidRPr="00E82CC1" w14:paraId="52646AF6" w14:textId="77777777" w:rsidTr="00601BDD">
        <w:trPr>
          <w:trHeight w:val="300"/>
        </w:trPr>
        <w:tc>
          <w:tcPr>
            <w:tcW w:w="2840" w:type="dxa"/>
            <w:shd w:val="clear" w:color="auto" w:fill="auto"/>
            <w:vAlign w:val="bottom"/>
            <w:hideMark/>
          </w:tcPr>
          <w:p w14:paraId="308F2E3E"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Cheltuieli</w:t>
            </w:r>
          </w:p>
        </w:tc>
        <w:tc>
          <w:tcPr>
            <w:tcW w:w="960" w:type="dxa"/>
            <w:shd w:val="clear" w:color="auto" w:fill="auto"/>
            <w:hideMark/>
          </w:tcPr>
          <w:p w14:paraId="7FEDCDEC"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w:t>
            </w:r>
          </w:p>
        </w:tc>
        <w:tc>
          <w:tcPr>
            <w:tcW w:w="960" w:type="dxa"/>
            <w:shd w:val="clear" w:color="auto" w:fill="auto"/>
            <w:hideMark/>
          </w:tcPr>
          <w:p w14:paraId="6101C8EC"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25768.9</w:t>
            </w:r>
          </w:p>
        </w:tc>
        <w:tc>
          <w:tcPr>
            <w:tcW w:w="960" w:type="dxa"/>
            <w:shd w:val="clear" w:color="auto" w:fill="auto"/>
            <w:hideMark/>
          </w:tcPr>
          <w:p w14:paraId="1C85FF0C"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27606.4</w:t>
            </w:r>
          </w:p>
        </w:tc>
        <w:tc>
          <w:tcPr>
            <w:tcW w:w="960" w:type="dxa"/>
            <w:shd w:val="clear" w:color="auto" w:fill="auto"/>
            <w:hideMark/>
          </w:tcPr>
          <w:p w14:paraId="5B9625C2"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27172.1</w:t>
            </w:r>
          </w:p>
        </w:tc>
        <w:tc>
          <w:tcPr>
            <w:tcW w:w="960" w:type="dxa"/>
            <w:shd w:val="clear" w:color="auto" w:fill="auto"/>
            <w:hideMark/>
          </w:tcPr>
          <w:p w14:paraId="2A33585F"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27134.3</w:t>
            </w:r>
          </w:p>
        </w:tc>
        <w:tc>
          <w:tcPr>
            <w:tcW w:w="1360" w:type="dxa"/>
            <w:shd w:val="clear" w:color="auto" w:fill="auto"/>
            <w:hideMark/>
          </w:tcPr>
          <w:p w14:paraId="0ED206A3"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99.94%</w:t>
            </w:r>
          </w:p>
        </w:tc>
        <w:tc>
          <w:tcPr>
            <w:tcW w:w="960" w:type="dxa"/>
            <w:shd w:val="clear" w:color="auto" w:fill="auto"/>
            <w:hideMark/>
          </w:tcPr>
          <w:p w14:paraId="2A5551B0"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-434.3</w:t>
            </w:r>
          </w:p>
        </w:tc>
        <w:tc>
          <w:tcPr>
            <w:tcW w:w="1360" w:type="dxa"/>
            <w:shd w:val="clear" w:color="auto" w:fill="auto"/>
            <w:hideMark/>
          </w:tcPr>
          <w:p w14:paraId="262BA8CD"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98.4%</w:t>
            </w:r>
          </w:p>
        </w:tc>
        <w:tc>
          <w:tcPr>
            <w:tcW w:w="960" w:type="dxa"/>
            <w:shd w:val="clear" w:color="auto" w:fill="auto"/>
            <w:hideMark/>
          </w:tcPr>
          <w:p w14:paraId="73F78E78"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-472.1</w:t>
            </w:r>
          </w:p>
        </w:tc>
        <w:tc>
          <w:tcPr>
            <w:tcW w:w="1360" w:type="dxa"/>
            <w:shd w:val="clear" w:color="auto" w:fill="auto"/>
            <w:hideMark/>
          </w:tcPr>
          <w:p w14:paraId="7B21952A"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98.3%</w:t>
            </w:r>
          </w:p>
        </w:tc>
      </w:tr>
      <w:tr w:rsidR="00CD2A08" w:rsidRPr="00E82CC1" w14:paraId="76C3CF99" w14:textId="77777777" w:rsidTr="00601BDD">
        <w:trPr>
          <w:trHeight w:val="300"/>
        </w:trPr>
        <w:tc>
          <w:tcPr>
            <w:tcW w:w="2840" w:type="dxa"/>
            <w:shd w:val="clear" w:color="auto" w:fill="auto"/>
            <w:vAlign w:val="bottom"/>
            <w:hideMark/>
          </w:tcPr>
          <w:p w14:paraId="71683F33"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Cheltuieli de personal</w:t>
            </w:r>
          </w:p>
        </w:tc>
        <w:tc>
          <w:tcPr>
            <w:tcW w:w="960" w:type="dxa"/>
            <w:shd w:val="clear" w:color="auto" w:fill="auto"/>
            <w:hideMark/>
          </w:tcPr>
          <w:p w14:paraId="474D6D94"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21</w:t>
            </w:r>
          </w:p>
        </w:tc>
        <w:tc>
          <w:tcPr>
            <w:tcW w:w="960" w:type="dxa"/>
            <w:shd w:val="clear" w:color="auto" w:fill="auto"/>
            <w:hideMark/>
          </w:tcPr>
          <w:p w14:paraId="0071AFE5"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175.6</w:t>
            </w:r>
          </w:p>
        </w:tc>
        <w:tc>
          <w:tcPr>
            <w:tcW w:w="960" w:type="dxa"/>
            <w:shd w:val="clear" w:color="auto" w:fill="auto"/>
            <w:hideMark/>
          </w:tcPr>
          <w:p w14:paraId="2475919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176.4</w:t>
            </w:r>
          </w:p>
        </w:tc>
        <w:tc>
          <w:tcPr>
            <w:tcW w:w="960" w:type="dxa"/>
            <w:shd w:val="clear" w:color="auto" w:fill="auto"/>
            <w:hideMark/>
          </w:tcPr>
          <w:p w14:paraId="4D5F7745"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175.4</w:t>
            </w:r>
          </w:p>
        </w:tc>
        <w:tc>
          <w:tcPr>
            <w:tcW w:w="960" w:type="dxa"/>
            <w:shd w:val="clear" w:color="auto" w:fill="auto"/>
            <w:hideMark/>
          </w:tcPr>
          <w:p w14:paraId="626F6B7E"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173.4</w:t>
            </w:r>
          </w:p>
        </w:tc>
        <w:tc>
          <w:tcPr>
            <w:tcW w:w="1360" w:type="dxa"/>
            <w:shd w:val="clear" w:color="auto" w:fill="auto"/>
            <w:hideMark/>
          </w:tcPr>
          <w:p w14:paraId="677BA5A0"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0.64%</w:t>
            </w:r>
          </w:p>
        </w:tc>
        <w:tc>
          <w:tcPr>
            <w:tcW w:w="960" w:type="dxa"/>
            <w:shd w:val="clear" w:color="auto" w:fill="auto"/>
            <w:hideMark/>
          </w:tcPr>
          <w:p w14:paraId="0D8DD7B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w:t>
            </w:r>
          </w:p>
        </w:tc>
        <w:tc>
          <w:tcPr>
            <w:tcW w:w="1360" w:type="dxa"/>
            <w:shd w:val="clear" w:color="auto" w:fill="auto"/>
            <w:hideMark/>
          </w:tcPr>
          <w:p w14:paraId="1598A91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99.4%</w:t>
            </w:r>
          </w:p>
        </w:tc>
        <w:tc>
          <w:tcPr>
            <w:tcW w:w="960" w:type="dxa"/>
            <w:shd w:val="clear" w:color="auto" w:fill="auto"/>
            <w:hideMark/>
          </w:tcPr>
          <w:p w14:paraId="1C9AF67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-3.0</w:t>
            </w:r>
          </w:p>
        </w:tc>
        <w:tc>
          <w:tcPr>
            <w:tcW w:w="1360" w:type="dxa"/>
            <w:shd w:val="clear" w:color="auto" w:fill="auto"/>
            <w:hideMark/>
          </w:tcPr>
          <w:p w14:paraId="7FEE5F1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98.3%</w:t>
            </w:r>
          </w:p>
        </w:tc>
      </w:tr>
      <w:tr w:rsidR="00CD2A08" w:rsidRPr="00E82CC1" w14:paraId="46BFFAE7" w14:textId="77777777" w:rsidTr="00601BDD">
        <w:trPr>
          <w:trHeight w:val="300"/>
        </w:trPr>
        <w:tc>
          <w:tcPr>
            <w:tcW w:w="2840" w:type="dxa"/>
            <w:shd w:val="clear" w:color="auto" w:fill="auto"/>
            <w:vAlign w:val="bottom"/>
            <w:hideMark/>
          </w:tcPr>
          <w:p w14:paraId="5100085B"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Bunuri şi servicii</w:t>
            </w:r>
          </w:p>
        </w:tc>
        <w:tc>
          <w:tcPr>
            <w:tcW w:w="960" w:type="dxa"/>
            <w:shd w:val="clear" w:color="auto" w:fill="auto"/>
            <w:hideMark/>
          </w:tcPr>
          <w:p w14:paraId="094D7AEE"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22</w:t>
            </w:r>
          </w:p>
        </w:tc>
        <w:tc>
          <w:tcPr>
            <w:tcW w:w="960" w:type="dxa"/>
            <w:shd w:val="clear" w:color="auto" w:fill="auto"/>
            <w:hideMark/>
          </w:tcPr>
          <w:p w14:paraId="7C71B734"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277.6</w:t>
            </w:r>
          </w:p>
        </w:tc>
        <w:tc>
          <w:tcPr>
            <w:tcW w:w="960" w:type="dxa"/>
            <w:shd w:val="clear" w:color="auto" w:fill="auto"/>
            <w:hideMark/>
          </w:tcPr>
          <w:p w14:paraId="318E2F51"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294.8</w:t>
            </w:r>
          </w:p>
        </w:tc>
        <w:tc>
          <w:tcPr>
            <w:tcW w:w="960" w:type="dxa"/>
            <w:shd w:val="clear" w:color="auto" w:fill="auto"/>
            <w:hideMark/>
          </w:tcPr>
          <w:p w14:paraId="36B9FFC8"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235.4</w:t>
            </w:r>
          </w:p>
        </w:tc>
        <w:tc>
          <w:tcPr>
            <w:tcW w:w="960" w:type="dxa"/>
            <w:shd w:val="clear" w:color="auto" w:fill="auto"/>
            <w:hideMark/>
          </w:tcPr>
          <w:p w14:paraId="18966ED4"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239.8</w:t>
            </w:r>
          </w:p>
        </w:tc>
        <w:tc>
          <w:tcPr>
            <w:tcW w:w="1360" w:type="dxa"/>
            <w:shd w:val="clear" w:color="auto" w:fill="auto"/>
            <w:hideMark/>
          </w:tcPr>
          <w:p w14:paraId="5E268651"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0.88%</w:t>
            </w:r>
          </w:p>
        </w:tc>
        <w:tc>
          <w:tcPr>
            <w:tcW w:w="960" w:type="dxa"/>
            <w:shd w:val="clear" w:color="auto" w:fill="auto"/>
            <w:hideMark/>
          </w:tcPr>
          <w:p w14:paraId="06FBC05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-59.4</w:t>
            </w:r>
          </w:p>
        </w:tc>
        <w:tc>
          <w:tcPr>
            <w:tcW w:w="1360" w:type="dxa"/>
            <w:shd w:val="clear" w:color="auto" w:fill="auto"/>
            <w:hideMark/>
          </w:tcPr>
          <w:p w14:paraId="030DDD0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79.9%</w:t>
            </w:r>
          </w:p>
        </w:tc>
        <w:tc>
          <w:tcPr>
            <w:tcW w:w="960" w:type="dxa"/>
            <w:shd w:val="clear" w:color="auto" w:fill="auto"/>
            <w:hideMark/>
          </w:tcPr>
          <w:p w14:paraId="45E5748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-55.0</w:t>
            </w:r>
          </w:p>
        </w:tc>
        <w:tc>
          <w:tcPr>
            <w:tcW w:w="1360" w:type="dxa"/>
            <w:shd w:val="clear" w:color="auto" w:fill="auto"/>
            <w:hideMark/>
          </w:tcPr>
          <w:p w14:paraId="0EB4BCE9"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81.3%</w:t>
            </w:r>
          </w:p>
        </w:tc>
      </w:tr>
      <w:tr w:rsidR="00CD2A08" w:rsidRPr="00E82CC1" w14:paraId="68F45F68" w14:textId="77777777" w:rsidTr="00601BDD">
        <w:trPr>
          <w:trHeight w:val="300"/>
        </w:trPr>
        <w:tc>
          <w:tcPr>
            <w:tcW w:w="2840" w:type="dxa"/>
            <w:shd w:val="clear" w:color="auto" w:fill="auto"/>
            <w:vAlign w:val="bottom"/>
            <w:hideMark/>
          </w:tcPr>
          <w:p w14:paraId="4E095BF7"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Prestaţii</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b/>
                <w:bCs/>
                <w:color w:val="000000"/>
                <w:lang w:val="ro-RO"/>
              </w:rPr>
              <w:t>sociale</w:t>
            </w:r>
          </w:p>
        </w:tc>
        <w:tc>
          <w:tcPr>
            <w:tcW w:w="960" w:type="dxa"/>
            <w:shd w:val="clear" w:color="auto" w:fill="auto"/>
            <w:hideMark/>
          </w:tcPr>
          <w:p w14:paraId="5819E9B9"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27</w:t>
            </w:r>
          </w:p>
        </w:tc>
        <w:tc>
          <w:tcPr>
            <w:tcW w:w="960" w:type="dxa"/>
            <w:shd w:val="clear" w:color="auto" w:fill="auto"/>
            <w:hideMark/>
          </w:tcPr>
          <w:p w14:paraId="7528339F"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25310.6</w:t>
            </w:r>
          </w:p>
        </w:tc>
        <w:tc>
          <w:tcPr>
            <w:tcW w:w="960" w:type="dxa"/>
            <w:shd w:val="clear" w:color="auto" w:fill="auto"/>
            <w:hideMark/>
          </w:tcPr>
          <w:p w14:paraId="22515DA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27129.9</w:t>
            </w:r>
          </w:p>
        </w:tc>
        <w:tc>
          <w:tcPr>
            <w:tcW w:w="960" w:type="dxa"/>
            <w:shd w:val="clear" w:color="auto" w:fill="auto"/>
            <w:hideMark/>
          </w:tcPr>
          <w:p w14:paraId="268302D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26756.3</w:t>
            </w:r>
          </w:p>
        </w:tc>
        <w:tc>
          <w:tcPr>
            <w:tcW w:w="960" w:type="dxa"/>
            <w:shd w:val="clear" w:color="auto" w:fill="auto"/>
            <w:hideMark/>
          </w:tcPr>
          <w:p w14:paraId="0B1017BF"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26716.2</w:t>
            </w:r>
          </w:p>
        </w:tc>
        <w:tc>
          <w:tcPr>
            <w:tcW w:w="1360" w:type="dxa"/>
            <w:shd w:val="clear" w:color="auto" w:fill="auto"/>
            <w:hideMark/>
          </w:tcPr>
          <w:p w14:paraId="036BAB9E"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98.46%</w:t>
            </w:r>
          </w:p>
        </w:tc>
        <w:tc>
          <w:tcPr>
            <w:tcW w:w="960" w:type="dxa"/>
            <w:shd w:val="clear" w:color="auto" w:fill="auto"/>
            <w:hideMark/>
          </w:tcPr>
          <w:p w14:paraId="54A38CD6"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-373.6</w:t>
            </w:r>
          </w:p>
        </w:tc>
        <w:tc>
          <w:tcPr>
            <w:tcW w:w="1360" w:type="dxa"/>
            <w:shd w:val="clear" w:color="auto" w:fill="auto"/>
            <w:hideMark/>
          </w:tcPr>
          <w:p w14:paraId="215ECFA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98.6%</w:t>
            </w:r>
          </w:p>
        </w:tc>
        <w:tc>
          <w:tcPr>
            <w:tcW w:w="960" w:type="dxa"/>
            <w:shd w:val="clear" w:color="auto" w:fill="auto"/>
            <w:hideMark/>
          </w:tcPr>
          <w:p w14:paraId="4D51E2D5"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-413.7</w:t>
            </w:r>
          </w:p>
        </w:tc>
        <w:tc>
          <w:tcPr>
            <w:tcW w:w="1360" w:type="dxa"/>
            <w:shd w:val="clear" w:color="auto" w:fill="auto"/>
            <w:hideMark/>
          </w:tcPr>
          <w:p w14:paraId="5977EE0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98.5%</w:t>
            </w:r>
          </w:p>
        </w:tc>
      </w:tr>
      <w:tr w:rsidR="00CD2A08" w:rsidRPr="00E82CC1" w14:paraId="02583A06" w14:textId="77777777" w:rsidTr="00601BDD">
        <w:trPr>
          <w:trHeight w:val="300"/>
        </w:trPr>
        <w:tc>
          <w:tcPr>
            <w:tcW w:w="2840" w:type="dxa"/>
            <w:shd w:val="clear" w:color="auto" w:fill="auto"/>
            <w:vAlign w:val="bottom"/>
            <w:hideMark/>
          </w:tcPr>
          <w:p w14:paraId="01FD0E33"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Alte</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b/>
                <w:bCs/>
                <w:color w:val="000000"/>
                <w:lang w:val="ro-RO"/>
              </w:rPr>
              <w:t>cheltuieli</w:t>
            </w:r>
          </w:p>
        </w:tc>
        <w:tc>
          <w:tcPr>
            <w:tcW w:w="960" w:type="dxa"/>
            <w:shd w:val="clear" w:color="auto" w:fill="auto"/>
            <w:hideMark/>
          </w:tcPr>
          <w:p w14:paraId="64165FD7"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28</w:t>
            </w:r>
          </w:p>
        </w:tc>
        <w:tc>
          <w:tcPr>
            <w:tcW w:w="960" w:type="dxa"/>
            <w:shd w:val="clear" w:color="auto" w:fill="auto"/>
            <w:hideMark/>
          </w:tcPr>
          <w:p w14:paraId="4967A67B"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5.1</w:t>
            </w:r>
          </w:p>
        </w:tc>
        <w:tc>
          <w:tcPr>
            <w:tcW w:w="960" w:type="dxa"/>
            <w:shd w:val="clear" w:color="auto" w:fill="auto"/>
            <w:hideMark/>
          </w:tcPr>
          <w:p w14:paraId="286A9254"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5.1</w:t>
            </w:r>
          </w:p>
        </w:tc>
        <w:tc>
          <w:tcPr>
            <w:tcW w:w="960" w:type="dxa"/>
            <w:shd w:val="clear" w:color="auto" w:fill="auto"/>
            <w:hideMark/>
          </w:tcPr>
          <w:p w14:paraId="1B7C6B99"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4.9</w:t>
            </w:r>
          </w:p>
        </w:tc>
        <w:tc>
          <w:tcPr>
            <w:tcW w:w="960" w:type="dxa"/>
            <w:shd w:val="clear" w:color="auto" w:fill="auto"/>
            <w:hideMark/>
          </w:tcPr>
          <w:p w14:paraId="0F388036"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4.8</w:t>
            </w:r>
          </w:p>
        </w:tc>
        <w:tc>
          <w:tcPr>
            <w:tcW w:w="1360" w:type="dxa"/>
            <w:shd w:val="clear" w:color="auto" w:fill="auto"/>
            <w:hideMark/>
          </w:tcPr>
          <w:p w14:paraId="059B50DE"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0.02%</w:t>
            </w:r>
          </w:p>
        </w:tc>
        <w:tc>
          <w:tcPr>
            <w:tcW w:w="960" w:type="dxa"/>
            <w:shd w:val="clear" w:color="auto" w:fill="auto"/>
            <w:hideMark/>
          </w:tcPr>
          <w:p w14:paraId="3279FF6F"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-0.2</w:t>
            </w:r>
          </w:p>
        </w:tc>
        <w:tc>
          <w:tcPr>
            <w:tcW w:w="1360" w:type="dxa"/>
            <w:shd w:val="clear" w:color="auto" w:fill="auto"/>
            <w:hideMark/>
          </w:tcPr>
          <w:p w14:paraId="0D49144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96.1%</w:t>
            </w:r>
          </w:p>
        </w:tc>
        <w:tc>
          <w:tcPr>
            <w:tcW w:w="960" w:type="dxa"/>
            <w:shd w:val="clear" w:color="auto" w:fill="auto"/>
            <w:hideMark/>
          </w:tcPr>
          <w:p w14:paraId="479C92AF"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-0.3</w:t>
            </w:r>
          </w:p>
        </w:tc>
        <w:tc>
          <w:tcPr>
            <w:tcW w:w="1360" w:type="dxa"/>
            <w:shd w:val="clear" w:color="auto" w:fill="auto"/>
            <w:hideMark/>
          </w:tcPr>
          <w:p w14:paraId="5CB40CB4"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94.1%</w:t>
            </w:r>
          </w:p>
        </w:tc>
      </w:tr>
      <w:tr w:rsidR="00CD2A08" w:rsidRPr="00E82CC1" w14:paraId="6BC9FAC9" w14:textId="77777777" w:rsidTr="00601BDD">
        <w:trPr>
          <w:trHeight w:val="300"/>
        </w:trPr>
        <w:tc>
          <w:tcPr>
            <w:tcW w:w="2840" w:type="dxa"/>
            <w:shd w:val="clear" w:color="auto" w:fill="auto"/>
            <w:vAlign w:val="bottom"/>
            <w:hideMark/>
          </w:tcPr>
          <w:p w14:paraId="0DB6A97C"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Active</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i/>
                <w:iCs/>
                <w:color w:val="000000"/>
                <w:lang w:val="ro-RO"/>
              </w:rPr>
              <w:t>nefinanciare</w:t>
            </w:r>
          </w:p>
        </w:tc>
        <w:tc>
          <w:tcPr>
            <w:tcW w:w="960" w:type="dxa"/>
            <w:shd w:val="clear" w:color="auto" w:fill="auto"/>
            <w:hideMark/>
          </w:tcPr>
          <w:p w14:paraId="3390C175"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w:t>
            </w:r>
          </w:p>
        </w:tc>
        <w:tc>
          <w:tcPr>
            <w:tcW w:w="960" w:type="dxa"/>
            <w:shd w:val="clear" w:color="auto" w:fill="auto"/>
            <w:hideMark/>
          </w:tcPr>
          <w:p w14:paraId="535A73F4"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23.1</w:t>
            </w:r>
          </w:p>
        </w:tc>
        <w:tc>
          <w:tcPr>
            <w:tcW w:w="960" w:type="dxa"/>
            <w:shd w:val="clear" w:color="auto" w:fill="auto"/>
            <w:hideMark/>
          </w:tcPr>
          <w:p w14:paraId="501F384C"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22.6</w:t>
            </w:r>
          </w:p>
        </w:tc>
        <w:tc>
          <w:tcPr>
            <w:tcW w:w="960" w:type="dxa"/>
            <w:shd w:val="clear" w:color="auto" w:fill="auto"/>
            <w:hideMark/>
          </w:tcPr>
          <w:p w14:paraId="58BFA196"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14.7</w:t>
            </w:r>
          </w:p>
        </w:tc>
        <w:tc>
          <w:tcPr>
            <w:tcW w:w="960" w:type="dxa"/>
            <w:shd w:val="clear" w:color="auto" w:fill="auto"/>
            <w:hideMark/>
          </w:tcPr>
          <w:p w14:paraId="4AA6D980"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15.0</w:t>
            </w:r>
          </w:p>
        </w:tc>
        <w:tc>
          <w:tcPr>
            <w:tcW w:w="1360" w:type="dxa"/>
            <w:shd w:val="clear" w:color="auto" w:fill="auto"/>
            <w:hideMark/>
          </w:tcPr>
          <w:p w14:paraId="7DF2CD73"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0.06%</w:t>
            </w:r>
          </w:p>
        </w:tc>
        <w:tc>
          <w:tcPr>
            <w:tcW w:w="960" w:type="dxa"/>
            <w:shd w:val="clear" w:color="auto" w:fill="auto"/>
            <w:hideMark/>
          </w:tcPr>
          <w:p w14:paraId="66C0BFB1"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-7.9</w:t>
            </w:r>
          </w:p>
        </w:tc>
        <w:tc>
          <w:tcPr>
            <w:tcW w:w="1360" w:type="dxa"/>
            <w:shd w:val="clear" w:color="auto" w:fill="auto"/>
            <w:hideMark/>
          </w:tcPr>
          <w:p w14:paraId="0B86E084"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65.0%</w:t>
            </w:r>
          </w:p>
        </w:tc>
        <w:tc>
          <w:tcPr>
            <w:tcW w:w="960" w:type="dxa"/>
            <w:shd w:val="clear" w:color="auto" w:fill="auto"/>
            <w:hideMark/>
          </w:tcPr>
          <w:p w14:paraId="505FDB0E"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-7.6</w:t>
            </w:r>
          </w:p>
        </w:tc>
        <w:tc>
          <w:tcPr>
            <w:tcW w:w="1360" w:type="dxa"/>
            <w:shd w:val="clear" w:color="auto" w:fill="auto"/>
            <w:hideMark/>
          </w:tcPr>
          <w:p w14:paraId="08637D48"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66.4%</w:t>
            </w:r>
          </w:p>
        </w:tc>
      </w:tr>
      <w:tr w:rsidR="00CD2A08" w:rsidRPr="00E82CC1" w14:paraId="4D7A877C" w14:textId="77777777" w:rsidTr="00601BDD">
        <w:trPr>
          <w:trHeight w:val="300"/>
        </w:trPr>
        <w:tc>
          <w:tcPr>
            <w:tcW w:w="2840" w:type="dxa"/>
            <w:shd w:val="clear" w:color="auto" w:fill="auto"/>
            <w:vAlign w:val="bottom"/>
            <w:hideMark/>
          </w:tcPr>
          <w:p w14:paraId="3EA6E3BC"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Mijloace</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b/>
                <w:bCs/>
                <w:color w:val="000000"/>
                <w:lang w:val="ro-RO"/>
              </w:rPr>
              <w:t>fixe</w:t>
            </w:r>
          </w:p>
        </w:tc>
        <w:tc>
          <w:tcPr>
            <w:tcW w:w="960" w:type="dxa"/>
            <w:shd w:val="clear" w:color="auto" w:fill="auto"/>
            <w:hideMark/>
          </w:tcPr>
          <w:p w14:paraId="237B80BC"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31</w:t>
            </w:r>
          </w:p>
        </w:tc>
        <w:tc>
          <w:tcPr>
            <w:tcW w:w="960" w:type="dxa"/>
            <w:shd w:val="clear" w:color="auto" w:fill="auto"/>
            <w:hideMark/>
          </w:tcPr>
          <w:p w14:paraId="5406732E"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16.8</w:t>
            </w:r>
          </w:p>
        </w:tc>
        <w:tc>
          <w:tcPr>
            <w:tcW w:w="960" w:type="dxa"/>
            <w:shd w:val="clear" w:color="auto" w:fill="auto"/>
            <w:hideMark/>
          </w:tcPr>
          <w:p w14:paraId="167D7F1C"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16.0</w:t>
            </w:r>
          </w:p>
        </w:tc>
        <w:tc>
          <w:tcPr>
            <w:tcW w:w="960" w:type="dxa"/>
            <w:shd w:val="clear" w:color="auto" w:fill="auto"/>
            <w:hideMark/>
          </w:tcPr>
          <w:p w14:paraId="67820F04"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10.9</w:t>
            </w:r>
          </w:p>
        </w:tc>
        <w:tc>
          <w:tcPr>
            <w:tcW w:w="960" w:type="dxa"/>
            <w:shd w:val="clear" w:color="auto" w:fill="auto"/>
            <w:hideMark/>
          </w:tcPr>
          <w:p w14:paraId="0386EEF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10.9</w:t>
            </w:r>
          </w:p>
        </w:tc>
        <w:tc>
          <w:tcPr>
            <w:tcW w:w="1360" w:type="dxa"/>
            <w:shd w:val="clear" w:color="auto" w:fill="auto"/>
            <w:hideMark/>
          </w:tcPr>
          <w:p w14:paraId="6A8B0DEA"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72.67%</w:t>
            </w:r>
          </w:p>
        </w:tc>
        <w:tc>
          <w:tcPr>
            <w:tcW w:w="960" w:type="dxa"/>
            <w:shd w:val="clear" w:color="auto" w:fill="auto"/>
            <w:hideMark/>
          </w:tcPr>
          <w:p w14:paraId="73A1B81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-5.1</w:t>
            </w:r>
          </w:p>
        </w:tc>
        <w:tc>
          <w:tcPr>
            <w:tcW w:w="1360" w:type="dxa"/>
            <w:shd w:val="clear" w:color="auto" w:fill="auto"/>
            <w:hideMark/>
          </w:tcPr>
          <w:p w14:paraId="1E1FAA97"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68.1%</w:t>
            </w:r>
          </w:p>
        </w:tc>
        <w:tc>
          <w:tcPr>
            <w:tcW w:w="960" w:type="dxa"/>
            <w:shd w:val="clear" w:color="auto" w:fill="auto"/>
            <w:hideMark/>
          </w:tcPr>
          <w:p w14:paraId="3FE015BB"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-5.1</w:t>
            </w:r>
          </w:p>
        </w:tc>
        <w:tc>
          <w:tcPr>
            <w:tcW w:w="1360" w:type="dxa"/>
            <w:shd w:val="clear" w:color="auto" w:fill="auto"/>
            <w:hideMark/>
          </w:tcPr>
          <w:p w14:paraId="12AE8D97"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68.1%</w:t>
            </w:r>
          </w:p>
        </w:tc>
      </w:tr>
      <w:tr w:rsidR="00CD2A08" w:rsidRPr="00E82CC1" w14:paraId="2045E891" w14:textId="77777777" w:rsidTr="00601BDD">
        <w:trPr>
          <w:trHeight w:val="588"/>
        </w:trPr>
        <w:tc>
          <w:tcPr>
            <w:tcW w:w="2840" w:type="dxa"/>
            <w:shd w:val="clear" w:color="auto" w:fill="auto"/>
            <w:vAlign w:val="bottom"/>
            <w:hideMark/>
          </w:tcPr>
          <w:p w14:paraId="70AC91A3"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Stocuri de</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b/>
                <w:bCs/>
                <w:color w:val="000000"/>
                <w:lang w:val="ro-RO"/>
              </w:rPr>
              <w:t>materiale</w:t>
            </w:r>
            <w:r w:rsidRPr="00E82CC1">
              <w:rPr>
                <w:rFonts w:ascii="Calibri Light" w:eastAsia="Times New Roman" w:hAnsi="Calibri Light" w:cs="Calibri Light"/>
                <w:color w:val="000000"/>
                <w:lang w:val="ro-RO"/>
              </w:rPr>
              <w:t xml:space="preserve"> </w:t>
            </w:r>
            <w:r w:rsidRPr="00E82CC1">
              <w:rPr>
                <w:rFonts w:ascii="Calibri Light" w:eastAsia="Times New Roman" w:hAnsi="Calibri Light" w:cs="Calibri Light"/>
                <w:b/>
                <w:bCs/>
                <w:color w:val="000000"/>
                <w:lang w:val="ro-RO"/>
              </w:rPr>
              <w:t>circulante</w:t>
            </w:r>
          </w:p>
        </w:tc>
        <w:tc>
          <w:tcPr>
            <w:tcW w:w="960" w:type="dxa"/>
            <w:shd w:val="clear" w:color="auto" w:fill="auto"/>
            <w:hideMark/>
          </w:tcPr>
          <w:p w14:paraId="275C0224"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33</w:t>
            </w:r>
          </w:p>
        </w:tc>
        <w:tc>
          <w:tcPr>
            <w:tcW w:w="960" w:type="dxa"/>
            <w:shd w:val="clear" w:color="auto" w:fill="auto"/>
            <w:hideMark/>
          </w:tcPr>
          <w:p w14:paraId="0FCAF686"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5.3</w:t>
            </w:r>
          </w:p>
        </w:tc>
        <w:tc>
          <w:tcPr>
            <w:tcW w:w="960" w:type="dxa"/>
            <w:shd w:val="clear" w:color="auto" w:fill="auto"/>
            <w:hideMark/>
          </w:tcPr>
          <w:p w14:paraId="7860252E"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5.3</w:t>
            </w:r>
          </w:p>
        </w:tc>
        <w:tc>
          <w:tcPr>
            <w:tcW w:w="960" w:type="dxa"/>
            <w:shd w:val="clear" w:color="auto" w:fill="auto"/>
            <w:hideMark/>
          </w:tcPr>
          <w:p w14:paraId="1B7F3FE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2.9</w:t>
            </w:r>
          </w:p>
        </w:tc>
        <w:tc>
          <w:tcPr>
            <w:tcW w:w="960" w:type="dxa"/>
            <w:shd w:val="clear" w:color="auto" w:fill="auto"/>
            <w:hideMark/>
          </w:tcPr>
          <w:p w14:paraId="7BC2A9C6"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3.2</w:t>
            </w:r>
          </w:p>
        </w:tc>
        <w:tc>
          <w:tcPr>
            <w:tcW w:w="1360" w:type="dxa"/>
            <w:shd w:val="clear" w:color="auto" w:fill="auto"/>
            <w:hideMark/>
          </w:tcPr>
          <w:p w14:paraId="75F8079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29.36%</w:t>
            </w:r>
          </w:p>
        </w:tc>
        <w:tc>
          <w:tcPr>
            <w:tcW w:w="960" w:type="dxa"/>
            <w:shd w:val="clear" w:color="auto" w:fill="auto"/>
            <w:hideMark/>
          </w:tcPr>
          <w:p w14:paraId="4749077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-2.4</w:t>
            </w:r>
          </w:p>
        </w:tc>
        <w:tc>
          <w:tcPr>
            <w:tcW w:w="1360" w:type="dxa"/>
            <w:shd w:val="clear" w:color="auto" w:fill="auto"/>
            <w:hideMark/>
          </w:tcPr>
          <w:p w14:paraId="57AF9287"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54.7%</w:t>
            </w:r>
          </w:p>
        </w:tc>
        <w:tc>
          <w:tcPr>
            <w:tcW w:w="960" w:type="dxa"/>
            <w:shd w:val="clear" w:color="auto" w:fill="auto"/>
            <w:hideMark/>
          </w:tcPr>
          <w:p w14:paraId="05953763"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-2.1</w:t>
            </w:r>
          </w:p>
        </w:tc>
        <w:tc>
          <w:tcPr>
            <w:tcW w:w="1360" w:type="dxa"/>
            <w:shd w:val="clear" w:color="auto" w:fill="auto"/>
            <w:hideMark/>
          </w:tcPr>
          <w:p w14:paraId="487A8B7C"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60.4%</w:t>
            </w:r>
          </w:p>
        </w:tc>
      </w:tr>
      <w:tr w:rsidR="00CD2A08" w:rsidRPr="00E82CC1" w14:paraId="30D44C08" w14:textId="77777777" w:rsidTr="00601BDD">
        <w:trPr>
          <w:trHeight w:val="300"/>
        </w:trPr>
        <w:tc>
          <w:tcPr>
            <w:tcW w:w="2840" w:type="dxa"/>
            <w:shd w:val="clear" w:color="auto" w:fill="auto"/>
            <w:hideMark/>
          </w:tcPr>
          <w:p w14:paraId="34F7D852" w14:textId="77777777" w:rsidR="00CD2A08" w:rsidRPr="00E82CC1" w:rsidRDefault="00CD2A08" w:rsidP="00CD2A08">
            <w:pPr>
              <w:spacing w:after="0" w:line="240" w:lineRule="auto"/>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Mărfuri</w:t>
            </w:r>
          </w:p>
        </w:tc>
        <w:tc>
          <w:tcPr>
            <w:tcW w:w="960" w:type="dxa"/>
            <w:shd w:val="clear" w:color="auto" w:fill="auto"/>
            <w:hideMark/>
          </w:tcPr>
          <w:p w14:paraId="23328CDF" w14:textId="77777777" w:rsidR="00CD2A08" w:rsidRPr="00E82CC1" w:rsidRDefault="00CD2A08" w:rsidP="00CD2A08">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35</w:t>
            </w:r>
          </w:p>
        </w:tc>
        <w:tc>
          <w:tcPr>
            <w:tcW w:w="960" w:type="dxa"/>
            <w:shd w:val="clear" w:color="auto" w:fill="auto"/>
            <w:hideMark/>
          </w:tcPr>
          <w:p w14:paraId="6552FAA3" w14:textId="77777777" w:rsidR="00CD2A08" w:rsidRPr="00E82CC1" w:rsidRDefault="004D7171"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w:t>
            </w:r>
          </w:p>
        </w:tc>
        <w:tc>
          <w:tcPr>
            <w:tcW w:w="960" w:type="dxa"/>
            <w:shd w:val="clear" w:color="auto" w:fill="auto"/>
            <w:hideMark/>
          </w:tcPr>
          <w:p w14:paraId="3B661ED3"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1.2</w:t>
            </w:r>
          </w:p>
        </w:tc>
        <w:tc>
          <w:tcPr>
            <w:tcW w:w="960" w:type="dxa"/>
            <w:shd w:val="clear" w:color="auto" w:fill="auto"/>
            <w:hideMark/>
          </w:tcPr>
          <w:p w14:paraId="57B955CC"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0.9</w:t>
            </w:r>
          </w:p>
        </w:tc>
        <w:tc>
          <w:tcPr>
            <w:tcW w:w="960" w:type="dxa"/>
            <w:shd w:val="clear" w:color="auto" w:fill="auto"/>
            <w:hideMark/>
          </w:tcPr>
          <w:p w14:paraId="7C1D6872"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0.9</w:t>
            </w:r>
          </w:p>
        </w:tc>
        <w:tc>
          <w:tcPr>
            <w:tcW w:w="1360" w:type="dxa"/>
            <w:shd w:val="clear" w:color="auto" w:fill="auto"/>
            <w:hideMark/>
          </w:tcPr>
          <w:p w14:paraId="0F3CC87D"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6.00%</w:t>
            </w:r>
          </w:p>
        </w:tc>
        <w:tc>
          <w:tcPr>
            <w:tcW w:w="960" w:type="dxa"/>
            <w:shd w:val="clear" w:color="auto" w:fill="auto"/>
            <w:hideMark/>
          </w:tcPr>
          <w:p w14:paraId="29E42C9E"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-0.3</w:t>
            </w:r>
          </w:p>
        </w:tc>
        <w:tc>
          <w:tcPr>
            <w:tcW w:w="1360" w:type="dxa"/>
            <w:shd w:val="clear" w:color="auto" w:fill="auto"/>
            <w:hideMark/>
          </w:tcPr>
          <w:p w14:paraId="31906EA2" w14:textId="77777777" w:rsidR="00CD2A08" w:rsidRPr="00E82CC1" w:rsidRDefault="00CD2A08" w:rsidP="00CD2A08">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75.0%</w:t>
            </w:r>
          </w:p>
        </w:tc>
        <w:tc>
          <w:tcPr>
            <w:tcW w:w="960" w:type="dxa"/>
            <w:shd w:val="clear" w:color="auto" w:fill="auto"/>
            <w:hideMark/>
          </w:tcPr>
          <w:p w14:paraId="0CF11066"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-0.3</w:t>
            </w:r>
          </w:p>
        </w:tc>
        <w:tc>
          <w:tcPr>
            <w:tcW w:w="1360" w:type="dxa"/>
            <w:shd w:val="clear" w:color="auto" w:fill="auto"/>
            <w:hideMark/>
          </w:tcPr>
          <w:p w14:paraId="170EE0D7" w14:textId="77777777" w:rsidR="00CD2A08" w:rsidRPr="00E82CC1" w:rsidRDefault="00CD2A08" w:rsidP="00CD2A08">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75.0%</w:t>
            </w:r>
          </w:p>
        </w:tc>
      </w:tr>
    </w:tbl>
    <w:p w14:paraId="5B75A406" w14:textId="77777777" w:rsidR="00CD2A08" w:rsidRPr="00E82CC1" w:rsidRDefault="00CD2A08" w:rsidP="00CD2A08">
      <w:pPr>
        <w:tabs>
          <w:tab w:val="left" w:pos="162"/>
        </w:tabs>
        <w:spacing w:after="0" w:line="276" w:lineRule="auto"/>
        <w:rPr>
          <w:rFonts w:ascii="Calibri Light" w:eastAsia="Times New Roman" w:hAnsi="Calibri Light" w:cs="Calibri Light"/>
          <w:i/>
          <w:sz w:val="20"/>
          <w:szCs w:val="20"/>
          <w:lang w:val="ro-RO"/>
        </w:rPr>
        <w:sectPr w:rsidR="00CD2A08" w:rsidRPr="00E82CC1" w:rsidSect="00D470AF">
          <w:pgSz w:w="15840" w:h="12240" w:orient="landscape"/>
          <w:pgMar w:top="1354" w:right="1138" w:bottom="850" w:left="1138" w:header="720" w:footer="720" w:gutter="0"/>
          <w:cols w:space="720"/>
          <w:docGrid w:linePitch="360"/>
        </w:sectPr>
      </w:pPr>
      <w:r w:rsidRPr="00E82CC1">
        <w:rPr>
          <w:rFonts w:ascii="Calibri Light" w:eastAsia="Times New Roman" w:hAnsi="Calibri Light" w:cs="Calibri Light"/>
          <w:b/>
          <w:bCs/>
          <w:i/>
          <w:sz w:val="20"/>
          <w:szCs w:val="20"/>
          <w:lang w:val="ro-RO"/>
        </w:rPr>
        <w:t>Sursă:</w:t>
      </w:r>
      <w:r w:rsidRPr="00E82CC1">
        <w:rPr>
          <w:rFonts w:ascii="Calibri Light" w:eastAsia="Times New Roman" w:hAnsi="Calibri Light" w:cs="Calibri Light"/>
          <w:i/>
          <w:sz w:val="20"/>
          <w:szCs w:val="20"/>
          <w:lang w:val="ro-RO"/>
        </w:rPr>
        <w:t xml:space="preserve"> Raportul privind executarea bugetului asigurărilor sociale de stat pentru anul 2021.</w:t>
      </w:r>
    </w:p>
    <w:p w14:paraId="4B226135" w14:textId="77777777" w:rsidR="00CD2A08" w:rsidRPr="00E82CC1" w:rsidRDefault="00CD2A08" w:rsidP="00CD2A08">
      <w:pPr>
        <w:rPr>
          <w:rFonts w:ascii="Calibri" w:eastAsia="Calibri" w:hAnsi="Calibri" w:cs="Times New Roman"/>
          <w:lang w:val="ro-RO"/>
        </w:rPr>
      </w:pPr>
    </w:p>
    <w:p w14:paraId="00F7FEBB" w14:textId="59CF2A54" w:rsidR="00CD2A08" w:rsidRPr="00E82CC1" w:rsidRDefault="00CD2A08" w:rsidP="00CD2A08">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t xml:space="preserve">Anexa nr. </w:t>
      </w:r>
      <w:r w:rsidR="00590DF4">
        <w:rPr>
          <w:rFonts w:ascii="Calibri Light" w:eastAsia="Times New Roman" w:hAnsi="Calibri Light" w:cs="Calibri Light"/>
          <w:b/>
          <w:sz w:val="24"/>
          <w:szCs w:val="24"/>
          <w:lang w:val="ro-RO"/>
        </w:rPr>
        <w:t>10</w:t>
      </w:r>
    </w:p>
    <w:p w14:paraId="44F4028E" w14:textId="66382F4F" w:rsidR="00CD2A08" w:rsidRDefault="00CD2A08" w:rsidP="00CD2A08">
      <w:pPr>
        <w:tabs>
          <w:tab w:val="left" w:pos="162"/>
        </w:tabs>
        <w:spacing w:after="0" w:line="276" w:lineRule="auto"/>
        <w:jc w:val="center"/>
        <w:rPr>
          <w:rFonts w:ascii="Calibri Light" w:eastAsia="Calibri" w:hAnsi="Calibri Light" w:cs="Calibri Light"/>
          <w:b/>
          <w:bCs/>
          <w:sz w:val="24"/>
          <w:szCs w:val="24"/>
          <w:lang w:val="ro-RO"/>
        </w:rPr>
      </w:pPr>
      <w:r w:rsidRPr="00E82CC1">
        <w:rPr>
          <w:rFonts w:ascii="Calibri Light" w:eastAsia="Calibri" w:hAnsi="Calibri Light" w:cs="Calibri Light"/>
          <w:b/>
          <w:bCs/>
          <w:sz w:val="24"/>
          <w:szCs w:val="24"/>
          <w:lang w:val="ro-RO"/>
        </w:rPr>
        <w:t>Dinamica cheltuielilor efective ale bugetului asigurărilor sociale de stat în anii 2018-2021</w:t>
      </w:r>
    </w:p>
    <w:p w14:paraId="4EB12F98" w14:textId="44D6E29A" w:rsidR="00944238" w:rsidRPr="00E82CC1" w:rsidRDefault="00944238" w:rsidP="00617E4A">
      <w:pPr>
        <w:widowControl w:val="0"/>
        <w:spacing w:after="0" w:line="276" w:lineRule="auto"/>
        <w:jc w:val="right"/>
        <w:rPr>
          <w:rFonts w:ascii="Calibri Light" w:eastAsia="Times New Roman" w:hAnsi="Calibri Light" w:cs="Calibri Light"/>
          <w:b/>
          <w:szCs w:val="24"/>
          <w:lang w:val="ro-RO"/>
        </w:rPr>
      </w:pPr>
      <w:r w:rsidRPr="00EF3E5A">
        <w:rPr>
          <w:rFonts w:ascii="Calibri Light" w:eastAsia="Times New Roman" w:hAnsi="Calibri Light" w:cs="Calibri Light"/>
          <w:b/>
          <w:sz w:val="20"/>
          <w:szCs w:val="20"/>
          <w:lang w:val="ro-RO"/>
        </w:rPr>
        <w:t>(mil. lei)</w:t>
      </w:r>
    </w:p>
    <w:p w14:paraId="6012EB62" w14:textId="77777777" w:rsidR="00CD2A08" w:rsidRPr="00E82CC1" w:rsidRDefault="00CD2A08" w:rsidP="00CD2A08">
      <w:pPr>
        <w:tabs>
          <w:tab w:val="left" w:pos="162"/>
        </w:tabs>
        <w:spacing w:after="0" w:line="276" w:lineRule="auto"/>
        <w:jc w:val="both"/>
        <w:rPr>
          <w:rFonts w:ascii="Times New Roman" w:eastAsia="Times New Roman" w:hAnsi="Times New Roman" w:cs="Times New Roman"/>
          <w:noProof/>
          <w:sz w:val="24"/>
          <w:szCs w:val="24"/>
        </w:rPr>
      </w:pPr>
      <w:r w:rsidRPr="00E82CC1">
        <w:rPr>
          <w:rFonts w:ascii="Times New Roman" w:eastAsia="Times New Roman" w:hAnsi="Times New Roman" w:cs="Times New Roman"/>
          <w:noProof/>
          <w:sz w:val="24"/>
          <w:szCs w:val="24"/>
          <w:lang w:val="ru-RU" w:eastAsia="ru-RU"/>
        </w:rPr>
        <w:drawing>
          <wp:inline distT="0" distB="0" distL="0" distR="0" wp14:anchorId="70B4998E" wp14:editId="7A21C3D5">
            <wp:extent cx="6316980" cy="3303270"/>
            <wp:effectExtent l="0" t="0" r="7620" b="11430"/>
            <wp:docPr id="5" name="Char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49FADBE-42D0-4EE0-982D-001297A240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0DD0630" w14:textId="0FDF1929" w:rsidR="00CD2A08" w:rsidRPr="00E82CC1" w:rsidRDefault="00CD2A08" w:rsidP="00CD2A08">
      <w:pPr>
        <w:tabs>
          <w:tab w:val="left" w:pos="6504"/>
        </w:tabs>
        <w:rPr>
          <w:rFonts w:ascii="Times New Roman" w:eastAsia="Times New Roman" w:hAnsi="Times New Roman" w:cs="Times New Roman"/>
          <w:noProof/>
          <w:sz w:val="24"/>
          <w:szCs w:val="24"/>
        </w:rPr>
      </w:pPr>
      <w:r w:rsidRPr="00E82CC1">
        <w:rPr>
          <w:rFonts w:ascii="Calibri Light" w:eastAsia="Calibri" w:hAnsi="Calibri Light" w:cs="Calibri Light"/>
          <w:b/>
          <w:bCs/>
          <w:i/>
          <w:sz w:val="20"/>
          <w:szCs w:val="20"/>
          <w:lang w:val="ro-RO"/>
        </w:rPr>
        <w:t>Sursă:</w:t>
      </w:r>
      <w:r w:rsidRPr="00E82CC1">
        <w:rPr>
          <w:rFonts w:ascii="Calibri Light" w:eastAsia="Calibri" w:hAnsi="Calibri Light" w:cs="Calibri Light"/>
          <w:i/>
          <w:sz w:val="20"/>
          <w:szCs w:val="20"/>
          <w:lang w:val="ro-RO"/>
        </w:rPr>
        <w:t xml:space="preserve"> Raportul privind executarea bugetului asigurărilor sociale de stat pentru anii 2018-2021</w:t>
      </w:r>
      <w:r w:rsidR="00944238">
        <w:rPr>
          <w:rFonts w:ascii="Calibri Light" w:eastAsia="Calibri" w:hAnsi="Calibri Light" w:cs="Calibri Light"/>
          <w:i/>
          <w:sz w:val="20"/>
          <w:szCs w:val="20"/>
          <w:lang w:val="ro-RO"/>
        </w:rPr>
        <w:t>.</w:t>
      </w:r>
    </w:p>
    <w:p w14:paraId="4A433561" w14:textId="62C6D740" w:rsidR="00CD2A08" w:rsidRPr="00E82CC1" w:rsidRDefault="00CD2A08" w:rsidP="00CD2A08">
      <w:pPr>
        <w:keepNext/>
        <w:keepLines/>
        <w:spacing w:before="40" w:after="0" w:line="240" w:lineRule="auto"/>
        <w:jc w:val="right"/>
        <w:outlineLvl w:val="1"/>
        <w:rPr>
          <w:rFonts w:ascii="Calibri Light" w:eastAsia="Times New Roman" w:hAnsi="Calibri Light" w:cs="Calibri Light"/>
          <w:b/>
          <w:sz w:val="24"/>
          <w:szCs w:val="24"/>
          <w:lang w:val="ro-RO" w:eastAsia="ro-RO"/>
        </w:rPr>
      </w:pPr>
      <w:r w:rsidRPr="00E82CC1">
        <w:rPr>
          <w:rFonts w:ascii="Times New Roman" w:eastAsia="Times New Roman" w:hAnsi="Times New Roman" w:cs="Times New Roman"/>
          <w:b/>
          <w:bCs/>
          <w:sz w:val="28"/>
          <w:szCs w:val="28"/>
          <w:lang w:val="ro-RO" w:eastAsia="ro-RO"/>
        </w:rPr>
        <w:tab/>
      </w:r>
      <w:r w:rsidRPr="00E82CC1">
        <w:rPr>
          <w:rFonts w:ascii="Calibri Light" w:eastAsia="Times New Roman" w:hAnsi="Calibri Light" w:cs="Calibri Light"/>
          <w:b/>
          <w:sz w:val="24"/>
          <w:szCs w:val="24"/>
          <w:lang w:val="ro-RO" w:eastAsia="ro-RO"/>
        </w:rPr>
        <w:t>Anexa nr. 1</w:t>
      </w:r>
      <w:r w:rsidR="00590DF4">
        <w:rPr>
          <w:rFonts w:ascii="Calibri Light" w:eastAsia="Times New Roman" w:hAnsi="Calibri Light" w:cs="Calibri Light"/>
          <w:b/>
          <w:sz w:val="24"/>
          <w:szCs w:val="24"/>
          <w:lang w:val="ro-RO" w:eastAsia="ro-RO"/>
        </w:rPr>
        <w:t>1</w:t>
      </w:r>
    </w:p>
    <w:p w14:paraId="0F63B131" w14:textId="6C57EAF9" w:rsidR="00CD2A08" w:rsidRPr="00E82CC1" w:rsidRDefault="00CD2A08" w:rsidP="00CD2A08">
      <w:pPr>
        <w:spacing w:after="0" w:line="276" w:lineRule="auto"/>
        <w:jc w:val="center"/>
        <w:rPr>
          <w:rFonts w:ascii="Calibri Light" w:eastAsia="Calibri" w:hAnsi="Calibri Light" w:cs="Calibri Light"/>
          <w:b/>
          <w:bCs/>
          <w:sz w:val="24"/>
          <w:szCs w:val="24"/>
          <w:lang w:val="ro-RO"/>
        </w:rPr>
      </w:pPr>
      <w:r w:rsidRPr="00E82CC1">
        <w:rPr>
          <w:rFonts w:ascii="Calibri Light" w:eastAsia="Calibri" w:hAnsi="Calibri Light" w:cs="Calibri Light"/>
          <w:b/>
          <w:bCs/>
          <w:sz w:val="24"/>
          <w:szCs w:val="24"/>
          <w:lang w:val="ro-RO"/>
        </w:rPr>
        <w:t>Ponderea cheltuielilor pe programe în totalul cheltuielilor BASS</w:t>
      </w:r>
      <w:r w:rsidR="00944238">
        <w:rPr>
          <w:rFonts w:ascii="Calibri Light" w:eastAsia="Calibri" w:hAnsi="Calibri Light" w:cs="Calibri Light"/>
          <w:b/>
          <w:bCs/>
          <w:sz w:val="24"/>
          <w:szCs w:val="24"/>
          <w:lang w:val="ro-RO"/>
        </w:rPr>
        <w:t>,</w:t>
      </w:r>
      <w:r w:rsidRPr="00E82CC1">
        <w:rPr>
          <w:rFonts w:ascii="Calibri Light" w:eastAsia="Calibri" w:hAnsi="Calibri Light" w:cs="Calibri Light"/>
          <w:b/>
          <w:bCs/>
          <w:sz w:val="24"/>
          <w:szCs w:val="24"/>
          <w:lang w:val="ro-RO"/>
        </w:rPr>
        <w:t xml:space="preserve"> executate în anul 2021</w:t>
      </w:r>
    </w:p>
    <w:p w14:paraId="7E916E4D" w14:textId="77777777" w:rsidR="00CD2A08" w:rsidRPr="00E82CC1" w:rsidRDefault="008454DB" w:rsidP="008454DB">
      <w:pPr>
        <w:spacing w:after="0" w:line="276" w:lineRule="auto"/>
        <w:jc w:val="center"/>
        <w:rPr>
          <w:rFonts w:ascii="Calibri Light" w:eastAsia="Calibri" w:hAnsi="Calibri Light" w:cs="Calibri Light"/>
          <w:b/>
          <w:bCs/>
          <w:sz w:val="24"/>
          <w:szCs w:val="24"/>
          <w:lang w:val="ro-RO"/>
        </w:rPr>
      </w:pPr>
      <w:r w:rsidRPr="00E82CC1">
        <w:rPr>
          <w:noProof/>
          <w:lang w:val="ru-RU" w:eastAsia="ru-RU"/>
        </w:rPr>
        <w:drawing>
          <wp:inline distT="0" distB="0" distL="0" distR="0" wp14:anchorId="06E17A86" wp14:editId="76B3270D">
            <wp:extent cx="6278880" cy="3291840"/>
            <wp:effectExtent l="0" t="0" r="7620" b="3810"/>
            <wp:docPr id="9" name="Chart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9377342-A380-4001-B102-F97B50C42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C418772" w14:textId="77777777" w:rsidR="00CD2A08" w:rsidRPr="00E82CC1" w:rsidRDefault="00CD2A08" w:rsidP="00CD2A08">
      <w:pPr>
        <w:tabs>
          <w:tab w:val="left" w:pos="6504"/>
        </w:tabs>
        <w:rPr>
          <w:rFonts w:ascii="Calibri Light" w:eastAsia="Calibri" w:hAnsi="Calibri Light" w:cs="Calibri Light"/>
          <w:i/>
          <w:sz w:val="20"/>
          <w:szCs w:val="20"/>
          <w:lang w:val="ro-RO"/>
        </w:rPr>
      </w:pPr>
      <w:r w:rsidRPr="00E82CC1">
        <w:rPr>
          <w:rFonts w:ascii="Calibri Light" w:eastAsia="Calibri" w:hAnsi="Calibri Light" w:cs="Calibri Light"/>
          <w:b/>
          <w:i/>
          <w:sz w:val="20"/>
          <w:szCs w:val="20"/>
          <w:lang w:val="ro-RO"/>
        </w:rPr>
        <w:t>Sursă:</w:t>
      </w:r>
      <w:r w:rsidRPr="00E82CC1">
        <w:rPr>
          <w:rFonts w:ascii="Calibri Light" w:eastAsia="Calibri" w:hAnsi="Calibri Light" w:cs="Calibri Light"/>
          <w:i/>
          <w:sz w:val="20"/>
          <w:szCs w:val="20"/>
          <w:lang w:val="ro-RO"/>
        </w:rPr>
        <w:t xml:space="preserve"> Date calculate de audit în baza informațiilor din Raportul privind executarea bugetului asigurărilor sociale de stat pentru anul 2021 (Formularul nr.2 CNAS).</w:t>
      </w:r>
    </w:p>
    <w:p w14:paraId="68F5E379" w14:textId="55D96AEA" w:rsidR="00CD2A08" w:rsidRPr="00E82CC1" w:rsidRDefault="00CD2A08" w:rsidP="00CD2A08">
      <w:pPr>
        <w:keepNext/>
        <w:keepLines/>
        <w:spacing w:before="40" w:after="0" w:line="240" w:lineRule="auto"/>
        <w:jc w:val="right"/>
        <w:outlineLvl w:val="1"/>
        <w:rPr>
          <w:rFonts w:ascii="Calibri Light" w:eastAsia="Times New Roman" w:hAnsi="Calibri Light" w:cs="Calibri Light"/>
          <w:b/>
          <w:bCs/>
          <w:sz w:val="24"/>
          <w:szCs w:val="24"/>
          <w:lang w:val="ro-RO" w:eastAsia="ro-RO"/>
        </w:rPr>
      </w:pPr>
      <w:r w:rsidRPr="00E82CC1">
        <w:rPr>
          <w:rFonts w:ascii="Calibri Light" w:eastAsia="Times New Roman" w:hAnsi="Calibri Light" w:cs="Calibri Light"/>
          <w:b/>
          <w:bCs/>
          <w:sz w:val="24"/>
          <w:szCs w:val="24"/>
          <w:lang w:val="ro-RO" w:eastAsia="ro-RO"/>
        </w:rPr>
        <w:t>Anexa nr. 1</w:t>
      </w:r>
      <w:r w:rsidR="00590DF4">
        <w:rPr>
          <w:rFonts w:ascii="Calibri Light" w:eastAsia="Times New Roman" w:hAnsi="Calibri Light" w:cs="Calibri Light"/>
          <w:b/>
          <w:bCs/>
          <w:sz w:val="24"/>
          <w:szCs w:val="24"/>
          <w:lang w:val="ro-RO" w:eastAsia="ro-RO"/>
        </w:rPr>
        <w:t>2</w:t>
      </w:r>
    </w:p>
    <w:p w14:paraId="3C24889A" w14:textId="77777777" w:rsidR="00CD2A08" w:rsidRPr="00E82CC1" w:rsidRDefault="00CD2A08" w:rsidP="00CD2A08">
      <w:pPr>
        <w:tabs>
          <w:tab w:val="left" w:pos="1080"/>
        </w:tabs>
        <w:spacing w:after="0" w:line="276" w:lineRule="auto"/>
        <w:contextualSpacing/>
        <w:jc w:val="center"/>
        <w:rPr>
          <w:rFonts w:ascii="Calibri Light" w:eastAsia="Calibri" w:hAnsi="Calibri Light" w:cs="Calibri Light"/>
          <w:sz w:val="18"/>
          <w:szCs w:val="18"/>
          <w:lang w:val="ro-RO"/>
        </w:rPr>
      </w:pPr>
      <w:r w:rsidRPr="00E82CC1">
        <w:rPr>
          <w:rFonts w:ascii="Calibri Light" w:eastAsia="Calibri" w:hAnsi="Calibri Light" w:cs="Calibri Light"/>
          <w:b/>
          <w:sz w:val="24"/>
          <w:szCs w:val="24"/>
          <w:lang w:val="ro-RO"/>
        </w:rPr>
        <w:t>Structura cheltuielilor efective privind acordarea pensiilor de asigurări sociale</w:t>
      </w:r>
    </w:p>
    <w:p w14:paraId="60994825" w14:textId="77777777" w:rsidR="00CD2A08" w:rsidRPr="00E82CC1" w:rsidRDefault="00CD2A08" w:rsidP="00CD2A08">
      <w:pPr>
        <w:tabs>
          <w:tab w:val="left" w:pos="1080"/>
        </w:tabs>
        <w:spacing w:after="0" w:line="276" w:lineRule="auto"/>
        <w:contextualSpacing/>
        <w:jc w:val="center"/>
        <w:rPr>
          <w:rFonts w:ascii="Calibri Light" w:eastAsia="Calibri" w:hAnsi="Calibri Light" w:cs="Calibri Light"/>
          <w:sz w:val="18"/>
          <w:szCs w:val="18"/>
          <w:lang w:val="ro-RO"/>
        </w:rPr>
      </w:pPr>
    </w:p>
    <w:p w14:paraId="7371A93A" w14:textId="77777777" w:rsidR="00CD2A08" w:rsidRPr="00E82CC1" w:rsidRDefault="00671428" w:rsidP="004D7171">
      <w:pPr>
        <w:tabs>
          <w:tab w:val="left" w:pos="6504"/>
        </w:tabs>
        <w:spacing w:after="0"/>
        <w:rPr>
          <w:rFonts w:ascii="Calibri" w:eastAsia="Calibri" w:hAnsi="Calibri" w:cs="Times New Roman"/>
          <w:lang w:val="ro-RO"/>
        </w:rPr>
      </w:pPr>
      <w:r w:rsidRPr="00E82CC1">
        <w:rPr>
          <w:noProof/>
          <w:lang w:val="ru-RU" w:eastAsia="ru-RU"/>
        </w:rPr>
        <w:drawing>
          <wp:inline distT="0" distB="0" distL="0" distR="0" wp14:anchorId="393ED143" wp14:editId="67615E9D">
            <wp:extent cx="6152515" cy="3309214"/>
            <wp:effectExtent l="0" t="0" r="635" b="5715"/>
            <wp:docPr id="6" name="Chart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5D3560F-7AC8-4279-BB8A-0D2651EFD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A760496" w14:textId="77777777" w:rsidR="00CD2A08" w:rsidRPr="00E82CC1" w:rsidRDefault="00CD2A08" w:rsidP="004D7171">
      <w:pPr>
        <w:tabs>
          <w:tab w:val="left" w:pos="6504"/>
        </w:tabs>
        <w:spacing w:after="0"/>
        <w:rPr>
          <w:rFonts w:ascii="Calibri Light" w:eastAsia="Calibri" w:hAnsi="Calibri Light" w:cs="Calibri Light"/>
          <w:i/>
          <w:sz w:val="20"/>
          <w:szCs w:val="20"/>
          <w:lang w:val="ro-RO"/>
        </w:rPr>
      </w:pPr>
      <w:r w:rsidRPr="00E82CC1">
        <w:rPr>
          <w:rFonts w:ascii="Calibri Light" w:eastAsia="Calibri" w:hAnsi="Calibri Light" w:cs="Calibri Light"/>
          <w:b/>
          <w:i/>
          <w:sz w:val="20"/>
          <w:szCs w:val="20"/>
          <w:lang w:val="ro-RO"/>
        </w:rPr>
        <w:t>Sursă:</w:t>
      </w:r>
      <w:r w:rsidRPr="00E82CC1">
        <w:rPr>
          <w:rFonts w:ascii="Calibri Light" w:eastAsia="Calibri" w:hAnsi="Calibri Light" w:cs="Calibri Light"/>
          <w:i/>
          <w:sz w:val="20"/>
          <w:szCs w:val="20"/>
          <w:lang w:val="ro-RO"/>
        </w:rPr>
        <w:t xml:space="preserve"> Date calculate de audit reieșind din informațiile Raportului privind executarea bugetului asigurărilor sociale de stat la partea de cheltuieli a prestațiilor sociale, la situația din 01 ianuarie 2022 (Formularul nr.7 CNAS).</w:t>
      </w:r>
    </w:p>
    <w:p w14:paraId="4C9AEBB2" w14:textId="77777777" w:rsidR="00671428" w:rsidRPr="00E82CC1" w:rsidRDefault="00671428" w:rsidP="004D7171">
      <w:pPr>
        <w:tabs>
          <w:tab w:val="left" w:pos="6504"/>
        </w:tabs>
        <w:spacing w:after="0"/>
        <w:rPr>
          <w:rFonts w:ascii="Calibri Light" w:eastAsia="Calibri" w:hAnsi="Calibri Light" w:cs="Calibri Light"/>
          <w:i/>
          <w:sz w:val="20"/>
          <w:szCs w:val="20"/>
          <w:lang w:val="ro-RO"/>
        </w:rPr>
      </w:pPr>
    </w:p>
    <w:p w14:paraId="6E50F982" w14:textId="77777777" w:rsidR="00CD2A08" w:rsidRPr="00E82CC1" w:rsidRDefault="00CD2A08" w:rsidP="00CD2A08">
      <w:pPr>
        <w:tabs>
          <w:tab w:val="left" w:pos="6504"/>
        </w:tabs>
        <w:rPr>
          <w:rFonts w:ascii="Calibri Light" w:eastAsia="Calibri" w:hAnsi="Calibri Light" w:cs="Calibri Light"/>
          <w:i/>
          <w:sz w:val="20"/>
          <w:szCs w:val="20"/>
          <w:lang w:val="ro-RO"/>
        </w:rPr>
      </w:pPr>
      <w:r w:rsidRPr="00E82CC1">
        <w:rPr>
          <w:rFonts w:ascii="Calibri Light" w:eastAsia="Calibri" w:hAnsi="Calibri Light" w:cs="Calibri Light"/>
          <w:i/>
          <w:sz w:val="20"/>
          <w:szCs w:val="20"/>
          <w:lang w:val="ro-RO"/>
        </w:rPr>
        <w:br w:type="page"/>
      </w:r>
    </w:p>
    <w:p w14:paraId="3380D502" w14:textId="216464F3" w:rsidR="00CD2A08" w:rsidRPr="00E82CC1" w:rsidRDefault="00CD2A08" w:rsidP="00CD2A08">
      <w:pPr>
        <w:keepNext/>
        <w:keepLines/>
        <w:spacing w:before="40" w:after="0" w:line="240" w:lineRule="auto"/>
        <w:jc w:val="right"/>
        <w:outlineLvl w:val="1"/>
        <w:rPr>
          <w:rFonts w:ascii="Calibri Light" w:eastAsia="Times New Roman" w:hAnsi="Calibri Light" w:cs="Calibri Light"/>
          <w:b/>
          <w:bCs/>
          <w:sz w:val="24"/>
          <w:szCs w:val="24"/>
          <w:lang w:val="ro-RO" w:eastAsia="ro-RO"/>
        </w:rPr>
      </w:pPr>
      <w:r w:rsidRPr="00E82CC1">
        <w:rPr>
          <w:rFonts w:ascii="Calibri Light" w:eastAsia="Times New Roman" w:hAnsi="Calibri Light" w:cs="Calibri Light"/>
          <w:b/>
          <w:bCs/>
          <w:sz w:val="24"/>
          <w:szCs w:val="24"/>
          <w:lang w:val="ro-RO" w:eastAsia="ro-RO"/>
        </w:rPr>
        <w:t>Anexa nr. 1</w:t>
      </w:r>
      <w:r w:rsidR="00590DF4">
        <w:rPr>
          <w:rFonts w:ascii="Calibri Light" w:eastAsia="Times New Roman" w:hAnsi="Calibri Light" w:cs="Calibri Light"/>
          <w:b/>
          <w:bCs/>
          <w:sz w:val="24"/>
          <w:szCs w:val="24"/>
          <w:lang w:val="ro-RO" w:eastAsia="ro-RO"/>
        </w:rPr>
        <w:t>3</w:t>
      </w:r>
    </w:p>
    <w:p w14:paraId="70786D0A" w14:textId="0CE36638" w:rsidR="00CD2A08" w:rsidRPr="00E82CC1" w:rsidRDefault="00CD2A08" w:rsidP="00CD2A08">
      <w:pPr>
        <w:tabs>
          <w:tab w:val="left" w:pos="6504"/>
        </w:tabs>
        <w:jc w:val="center"/>
        <w:rPr>
          <w:rFonts w:ascii="Calibri Light" w:eastAsia="Calibri" w:hAnsi="Calibri Light" w:cs="Calibri Light"/>
          <w:b/>
          <w:sz w:val="24"/>
          <w:szCs w:val="24"/>
          <w:lang w:val="ro-RO"/>
        </w:rPr>
      </w:pPr>
      <w:r w:rsidRPr="00E82CC1">
        <w:rPr>
          <w:rFonts w:ascii="Calibri Light" w:eastAsia="Calibri" w:hAnsi="Calibri Light" w:cs="Calibri Light"/>
          <w:b/>
          <w:sz w:val="24"/>
          <w:szCs w:val="24"/>
          <w:lang w:val="ro-RO"/>
        </w:rPr>
        <w:t>Numărul real de beneficiari cărora li se calculează plățile sociale</w:t>
      </w:r>
      <w:r w:rsidR="00944238">
        <w:rPr>
          <w:rFonts w:ascii="Calibri Light" w:eastAsia="Calibri" w:hAnsi="Calibri Light" w:cs="Calibri Light"/>
          <w:b/>
          <w:sz w:val="24"/>
          <w:szCs w:val="24"/>
          <w:lang w:val="ro-RO"/>
        </w:rPr>
        <w:t>,</w:t>
      </w:r>
      <w:r w:rsidRPr="00E82CC1">
        <w:rPr>
          <w:rFonts w:ascii="Calibri Light" w:eastAsia="Calibri" w:hAnsi="Calibri Light" w:cs="Calibri Light"/>
          <w:b/>
          <w:sz w:val="24"/>
          <w:szCs w:val="24"/>
          <w:lang w:val="ro-RO"/>
        </w:rPr>
        <w:t xml:space="preserve"> pentru anii 2018 -2021</w:t>
      </w:r>
    </w:p>
    <w:tbl>
      <w:tblPr>
        <w:tblW w:w="107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94"/>
        <w:gridCol w:w="1047"/>
        <w:gridCol w:w="1077"/>
        <w:gridCol w:w="1077"/>
        <w:gridCol w:w="1068"/>
        <w:gridCol w:w="851"/>
        <w:gridCol w:w="717"/>
        <w:gridCol w:w="843"/>
        <w:gridCol w:w="534"/>
        <w:gridCol w:w="863"/>
        <w:gridCol w:w="534"/>
      </w:tblGrid>
      <w:tr w:rsidR="00045716" w:rsidRPr="00045716" w14:paraId="56DB5401" w14:textId="77777777" w:rsidTr="00045716">
        <w:trPr>
          <w:trHeight w:val="432"/>
        </w:trPr>
        <w:tc>
          <w:tcPr>
            <w:tcW w:w="2094" w:type="dxa"/>
            <w:vMerge w:val="restart"/>
            <w:shd w:val="clear" w:color="auto" w:fill="FFFFFF" w:themeFill="background1"/>
            <w:vAlign w:val="center"/>
            <w:hideMark/>
          </w:tcPr>
          <w:p w14:paraId="1D5D9D6E"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Tipul plății</w:t>
            </w:r>
          </w:p>
        </w:tc>
        <w:tc>
          <w:tcPr>
            <w:tcW w:w="1047" w:type="dxa"/>
            <w:shd w:val="clear" w:color="auto" w:fill="FFFFFF" w:themeFill="background1"/>
            <w:vAlign w:val="center"/>
            <w:hideMark/>
          </w:tcPr>
          <w:p w14:paraId="2B6D41A8"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La data de</w:t>
            </w:r>
          </w:p>
        </w:tc>
        <w:tc>
          <w:tcPr>
            <w:tcW w:w="1077" w:type="dxa"/>
            <w:shd w:val="clear" w:color="auto" w:fill="FFFFFF" w:themeFill="background1"/>
            <w:vAlign w:val="center"/>
            <w:hideMark/>
          </w:tcPr>
          <w:p w14:paraId="197C8274"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La data de</w:t>
            </w:r>
          </w:p>
        </w:tc>
        <w:tc>
          <w:tcPr>
            <w:tcW w:w="1077" w:type="dxa"/>
            <w:shd w:val="clear" w:color="auto" w:fill="FFFFFF" w:themeFill="background1"/>
            <w:vAlign w:val="center"/>
            <w:hideMark/>
          </w:tcPr>
          <w:p w14:paraId="58A56D5D"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La data de</w:t>
            </w:r>
          </w:p>
        </w:tc>
        <w:tc>
          <w:tcPr>
            <w:tcW w:w="1068" w:type="dxa"/>
            <w:shd w:val="clear" w:color="auto" w:fill="FFFFFF" w:themeFill="background1"/>
            <w:vAlign w:val="center"/>
            <w:hideMark/>
          </w:tcPr>
          <w:p w14:paraId="5D615EBA"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La data de</w:t>
            </w:r>
          </w:p>
        </w:tc>
        <w:tc>
          <w:tcPr>
            <w:tcW w:w="1568" w:type="dxa"/>
            <w:gridSpan w:val="2"/>
            <w:shd w:val="clear" w:color="auto" w:fill="FFFFFF" w:themeFill="background1"/>
            <w:vAlign w:val="center"/>
            <w:hideMark/>
          </w:tcPr>
          <w:p w14:paraId="7B7BEC85"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Devieri 2021/2020</w:t>
            </w:r>
          </w:p>
        </w:tc>
        <w:tc>
          <w:tcPr>
            <w:tcW w:w="1377" w:type="dxa"/>
            <w:gridSpan w:val="2"/>
            <w:shd w:val="clear" w:color="auto" w:fill="FFFFFF" w:themeFill="background1"/>
            <w:vAlign w:val="center"/>
            <w:hideMark/>
          </w:tcPr>
          <w:p w14:paraId="5C2D9A2F"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Devieri 2020/2019</w:t>
            </w:r>
          </w:p>
        </w:tc>
        <w:tc>
          <w:tcPr>
            <w:tcW w:w="1397" w:type="dxa"/>
            <w:gridSpan w:val="2"/>
            <w:shd w:val="clear" w:color="auto" w:fill="FFFFFF" w:themeFill="background1"/>
            <w:vAlign w:val="center"/>
            <w:hideMark/>
          </w:tcPr>
          <w:p w14:paraId="5C80DE41"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Devieri 2020/2018</w:t>
            </w:r>
          </w:p>
        </w:tc>
      </w:tr>
      <w:tr w:rsidR="00045716" w:rsidRPr="00045716" w14:paraId="51C4417B" w14:textId="77777777" w:rsidTr="00045716">
        <w:trPr>
          <w:trHeight w:val="300"/>
        </w:trPr>
        <w:tc>
          <w:tcPr>
            <w:tcW w:w="2094" w:type="dxa"/>
            <w:vMerge/>
            <w:shd w:val="clear" w:color="auto" w:fill="FFFFFF" w:themeFill="background1"/>
            <w:vAlign w:val="center"/>
            <w:hideMark/>
          </w:tcPr>
          <w:p w14:paraId="373295E3" w14:textId="77777777" w:rsidR="00045716" w:rsidRPr="00045716" w:rsidRDefault="00045716" w:rsidP="00CD2A08">
            <w:pPr>
              <w:spacing w:after="0" w:line="240" w:lineRule="auto"/>
              <w:rPr>
                <w:rFonts w:asciiTheme="majorHAnsi" w:eastAsia="Times New Roman" w:hAnsiTheme="majorHAnsi" w:cstheme="majorHAnsi"/>
                <w:b/>
                <w:bCs/>
                <w:color w:val="000000"/>
                <w:sz w:val="18"/>
                <w:szCs w:val="18"/>
                <w:lang w:val="ro-RO"/>
              </w:rPr>
            </w:pPr>
          </w:p>
        </w:tc>
        <w:tc>
          <w:tcPr>
            <w:tcW w:w="1047" w:type="dxa"/>
            <w:shd w:val="clear" w:color="auto" w:fill="FFFFFF" w:themeFill="background1"/>
            <w:vAlign w:val="center"/>
            <w:hideMark/>
          </w:tcPr>
          <w:p w14:paraId="2AACF20B"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31.12.2018</w:t>
            </w:r>
          </w:p>
        </w:tc>
        <w:tc>
          <w:tcPr>
            <w:tcW w:w="1077" w:type="dxa"/>
            <w:shd w:val="clear" w:color="auto" w:fill="FFFFFF" w:themeFill="background1"/>
            <w:vAlign w:val="center"/>
            <w:hideMark/>
          </w:tcPr>
          <w:p w14:paraId="47CE5BE6"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31.12.2019</w:t>
            </w:r>
          </w:p>
        </w:tc>
        <w:tc>
          <w:tcPr>
            <w:tcW w:w="1077" w:type="dxa"/>
            <w:shd w:val="clear" w:color="auto" w:fill="FFFFFF" w:themeFill="background1"/>
            <w:vAlign w:val="center"/>
            <w:hideMark/>
          </w:tcPr>
          <w:p w14:paraId="52A86078"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31.12.2020</w:t>
            </w:r>
          </w:p>
        </w:tc>
        <w:tc>
          <w:tcPr>
            <w:tcW w:w="1068" w:type="dxa"/>
            <w:shd w:val="clear" w:color="auto" w:fill="FFFFFF" w:themeFill="background1"/>
            <w:vAlign w:val="center"/>
            <w:hideMark/>
          </w:tcPr>
          <w:p w14:paraId="2089B43C"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31.12.2021</w:t>
            </w:r>
          </w:p>
        </w:tc>
        <w:tc>
          <w:tcPr>
            <w:tcW w:w="851" w:type="dxa"/>
            <w:shd w:val="clear" w:color="auto" w:fill="FFFFFF" w:themeFill="background1"/>
            <w:vAlign w:val="center"/>
            <w:hideMark/>
          </w:tcPr>
          <w:p w14:paraId="5DD43710"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717" w:type="dxa"/>
            <w:shd w:val="clear" w:color="auto" w:fill="FFFFFF" w:themeFill="background1"/>
            <w:vAlign w:val="center"/>
            <w:hideMark/>
          </w:tcPr>
          <w:p w14:paraId="315155C7"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843" w:type="dxa"/>
            <w:shd w:val="clear" w:color="auto" w:fill="FFFFFF" w:themeFill="background1"/>
            <w:vAlign w:val="center"/>
            <w:hideMark/>
          </w:tcPr>
          <w:p w14:paraId="18547B87"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534" w:type="dxa"/>
            <w:shd w:val="clear" w:color="auto" w:fill="FFFFFF" w:themeFill="background1"/>
            <w:vAlign w:val="center"/>
            <w:hideMark/>
          </w:tcPr>
          <w:p w14:paraId="7C13A169"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863" w:type="dxa"/>
            <w:shd w:val="clear" w:color="auto" w:fill="FFFFFF" w:themeFill="background1"/>
            <w:vAlign w:val="center"/>
            <w:hideMark/>
          </w:tcPr>
          <w:p w14:paraId="18244244"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534" w:type="dxa"/>
            <w:shd w:val="clear" w:color="auto" w:fill="FFFFFF" w:themeFill="background1"/>
            <w:vAlign w:val="center"/>
            <w:hideMark/>
          </w:tcPr>
          <w:p w14:paraId="420EEDC4" w14:textId="77777777" w:rsidR="00045716" w:rsidRPr="00045716" w:rsidRDefault="00045716" w:rsidP="00CD2A08">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r>
      <w:tr w:rsidR="00045716" w:rsidRPr="00045716" w14:paraId="0710EE03" w14:textId="77777777" w:rsidTr="00045716">
        <w:trPr>
          <w:trHeight w:val="552"/>
        </w:trPr>
        <w:tc>
          <w:tcPr>
            <w:tcW w:w="2094" w:type="dxa"/>
            <w:vMerge w:val="restart"/>
            <w:shd w:val="clear" w:color="auto" w:fill="FFFFFF" w:themeFill="background1"/>
            <w:hideMark/>
          </w:tcPr>
          <w:p w14:paraId="194B3102" w14:textId="03DE42EE" w:rsidR="00045716" w:rsidRPr="00045716" w:rsidRDefault="00045716" w:rsidP="00944238">
            <w:pPr>
              <w:spacing w:after="0" w:line="240" w:lineRule="auto"/>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persoanelor în etate, pensie (pentru limită de vârstă, pensie pentru deputați, pensie pentru procurori)</w:t>
            </w:r>
          </w:p>
        </w:tc>
        <w:tc>
          <w:tcPr>
            <w:tcW w:w="1047" w:type="dxa"/>
            <w:vMerge w:val="restart"/>
            <w:shd w:val="clear" w:color="auto" w:fill="FFFFFF" w:themeFill="background1"/>
            <w:vAlign w:val="center"/>
            <w:hideMark/>
          </w:tcPr>
          <w:p w14:paraId="74A3CA21"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543 418</w:t>
            </w:r>
          </w:p>
        </w:tc>
        <w:tc>
          <w:tcPr>
            <w:tcW w:w="1077" w:type="dxa"/>
            <w:vMerge w:val="restart"/>
            <w:shd w:val="clear" w:color="auto" w:fill="FFFFFF" w:themeFill="background1"/>
            <w:vAlign w:val="center"/>
            <w:hideMark/>
          </w:tcPr>
          <w:p w14:paraId="4A8E3ADD"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538519</w:t>
            </w:r>
          </w:p>
        </w:tc>
        <w:tc>
          <w:tcPr>
            <w:tcW w:w="1077" w:type="dxa"/>
            <w:vMerge w:val="restart"/>
            <w:shd w:val="clear" w:color="auto" w:fill="FFFFFF" w:themeFill="background1"/>
            <w:vAlign w:val="center"/>
            <w:hideMark/>
          </w:tcPr>
          <w:p w14:paraId="4D751942"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532979</w:t>
            </w:r>
          </w:p>
        </w:tc>
        <w:tc>
          <w:tcPr>
            <w:tcW w:w="1068" w:type="dxa"/>
            <w:vMerge w:val="restart"/>
            <w:shd w:val="clear" w:color="auto" w:fill="FFFFFF" w:themeFill="background1"/>
            <w:vAlign w:val="center"/>
            <w:hideMark/>
          </w:tcPr>
          <w:p w14:paraId="2056E52D"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529359</w:t>
            </w:r>
          </w:p>
        </w:tc>
        <w:tc>
          <w:tcPr>
            <w:tcW w:w="851" w:type="dxa"/>
            <w:vMerge w:val="restart"/>
            <w:shd w:val="clear" w:color="auto" w:fill="FFFFFF" w:themeFill="background1"/>
            <w:vAlign w:val="center"/>
            <w:hideMark/>
          </w:tcPr>
          <w:p w14:paraId="40A2ADEA"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-3620</w:t>
            </w:r>
          </w:p>
        </w:tc>
        <w:tc>
          <w:tcPr>
            <w:tcW w:w="717" w:type="dxa"/>
            <w:vMerge w:val="restart"/>
            <w:shd w:val="clear" w:color="auto" w:fill="FFFFFF" w:themeFill="background1"/>
            <w:vAlign w:val="center"/>
            <w:hideMark/>
          </w:tcPr>
          <w:p w14:paraId="3BF6B72F"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99.3</w:t>
            </w:r>
          </w:p>
        </w:tc>
        <w:tc>
          <w:tcPr>
            <w:tcW w:w="843" w:type="dxa"/>
            <w:vMerge w:val="restart"/>
            <w:shd w:val="clear" w:color="auto" w:fill="FFFFFF" w:themeFill="background1"/>
            <w:vAlign w:val="center"/>
            <w:hideMark/>
          </w:tcPr>
          <w:p w14:paraId="02DE635D"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-5540</w:t>
            </w:r>
          </w:p>
        </w:tc>
        <w:tc>
          <w:tcPr>
            <w:tcW w:w="534" w:type="dxa"/>
            <w:vMerge w:val="restart"/>
            <w:shd w:val="clear" w:color="auto" w:fill="FFFFFF" w:themeFill="background1"/>
            <w:vAlign w:val="center"/>
            <w:hideMark/>
          </w:tcPr>
          <w:p w14:paraId="28969FBB"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99</w:t>
            </w:r>
          </w:p>
        </w:tc>
        <w:tc>
          <w:tcPr>
            <w:tcW w:w="863" w:type="dxa"/>
            <w:vMerge w:val="restart"/>
            <w:shd w:val="clear" w:color="auto" w:fill="FFFFFF" w:themeFill="background1"/>
            <w:vAlign w:val="center"/>
            <w:hideMark/>
          </w:tcPr>
          <w:p w14:paraId="357AA493"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-10439</w:t>
            </w:r>
          </w:p>
        </w:tc>
        <w:tc>
          <w:tcPr>
            <w:tcW w:w="534" w:type="dxa"/>
            <w:vMerge w:val="restart"/>
            <w:shd w:val="clear" w:color="auto" w:fill="FFFFFF" w:themeFill="background1"/>
            <w:vAlign w:val="center"/>
            <w:hideMark/>
          </w:tcPr>
          <w:p w14:paraId="3D086B80" w14:textId="77777777" w:rsidR="00045716" w:rsidRPr="00045716" w:rsidRDefault="00045716" w:rsidP="00CD2A08">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98.1</w:t>
            </w:r>
          </w:p>
        </w:tc>
      </w:tr>
      <w:tr w:rsidR="00045716" w:rsidRPr="00045716" w14:paraId="1FBA5FE8" w14:textId="77777777" w:rsidTr="00045716">
        <w:trPr>
          <w:trHeight w:val="450"/>
        </w:trPr>
        <w:tc>
          <w:tcPr>
            <w:tcW w:w="2094" w:type="dxa"/>
            <w:vMerge/>
            <w:shd w:val="clear" w:color="auto" w:fill="FFFFFF" w:themeFill="background1"/>
            <w:vAlign w:val="center"/>
            <w:hideMark/>
          </w:tcPr>
          <w:p w14:paraId="2F879AC5"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1047" w:type="dxa"/>
            <w:vMerge/>
            <w:shd w:val="clear" w:color="auto" w:fill="FFFFFF" w:themeFill="background1"/>
            <w:vAlign w:val="center"/>
            <w:hideMark/>
          </w:tcPr>
          <w:p w14:paraId="00493B75"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1077" w:type="dxa"/>
            <w:vMerge/>
            <w:shd w:val="clear" w:color="auto" w:fill="FFFFFF" w:themeFill="background1"/>
            <w:vAlign w:val="center"/>
            <w:hideMark/>
          </w:tcPr>
          <w:p w14:paraId="147A9A59"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1077" w:type="dxa"/>
            <w:vMerge/>
            <w:shd w:val="clear" w:color="auto" w:fill="FFFFFF" w:themeFill="background1"/>
            <w:vAlign w:val="center"/>
            <w:hideMark/>
          </w:tcPr>
          <w:p w14:paraId="3E800D91"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1068" w:type="dxa"/>
            <w:vMerge/>
            <w:shd w:val="clear" w:color="auto" w:fill="FFFFFF" w:themeFill="background1"/>
            <w:vAlign w:val="center"/>
            <w:hideMark/>
          </w:tcPr>
          <w:p w14:paraId="51955596"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851" w:type="dxa"/>
            <w:vMerge/>
            <w:shd w:val="clear" w:color="auto" w:fill="FFFFFF" w:themeFill="background1"/>
            <w:vAlign w:val="center"/>
            <w:hideMark/>
          </w:tcPr>
          <w:p w14:paraId="69014CB5"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717" w:type="dxa"/>
            <w:vMerge/>
            <w:shd w:val="clear" w:color="auto" w:fill="FFFFFF" w:themeFill="background1"/>
            <w:vAlign w:val="center"/>
            <w:hideMark/>
          </w:tcPr>
          <w:p w14:paraId="71E8A733"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843" w:type="dxa"/>
            <w:vMerge/>
            <w:shd w:val="clear" w:color="auto" w:fill="FFFFFF" w:themeFill="background1"/>
            <w:vAlign w:val="center"/>
            <w:hideMark/>
          </w:tcPr>
          <w:p w14:paraId="05633B81"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534" w:type="dxa"/>
            <w:vMerge/>
            <w:shd w:val="clear" w:color="auto" w:fill="FFFFFF" w:themeFill="background1"/>
            <w:vAlign w:val="center"/>
            <w:hideMark/>
          </w:tcPr>
          <w:p w14:paraId="4AEE6D99"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863" w:type="dxa"/>
            <w:vMerge/>
            <w:shd w:val="clear" w:color="auto" w:fill="FFFFFF" w:themeFill="background1"/>
            <w:vAlign w:val="center"/>
            <w:hideMark/>
          </w:tcPr>
          <w:p w14:paraId="37EF6717"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c>
          <w:tcPr>
            <w:tcW w:w="534" w:type="dxa"/>
            <w:vMerge/>
            <w:shd w:val="clear" w:color="auto" w:fill="FFFFFF" w:themeFill="background1"/>
            <w:vAlign w:val="center"/>
            <w:hideMark/>
          </w:tcPr>
          <w:p w14:paraId="7652B565" w14:textId="77777777" w:rsidR="00045716" w:rsidRPr="00045716" w:rsidRDefault="00045716" w:rsidP="00CD2A08">
            <w:pPr>
              <w:spacing w:after="0" w:line="240" w:lineRule="auto"/>
              <w:rPr>
                <w:rFonts w:asciiTheme="majorHAnsi" w:eastAsia="Times New Roman" w:hAnsiTheme="majorHAnsi" w:cstheme="majorHAnsi"/>
                <w:color w:val="000000"/>
                <w:sz w:val="18"/>
                <w:szCs w:val="18"/>
                <w:lang w:val="ro-RO"/>
              </w:rPr>
            </w:pPr>
          </w:p>
        </w:tc>
      </w:tr>
      <w:tr w:rsidR="00045716" w:rsidRPr="00045716" w14:paraId="6C316DAF" w14:textId="77777777" w:rsidTr="00045716">
        <w:trPr>
          <w:trHeight w:val="732"/>
        </w:trPr>
        <w:tc>
          <w:tcPr>
            <w:tcW w:w="2094" w:type="dxa"/>
            <w:shd w:val="clear" w:color="auto" w:fill="FFFFFF" w:themeFill="background1"/>
            <w:hideMark/>
          </w:tcPr>
          <w:p w14:paraId="4BFE1A74" w14:textId="00BA4A4E" w:rsidR="00045716" w:rsidRPr="00045716" w:rsidRDefault="00045716" w:rsidP="00045716">
            <w:pPr>
              <w:spacing w:after="0" w:line="240" w:lineRule="auto"/>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Protecție în legătură cu pierderea întreținătorului (pensie de urmaș etc.)</w:t>
            </w:r>
          </w:p>
        </w:tc>
        <w:tc>
          <w:tcPr>
            <w:tcW w:w="1047" w:type="dxa"/>
            <w:shd w:val="clear" w:color="auto" w:fill="FFFFFF" w:themeFill="background1"/>
            <w:vAlign w:val="center"/>
            <w:hideMark/>
          </w:tcPr>
          <w:p w14:paraId="6E499F7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43 385</w:t>
            </w:r>
          </w:p>
        </w:tc>
        <w:tc>
          <w:tcPr>
            <w:tcW w:w="1077" w:type="dxa"/>
            <w:shd w:val="clear" w:color="auto" w:fill="FFFFFF" w:themeFill="background1"/>
            <w:vAlign w:val="center"/>
            <w:hideMark/>
          </w:tcPr>
          <w:p w14:paraId="1976A0F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43091</w:t>
            </w:r>
          </w:p>
        </w:tc>
        <w:tc>
          <w:tcPr>
            <w:tcW w:w="1077" w:type="dxa"/>
            <w:shd w:val="clear" w:color="auto" w:fill="FFFFFF" w:themeFill="background1"/>
            <w:vAlign w:val="center"/>
            <w:hideMark/>
          </w:tcPr>
          <w:p w14:paraId="7709372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45798</w:t>
            </w:r>
          </w:p>
        </w:tc>
        <w:tc>
          <w:tcPr>
            <w:tcW w:w="1068" w:type="dxa"/>
            <w:shd w:val="clear" w:color="auto" w:fill="FFFFFF" w:themeFill="background1"/>
            <w:vAlign w:val="center"/>
            <w:hideMark/>
          </w:tcPr>
          <w:p w14:paraId="3795F22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52386</w:t>
            </w:r>
          </w:p>
        </w:tc>
        <w:tc>
          <w:tcPr>
            <w:tcW w:w="851" w:type="dxa"/>
            <w:shd w:val="clear" w:color="auto" w:fill="FFFFFF" w:themeFill="background1"/>
            <w:vAlign w:val="center"/>
            <w:hideMark/>
          </w:tcPr>
          <w:p w14:paraId="0E78202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6588</w:t>
            </w:r>
          </w:p>
        </w:tc>
        <w:tc>
          <w:tcPr>
            <w:tcW w:w="717" w:type="dxa"/>
            <w:shd w:val="clear" w:color="auto" w:fill="FFFFFF" w:themeFill="background1"/>
            <w:vAlign w:val="center"/>
            <w:hideMark/>
          </w:tcPr>
          <w:p w14:paraId="3177664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114.4</w:t>
            </w:r>
          </w:p>
        </w:tc>
        <w:tc>
          <w:tcPr>
            <w:tcW w:w="843" w:type="dxa"/>
            <w:shd w:val="clear" w:color="auto" w:fill="FFFFFF" w:themeFill="background1"/>
            <w:vAlign w:val="center"/>
            <w:hideMark/>
          </w:tcPr>
          <w:p w14:paraId="4C9B2B9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2707</w:t>
            </w:r>
          </w:p>
        </w:tc>
        <w:tc>
          <w:tcPr>
            <w:tcW w:w="534" w:type="dxa"/>
            <w:shd w:val="clear" w:color="auto" w:fill="FFFFFF" w:themeFill="background1"/>
            <w:vAlign w:val="center"/>
            <w:hideMark/>
          </w:tcPr>
          <w:p w14:paraId="77E37D5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106</w:t>
            </w:r>
          </w:p>
        </w:tc>
        <w:tc>
          <w:tcPr>
            <w:tcW w:w="863" w:type="dxa"/>
            <w:shd w:val="clear" w:color="auto" w:fill="FFFFFF" w:themeFill="background1"/>
            <w:vAlign w:val="center"/>
            <w:hideMark/>
          </w:tcPr>
          <w:p w14:paraId="6D4B813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2309</w:t>
            </w:r>
          </w:p>
        </w:tc>
        <w:tc>
          <w:tcPr>
            <w:tcW w:w="534" w:type="dxa"/>
            <w:shd w:val="clear" w:color="auto" w:fill="FFFFFF" w:themeFill="background1"/>
            <w:vAlign w:val="center"/>
            <w:hideMark/>
          </w:tcPr>
          <w:p w14:paraId="04A9E1E6"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105</w:t>
            </w:r>
          </w:p>
        </w:tc>
      </w:tr>
      <w:tr w:rsidR="00045716" w:rsidRPr="00045716" w14:paraId="3516841F" w14:textId="77777777" w:rsidTr="00045716">
        <w:trPr>
          <w:trHeight w:val="492"/>
        </w:trPr>
        <w:tc>
          <w:tcPr>
            <w:tcW w:w="2094" w:type="dxa"/>
            <w:shd w:val="clear" w:color="auto" w:fill="FFFFFF" w:themeFill="background1"/>
            <w:hideMark/>
          </w:tcPr>
          <w:p w14:paraId="3F49BF25" w14:textId="77777777"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persoanelor cu dizabilități</w:t>
            </w:r>
          </w:p>
        </w:tc>
        <w:tc>
          <w:tcPr>
            <w:tcW w:w="1047" w:type="dxa"/>
            <w:shd w:val="clear" w:color="auto" w:fill="FFFFFF" w:themeFill="background1"/>
            <w:vAlign w:val="center"/>
            <w:hideMark/>
          </w:tcPr>
          <w:p w14:paraId="0B36CFE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125 489</w:t>
            </w:r>
          </w:p>
        </w:tc>
        <w:tc>
          <w:tcPr>
            <w:tcW w:w="1077" w:type="dxa"/>
            <w:shd w:val="clear" w:color="auto" w:fill="FFFFFF" w:themeFill="background1"/>
            <w:vAlign w:val="center"/>
            <w:hideMark/>
          </w:tcPr>
          <w:p w14:paraId="50D376A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123276</w:t>
            </w:r>
          </w:p>
        </w:tc>
        <w:tc>
          <w:tcPr>
            <w:tcW w:w="1077" w:type="dxa"/>
            <w:shd w:val="clear" w:color="auto" w:fill="FFFFFF" w:themeFill="background1"/>
            <w:vAlign w:val="center"/>
            <w:hideMark/>
          </w:tcPr>
          <w:p w14:paraId="5B7B2640"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119389</w:t>
            </w:r>
          </w:p>
        </w:tc>
        <w:tc>
          <w:tcPr>
            <w:tcW w:w="1068" w:type="dxa"/>
            <w:shd w:val="clear" w:color="auto" w:fill="FFFFFF" w:themeFill="background1"/>
            <w:vAlign w:val="center"/>
            <w:hideMark/>
          </w:tcPr>
          <w:p w14:paraId="1E7759B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111224</w:t>
            </w:r>
          </w:p>
        </w:tc>
        <w:tc>
          <w:tcPr>
            <w:tcW w:w="851" w:type="dxa"/>
            <w:shd w:val="clear" w:color="auto" w:fill="FFFFFF" w:themeFill="background1"/>
            <w:vAlign w:val="center"/>
            <w:hideMark/>
          </w:tcPr>
          <w:p w14:paraId="63B8991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-8165</w:t>
            </w:r>
          </w:p>
        </w:tc>
        <w:tc>
          <w:tcPr>
            <w:tcW w:w="717" w:type="dxa"/>
            <w:shd w:val="clear" w:color="auto" w:fill="FFFFFF" w:themeFill="background1"/>
            <w:vAlign w:val="center"/>
            <w:hideMark/>
          </w:tcPr>
          <w:p w14:paraId="3BD6E81E"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93.2</w:t>
            </w:r>
          </w:p>
        </w:tc>
        <w:tc>
          <w:tcPr>
            <w:tcW w:w="843" w:type="dxa"/>
            <w:shd w:val="clear" w:color="auto" w:fill="FFFFFF" w:themeFill="background1"/>
            <w:vAlign w:val="center"/>
            <w:hideMark/>
          </w:tcPr>
          <w:p w14:paraId="3E93A70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-3887</w:t>
            </w:r>
          </w:p>
        </w:tc>
        <w:tc>
          <w:tcPr>
            <w:tcW w:w="534" w:type="dxa"/>
            <w:shd w:val="clear" w:color="auto" w:fill="FFFFFF" w:themeFill="background1"/>
            <w:vAlign w:val="center"/>
            <w:hideMark/>
          </w:tcPr>
          <w:p w14:paraId="417BB97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96.8</w:t>
            </w:r>
          </w:p>
        </w:tc>
        <w:tc>
          <w:tcPr>
            <w:tcW w:w="863" w:type="dxa"/>
            <w:shd w:val="clear" w:color="auto" w:fill="FFFFFF" w:themeFill="background1"/>
            <w:vAlign w:val="center"/>
            <w:hideMark/>
          </w:tcPr>
          <w:p w14:paraId="42870916"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-6100</w:t>
            </w:r>
          </w:p>
        </w:tc>
        <w:tc>
          <w:tcPr>
            <w:tcW w:w="534" w:type="dxa"/>
            <w:shd w:val="clear" w:color="auto" w:fill="FFFFFF" w:themeFill="background1"/>
            <w:vAlign w:val="center"/>
            <w:hideMark/>
          </w:tcPr>
          <w:p w14:paraId="5174585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95.1</w:t>
            </w:r>
          </w:p>
        </w:tc>
      </w:tr>
      <w:tr w:rsidR="00045716" w:rsidRPr="00045716" w14:paraId="17E6D263" w14:textId="77777777" w:rsidTr="00045716">
        <w:trPr>
          <w:trHeight w:val="492"/>
        </w:trPr>
        <w:tc>
          <w:tcPr>
            <w:tcW w:w="2094" w:type="dxa"/>
            <w:shd w:val="clear" w:color="auto" w:fill="FFFFFF" w:themeFill="background1"/>
            <w:hideMark/>
          </w:tcPr>
          <w:p w14:paraId="3BD757D4" w14:textId="77777777"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Protecție în caz de incapacitate temporară de muncă</w:t>
            </w:r>
          </w:p>
        </w:tc>
        <w:tc>
          <w:tcPr>
            <w:tcW w:w="1047" w:type="dxa"/>
            <w:shd w:val="clear" w:color="auto" w:fill="FFFFFF" w:themeFill="background1"/>
            <w:vAlign w:val="center"/>
            <w:hideMark/>
          </w:tcPr>
          <w:p w14:paraId="4F512D3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257 804</w:t>
            </w:r>
          </w:p>
        </w:tc>
        <w:tc>
          <w:tcPr>
            <w:tcW w:w="1077" w:type="dxa"/>
            <w:shd w:val="clear" w:color="auto" w:fill="FFFFFF" w:themeFill="background1"/>
            <w:vAlign w:val="center"/>
            <w:hideMark/>
          </w:tcPr>
          <w:p w14:paraId="783F8E1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217997</w:t>
            </w:r>
          </w:p>
        </w:tc>
        <w:tc>
          <w:tcPr>
            <w:tcW w:w="1077" w:type="dxa"/>
            <w:shd w:val="clear" w:color="auto" w:fill="FFFFFF" w:themeFill="background1"/>
            <w:vAlign w:val="center"/>
            <w:hideMark/>
          </w:tcPr>
          <w:p w14:paraId="393AC14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221525</w:t>
            </w:r>
          </w:p>
        </w:tc>
        <w:tc>
          <w:tcPr>
            <w:tcW w:w="1068" w:type="dxa"/>
            <w:shd w:val="clear" w:color="auto" w:fill="FFFFFF" w:themeFill="background1"/>
            <w:vAlign w:val="center"/>
            <w:hideMark/>
          </w:tcPr>
          <w:p w14:paraId="1E16829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253979</w:t>
            </w:r>
          </w:p>
        </w:tc>
        <w:tc>
          <w:tcPr>
            <w:tcW w:w="851" w:type="dxa"/>
            <w:shd w:val="clear" w:color="auto" w:fill="FFFFFF" w:themeFill="background1"/>
            <w:vAlign w:val="center"/>
            <w:hideMark/>
          </w:tcPr>
          <w:p w14:paraId="609D7A2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32454</w:t>
            </w:r>
          </w:p>
        </w:tc>
        <w:tc>
          <w:tcPr>
            <w:tcW w:w="717" w:type="dxa"/>
            <w:shd w:val="clear" w:color="auto" w:fill="FFFFFF" w:themeFill="background1"/>
            <w:vAlign w:val="center"/>
            <w:hideMark/>
          </w:tcPr>
          <w:p w14:paraId="14632D9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114.7</w:t>
            </w:r>
          </w:p>
        </w:tc>
        <w:tc>
          <w:tcPr>
            <w:tcW w:w="843" w:type="dxa"/>
            <w:shd w:val="clear" w:color="auto" w:fill="FFFFFF" w:themeFill="background1"/>
            <w:vAlign w:val="center"/>
            <w:hideMark/>
          </w:tcPr>
          <w:p w14:paraId="3BD7C48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3528</w:t>
            </w:r>
          </w:p>
        </w:tc>
        <w:tc>
          <w:tcPr>
            <w:tcW w:w="534" w:type="dxa"/>
            <w:shd w:val="clear" w:color="auto" w:fill="FFFFFF" w:themeFill="background1"/>
            <w:vAlign w:val="center"/>
            <w:hideMark/>
          </w:tcPr>
          <w:p w14:paraId="5F9B595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102</w:t>
            </w:r>
          </w:p>
        </w:tc>
        <w:tc>
          <w:tcPr>
            <w:tcW w:w="863" w:type="dxa"/>
            <w:shd w:val="clear" w:color="auto" w:fill="FFFFFF" w:themeFill="background1"/>
            <w:vAlign w:val="center"/>
            <w:hideMark/>
          </w:tcPr>
          <w:p w14:paraId="65C03B52"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-36279</w:t>
            </w:r>
          </w:p>
        </w:tc>
        <w:tc>
          <w:tcPr>
            <w:tcW w:w="534" w:type="dxa"/>
            <w:shd w:val="clear" w:color="auto" w:fill="FFFFFF" w:themeFill="background1"/>
            <w:vAlign w:val="center"/>
            <w:hideMark/>
          </w:tcPr>
          <w:p w14:paraId="1AB0A04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85.9</w:t>
            </w:r>
          </w:p>
        </w:tc>
      </w:tr>
      <w:tr w:rsidR="00045716" w:rsidRPr="00045716" w14:paraId="1A97F98B" w14:textId="77777777" w:rsidTr="00045716">
        <w:trPr>
          <w:trHeight w:val="972"/>
        </w:trPr>
        <w:tc>
          <w:tcPr>
            <w:tcW w:w="2094" w:type="dxa"/>
            <w:shd w:val="clear" w:color="auto" w:fill="FFFFFF" w:themeFill="background1"/>
            <w:hideMark/>
          </w:tcPr>
          <w:p w14:paraId="0D21E5A7" w14:textId="73379AA8"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familiei și copilului (indemnizație de maternitate, de îngrijire a copilului până la vârsta de 3 ani etc.)</w:t>
            </w:r>
          </w:p>
        </w:tc>
        <w:tc>
          <w:tcPr>
            <w:tcW w:w="1047" w:type="dxa"/>
            <w:shd w:val="clear" w:color="auto" w:fill="FFFFFF" w:themeFill="background1"/>
            <w:vAlign w:val="center"/>
            <w:hideMark/>
          </w:tcPr>
          <w:p w14:paraId="6873E84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70 662</w:t>
            </w:r>
          </w:p>
        </w:tc>
        <w:tc>
          <w:tcPr>
            <w:tcW w:w="1077" w:type="dxa"/>
            <w:shd w:val="clear" w:color="auto" w:fill="FFFFFF" w:themeFill="background1"/>
            <w:vAlign w:val="center"/>
            <w:hideMark/>
          </w:tcPr>
          <w:p w14:paraId="41A38107"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72856</w:t>
            </w:r>
          </w:p>
        </w:tc>
        <w:tc>
          <w:tcPr>
            <w:tcW w:w="1077" w:type="dxa"/>
            <w:shd w:val="clear" w:color="auto" w:fill="FFFFFF" w:themeFill="background1"/>
            <w:vAlign w:val="center"/>
            <w:hideMark/>
          </w:tcPr>
          <w:p w14:paraId="3899C61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73863</w:t>
            </w:r>
          </w:p>
        </w:tc>
        <w:tc>
          <w:tcPr>
            <w:tcW w:w="1068" w:type="dxa"/>
            <w:shd w:val="clear" w:color="auto" w:fill="FFFFFF" w:themeFill="background1"/>
            <w:vAlign w:val="center"/>
            <w:hideMark/>
          </w:tcPr>
          <w:p w14:paraId="7E50D39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73482</w:t>
            </w:r>
          </w:p>
        </w:tc>
        <w:tc>
          <w:tcPr>
            <w:tcW w:w="851" w:type="dxa"/>
            <w:shd w:val="clear" w:color="auto" w:fill="FFFFFF" w:themeFill="background1"/>
            <w:vAlign w:val="center"/>
            <w:hideMark/>
          </w:tcPr>
          <w:p w14:paraId="7DD332E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-381</w:t>
            </w:r>
          </w:p>
        </w:tc>
        <w:tc>
          <w:tcPr>
            <w:tcW w:w="717" w:type="dxa"/>
            <w:shd w:val="clear" w:color="auto" w:fill="FFFFFF" w:themeFill="background1"/>
            <w:vAlign w:val="center"/>
            <w:hideMark/>
          </w:tcPr>
          <w:p w14:paraId="2A53E3E4"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99.5</w:t>
            </w:r>
          </w:p>
        </w:tc>
        <w:tc>
          <w:tcPr>
            <w:tcW w:w="843" w:type="dxa"/>
            <w:shd w:val="clear" w:color="auto" w:fill="FFFFFF" w:themeFill="background1"/>
            <w:vAlign w:val="center"/>
            <w:hideMark/>
          </w:tcPr>
          <w:p w14:paraId="6F5A68E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1007</w:t>
            </w:r>
          </w:p>
        </w:tc>
        <w:tc>
          <w:tcPr>
            <w:tcW w:w="534" w:type="dxa"/>
            <w:shd w:val="clear" w:color="auto" w:fill="FFFFFF" w:themeFill="background1"/>
            <w:vAlign w:val="center"/>
            <w:hideMark/>
          </w:tcPr>
          <w:p w14:paraId="7A78811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101</w:t>
            </w:r>
          </w:p>
        </w:tc>
        <w:tc>
          <w:tcPr>
            <w:tcW w:w="863" w:type="dxa"/>
            <w:shd w:val="clear" w:color="auto" w:fill="FFFFFF" w:themeFill="background1"/>
            <w:vAlign w:val="center"/>
            <w:hideMark/>
          </w:tcPr>
          <w:p w14:paraId="7BFE7C77"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3201</w:t>
            </w:r>
          </w:p>
        </w:tc>
        <w:tc>
          <w:tcPr>
            <w:tcW w:w="534" w:type="dxa"/>
            <w:shd w:val="clear" w:color="auto" w:fill="FFFFFF" w:themeFill="background1"/>
            <w:vAlign w:val="center"/>
            <w:hideMark/>
          </w:tcPr>
          <w:p w14:paraId="6CF9EB52"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105</w:t>
            </w:r>
          </w:p>
        </w:tc>
      </w:tr>
      <w:tr w:rsidR="00045716" w:rsidRPr="00045716" w14:paraId="0119746E" w14:textId="77777777" w:rsidTr="00045716">
        <w:trPr>
          <w:trHeight w:val="300"/>
        </w:trPr>
        <w:tc>
          <w:tcPr>
            <w:tcW w:w="2094" w:type="dxa"/>
            <w:shd w:val="clear" w:color="auto" w:fill="FFFFFF" w:themeFill="background1"/>
            <w:hideMark/>
          </w:tcPr>
          <w:p w14:paraId="534CFF4B" w14:textId="77777777"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 xml:space="preserve">Protecția șomerilor </w:t>
            </w:r>
          </w:p>
        </w:tc>
        <w:tc>
          <w:tcPr>
            <w:tcW w:w="1047" w:type="dxa"/>
            <w:shd w:val="clear" w:color="auto" w:fill="FFFFFF" w:themeFill="background1"/>
            <w:vAlign w:val="center"/>
            <w:hideMark/>
          </w:tcPr>
          <w:p w14:paraId="4BEACA1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3 368</w:t>
            </w:r>
          </w:p>
        </w:tc>
        <w:tc>
          <w:tcPr>
            <w:tcW w:w="1077" w:type="dxa"/>
            <w:shd w:val="clear" w:color="auto" w:fill="FFFFFF" w:themeFill="background1"/>
            <w:vAlign w:val="center"/>
            <w:hideMark/>
          </w:tcPr>
          <w:p w14:paraId="0958D3FE"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2654</w:t>
            </w:r>
          </w:p>
        </w:tc>
        <w:tc>
          <w:tcPr>
            <w:tcW w:w="1077" w:type="dxa"/>
            <w:shd w:val="clear" w:color="auto" w:fill="FFFFFF" w:themeFill="background1"/>
            <w:vAlign w:val="center"/>
            <w:hideMark/>
          </w:tcPr>
          <w:p w14:paraId="2FC96AC0"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3010</w:t>
            </w:r>
          </w:p>
        </w:tc>
        <w:tc>
          <w:tcPr>
            <w:tcW w:w="1068" w:type="dxa"/>
            <w:shd w:val="clear" w:color="auto" w:fill="FFFFFF" w:themeFill="background1"/>
            <w:vAlign w:val="center"/>
            <w:hideMark/>
          </w:tcPr>
          <w:p w14:paraId="5D11196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1945</w:t>
            </w:r>
          </w:p>
        </w:tc>
        <w:tc>
          <w:tcPr>
            <w:tcW w:w="851" w:type="dxa"/>
            <w:shd w:val="clear" w:color="auto" w:fill="FFFFFF" w:themeFill="background1"/>
            <w:vAlign w:val="center"/>
            <w:hideMark/>
          </w:tcPr>
          <w:p w14:paraId="74091D9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-1065</w:t>
            </w:r>
          </w:p>
        </w:tc>
        <w:tc>
          <w:tcPr>
            <w:tcW w:w="717" w:type="dxa"/>
            <w:shd w:val="clear" w:color="auto" w:fill="FFFFFF" w:themeFill="background1"/>
            <w:vAlign w:val="center"/>
            <w:hideMark/>
          </w:tcPr>
          <w:p w14:paraId="1CC2515A"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64.6</w:t>
            </w:r>
          </w:p>
        </w:tc>
        <w:tc>
          <w:tcPr>
            <w:tcW w:w="843" w:type="dxa"/>
            <w:shd w:val="clear" w:color="auto" w:fill="FFFFFF" w:themeFill="background1"/>
            <w:vAlign w:val="center"/>
            <w:hideMark/>
          </w:tcPr>
          <w:p w14:paraId="65B7B572"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356</w:t>
            </w:r>
          </w:p>
        </w:tc>
        <w:tc>
          <w:tcPr>
            <w:tcW w:w="534" w:type="dxa"/>
            <w:shd w:val="clear" w:color="auto" w:fill="FFFFFF" w:themeFill="background1"/>
            <w:vAlign w:val="center"/>
            <w:hideMark/>
          </w:tcPr>
          <w:p w14:paraId="53B8C8C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113</w:t>
            </w:r>
          </w:p>
        </w:tc>
        <w:tc>
          <w:tcPr>
            <w:tcW w:w="863" w:type="dxa"/>
            <w:shd w:val="clear" w:color="auto" w:fill="FFFFFF" w:themeFill="background1"/>
            <w:vAlign w:val="center"/>
            <w:hideMark/>
          </w:tcPr>
          <w:p w14:paraId="72FA74FE"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-358</w:t>
            </w:r>
          </w:p>
        </w:tc>
        <w:tc>
          <w:tcPr>
            <w:tcW w:w="534" w:type="dxa"/>
            <w:shd w:val="clear" w:color="auto" w:fill="FFFFFF" w:themeFill="background1"/>
            <w:vAlign w:val="center"/>
            <w:hideMark/>
          </w:tcPr>
          <w:p w14:paraId="0D672F29"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89.4</w:t>
            </w:r>
          </w:p>
        </w:tc>
      </w:tr>
      <w:tr w:rsidR="00045716" w:rsidRPr="00045716" w14:paraId="1F008D02" w14:textId="77777777" w:rsidTr="00045716">
        <w:trPr>
          <w:trHeight w:val="732"/>
        </w:trPr>
        <w:tc>
          <w:tcPr>
            <w:tcW w:w="2094" w:type="dxa"/>
            <w:shd w:val="clear" w:color="auto" w:fill="FFFFFF" w:themeFill="background1"/>
            <w:hideMark/>
          </w:tcPr>
          <w:p w14:paraId="48945396" w14:textId="77777777"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socială a unor categorii de cetățeni (tratament balneo-sanatorial)</w:t>
            </w:r>
          </w:p>
        </w:tc>
        <w:tc>
          <w:tcPr>
            <w:tcW w:w="1047" w:type="dxa"/>
            <w:shd w:val="clear" w:color="auto" w:fill="FFFFFF" w:themeFill="background1"/>
            <w:vAlign w:val="center"/>
            <w:hideMark/>
          </w:tcPr>
          <w:p w14:paraId="7D578119"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5 623</w:t>
            </w:r>
          </w:p>
        </w:tc>
        <w:tc>
          <w:tcPr>
            <w:tcW w:w="1077" w:type="dxa"/>
            <w:shd w:val="clear" w:color="auto" w:fill="FFFFFF" w:themeFill="background1"/>
            <w:vAlign w:val="center"/>
            <w:hideMark/>
          </w:tcPr>
          <w:p w14:paraId="21009F0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7092</w:t>
            </w:r>
          </w:p>
        </w:tc>
        <w:tc>
          <w:tcPr>
            <w:tcW w:w="1077" w:type="dxa"/>
            <w:shd w:val="clear" w:color="auto" w:fill="FFFFFF" w:themeFill="background1"/>
            <w:vAlign w:val="center"/>
            <w:hideMark/>
          </w:tcPr>
          <w:p w14:paraId="2FE2C96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1725</w:t>
            </w:r>
          </w:p>
        </w:tc>
        <w:tc>
          <w:tcPr>
            <w:tcW w:w="1068" w:type="dxa"/>
            <w:shd w:val="clear" w:color="auto" w:fill="FFFFFF" w:themeFill="background1"/>
            <w:vAlign w:val="center"/>
            <w:hideMark/>
          </w:tcPr>
          <w:p w14:paraId="2A55752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4202</w:t>
            </w:r>
          </w:p>
        </w:tc>
        <w:tc>
          <w:tcPr>
            <w:tcW w:w="851" w:type="dxa"/>
            <w:shd w:val="clear" w:color="auto" w:fill="FFFFFF" w:themeFill="background1"/>
            <w:vAlign w:val="center"/>
            <w:hideMark/>
          </w:tcPr>
          <w:p w14:paraId="2B7BE88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2477</w:t>
            </w:r>
          </w:p>
        </w:tc>
        <w:tc>
          <w:tcPr>
            <w:tcW w:w="717" w:type="dxa"/>
            <w:shd w:val="clear" w:color="auto" w:fill="FFFFFF" w:themeFill="background1"/>
            <w:vAlign w:val="center"/>
            <w:hideMark/>
          </w:tcPr>
          <w:p w14:paraId="4B9465F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243.6</w:t>
            </w:r>
          </w:p>
        </w:tc>
        <w:tc>
          <w:tcPr>
            <w:tcW w:w="843" w:type="dxa"/>
            <w:shd w:val="clear" w:color="auto" w:fill="FFFFFF" w:themeFill="background1"/>
            <w:vAlign w:val="center"/>
            <w:hideMark/>
          </w:tcPr>
          <w:p w14:paraId="1717EC2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-5367</w:t>
            </w:r>
          </w:p>
        </w:tc>
        <w:tc>
          <w:tcPr>
            <w:tcW w:w="534" w:type="dxa"/>
            <w:shd w:val="clear" w:color="auto" w:fill="FFFFFF" w:themeFill="background1"/>
            <w:vAlign w:val="center"/>
            <w:hideMark/>
          </w:tcPr>
          <w:p w14:paraId="0BCA611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24.3</w:t>
            </w:r>
          </w:p>
        </w:tc>
        <w:tc>
          <w:tcPr>
            <w:tcW w:w="863" w:type="dxa"/>
            <w:shd w:val="clear" w:color="auto" w:fill="FFFFFF" w:themeFill="background1"/>
            <w:vAlign w:val="center"/>
            <w:hideMark/>
          </w:tcPr>
          <w:p w14:paraId="6DFB848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-3898</w:t>
            </w:r>
          </w:p>
        </w:tc>
        <w:tc>
          <w:tcPr>
            <w:tcW w:w="534" w:type="dxa"/>
            <w:shd w:val="clear" w:color="auto" w:fill="FFFFFF" w:themeFill="background1"/>
            <w:vAlign w:val="center"/>
            <w:hideMark/>
          </w:tcPr>
          <w:p w14:paraId="6518DCDA"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30.7</w:t>
            </w:r>
          </w:p>
        </w:tc>
      </w:tr>
      <w:tr w:rsidR="00045716" w:rsidRPr="00045716" w14:paraId="7A987A14" w14:textId="77777777" w:rsidTr="00045716">
        <w:trPr>
          <w:trHeight w:val="1440"/>
        </w:trPr>
        <w:tc>
          <w:tcPr>
            <w:tcW w:w="2094" w:type="dxa"/>
            <w:shd w:val="clear" w:color="auto" w:fill="FFFFFF" w:themeFill="background1"/>
            <w:hideMark/>
          </w:tcPr>
          <w:p w14:paraId="6C1CFB46" w14:textId="474C3293"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Protecție în legătură cu pierderea întreținătorului (susținere financiară a persoanelor decedate neasigurate, pensie de urmaș a pensionarilor din rândul militarilor etc.)</w:t>
            </w:r>
          </w:p>
        </w:tc>
        <w:tc>
          <w:tcPr>
            <w:tcW w:w="1047" w:type="dxa"/>
            <w:shd w:val="clear" w:color="auto" w:fill="FFFFFF" w:themeFill="background1"/>
            <w:vAlign w:val="center"/>
            <w:hideMark/>
          </w:tcPr>
          <w:p w14:paraId="2EE0956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5 916</w:t>
            </w:r>
          </w:p>
        </w:tc>
        <w:tc>
          <w:tcPr>
            <w:tcW w:w="1077" w:type="dxa"/>
            <w:shd w:val="clear" w:color="auto" w:fill="FFFFFF" w:themeFill="background1"/>
            <w:vAlign w:val="center"/>
            <w:hideMark/>
          </w:tcPr>
          <w:p w14:paraId="78D07CB0"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5810</w:t>
            </w:r>
          </w:p>
        </w:tc>
        <w:tc>
          <w:tcPr>
            <w:tcW w:w="1077" w:type="dxa"/>
            <w:shd w:val="clear" w:color="auto" w:fill="FFFFFF" w:themeFill="background1"/>
            <w:vAlign w:val="center"/>
            <w:hideMark/>
          </w:tcPr>
          <w:p w14:paraId="714C57D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5525</w:t>
            </w:r>
          </w:p>
        </w:tc>
        <w:tc>
          <w:tcPr>
            <w:tcW w:w="1068" w:type="dxa"/>
            <w:shd w:val="clear" w:color="auto" w:fill="FFFFFF" w:themeFill="background1"/>
            <w:vAlign w:val="center"/>
            <w:hideMark/>
          </w:tcPr>
          <w:p w14:paraId="18D275C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6321</w:t>
            </w:r>
          </w:p>
        </w:tc>
        <w:tc>
          <w:tcPr>
            <w:tcW w:w="851" w:type="dxa"/>
            <w:shd w:val="clear" w:color="auto" w:fill="FFFFFF" w:themeFill="background1"/>
            <w:vAlign w:val="center"/>
            <w:hideMark/>
          </w:tcPr>
          <w:p w14:paraId="5CFDF0D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796</w:t>
            </w:r>
          </w:p>
        </w:tc>
        <w:tc>
          <w:tcPr>
            <w:tcW w:w="717" w:type="dxa"/>
            <w:shd w:val="clear" w:color="auto" w:fill="FFFFFF" w:themeFill="background1"/>
            <w:vAlign w:val="center"/>
            <w:hideMark/>
          </w:tcPr>
          <w:p w14:paraId="150D713A"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114.4</w:t>
            </w:r>
          </w:p>
        </w:tc>
        <w:tc>
          <w:tcPr>
            <w:tcW w:w="843" w:type="dxa"/>
            <w:shd w:val="clear" w:color="auto" w:fill="FFFFFF" w:themeFill="background1"/>
            <w:vAlign w:val="center"/>
            <w:hideMark/>
          </w:tcPr>
          <w:p w14:paraId="3FBD80F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-285</w:t>
            </w:r>
          </w:p>
        </w:tc>
        <w:tc>
          <w:tcPr>
            <w:tcW w:w="534" w:type="dxa"/>
            <w:shd w:val="clear" w:color="auto" w:fill="FFFFFF" w:themeFill="background1"/>
            <w:vAlign w:val="center"/>
            <w:hideMark/>
          </w:tcPr>
          <w:p w14:paraId="6409FEE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95.1</w:t>
            </w:r>
          </w:p>
        </w:tc>
        <w:tc>
          <w:tcPr>
            <w:tcW w:w="863" w:type="dxa"/>
            <w:shd w:val="clear" w:color="auto" w:fill="FFFFFF" w:themeFill="background1"/>
            <w:vAlign w:val="center"/>
            <w:hideMark/>
          </w:tcPr>
          <w:p w14:paraId="6E84454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-391</w:t>
            </w:r>
          </w:p>
        </w:tc>
        <w:tc>
          <w:tcPr>
            <w:tcW w:w="534" w:type="dxa"/>
            <w:shd w:val="clear" w:color="auto" w:fill="FFFFFF" w:themeFill="background1"/>
            <w:vAlign w:val="center"/>
            <w:hideMark/>
          </w:tcPr>
          <w:p w14:paraId="63625D1A"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93.4</w:t>
            </w:r>
          </w:p>
        </w:tc>
      </w:tr>
      <w:tr w:rsidR="00045716" w:rsidRPr="00045716" w14:paraId="457BA59F" w14:textId="77777777" w:rsidTr="00045716">
        <w:trPr>
          <w:trHeight w:val="972"/>
        </w:trPr>
        <w:tc>
          <w:tcPr>
            <w:tcW w:w="2094" w:type="dxa"/>
            <w:shd w:val="clear" w:color="auto" w:fill="FFFFFF" w:themeFill="background1"/>
            <w:hideMark/>
          </w:tcPr>
          <w:p w14:paraId="46905284" w14:textId="2CD6E75A"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Protecție a familiei și copilului (organizarea odihnei de vară, susținerea financiară a familiei la nașterea copilului etc.)</w:t>
            </w:r>
          </w:p>
        </w:tc>
        <w:tc>
          <w:tcPr>
            <w:tcW w:w="1047" w:type="dxa"/>
            <w:shd w:val="clear" w:color="auto" w:fill="FFFFFF" w:themeFill="background1"/>
            <w:vAlign w:val="center"/>
            <w:hideMark/>
          </w:tcPr>
          <w:p w14:paraId="29BA788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81 546</w:t>
            </w:r>
          </w:p>
        </w:tc>
        <w:tc>
          <w:tcPr>
            <w:tcW w:w="1077" w:type="dxa"/>
            <w:shd w:val="clear" w:color="auto" w:fill="FFFFFF" w:themeFill="background1"/>
            <w:vAlign w:val="center"/>
            <w:hideMark/>
          </w:tcPr>
          <w:p w14:paraId="71AEC66E"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83265</w:t>
            </w:r>
          </w:p>
        </w:tc>
        <w:tc>
          <w:tcPr>
            <w:tcW w:w="1077" w:type="dxa"/>
            <w:shd w:val="clear" w:color="auto" w:fill="FFFFFF" w:themeFill="background1"/>
            <w:vAlign w:val="center"/>
            <w:hideMark/>
          </w:tcPr>
          <w:p w14:paraId="58FF5FA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70089</w:t>
            </w:r>
          </w:p>
        </w:tc>
        <w:tc>
          <w:tcPr>
            <w:tcW w:w="1068" w:type="dxa"/>
            <w:shd w:val="clear" w:color="auto" w:fill="FFFFFF" w:themeFill="background1"/>
            <w:vAlign w:val="center"/>
            <w:hideMark/>
          </w:tcPr>
          <w:p w14:paraId="5806311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71113</w:t>
            </w:r>
          </w:p>
        </w:tc>
        <w:tc>
          <w:tcPr>
            <w:tcW w:w="851" w:type="dxa"/>
            <w:shd w:val="clear" w:color="auto" w:fill="FFFFFF" w:themeFill="background1"/>
            <w:vAlign w:val="center"/>
            <w:hideMark/>
          </w:tcPr>
          <w:p w14:paraId="0096E10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1024</w:t>
            </w:r>
          </w:p>
        </w:tc>
        <w:tc>
          <w:tcPr>
            <w:tcW w:w="717" w:type="dxa"/>
            <w:shd w:val="clear" w:color="auto" w:fill="FFFFFF" w:themeFill="background1"/>
            <w:vAlign w:val="center"/>
            <w:hideMark/>
          </w:tcPr>
          <w:p w14:paraId="3743ABE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101.5</w:t>
            </w:r>
          </w:p>
        </w:tc>
        <w:tc>
          <w:tcPr>
            <w:tcW w:w="843" w:type="dxa"/>
            <w:shd w:val="clear" w:color="auto" w:fill="FFFFFF" w:themeFill="background1"/>
            <w:vAlign w:val="center"/>
            <w:hideMark/>
          </w:tcPr>
          <w:p w14:paraId="3A27698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-13176</w:t>
            </w:r>
          </w:p>
        </w:tc>
        <w:tc>
          <w:tcPr>
            <w:tcW w:w="534" w:type="dxa"/>
            <w:shd w:val="clear" w:color="auto" w:fill="FFFFFF" w:themeFill="background1"/>
            <w:vAlign w:val="center"/>
            <w:hideMark/>
          </w:tcPr>
          <w:p w14:paraId="150861D2"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84.2</w:t>
            </w:r>
          </w:p>
        </w:tc>
        <w:tc>
          <w:tcPr>
            <w:tcW w:w="863" w:type="dxa"/>
            <w:shd w:val="clear" w:color="auto" w:fill="FFFFFF" w:themeFill="background1"/>
            <w:vAlign w:val="center"/>
            <w:hideMark/>
          </w:tcPr>
          <w:p w14:paraId="7D9D7FD7"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-11457</w:t>
            </w:r>
          </w:p>
        </w:tc>
        <w:tc>
          <w:tcPr>
            <w:tcW w:w="534" w:type="dxa"/>
            <w:shd w:val="clear" w:color="auto" w:fill="FFFFFF" w:themeFill="background1"/>
            <w:vAlign w:val="center"/>
            <w:hideMark/>
          </w:tcPr>
          <w:p w14:paraId="1E3E510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86</w:t>
            </w:r>
          </w:p>
        </w:tc>
      </w:tr>
      <w:tr w:rsidR="00045716" w:rsidRPr="00045716" w14:paraId="2B47876F" w14:textId="77777777" w:rsidTr="00045716">
        <w:trPr>
          <w:trHeight w:val="732"/>
        </w:trPr>
        <w:tc>
          <w:tcPr>
            <w:tcW w:w="2094" w:type="dxa"/>
            <w:shd w:val="clear" w:color="auto" w:fill="FFFFFF" w:themeFill="background1"/>
            <w:hideMark/>
          </w:tcPr>
          <w:p w14:paraId="338DA426" w14:textId="133B70C1"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șomerilor (alocație pentru integrare profesională cu statut de șomer etc.)</w:t>
            </w:r>
          </w:p>
        </w:tc>
        <w:tc>
          <w:tcPr>
            <w:tcW w:w="1047" w:type="dxa"/>
            <w:shd w:val="clear" w:color="auto" w:fill="FFFFFF" w:themeFill="background1"/>
            <w:vAlign w:val="center"/>
            <w:hideMark/>
          </w:tcPr>
          <w:p w14:paraId="5BDF020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0</w:t>
            </w:r>
          </w:p>
        </w:tc>
        <w:tc>
          <w:tcPr>
            <w:tcW w:w="1077" w:type="dxa"/>
            <w:shd w:val="clear" w:color="auto" w:fill="FFFFFF" w:themeFill="background1"/>
            <w:vAlign w:val="center"/>
            <w:hideMark/>
          </w:tcPr>
          <w:p w14:paraId="155E61B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w:t>
            </w:r>
          </w:p>
        </w:tc>
        <w:tc>
          <w:tcPr>
            <w:tcW w:w="1077" w:type="dxa"/>
            <w:shd w:val="clear" w:color="auto" w:fill="FFFFFF" w:themeFill="background1"/>
            <w:vAlign w:val="center"/>
            <w:hideMark/>
          </w:tcPr>
          <w:p w14:paraId="60D6D39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16</w:t>
            </w:r>
          </w:p>
        </w:tc>
        <w:tc>
          <w:tcPr>
            <w:tcW w:w="1068" w:type="dxa"/>
            <w:shd w:val="clear" w:color="auto" w:fill="FFFFFF" w:themeFill="background1"/>
            <w:vAlign w:val="center"/>
            <w:hideMark/>
          </w:tcPr>
          <w:p w14:paraId="2C8101B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244</w:t>
            </w:r>
          </w:p>
        </w:tc>
        <w:tc>
          <w:tcPr>
            <w:tcW w:w="851" w:type="dxa"/>
            <w:shd w:val="clear" w:color="auto" w:fill="FFFFFF" w:themeFill="background1"/>
            <w:vAlign w:val="center"/>
            <w:hideMark/>
          </w:tcPr>
          <w:p w14:paraId="6C2C38A6"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228</w:t>
            </w:r>
          </w:p>
        </w:tc>
        <w:tc>
          <w:tcPr>
            <w:tcW w:w="717" w:type="dxa"/>
            <w:shd w:val="clear" w:color="auto" w:fill="FFFFFF" w:themeFill="background1"/>
            <w:vAlign w:val="center"/>
            <w:hideMark/>
          </w:tcPr>
          <w:p w14:paraId="778630B6"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1525.0</w:t>
            </w:r>
          </w:p>
        </w:tc>
        <w:tc>
          <w:tcPr>
            <w:tcW w:w="843" w:type="dxa"/>
            <w:shd w:val="clear" w:color="auto" w:fill="FFFFFF" w:themeFill="background1"/>
            <w:vAlign w:val="center"/>
            <w:hideMark/>
          </w:tcPr>
          <w:p w14:paraId="7207B26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w:t>
            </w:r>
          </w:p>
        </w:tc>
        <w:tc>
          <w:tcPr>
            <w:tcW w:w="534" w:type="dxa"/>
            <w:shd w:val="clear" w:color="auto" w:fill="FFFFFF" w:themeFill="background1"/>
            <w:vAlign w:val="center"/>
            <w:hideMark/>
          </w:tcPr>
          <w:p w14:paraId="2C54C04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200</w:t>
            </w:r>
          </w:p>
        </w:tc>
        <w:tc>
          <w:tcPr>
            <w:tcW w:w="863" w:type="dxa"/>
            <w:shd w:val="clear" w:color="auto" w:fill="FFFFFF" w:themeFill="background1"/>
            <w:vAlign w:val="center"/>
            <w:hideMark/>
          </w:tcPr>
          <w:p w14:paraId="4A609AE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16</w:t>
            </w:r>
          </w:p>
        </w:tc>
        <w:tc>
          <w:tcPr>
            <w:tcW w:w="534" w:type="dxa"/>
            <w:shd w:val="clear" w:color="auto" w:fill="FFFFFF" w:themeFill="background1"/>
            <w:vAlign w:val="center"/>
            <w:hideMark/>
          </w:tcPr>
          <w:p w14:paraId="7722DA6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x</w:t>
            </w:r>
          </w:p>
        </w:tc>
      </w:tr>
      <w:tr w:rsidR="00045716" w:rsidRPr="00045716" w14:paraId="1AFE9768" w14:textId="77777777" w:rsidTr="00045716">
        <w:trPr>
          <w:trHeight w:val="446"/>
        </w:trPr>
        <w:tc>
          <w:tcPr>
            <w:tcW w:w="2094" w:type="dxa"/>
            <w:shd w:val="clear" w:color="auto" w:fill="FFFFFF" w:themeFill="background1"/>
            <w:hideMark/>
          </w:tcPr>
          <w:p w14:paraId="7223685D" w14:textId="6A6159A1"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persoanelor cu dizabilități (îngrijirea persoanelor cu dizabilitate, susținerea persoanelor în caz de dizabilitate sau deces survenit în urma accidentelor de muncă etc.)</w:t>
            </w:r>
          </w:p>
        </w:tc>
        <w:tc>
          <w:tcPr>
            <w:tcW w:w="1047" w:type="dxa"/>
            <w:shd w:val="clear" w:color="auto" w:fill="FFFFFF" w:themeFill="background1"/>
            <w:vAlign w:val="center"/>
            <w:hideMark/>
          </w:tcPr>
          <w:p w14:paraId="5367BD1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80 057</w:t>
            </w:r>
          </w:p>
        </w:tc>
        <w:tc>
          <w:tcPr>
            <w:tcW w:w="1077" w:type="dxa"/>
            <w:shd w:val="clear" w:color="auto" w:fill="FFFFFF" w:themeFill="background1"/>
            <w:vAlign w:val="center"/>
            <w:hideMark/>
          </w:tcPr>
          <w:p w14:paraId="4DCDADD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84639</w:t>
            </w:r>
          </w:p>
        </w:tc>
        <w:tc>
          <w:tcPr>
            <w:tcW w:w="1077" w:type="dxa"/>
            <w:shd w:val="clear" w:color="auto" w:fill="FFFFFF" w:themeFill="background1"/>
            <w:vAlign w:val="center"/>
            <w:hideMark/>
          </w:tcPr>
          <w:p w14:paraId="6693CBF4"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86009</w:t>
            </w:r>
          </w:p>
        </w:tc>
        <w:tc>
          <w:tcPr>
            <w:tcW w:w="1068" w:type="dxa"/>
            <w:shd w:val="clear" w:color="auto" w:fill="FFFFFF" w:themeFill="background1"/>
            <w:vAlign w:val="center"/>
            <w:hideMark/>
          </w:tcPr>
          <w:p w14:paraId="4F04333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90128</w:t>
            </w:r>
          </w:p>
        </w:tc>
        <w:tc>
          <w:tcPr>
            <w:tcW w:w="851" w:type="dxa"/>
            <w:shd w:val="clear" w:color="auto" w:fill="FFFFFF" w:themeFill="background1"/>
            <w:vAlign w:val="center"/>
            <w:hideMark/>
          </w:tcPr>
          <w:p w14:paraId="6F2DD48A"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4119</w:t>
            </w:r>
          </w:p>
        </w:tc>
        <w:tc>
          <w:tcPr>
            <w:tcW w:w="717" w:type="dxa"/>
            <w:shd w:val="clear" w:color="auto" w:fill="FFFFFF" w:themeFill="background1"/>
            <w:vAlign w:val="center"/>
            <w:hideMark/>
          </w:tcPr>
          <w:p w14:paraId="4C3FB33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104.8</w:t>
            </w:r>
          </w:p>
        </w:tc>
        <w:tc>
          <w:tcPr>
            <w:tcW w:w="843" w:type="dxa"/>
            <w:shd w:val="clear" w:color="auto" w:fill="FFFFFF" w:themeFill="background1"/>
            <w:vAlign w:val="center"/>
            <w:hideMark/>
          </w:tcPr>
          <w:p w14:paraId="42CBDD70"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1370</w:t>
            </w:r>
          </w:p>
        </w:tc>
        <w:tc>
          <w:tcPr>
            <w:tcW w:w="534" w:type="dxa"/>
            <w:shd w:val="clear" w:color="auto" w:fill="FFFFFF" w:themeFill="background1"/>
            <w:vAlign w:val="center"/>
            <w:hideMark/>
          </w:tcPr>
          <w:p w14:paraId="21FAE6F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102</w:t>
            </w:r>
          </w:p>
        </w:tc>
        <w:tc>
          <w:tcPr>
            <w:tcW w:w="863" w:type="dxa"/>
            <w:shd w:val="clear" w:color="auto" w:fill="FFFFFF" w:themeFill="background1"/>
            <w:vAlign w:val="center"/>
            <w:hideMark/>
          </w:tcPr>
          <w:p w14:paraId="317B139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5952</w:t>
            </w:r>
          </w:p>
        </w:tc>
        <w:tc>
          <w:tcPr>
            <w:tcW w:w="534" w:type="dxa"/>
            <w:shd w:val="clear" w:color="auto" w:fill="FFFFFF" w:themeFill="background1"/>
            <w:vAlign w:val="center"/>
            <w:hideMark/>
          </w:tcPr>
          <w:p w14:paraId="59ABE98A"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107</w:t>
            </w:r>
          </w:p>
        </w:tc>
      </w:tr>
      <w:tr w:rsidR="00045716" w:rsidRPr="00045716" w14:paraId="25DF6831" w14:textId="77777777" w:rsidTr="00045716">
        <w:trPr>
          <w:trHeight w:val="972"/>
        </w:trPr>
        <w:tc>
          <w:tcPr>
            <w:tcW w:w="2094" w:type="dxa"/>
            <w:shd w:val="clear" w:color="auto" w:fill="FFFFFF" w:themeFill="background1"/>
            <w:hideMark/>
          </w:tcPr>
          <w:p w14:paraId="340333B1" w14:textId="33B85433"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Susținerea suplimentară a unor categorii de populație (beneficiari de asigurări sociale, alocații sociale etc.)</w:t>
            </w:r>
          </w:p>
        </w:tc>
        <w:tc>
          <w:tcPr>
            <w:tcW w:w="1047" w:type="dxa"/>
            <w:shd w:val="clear" w:color="auto" w:fill="FFFFFF" w:themeFill="background1"/>
            <w:vAlign w:val="center"/>
            <w:hideMark/>
          </w:tcPr>
          <w:p w14:paraId="79E2EF0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1 028 533</w:t>
            </w:r>
          </w:p>
        </w:tc>
        <w:tc>
          <w:tcPr>
            <w:tcW w:w="1077" w:type="dxa"/>
            <w:shd w:val="clear" w:color="auto" w:fill="FFFFFF" w:themeFill="background1"/>
            <w:vAlign w:val="center"/>
            <w:hideMark/>
          </w:tcPr>
          <w:p w14:paraId="11F7F42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1070615</w:t>
            </w:r>
          </w:p>
        </w:tc>
        <w:tc>
          <w:tcPr>
            <w:tcW w:w="1077" w:type="dxa"/>
            <w:shd w:val="clear" w:color="auto" w:fill="FFFFFF" w:themeFill="background1"/>
            <w:vAlign w:val="center"/>
            <w:hideMark/>
          </w:tcPr>
          <w:p w14:paraId="705F0AB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1601128</w:t>
            </w:r>
          </w:p>
        </w:tc>
        <w:tc>
          <w:tcPr>
            <w:tcW w:w="1068" w:type="dxa"/>
            <w:shd w:val="clear" w:color="auto" w:fill="FFFFFF" w:themeFill="background1"/>
            <w:vAlign w:val="center"/>
            <w:hideMark/>
          </w:tcPr>
          <w:p w14:paraId="092BA47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864351</w:t>
            </w:r>
          </w:p>
        </w:tc>
        <w:tc>
          <w:tcPr>
            <w:tcW w:w="851" w:type="dxa"/>
            <w:shd w:val="clear" w:color="auto" w:fill="FFFFFF" w:themeFill="background1"/>
            <w:vAlign w:val="center"/>
            <w:hideMark/>
          </w:tcPr>
          <w:p w14:paraId="6A513ED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-736777</w:t>
            </w:r>
          </w:p>
        </w:tc>
        <w:tc>
          <w:tcPr>
            <w:tcW w:w="717" w:type="dxa"/>
            <w:shd w:val="clear" w:color="auto" w:fill="FFFFFF" w:themeFill="background1"/>
            <w:vAlign w:val="center"/>
            <w:hideMark/>
          </w:tcPr>
          <w:p w14:paraId="49E5E274"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54.0</w:t>
            </w:r>
          </w:p>
        </w:tc>
        <w:tc>
          <w:tcPr>
            <w:tcW w:w="843" w:type="dxa"/>
            <w:shd w:val="clear" w:color="auto" w:fill="FFFFFF" w:themeFill="background1"/>
            <w:vAlign w:val="center"/>
            <w:hideMark/>
          </w:tcPr>
          <w:p w14:paraId="132D5622"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530513</w:t>
            </w:r>
          </w:p>
        </w:tc>
        <w:tc>
          <w:tcPr>
            <w:tcW w:w="534" w:type="dxa"/>
            <w:shd w:val="clear" w:color="auto" w:fill="FFFFFF" w:themeFill="background1"/>
            <w:vAlign w:val="center"/>
            <w:hideMark/>
          </w:tcPr>
          <w:p w14:paraId="4D4E0F99"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150</w:t>
            </w:r>
          </w:p>
        </w:tc>
        <w:tc>
          <w:tcPr>
            <w:tcW w:w="863" w:type="dxa"/>
            <w:shd w:val="clear" w:color="auto" w:fill="FFFFFF" w:themeFill="background1"/>
            <w:vAlign w:val="center"/>
            <w:hideMark/>
          </w:tcPr>
          <w:p w14:paraId="46B931B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572595</w:t>
            </w:r>
          </w:p>
        </w:tc>
        <w:tc>
          <w:tcPr>
            <w:tcW w:w="534" w:type="dxa"/>
            <w:shd w:val="clear" w:color="auto" w:fill="FFFFFF" w:themeFill="background1"/>
            <w:vAlign w:val="center"/>
            <w:hideMark/>
          </w:tcPr>
          <w:p w14:paraId="49B5A1E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156</w:t>
            </w:r>
          </w:p>
        </w:tc>
      </w:tr>
      <w:tr w:rsidR="00045716" w:rsidRPr="00045716" w14:paraId="6EAB75EE" w14:textId="77777777" w:rsidTr="00045716">
        <w:trPr>
          <w:trHeight w:val="732"/>
        </w:trPr>
        <w:tc>
          <w:tcPr>
            <w:tcW w:w="2094" w:type="dxa"/>
            <w:shd w:val="clear" w:color="auto" w:fill="FFFFFF" w:themeFill="background1"/>
            <w:hideMark/>
          </w:tcPr>
          <w:p w14:paraId="06ACDE12" w14:textId="4182F2C8"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Protecție socială în cazuri excepționale (ajutor social, ajutor pentru perioada rece a anului)</w:t>
            </w:r>
          </w:p>
        </w:tc>
        <w:tc>
          <w:tcPr>
            <w:tcW w:w="1047" w:type="dxa"/>
            <w:shd w:val="clear" w:color="auto" w:fill="FFFFFF" w:themeFill="background1"/>
            <w:vAlign w:val="center"/>
            <w:hideMark/>
          </w:tcPr>
          <w:p w14:paraId="30D009D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194 303</w:t>
            </w:r>
          </w:p>
        </w:tc>
        <w:tc>
          <w:tcPr>
            <w:tcW w:w="1077" w:type="dxa"/>
            <w:shd w:val="clear" w:color="auto" w:fill="FFFFFF" w:themeFill="background1"/>
            <w:vAlign w:val="center"/>
            <w:hideMark/>
          </w:tcPr>
          <w:p w14:paraId="38166AE0"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227886</w:t>
            </w:r>
          </w:p>
        </w:tc>
        <w:tc>
          <w:tcPr>
            <w:tcW w:w="1077" w:type="dxa"/>
            <w:shd w:val="clear" w:color="auto" w:fill="FFFFFF" w:themeFill="background1"/>
            <w:vAlign w:val="center"/>
            <w:hideMark/>
          </w:tcPr>
          <w:p w14:paraId="4F0EF12F"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260933</w:t>
            </w:r>
          </w:p>
        </w:tc>
        <w:tc>
          <w:tcPr>
            <w:tcW w:w="1068" w:type="dxa"/>
            <w:shd w:val="clear" w:color="auto" w:fill="FFFFFF" w:themeFill="background1"/>
            <w:vAlign w:val="center"/>
            <w:hideMark/>
          </w:tcPr>
          <w:p w14:paraId="0B4781CD"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246268</w:t>
            </w:r>
          </w:p>
        </w:tc>
        <w:tc>
          <w:tcPr>
            <w:tcW w:w="851" w:type="dxa"/>
            <w:shd w:val="clear" w:color="auto" w:fill="FFFFFF" w:themeFill="background1"/>
            <w:vAlign w:val="center"/>
            <w:hideMark/>
          </w:tcPr>
          <w:p w14:paraId="514B544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-14665</w:t>
            </w:r>
          </w:p>
        </w:tc>
        <w:tc>
          <w:tcPr>
            <w:tcW w:w="717" w:type="dxa"/>
            <w:shd w:val="clear" w:color="auto" w:fill="FFFFFF" w:themeFill="background1"/>
            <w:vAlign w:val="center"/>
            <w:hideMark/>
          </w:tcPr>
          <w:p w14:paraId="51EC706C"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94.4</w:t>
            </w:r>
          </w:p>
        </w:tc>
        <w:tc>
          <w:tcPr>
            <w:tcW w:w="843" w:type="dxa"/>
            <w:shd w:val="clear" w:color="auto" w:fill="FFFFFF" w:themeFill="background1"/>
            <w:vAlign w:val="center"/>
            <w:hideMark/>
          </w:tcPr>
          <w:p w14:paraId="76A1B027"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33047</w:t>
            </w:r>
          </w:p>
        </w:tc>
        <w:tc>
          <w:tcPr>
            <w:tcW w:w="534" w:type="dxa"/>
            <w:shd w:val="clear" w:color="auto" w:fill="FFFFFF" w:themeFill="background1"/>
            <w:vAlign w:val="center"/>
            <w:hideMark/>
          </w:tcPr>
          <w:p w14:paraId="33EFCEF7"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115</w:t>
            </w:r>
          </w:p>
        </w:tc>
        <w:tc>
          <w:tcPr>
            <w:tcW w:w="863" w:type="dxa"/>
            <w:shd w:val="clear" w:color="auto" w:fill="FFFFFF" w:themeFill="background1"/>
            <w:vAlign w:val="center"/>
            <w:hideMark/>
          </w:tcPr>
          <w:p w14:paraId="11E3AAE2"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66630</w:t>
            </w:r>
          </w:p>
        </w:tc>
        <w:tc>
          <w:tcPr>
            <w:tcW w:w="534" w:type="dxa"/>
            <w:shd w:val="clear" w:color="auto" w:fill="FFFFFF" w:themeFill="background1"/>
            <w:vAlign w:val="center"/>
            <w:hideMark/>
          </w:tcPr>
          <w:p w14:paraId="661F48B6"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134</w:t>
            </w:r>
          </w:p>
        </w:tc>
      </w:tr>
      <w:tr w:rsidR="00045716" w:rsidRPr="00045716" w14:paraId="69BF9A88" w14:textId="77777777" w:rsidTr="00045716">
        <w:trPr>
          <w:trHeight w:val="1512"/>
        </w:trPr>
        <w:tc>
          <w:tcPr>
            <w:tcW w:w="2094" w:type="dxa"/>
            <w:shd w:val="clear" w:color="auto" w:fill="FFFFFF" w:themeFill="background1"/>
            <w:hideMark/>
          </w:tcPr>
          <w:p w14:paraId="42D81017" w14:textId="57A8BCB8" w:rsidR="00045716" w:rsidRPr="00045716" w:rsidRDefault="00045716" w:rsidP="00045716">
            <w:pPr>
              <w:spacing w:after="0" w:line="240" w:lineRule="auto"/>
              <w:jc w:val="both"/>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Protecția socială a unor categorii de cetățeni (indemnizație viageră sportivilor de performanță, care s-au retras din activitatea de sport, asigurarea la tratament balneo-sanatorial etc.)</w:t>
            </w:r>
          </w:p>
        </w:tc>
        <w:tc>
          <w:tcPr>
            <w:tcW w:w="1047" w:type="dxa"/>
            <w:shd w:val="clear" w:color="auto" w:fill="FFFFFF" w:themeFill="background1"/>
            <w:vAlign w:val="center"/>
            <w:hideMark/>
          </w:tcPr>
          <w:p w14:paraId="75EE1A1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75 847</w:t>
            </w:r>
          </w:p>
        </w:tc>
        <w:tc>
          <w:tcPr>
            <w:tcW w:w="1077" w:type="dxa"/>
            <w:shd w:val="clear" w:color="auto" w:fill="FFFFFF" w:themeFill="background1"/>
            <w:vAlign w:val="center"/>
            <w:hideMark/>
          </w:tcPr>
          <w:p w14:paraId="4A6BFF75"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74546</w:t>
            </w:r>
          </w:p>
        </w:tc>
        <w:tc>
          <w:tcPr>
            <w:tcW w:w="1077" w:type="dxa"/>
            <w:shd w:val="clear" w:color="auto" w:fill="FFFFFF" w:themeFill="background1"/>
            <w:vAlign w:val="center"/>
            <w:hideMark/>
          </w:tcPr>
          <w:p w14:paraId="2C34055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67448</w:t>
            </w:r>
          </w:p>
        </w:tc>
        <w:tc>
          <w:tcPr>
            <w:tcW w:w="1068" w:type="dxa"/>
            <w:shd w:val="clear" w:color="auto" w:fill="FFFFFF" w:themeFill="background1"/>
            <w:vAlign w:val="center"/>
            <w:hideMark/>
          </w:tcPr>
          <w:p w14:paraId="62BDD2A4"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71183</w:t>
            </w:r>
          </w:p>
        </w:tc>
        <w:tc>
          <w:tcPr>
            <w:tcW w:w="851" w:type="dxa"/>
            <w:shd w:val="clear" w:color="auto" w:fill="FFFFFF" w:themeFill="background1"/>
            <w:vAlign w:val="center"/>
            <w:hideMark/>
          </w:tcPr>
          <w:p w14:paraId="2746B6F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3735</w:t>
            </w:r>
          </w:p>
        </w:tc>
        <w:tc>
          <w:tcPr>
            <w:tcW w:w="717" w:type="dxa"/>
            <w:shd w:val="clear" w:color="auto" w:fill="FFFFFF" w:themeFill="background1"/>
            <w:vAlign w:val="center"/>
            <w:hideMark/>
          </w:tcPr>
          <w:p w14:paraId="5EE61651"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105.5</w:t>
            </w:r>
          </w:p>
        </w:tc>
        <w:tc>
          <w:tcPr>
            <w:tcW w:w="843" w:type="dxa"/>
            <w:shd w:val="clear" w:color="auto" w:fill="FFFFFF" w:themeFill="background1"/>
            <w:vAlign w:val="center"/>
            <w:hideMark/>
          </w:tcPr>
          <w:p w14:paraId="3BF3138B"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-7399</w:t>
            </w:r>
          </w:p>
        </w:tc>
        <w:tc>
          <w:tcPr>
            <w:tcW w:w="534" w:type="dxa"/>
            <w:shd w:val="clear" w:color="auto" w:fill="FFFFFF" w:themeFill="background1"/>
            <w:vAlign w:val="center"/>
            <w:hideMark/>
          </w:tcPr>
          <w:p w14:paraId="77418778"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90.1</w:t>
            </w:r>
          </w:p>
        </w:tc>
        <w:tc>
          <w:tcPr>
            <w:tcW w:w="863" w:type="dxa"/>
            <w:shd w:val="clear" w:color="auto" w:fill="FFFFFF" w:themeFill="background1"/>
            <w:vAlign w:val="center"/>
            <w:hideMark/>
          </w:tcPr>
          <w:p w14:paraId="27F70DD7"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-8399</w:t>
            </w:r>
          </w:p>
        </w:tc>
        <w:tc>
          <w:tcPr>
            <w:tcW w:w="534" w:type="dxa"/>
            <w:shd w:val="clear" w:color="auto" w:fill="FFFFFF" w:themeFill="background1"/>
            <w:vAlign w:val="center"/>
            <w:hideMark/>
          </w:tcPr>
          <w:p w14:paraId="4BDAC5B3" w14:textId="77777777" w:rsidR="00045716" w:rsidRPr="00045716" w:rsidRDefault="00045716" w:rsidP="00045716">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88.9</w:t>
            </w:r>
          </w:p>
        </w:tc>
      </w:tr>
      <w:tr w:rsidR="00045716" w:rsidRPr="00045716" w14:paraId="56670EB1" w14:textId="77777777" w:rsidTr="00045716">
        <w:trPr>
          <w:trHeight w:val="300"/>
        </w:trPr>
        <w:tc>
          <w:tcPr>
            <w:tcW w:w="2094" w:type="dxa"/>
            <w:shd w:val="clear" w:color="auto" w:fill="FFFFFF" w:themeFill="background1"/>
            <w:hideMark/>
          </w:tcPr>
          <w:p w14:paraId="76985421" w14:textId="77777777" w:rsidR="00045716" w:rsidRPr="00045716" w:rsidRDefault="00045716" w:rsidP="00045716">
            <w:pPr>
              <w:spacing w:after="0" w:line="240" w:lineRule="auto"/>
              <w:jc w:val="both"/>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TOTAL</w:t>
            </w:r>
          </w:p>
        </w:tc>
        <w:tc>
          <w:tcPr>
            <w:tcW w:w="1047" w:type="dxa"/>
            <w:shd w:val="clear" w:color="auto" w:fill="FFFFFF" w:themeFill="background1"/>
            <w:vAlign w:val="center"/>
            <w:hideMark/>
          </w:tcPr>
          <w:p w14:paraId="4CE07870"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2 515 951</w:t>
            </w:r>
          </w:p>
        </w:tc>
        <w:tc>
          <w:tcPr>
            <w:tcW w:w="1077" w:type="dxa"/>
            <w:shd w:val="clear" w:color="auto" w:fill="FFFFFF" w:themeFill="background1"/>
            <w:vAlign w:val="center"/>
            <w:hideMark/>
          </w:tcPr>
          <w:p w14:paraId="5A7943AB"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2 552 254</w:t>
            </w:r>
          </w:p>
        </w:tc>
        <w:tc>
          <w:tcPr>
            <w:tcW w:w="1077" w:type="dxa"/>
            <w:shd w:val="clear" w:color="auto" w:fill="FFFFFF" w:themeFill="background1"/>
            <w:vAlign w:val="center"/>
            <w:hideMark/>
          </w:tcPr>
          <w:p w14:paraId="7925CEEF"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3089437</w:t>
            </w:r>
          </w:p>
        </w:tc>
        <w:tc>
          <w:tcPr>
            <w:tcW w:w="1068" w:type="dxa"/>
            <w:shd w:val="clear" w:color="auto" w:fill="FFFFFF" w:themeFill="background1"/>
            <w:vAlign w:val="center"/>
            <w:hideMark/>
          </w:tcPr>
          <w:p w14:paraId="3A80A288" w14:textId="6F5713BE"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2 376 185</w:t>
            </w:r>
          </w:p>
        </w:tc>
        <w:tc>
          <w:tcPr>
            <w:tcW w:w="851" w:type="dxa"/>
            <w:shd w:val="clear" w:color="auto" w:fill="FFFFFF" w:themeFill="background1"/>
            <w:vAlign w:val="center"/>
            <w:hideMark/>
          </w:tcPr>
          <w:p w14:paraId="73E8110C"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-713252</w:t>
            </w:r>
          </w:p>
        </w:tc>
        <w:tc>
          <w:tcPr>
            <w:tcW w:w="717" w:type="dxa"/>
            <w:shd w:val="clear" w:color="auto" w:fill="FFFFFF" w:themeFill="background1"/>
            <w:vAlign w:val="center"/>
            <w:hideMark/>
          </w:tcPr>
          <w:p w14:paraId="28E2EACD"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76.9</w:t>
            </w:r>
          </w:p>
        </w:tc>
        <w:tc>
          <w:tcPr>
            <w:tcW w:w="843" w:type="dxa"/>
            <w:shd w:val="clear" w:color="auto" w:fill="FFFFFF" w:themeFill="background1"/>
            <w:vAlign w:val="center"/>
            <w:hideMark/>
          </w:tcPr>
          <w:p w14:paraId="2456949D"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537183</w:t>
            </w:r>
          </w:p>
        </w:tc>
        <w:tc>
          <w:tcPr>
            <w:tcW w:w="534" w:type="dxa"/>
            <w:shd w:val="clear" w:color="auto" w:fill="FFFFFF" w:themeFill="background1"/>
            <w:vAlign w:val="center"/>
            <w:hideMark/>
          </w:tcPr>
          <w:p w14:paraId="28901238"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121</w:t>
            </w:r>
          </w:p>
        </w:tc>
        <w:tc>
          <w:tcPr>
            <w:tcW w:w="863" w:type="dxa"/>
            <w:shd w:val="clear" w:color="auto" w:fill="FFFFFF" w:themeFill="background1"/>
            <w:vAlign w:val="center"/>
            <w:hideMark/>
          </w:tcPr>
          <w:p w14:paraId="3A17B740"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573486</w:t>
            </w:r>
          </w:p>
        </w:tc>
        <w:tc>
          <w:tcPr>
            <w:tcW w:w="534" w:type="dxa"/>
            <w:shd w:val="clear" w:color="auto" w:fill="FFFFFF" w:themeFill="background1"/>
            <w:vAlign w:val="center"/>
            <w:hideMark/>
          </w:tcPr>
          <w:p w14:paraId="3ADDE1F9" w14:textId="77777777" w:rsidR="00045716" w:rsidRPr="00045716" w:rsidRDefault="00045716" w:rsidP="00045716">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123</w:t>
            </w:r>
          </w:p>
        </w:tc>
      </w:tr>
    </w:tbl>
    <w:p w14:paraId="4AAB84D3" w14:textId="7F5CC56B" w:rsidR="00CD2A08" w:rsidRPr="00E82CC1" w:rsidRDefault="00CD2A08" w:rsidP="00CD2A08">
      <w:pPr>
        <w:spacing w:after="0" w:line="276" w:lineRule="auto"/>
        <w:jc w:val="both"/>
        <w:rPr>
          <w:rFonts w:ascii="Calibri" w:eastAsia="Calibri" w:hAnsi="Calibri" w:cs="Times New Roman"/>
          <w:lang w:val="ro-RO"/>
        </w:rPr>
      </w:pPr>
      <w:r w:rsidRPr="00E82CC1">
        <w:rPr>
          <w:rFonts w:ascii="Calibri Light" w:eastAsia="Calibri" w:hAnsi="Calibri Light" w:cs="Calibri Light"/>
          <w:b/>
          <w:bCs/>
          <w:i/>
          <w:sz w:val="20"/>
          <w:szCs w:val="20"/>
          <w:lang w:val="ro-RO"/>
        </w:rPr>
        <w:t>Sursă:</w:t>
      </w:r>
      <w:r w:rsidRPr="00E82CC1">
        <w:rPr>
          <w:rFonts w:ascii="Calibri Light" w:eastAsia="Calibri" w:hAnsi="Calibri Light" w:cs="Calibri Light"/>
          <w:i/>
          <w:sz w:val="20"/>
          <w:szCs w:val="20"/>
          <w:lang w:val="ro-RO"/>
        </w:rPr>
        <w:t xml:space="preserve"> Raportul privind îndeplinirea planului de contingente, beneficiarii plăților și mărimea acestora din bugetul asigurărilor sociale de stat (Formularul nr.5 CNAS pentru an</w:t>
      </w:r>
      <w:r w:rsidR="00367C59">
        <w:rPr>
          <w:rFonts w:ascii="Calibri Light" w:eastAsia="Calibri" w:hAnsi="Calibri Light" w:cs="Calibri Light"/>
          <w:i/>
          <w:sz w:val="20"/>
          <w:szCs w:val="20"/>
          <w:lang w:val="ro-RO"/>
        </w:rPr>
        <w:t>ii</w:t>
      </w:r>
      <w:r w:rsidRPr="00E82CC1">
        <w:rPr>
          <w:rFonts w:ascii="Calibri Light" w:eastAsia="Calibri" w:hAnsi="Calibri Light" w:cs="Calibri Light"/>
          <w:i/>
          <w:sz w:val="20"/>
          <w:szCs w:val="20"/>
          <w:lang w:val="ro-RO"/>
        </w:rPr>
        <w:t xml:space="preserve"> 2018,</w:t>
      </w:r>
      <w:r w:rsidR="00367C59">
        <w:rPr>
          <w:rFonts w:ascii="Calibri Light" w:eastAsia="Calibri" w:hAnsi="Calibri Light" w:cs="Calibri Light"/>
          <w:i/>
          <w:sz w:val="20"/>
          <w:szCs w:val="20"/>
          <w:lang w:val="ro-RO"/>
        </w:rPr>
        <w:t xml:space="preserve"> </w:t>
      </w:r>
      <w:r w:rsidRPr="00E82CC1">
        <w:rPr>
          <w:rFonts w:ascii="Calibri Light" w:eastAsia="Calibri" w:hAnsi="Calibri Light" w:cs="Calibri Light"/>
          <w:i/>
          <w:sz w:val="20"/>
          <w:szCs w:val="20"/>
          <w:lang w:val="ro-RO"/>
        </w:rPr>
        <w:t>2019,</w:t>
      </w:r>
      <w:r w:rsidR="00367C59">
        <w:rPr>
          <w:rFonts w:ascii="Calibri Light" w:eastAsia="Calibri" w:hAnsi="Calibri Light" w:cs="Calibri Light"/>
          <w:i/>
          <w:sz w:val="20"/>
          <w:szCs w:val="20"/>
          <w:lang w:val="ro-RO"/>
        </w:rPr>
        <w:t xml:space="preserve"> </w:t>
      </w:r>
      <w:r w:rsidRPr="00E82CC1">
        <w:rPr>
          <w:rFonts w:ascii="Calibri Light" w:eastAsia="Calibri" w:hAnsi="Calibri Light" w:cs="Calibri Light"/>
          <w:i/>
          <w:sz w:val="20"/>
          <w:szCs w:val="20"/>
          <w:lang w:val="ro-RO"/>
        </w:rPr>
        <w:t>2020 și 2021</w:t>
      </w:r>
      <w:r w:rsidR="00367C59">
        <w:rPr>
          <w:rFonts w:ascii="Calibri Light" w:eastAsia="Calibri" w:hAnsi="Calibri Light" w:cs="Calibri Light"/>
          <w:i/>
          <w:sz w:val="20"/>
          <w:szCs w:val="20"/>
          <w:lang w:val="ro-RO"/>
        </w:rPr>
        <w:t>).</w:t>
      </w:r>
    </w:p>
    <w:p w14:paraId="31137B67" w14:textId="77777777" w:rsidR="00671428" w:rsidRPr="00E82CC1" w:rsidRDefault="00671428" w:rsidP="00671428">
      <w:pPr>
        <w:jc w:val="right"/>
        <w:rPr>
          <w:rFonts w:asciiTheme="majorHAnsi" w:hAnsiTheme="majorHAnsi" w:cstheme="majorHAnsi"/>
          <w:sz w:val="24"/>
          <w:szCs w:val="24"/>
          <w:lang w:val="ro-RO"/>
        </w:rPr>
        <w:sectPr w:rsidR="00671428" w:rsidRPr="00E82CC1" w:rsidSect="00D470AF">
          <w:pgSz w:w="12240" w:h="15840"/>
          <w:pgMar w:top="1138" w:right="850" w:bottom="1138" w:left="1354" w:header="720" w:footer="720" w:gutter="0"/>
          <w:cols w:space="720"/>
          <w:docGrid w:linePitch="360"/>
        </w:sectPr>
      </w:pPr>
      <w:r w:rsidRPr="00E82CC1">
        <w:rPr>
          <w:rFonts w:asciiTheme="majorHAnsi" w:hAnsiTheme="majorHAnsi" w:cstheme="majorHAnsi"/>
          <w:sz w:val="24"/>
          <w:szCs w:val="24"/>
          <w:lang w:val="ro-RO"/>
        </w:rPr>
        <w:br w:type="page"/>
      </w:r>
    </w:p>
    <w:p w14:paraId="5371F5B5" w14:textId="5C2FA174" w:rsidR="00671428" w:rsidRPr="008F0132" w:rsidRDefault="00671428" w:rsidP="008F0132">
      <w:pPr>
        <w:pStyle w:val="2"/>
        <w:jc w:val="right"/>
        <w:rPr>
          <w:rFonts w:cstheme="majorHAnsi"/>
          <w:b/>
          <w:color w:val="000000" w:themeColor="text1"/>
          <w:sz w:val="24"/>
          <w:szCs w:val="24"/>
          <w:lang w:val="ro-RO"/>
        </w:rPr>
      </w:pPr>
      <w:r w:rsidRPr="008F0132">
        <w:rPr>
          <w:rFonts w:cstheme="majorHAnsi"/>
          <w:b/>
          <w:color w:val="000000" w:themeColor="text1"/>
          <w:sz w:val="24"/>
          <w:szCs w:val="24"/>
          <w:lang w:val="ro-RO"/>
        </w:rPr>
        <w:t>Anexa nr. 1</w:t>
      </w:r>
      <w:r w:rsidR="00590DF4">
        <w:rPr>
          <w:rFonts w:cstheme="majorHAnsi"/>
          <w:b/>
          <w:color w:val="000000" w:themeColor="text1"/>
          <w:sz w:val="24"/>
          <w:szCs w:val="24"/>
          <w:lang w:val="ro-RO"/>
        </w:rPr>
        <w:t>4</w:t>
      </w:r>
    </w:p>
    <w:p w14:paraId="55EC120B" w14:textId="77777777" w:rsidR="00671428" w:rsidRPr="00E82CC1" w:rsidRDefault="00671428" w:rsidP="00671428">
      <w:pPr>
        <w:jc w:val="center"/>
        <w:rPr>
          <w:rFonts w:asciiTheme="majorHAnsi" w:hAnsiTheme="majorHAnsi" w:cstheme="majorHAnsi"/>
          <w:b/>
          <w:sz w:val="24"/>
          <w:szCs w:val="24"/>
          <w:lang w:val="ro-RO"/>
        </w:rPr>
      </w:pPr>
      <w:r w:rsidRPr="00E82CC1">
        <w:rPr>
          <w:rFonts w:asciiTheme="majorHAnsi" w:hAnsiTheme="majorHAnsi" w:cstheme="majorHAnsi"/>
          <w:b/>
          <w:sz w:val="24"/>
          <w:szCs w:val="24"/>
          <w:lang w:val="ro-RO"/>
        </w:rPr>
        <w:t>Analiza implementării celor mai importante recomandări înaintate de Curtea de Conturi</w:t>
      </w:r>
    </w:p>
    <w:tbl>
      <w:tblPr>
        <w:tblW w:w="144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6"/>
        <w:gridCol w:w="8190"/>
        <w:gridCol w:w="810"/>
        <w:gridCol w:w="900"/>
        <w:gridCol w:w="990"/>
      </w:tblGrid>
      <w:tr w:rsidR="00671428" w:rsidRPr="00E82CC1" w14:paraId="18D0F170" w14:textId="77777777" w:rsidTr="00045716">
        <w:trPr>
          <w:trHeight w:val="20"/>
        </w:trPr>
        <w:tc>
          <w:tcPr>
            <w:tcW w:w="604" w:type="dxa"/>
            <w:vMerge w:val="restart"/>
            <w:shd w:val="clear" w:color="auto" w:fill="FFFFFF" w:themeFill="background1"/>
            <w:noWrap/>
            <w:vAlign w:val="center"/>
            <w:hideMark/>
          </w:tcPr>
          <w:p w14:paraId="479DFDFF"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Nr.</w:t>
            </w:r>
          </w:p>
        </w:tc>
        <w:tc>
          <w:tcPr>
            <w:tcW w:w="2906" w:type="dxa"/>
            <w:vMerge w:val="restart"/>
            <w:shd w:val="clear" w:color="auto" w:fill="FFFFFF" w:themeFill="background1"/>
            <w:vAlign w:val="center"/>
            <w:hideMark/>
          </w:tcPr>
          <w:p w14:paraId="1325F00A" w14:textId="77777777" w:rsidR="00671428" w:rsidRPr="00E82CC1" w:rsidRDefault="00671428" w:rsidP="00CA7E11">
            <w:pPr>
              <w:spacing w:after="0" w:line="240" w:lineRule="auto"/>
              <w:jc w:val="center"/>
              <w:rPr>
                <w:rFonts w:asciiTheme="majorHAnsi" w:eastAsia="Times New Roman" w:hAnsiTheme="majorHAnsi" w:cstheme="majorHAnsi"/>
                <w:bCs/>
                <w:sz w:val="18"/>
                <w:szCs w:val="18"/>
                <w:lang w:val="ro-RO"/>
              </w:rPr>
            </w:pPr>
            <w:r w:rsidRPr="00E82CC1">
              <w:rPr>
                <w:rFonts w:asciiTheme="majorHAnsi" w:eastAsia="Times New Roman" w:hAnsiTheme="majorHAnsi" w:cstheme="majorHAnsi"/>
                <w:bCs/>
                <w:sz w:val="18"/>
                <w:szCs w:val="18"/>
                <w:lang w:val="ro-RO"/>
              </w:rPr>
              <w:t>Recomandarea</w:t>
            </w:r>
          </w:p>
        </w:tc>
        <w:tc>
          <w:tcPr>
            <w:tcW w:w="8190" w:type="dxa"/>
            <w:vMerge w:val="restart"/>
            <w:shd w:val="clear" w:color="auto" w:fill="FFFFFF" w:themeFill="background1"/>
            <w:vAlign w:val="center"/>
            <w:hideMark/>
          </w:tcPr>
          <w:p w14:paraId="31765F4A"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Măsurile întreprinse</w:t>
            </w:r>
          </w:p>
        </w:tc>
        <w:tc>
          <w:tcPr>
            <w:tcW w:w="2700" w:type="dxa"/>
            <w:gridSpan w:val="3"/>
            <w:shd w:val="clear" w:color="auto" w:fill="FFFFFF" w:themeFill="background1"/>
          </w:tcPr>
          <w:p w14:paraId="25326171"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Statutul implementării recomandării</w:t>
            </w:r>
          </w:p>
        </w:tc>
      </w:tr>
      <w:tr w:rsidR="00671428" w:rsidRPr="00E82CC1" w14:paraId="01F133E7" w14:textId="77777777" w:rsidTr="00045716">
        <w:trPr>
          <w:trHeight w:val="20"/>
        </w:trPr>
        <w:tc>
          <w:tcPr>
            <w:tcW w:w="604" w:type="dxa"/>
            <w:vMerge/>
            <w:shd w:val="clear" w:color="auto" w:fill="FFFFFF" w:themeFill="background1"/>
            <w:noWrap/>
            <w:vAlign w:val="center"/>
          </w:tcPr>
          <w:p w14:paraId="22CB10CF"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2906" w:type="dxa"/>
            <w:vMerge/>
            <w:shd w:val="clear" w:color="auto" w:fill="FFFFFF" w:themeFill="background1"/>
          </w:tcPr>
          <w:p w14:paraId="635094BD"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8190" w:type="dxa"/>
            <w:vMerge/>
            <w:shd w:val="clear" w:color="auto" w:fill="FFFFFF" w:themeFill="background1"/>
          </w:tcPr>
          <w:p w14:paraId="2566F1B3"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810" w:type="dxa"/>
            <w:shd w:val="clear" w:color="auto" w:fill="FFFFFF" w:themeFill="background1"/>
          </w:tcPr>
          <w:p w14:paraId="79532E19"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Realizat</w:t>
            </w:r>
          </w:p>
        </w:tc>
        <w:tc>
          <w:tcPr>
            <w:tcW w:w="900" w:type="dxa"/>
            <w:shd w:val="clear" w:color="auto" w:fill="FFFFFF" w:themeFill="background1"/>
          </w:tcPr>
          <w:p w14:paraId="071C7FA1"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Parțial</w:t>
            </w:r>
          </w:p>
          <w:p w14:paraId="6B58F16B"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xml:space="preserve"> realizat</w:t>
            </w:r>
          </w:p>
        </w:tc>
        <w:tc>
          <w:tcPr>
            <w:tcW w:w="990" w:type="dxa"/>
            <w:shd w:val="clear" w:color="auto" w:fill="FFFFFF" w:themeFill="background1"/>
          </w:tcPr>
          <w:p w14:paraId="4E327CF9"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Nerealizat</w:t>
            </w:r>
          </w:p>
        </w:tc>
      </w:tr>
      <w:tr w:rsidR="00671428" w:rsidRPr="00E82CC1" w14:paraId="27350E0C" w14:textId="77777777" w:rsidTr="00045716">
        <w:trPr>
          <w:trHeight w:val="20"/>
        </w:trPr>
        <w:tc>
          <w:tcPr>
            <w:tcW w:w="14400" w:type="dxa"/>
            <w:gridSpan w:val="6"/>
            <w:shd w:val="clear" w:color="auto" w:fill="C5E0B3" w:themeFill="accent6" w:themeFillTint="66"/>
            <w:noWrap/>
          </w:tcPr>
          <w:p w14:paraId="1D60D76C" w14:textId="77777777" w:rsidR="00671428" w:rsidRPr="00E82CC1" w:rsidRDefault="00671428" w:rsidP="00CA7E11">
            <w:pPr>
              <w:spacing w:after="0" w:line="240" w:lineRule="auto"/>
              <w:rPr>
                <w:rFonts w:asciiTheme="majorHAnsi" w:eastAsia="Times New Roman" w:hAnsiTheme="majorHAnsi" w:cstheme="majorHAnsi"/>
                <w:b/>
                <w:bCs/>
                <w:i/>
                <w:iCs/>
                <w:sz w:val="18"/>
                <w:szCs w:val="18"/>
                <w:lang w:val="ro-RO"/>
              </w:rPr>
            </w:pPr>
            <w:r w:rsidRPr="00E82CC1">
              <w:rPr>
                <w:rFonts w:asciiTheme="majorHAnsi" w:hAnsiTheme="majorHAnsi" w:cstheme="majorHAnsi"/>
                <w:b/>
                <w:i/>
                <w:sz w:val="18"/>
                <w:szCs w:val="18"/>
                <w:lang w:val="ro-RO"/>
              </w:rPr>
              <w:t xml:space="preserve">                Recomandare Ministerului Finanțelor</w:t>
            </w:r>
          </w:p>
        </w:tc>
      </w:tr>
      <w:tr w:rsidR="00671428" w:rsidRPr="00E82CC1" w14:paraId="42222174" w14:textId="77777777" w:rsidTr="00045716">
        <w:trPr>
          <w:trHeight w:val="20"/>
        </w:trPr>
        <w:tc>
          <w:tcPr>
            <w:tcW w:w="604" w:type="dxa"/>
            <w:shd w:val="clear" w:color="auto" w:fill="auto"/>
            <w:noWrap/>
            <w:vAlign w:val="center"/>
          </w:tcPr>
          <w:p w14:paraId="3968BB9A" w14:textId="7416C36F"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w:t>
            </w:r>
          </w:p>
        </w:tc>
        <w:tc>
          <w:tcPr>
            <w:tcW w:w="2906" w:type="dxa"/>
            <w:shd w:val="clear" w:color="auto" w:fill="auto"/>
          </w:tcPr>
          <w:p w14:paraId="01F1C33D" w14:textId="250E8D43" w:rsidR="00671428" w:rsidRPr="00E82CC1" w:rsidRDefault="00671428" w:rsidP="00AD7434">
            <w:pPr>
              <w:pStyle w:val="a9"/>
              <w:numPr>
                <w:ilvl w:val="0"/>
                <w:numId w:val="36"/>
              </w:numPr>
              <w:spacing w:after="0" w:line="240" w:lineRule="auto"/>
              <w:ind w:left="0" w:firstLine="0"/>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evalueze și să includă, de comun cu Casa Națională de Asigurări Sociale, completarea Normelor metodologice aferente modului de întocmire a Rapoartelor privind executarea bugetului asigurărilor sociale de stat, cu proceduri distincte de reflectare completă a veniturilor</w:t>
            </w:r>
          </w:p>
        </w:tc>
        <w:tc>
          <w:tcPr>
            <w:tcW w:w="8190" w:type="dxa"/>
            <w:shd w:val="clear" w:color="auto" w:fill="auto"/>
          </w:tcPr>
          <w:p w14:paraId="32DBA8CB" w14:textId="77777777" w:rsidR="00671428" w:rsidRPr="00E82CC1" w:rsidRDefault="00671428" w:rsidP="00CA7E11">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Scrisoarea MF nr. 05-10/10 din 03.02.2022: </w:t>
            </w:r>
          </w:p>
          <w:p w14:paraId="2FE73EFA" w14:textId="67ADE11C" w:rsidR="00671428" w:rsidRPr="00E82CC1" w:rsidRDefault="00671428" w:rsidP="00EE6CAD">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a fost aprobat Ordinul </w:t>
            </w:r>
            <w:r w:rsidR="00AD7434">
              <w:rPr>
                <w:rFonts w:asciiTheme="majorHAnsi" w:eastAsia="Times New Roman" w:hAnsiTheme="majorHAnsi" w:cstheme="majorHAnsi"/>
                <w:sz w:val="18"/>
                <w:szCs w:val="18"/>
                <w:lang w:val="ro-RO"/>
              </w:rPr>
              <w:t>m</w:t>
            </w:r>
            <w:r w:rsidRPr="00E82CC1">
              <w:rPr>
                <w:rFonts w:asciiTheme="majorHAnsi" w:eastAsia="Times New Roman" w:hAnsiTheme="majorHAnsi" w:cstheme="majorHAnsi"/>
                <w:sz w:val="18"/>
                <w:szCs w:val="18"/>
                <w:lang w:val="ro-RO"/>
              </w:rPr>
              <w:t>inistrului Finanțelor nr. 160 din 30.12.2021 privind modificarea Ordinului nr. 38 din 17.02.2017 cu privire la aprobarea formularelor Rapoartelor privind executarea bugetului asigurărilor sociale de stat şi Normelor metodologice privind modul de întocmire a acestora care prevede includerea Formularului nr.4.2 CNAS</w:t>
            </w:r>
            <w:r w:rsidR="00AD7434">
              <w:rPr>
                <w:rFonts w:asciiTheme="majorHAnsi" w:eastAsia="Times New Roman" w:hAnsiTheme="majorHAnsi" w:cstheme="majorHAnsi"/>
                <w:sz w:val="18"/>
                <w:szCs w:val="18"/>
                <w:lang w:val="ro-RO"/>
              </w:rPr>
              <w:t>.</w:t>
            </w:r>
            <w:r w:rsidRPr="00E82CC1">
              <w:rPr>
                <w:rFonts w:asciiTheme="majorHAnsi" w:eastAsia="Times New Roman" w:hAnsiTheme="majorHAnsi" w:cstheme="majorHAnsi"/>
                <w:sz w:val="18"/>
                <w:szCs w:val="18"/>
                <w:lang w:val="ro-RO"/>
              </w:rPr>
              <w:t xml:space="preserve"> Raport privind executarea bugetului asigurărilor sociale de stat la partea de venituri</w:t>
            </w:r>
          </w:p>
        </w:tc>
        <w:tc>
          <w:tcPr>
            <w:tcW w:w="810" w:type="dxa"/>
            <w:shd w:val="clear" w:color="auto" w:fill="auto"/>
          </w:tcPr>
          <w:p w14:paraId="5567D562"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00" w:type="dxa"/>
            <w:shd w:val="clear" w:color="auto" w:fill="auto"/>
          </w:tcPr>
          <w:p w14:paraId="0B720545" w14:textId="77777777" w:rsidR="00671428" w:rsidRPr="00E82CC1" w:rsidRDefault="00671428" w:rsidP="00CA7E11">
            <w:pPr>
              <w:spacing w:after="0" w:line="240" w:lineRule="auto"/>
              <w:rPr>
                <w:rFonts w:asciiTheme="majorHAnsi" w:eastAsia="Times New Roman" w:hAnsiTheme="majorHAnsi" w:cstheme="majorHAnsi"/>
                <w:bCs/>
                <w:iCs/>
                <w:sz w:val="18"/>
                <w:szCs w:val="18"/>
                <w:lang w:val="ro-RO"/>
              </w:rPr>
            </w:pPr>
          </w:p>
        </w:tc>
        <w:tc>
          <w:tcPr>
            <w:tcW w:w="990" w:type="dxa"/>
          </w:tcPr>
          <w:p w14:paraId="3040D46D" w14:textId="77777777" w:rsidR="00671428" w:rsidRPr="00E82CC1" w:rsidRDefault="00671428" w:rsidP="00CA7E11">
            <w:pPr>
              <w:spacing w:after="0" w:line="240" w:lineRule="auto"/>
              <w:jc w:val="center"/>
              <w:rPr>
                <w:rFonts w:asciiTheme="majorHAnsi" w:eastAsia="Times New Roman" w:hAnsiTheme="majorHAnsi" w:cstheme="majorHAnsi"/>
                <w:b/>
                <w:bCs/>
                <w:iCs/>
                <w:sz w:val="18"/>
                <w:szCs w:val="18"/>
                <w:lang w:val="ro-RO"/>
              </w:rPr>
            </w:pPr>
          </w:p>
        </w:tc>
      </w:tr>
      <w:tr w:rsidR="00671428" w:rsidRPr="00E82CC1" w14:paraId="00B0E91E" w14:textId="77777777" w:rsidTr="00045716">
        <w:trPr>
          <w:trHeight w:val="20"/>
        </w:trPr>
        <w:tc>
          <w:tcPr>
            <w:tcW w:w="604" w:type="dxa"/>
            <w:shd w:val="clear" w:color="auto" w:fill="C5E0B3" w:themeFill="accent6" w:themeFillTint="66"/>
            <w:noWrap/>
            <w:vAlign w:val="center"/>
          </w:tcPr>
          <w:p w14:paraId="326A4066"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11096" w:type="dxa"/>
            <w:gridSpan w:val="2"/>
            <w:shd w:val="clear" w:color="auto" w:fill="C5E0B3" w:themeFill="accent6" w:themeFillTint="66"/>
          </w:tcPr>
          <w:p w14:paraId="31355A0E" w14:textId="77777777" w:rsidR="00671428" w:rsidRPr="00E82CC1" w:rsidRDefault="00671428" w:rsidP="00CA7E11">
            <w:pPr>
              <w:spacing w:after="0" w:line="240" w:lineRule="auto"/>
              <w:rPr>
                <w:rFonts w:asciiTheme="majorHAnsi" w:eastAsia="Times New Roman" w:hAnsiTheme="majorHAnsi" w:cstheme="majorHAnsi"/>
                <w:b/>
                <w:bCs/>
                <w:i/>
                <w:iCs/>
                <w:sz w:val="18"/>
                <w:szCs w:val="18"/>
                <w:lang w:val="ro-RO"/>
              </w:rPr>
            </w:pPr>
            <w:r w:rsidRPr="00E82CC1">
              <w:rPr>
                <w:rFonts w:asciiTheme="majorHAnsi" w:hAnsiTheme="majorHAnsi" w:cstheme="majorHAnsi"/>
                <w:b/>
                <w:i/>
                <w:sz w:val="18"/>
                <w:szCs w:val="18"/>
                <w:lang w:val="ro-RO"/>
              </w:rPr>
              <w:t>Recomandări Ministerului Sănătății, Muncii și Protecției Sociale</w:t>
            </w:r>
          </w:p>
        </w:tc>
        <w:tc>
          <w:tcPr>
            <w:tcW w:w="810" w:type="dxa"/>
            <w:shd w:val="clear" w:color="auto" w:fill="C5E0B3" w:themeFill="accent6" w:themeFillTint="66"/>
          </w:tcPr>
          <w:p w14:paraId="66CC8C1F" w14:textId="77777777" w:rsidR="00671428" w:rsidRPr="00E82CC1" w:rsidRDefault="00671428" w:rsidP="00CA7E11">
            <w:pPr>
              <w:spacing w:after="0" w:line="240" w:lineRule="auto"/>
              <w:rPr>
                <w:rFonts w:asciiTheme="majorHAnsi" w:eastAsia="Times New Roman" w:hAnsiTheme="majorHAnsi" w:cstheme="majorHAnsi"/>
                <w:b/>
                <w:bCs/>
                <w:sz w:val="18"/>
                <w:szCs w:val="18"/>
                <w:lang w:val="ro-RO"/>
              </w:rPr>
            </w:pPr>
          </w:p>
        </w:tc>
        <w:tc>
          <w:tcPr>
            <w:tcW w:w="900" w:type="dxa"/>
            <w:shd w:val="clear" w:color="auto" w:fill="C5E0B3" w:themeFill="accent6" w:themeFillTint="66"/>
          </w:tcPr>
          <w:p w14:paraId="50287493" w14:textId="77777777" w:rsidR="00671428" w:rsidRPr="00E82CC1" w:rsidRDefault="00671428" w:rsidP="00CA7E11">
            <w:pPr>
              <w:spacing w:after="0" w:line="240" w:lineRule="auto"/>
              <w:rPr>
                <w:rFonts w:asciiTheme="majorHAnsi" w:eastAsia="Times New Roman" w:hAnsiTheme="majorHAnsi" w:cstheme="majorHAnsi"/>
                <w:b/>
                <w:bCs/>
                <w:sz w:val="18"/>
                <w:szCs w:val="18"/>
                <w:lang w:val="ro-RO"/>
              </w:rPr>
            </w:pPr>
          </w:p>
        </w:tc>
        <w:tc>
          <w:tcPr>
            <w:tcW w:w="990" w:type="dxa"/>
            <w:shd w:val="clear" w:color="auto" w:fill="C5E0B3" w:themeFill="accent6" w:themeFillTint="66"/>
          </w:tcPr>
          <w:p w14:paraId="3B0D1A26" w14:textId="77777777" w:rsidR="00671428" w:rsidRPr="00E82CC1" w:rsidRDefault="00671428" w:rsidP="00CA7E11">
            <w:pPr>
              <w:spacing w:after="0" w:line="240" w:lineRule="auto"/>
              <w:rPr>
                <w:rFonts w:asciiTheme="majorHAnsi" w:eastAsia="Times New Roman" w:hAnsiTheme="majorHAnsi" w:cstheme="majorHAnsi"/>
                <w:b/>
                <w:bCs/>
                <w:sz w:val="18"/>
                <w:szCs w:val="18"/>
                <w:lang w:val="ro-RO"/>
              </w:rPr>
            </w:pPr>
          </w:p>
        </w:tc>
      </w:tr>
      <w:tr w:rsidR="00671428" w:rsidRPr="00E82CC1" w14:paraId="35EE166A" w14:textId="77777777" w:rsidTr="00045716">
        <w:trPr>
          <w:trHeight w:val="20"/>
        </w:trPr>
        <w:tc>
          <w:tcPr>
            <w:tcW w:w="604" w:type="dxa"/>
            <w:shd w:val="clear" w:color="auto" w:fill="auto"/>
            <w:noWrap/>
            <w:vAlign w:val="center"/>
          </w:tcPr>
          <w:p w14:paraId="1DEBD80D" w14:textId="231112CA"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2</w:t>
            </w:r>
          </w:p>
        </w:tc>
        <w:tc>
          <w:tcPr>
            <w:tcW w:w="2906" w:type="dxa"/>
            <w:shd w:val="clear" w:color="auto" w:fill="auto"/>
          </w:tcPr>
          <w:p w14:paraId="7BCC2E61" w14:textId="77777777" w:rsidR="00671428" w:rsidRPr="00E82CC1" w:rsidRDefault="00671428" w:rsidP="00671428">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stabilească, în actele normative, măsurile ce urmează a fi întreprinse și autoritățile responsabile, pentru asigurarea legalității constatării și recuperării de la beneficiari a plăților achitate necuvenit pentru ajutorul social și ajutorul pentru perioada rece a anului și să determine modalitățile de transmitere a informației privind plățile achitate necuvenit beneficiarilor de ajutor social şi de ajutor pentru perioada rece a anului, constatate de către organele de control abilitate, în scopul asigurării plenitudinii înregistrării şi raportării acestora de către CNAS</w:t>
            </w:r>
          </w:p>
        </w:tc>
        <w:tc>
          <w:tcPr>
            <w:tcW w:w="8190" w:type="dxa"/>
            <w:shd w:val="clear" w:color="auto" w:fill="auto"/>
          </w:tcPr>
          <w:p w14:paraId="631C4BC4" w14:textId="77777777" w:rsidR="00671428" w:rsidRPr="00E82CC1" w:rsidRDefault="00671428" w:rsidP="00CA7E11">
            <w:pPr>
              <w:spacing w:after="0"/>
              <w:jc w:val="both"/>
              <w:rPr>
                <w:rFonts w:asciiTheme="majorHAnsi" w:eastAsia="Times New Roman" w:hAnsiTheme="majorHAnsi" w:cstheme="majorHAnsi"/>
                <w:bCs/>
                <w:iCs/>
                <w:color w:val="000000" w:themeColor="text1"/>
                <w:sz w:val="18"/>
                <w:szCs w:val="18"/>
                <w:lang w:val="ro-RO"/>
              </w:rPr>
            </w:pPr>
            <w:r w:rsidRPr="00E82CC1">
              <w:rPr>
                <w:rFonts w:asciiTheme="majorHAnsi" w:eastAsia="Times New Roman" w:hAnsiTheme="majorHAnsi" w:cstheme="majorHAnsi"/>
                <w:bCs/>
                <w:iCs/>
                <w:color w:val="000000" w:themeColor="text1"/>
                <w:sz w:val="18"/>
                <w:szCs w:val="18"/>
                <w:lang w:val="ro-RO"/>
              </w:rPr>
              <w:t xml:space="preserve">Scrisoarea MSMPS nr. 12/454 din  09.02.2022: </w:t>
            </w:r>
          </w:p>
          <w:p w14:paraId="4F937E7C" w14:textId="207229B1" w:rsidR="00671428" w:rsidRPr="00E82CC1" w:rsidRDefault="00671428" w:rsidP="00593612">
            <w:pPr>
              <w:autoSpaceDE w:val="0"/>
              <w:autoSpaceDN w:val="0"/>
              <w:adjustRightInd w:val="0"/>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bCs/>
                <w:iCs/>
                <w:color w:val="000000" w:themeColor="text1"/>
                <w:sz w:val="18"/>
                <w:szCs w:val="18"/>
                <w:lang w:val="ro-RO"/>
              </w:rPr>
              <w:t xml:space="preserve">Prin Legea nr. 219/2021 pentru modificarea unor acte normative a fost aprobat cadrul normativ necesar pentru extinderea funcțională a Inspecției Sociale, introducerea competenței de a constata contravenții şi de a avea calitate procesuală activă în domeniul asistenței sociale, precum și constatarea încălcărilor de către structura teritorială de asistență socială a procedurilor în procesul acordării prestațiilor și serviciilor sociale. </w:t>
            </w:r>
            <w:r w:rsidR="00593612">
              <w:rPr>
                <w:rFonts w:asciiTheme="majorHAnsi" w:eastAsia="Times New Roman" w:hAnsiTheme="majorHAnsi" w:cstheme="majorHAnsi"/>
                <w:bCs/>
                <w:iCs/>
                <w:color w:val="000000" w:themeColor="text1"/>
                <w:sz w:val="18"/>
                <w:szCs w:val="18"/>
                <w:lang w:val="ro-RO"/>
              </w:rPr>
              <w:t>Pe</w:t>
            </w:r>
            <w:r w:rsidRPr="00E82CC1">
              <w:rPr>
                <w:rFonts w:asciiTheme="majorHAnsi" w:eastAsia="Times New Roman" w:hAnsiTheme="majorHAnsi" w:cstheme="majorHAnsi"/>
                <w:bCs/>
                <w:iCs/>
                <w:color w:val="000000" w:themeColor="text1"/>
                <w:sz w:val="18"/>
                <w:szCs w:val="18"/>
                <w:lang w:val="ro-RO"/>
              </w:rPr>
              <w:t xml:space="preserve">ntru implementarea legii menționate, </w:t>
            </w:r>
            <w:r w:rsidRPr="00E82CC1">
              <w:rPr>
                <w:rFonts w:asciiTheme="majorHAnsi" w:eastAsia="Times New Roman" w:hAnsiTheme="majorHAnsi" w:cstheme="majorHAnsi"/>
                <w:b/>
                <w:bCs/>
                <w:iCs/>
                <w:color w:val="000000" w:themeColor="text1"/>
                <w:sz w:val="18"/>
                <w:szCs w:val="18"/>
                <w:lang w:val="ro-RO"/>
              </w:rPr>
              <w:t>la moment a fost inițiat procesul de elaborare a proiectului de hotărâre de modificare a Hotărârii Guvernului nr. 802/2011 cu privire la instituirea Inspecției Sociale</w:t>
            </w:r>
          </w:p>
        </w:tc>
        <w:tc>
          <w:tcPr>
            <w:tcW w:w="810" w:type="dxa"/>
            <w:shd w:val="clear" w:color="auto" w:fill="auto"/>
          </w:tcPr>
          <w:p w14:paraId="6868448B" w14:textId="77777777" w:rsidR="00671428" w:rsidRPr="00E82CC1" w:rsidRDefault="00671428" w:rsidP="00CA7E11">
            <w:pPr>
              <w:spacing w:after="0" w:line="240" w:lineRule="auto"/>
              <w:jc w:val="center"/>
              <w:rPr>
                <w:rFonts w:asciiTheme="majorHAnsi" w:eastAsia="Times New Roman" w:hAnsiTheme="majorHAnsi" w:cstheme="majorHAnsi"/>
                <w:b/>
                <w:color w:val="FF0000"/>
                <w:sz w:val="18"/>
                <w:szCs w:val="18"/>
                <w:lang w:val="ro-RO"/>
              </w:rPr>
            </w:pPr>
          </w:p>
        </w:tc>
        <w:tc>
          <w:tcPr>
            <w:tcW w:w="900" w:type="dxa"/>
            <w:shd w:val="clear" w:color="auto" w:fill="auto"/>
          </w:tcPr>
          <w:p w14:paraId="031A7F1D" w14:textId="77777777" w:rsidR="00671428" w:rsidRPr="00E82CC1" w:rsidRDefault="00671428" w:rsidP="00CA7E11">
            <w:pPr>
              <w:spacing w:after="0" w:line="240" w:lineRule="auto"/>
              <w:jc w:val="center"/>
              <w:rPr>
                <w:rFonts w:asciiTheme="majorHAnsi" w:eastAsia="Times New Roman" w:hAnsiTheme="majorHAnsi" w:cstheme="majorHAnsi"/>
                <w:b/>
                <w:color w:val="FF0000"/>
                <w:sz w:val="18"/>
                <w:szCs w:val="18"/>
                <w:lang w:val="ro-RO"/>
              </w:rPr>
            </w:pPr>
            <w:r w:rsidRPr="00E82CC1">
              <w:rPr>
                <w:rFonts w:asciiTheme="majorHAnsi" w:eastAsia="Times New Roman" w:hAnsiTheme="majorHAnsi" w:cstheme="majorHAnsi"/>
                <w:b/>
                <w:color w:val="000000" w:themeColor="text1"/>
                <w:sz w:val="18"/>
                <w:szCs w:val="18"/>
                <w:lang w:val="ro-RO"/>
              </w:rPr>
              <w:t>V</w:t>
            </w:r>
          </w:p>
        </w:tc>
        <w:tc>
          <w:tcPr>
            <w:tcW w:w="990" w:type="dxa"/>
          </w:tcPr>
          <w:p w14:paraId="2A8B1D41"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5BAF23DC" w14:textId="77777777" w:rsidTr="00045716">
        <w:trPr>
          <w:trHeight w:val="20"/>
        </w:trPr>
        <w:tc>
          <w:tcPr>
            <w:tcW w:w="604" w:type="dxa"/>
            <w:shd w:val="clear" w:color="auto" w:fill="auto"/>
            <w:noWrap/>
            <w:vAlign w:val="center"/>
          </w:tcPr>
          <w:p w14:paraId="09DEBC26" w14:textId="5FB8473B"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3</w:t>
            </w:r>
          </w:p>
        </w:tc>
        <w:tc>
          <w:tcPr>
            <w:tcW w:w="2906" w:type="dxa"/>
            <w:shd w:val="clear" w:color="auto" w:fill="auto"/>
          </w:tcPr>
          <w:p w14:paraId="40E4B6E6" w14:textId="56B62C1D" w:rsidR="00671428" w:rsidRPr="00E82CC1" w:rsidRDefault="00671428" w:rsidP="00A53E85">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asigure accesul direcțiilor teritoriale de asistență socială la bazele de date ale instituțiilor care dețin informații privind sursele și mărimea veniturilor solicitanților de ajutoare sociale</w:t>
            </w:r>
          </w:p>
        </w:tc>
        <w:tc>
          <w:tcPr>
            <w:tcW w:w="8190" w:type="dxa"/>
            <w:shd w:val="clear" w:color="auto" w:fill="auto"/>
          </w:tcPr>
          <w:p w14:paraId="21497F21" w14:textId="77777777" w:rsidR="00671428" w:rsidRPr="00E82CC1" w:rsidRDefault="00671428" w:rsidP="00CA7E11">
            <w:pPr>
              <w:jc w:val="both"/>
              <w:rPr>
                <w:rFonts w:asciiTheme="majorHAnsi" w:eastAsia="Times New Roman" w:hAnsiTheme="majorHAnsi" w:cstheme="majorHAnsi"/>
                <w:bCs/>
                <w:iCs/>
                <w:color w:val="000000" w:themeColor="text1"/>
                <w:sz w:val="18"/>
                <w:szCs w:val="18"/>
                <w:lang w:val="ro-RO"/>
              </w:rPr>
            </w:pPr>
            <w:r w:rsidRPr="00E82CC1">
              <w:rPr>
                <w:rFonts w:asciiTheme="majorHAnsi" w:eastAsia="Times New Roman" w:hAnsiTheme="majorHAnsi" w:cstheme="majorHAnsi"/>
                <w:bCs/>
                <w:iCs/>
                <w:color w:val="000000" w:themeColor="text1"/>
                <w:sz w:val="18"/>
                <w:szCs w:val="18"/>
                <w:lang w:val="ro-RO"/>
              </w:rPr>
              <w:t xml:space="preserve">Scrisoarea MSMPS nr. 12/454 din  09.02.2022: </w:t>
            </w:r>
          </w:p>
          <w:p w14:paraId="1B9EEC35" w14:textId="319B3FD8" w:rsidR="00671428" w:rsidRPr="00E82CC1" w:rsidRDefault="00671428" w:rsidP="00E318A2">
            <w:pPr>
              <w:jc w:val="both"/>
              <w:rPr>
                <w:rFonts w:asciiTheme="majorHAnsi" w:eastAsia="Times New Roman" w:hAnsiTheme="majorHAnsi" w:cstheme="majorHAnsi"/>
                <w:bCs/>
                <w:iCs/>
                <w:color w:val="000000" w:themeColor="text1"/>
                <w:sz w:val="18"/>
                <w:szCs w:val="18"/>
                <w:lang w:val="ro-RO"/>
              </w:rPr>
            </w:pPr>
            <w:r w:rsidRPr="00E82CC1">
              <w:rPr>
                <w:rFonts w:asciiTheme="majorHAnsi" w:eastAsia="Times New Roman" w:hAnsiTheme="majorHAnsi" w:cstheme="majorHAnsi"/>
                <w:bCs/>
                <w:iCs/>
                <w:color w:val="000000" w:themeColor="text1"/>
                <w:sz w:val="18"/>
                <w:szCs w:val="18"/>
                <w:lang w:val="ro-RO"/>
              </w:rPr>
              <w:t>La moment se efectuează schimbul informațional de date între alte sisteme informaționale în conformitate cu prevederile legale și acordurilor de schimb de date între autorități, se elaborează conceptul privind dezvoltarea schimbului de date prin intermediul platformei de interoperabilitate cu mai mulți deținători de sisteme informaționale. Următoarele etape de activitate a</w:t>
            </w:r>
            <w:r w:rsidR="00A53E85">
              <w:rPr>
                <w:rFonts w:asciiTheme="majorHAnsi" w:eastAsia="Times New Roman" w:hAnsiTheme="majorHAnsi" w:cstheme="majorHAnsi"/>
                <w:bCs/>
                <w:iCs/>
                <w:color w:val="000000" w:themeColor="text1"/>
                <w:sz w:val="18"/>
                <w:szCs w:val="18"/>
                <w:lang w:val="ro-RO"/>
              </w:rPr>
              <w:t>le</w:t>
            </w:r>
            <w:r w:rsidRPr="00E82CC1">
              <w:rPr>
                <w:rFonts w:asciiTheme="majorHAnsi" w:eastAsia="Times New Roman" w:hAnsiTheme="majorHAnsi" w:cstheme="majorHAnsi"/>
                <w:bCs/>
                <w:iCs/>
                <w:color w:val="000000" w:themeColor="text1"/>
                <w:sz w:val="18"/>
                <w:szCs w:val="18"/>
                <w:lang w:val="ro-RO"/>
              </w:rPr>
              <w:t xml:space="preserve"> ministerului vor fi axate pe: - Schimbul de date cu SIA </w:t>
            </w:r>
            <w:r w:rsidR="00A53E85">
              <w:rPr>
                <w:rFonts w:asciiTheme="majorHAnsi" w:eastAsia="Times New Roman" w:hAnsiTheme="majorHAnsi" w:cstheme="majorHAnsi"/>
                <w:bCs/>
                <w:iCs/>
                <w:color w:val="000000" w:themeColor="text1"/>
                <w:sz w:val="18"/>
                <w:szCs w:val="18"/>
                <w:lang w:val="ro-RO"/>
              </w:rPr>
              <w:t>„</w:t>
            </w:r>
            <w:r w:rsidRPr="00E82CC1">
              <w:rPr>
                <w:rFonts w:asciiTheme="majorHAnsi" w:eastAsia="Times New Roman" w:hAnsiTheme="majorHAnsi" w:cstheme="majorHAnsi"/>
                <w:bCs/>
                <w:iCs/>
                <w:color w:val="000000" w:themeColor="text1"/>
                <w:sz w:val="18"/>
                <w:szCs w:val="18"/>
                <w:lang w:val="ro-RO"/>
              </w:rPr>
              <w:t>Protecția Socială” al CNAS, pentru preluarea tuturor datelor cu privire la prestațiile sociale acordate prin intermediul acestei structuri solicitanților de ajutor social/ajutor pentru perioada rece a anului și membrilor familiilor acestora, inclusiv transmiterea de către SIAAS prin intermediul platformei de interoperabilitate (serviciul M</w:t>
            </w:r>
            <w:r w:rsidR="00E318A2">
              <w:rPr>
                <w:rFonts w:asciiTheme="majorHAnsi" w:eastAsia="Times New Roman" w:hAnsiTheme="majorHAnsi" w:cstheme="majorHAnsi"/>
                <w:bCs/>
                <w:iCs/>
                <w:color w:val="000000" w:themeColor="text1"/>
                <w:sz w:val="18"/>
                <w:szCs w:val="18"/>
                <w:lang w:val="ro-RO"/>
              </w:rPr>
              <w:t>P</w:t>
            </w:r>
            <w:r w:rsidRPr="00E82CC1">
              <w:rPr>
                <w:rFonts w:asciiTheme="majorHAnsi" w:eastAsia="Times New Roman" w:hAnsiTheme="majorHAnsi" w:cstheme="majorHAnsi"/>
                <w:bCs/>
                <w:iCs/>
                <w:color w:val="000000" w:themeColor="text1"/>
                <w:sz w:val="18"/>
                <w:szCs w:val="18"/>
                <w:lang w:val="ro-RO"/>
              </w:rPr>
              <w:t>ay) a listelor de plată lunar</w:t>
            </w:r>
            <w:r w:rsidR="00A53E85">
              <w:rPr>
                <w:rFonts w:asciiTheme="majorHAnsi" w:eastAsia="Times New Roman" w:hAnsiTheme="majorHAnsi" w:cstheme="majorHAnsi"/>
                <w:bCs/>
                <w:iCs/>
                <w:color w:val="000000" w:themeColor="text1"/>
                <w:sz w:val="18"/>
                <w:szCs w:val="18"/>
                <w:lang w:val="ro-RO"/>
              </w:rPr>
              <w:t>ă</w:t>
            </w:r>
            <w:r w:rsidRPr="00E82CC1">
              <w:rPr>
                <w:rFonts w:asciiTheme="majorHAnsi" w:eastAsia="Times New Roman" w:hAnsiTheme="majorHAnsi" w:cstheme="majorHAnsi"/>
                <w:bCs/>
                <w:iCs/>
                <w:color w:val="000000" w:themeColor="text1"/>
                <w:sz w:val="18"/>
                <w:szCs w:val="18"/>
                <w:lang w:val="ro-RO"/>
              </w:rPr>
              <w:t xml:space="preserve"> a beneficiarilor de ajutor social și beneficiarilor de ajutor pentru perioada rece a anului. Astfel, a fost elaborat Caietul de </w:t>
            </w:r>
            <w:r w:rsidR="00A53E85">
              <w:rPr>
                <w:rFonts w:asciiTheme="majorHAnsi" w:eastAsia="Times New Roman" w:hAnsiTheme="majorHAnsi" w:cstheme="majorHAnsi"/>
                <w:bCs/>
                <w:iCs/>
                <w:color w:val="000000" w:themeColor="text1"/>
                <w:sz w:val="18"/>
                <w:szCs w:val="18"/>
                <w:lang w:val="ro-RO"/>
              </w:rPr>
              <w:t>s</w:t>
            </w:r>
            <w:r w:rsidRPr="00E82CC1">
              <w:rPr>
                <w:rFonts w:asciiTheme="majorHAnsi" w:eastAsia="Times New Roman" w:hAnsiTheme="majorHAnsi" w:cstheme="majorHAnsi"/>
                <w:bCs/>
                <w:iCs/>
                <w:color w:val="000000" w:themeColor="text1"/>
                <w:sz w:val="18"/>
                <w:szCs w:val="18"/>
                <w:lang w:val="ro-RO"/>
              </w:rPr>
              <w:t>arcini privind mentenanța SIAAS, ulterior transmis la AGE pentru coordonare</w:t>
            </w:r>
          </w:p>
        </w:tc>
        <w:tc>
          <w:tcPr>
            <w:tcW w:w="810" w:type="dxa"/>
            <w:shd w:val="clear" w:color="auto" w:fill="auto"/>
          </w:tcPr>
          <w:p w14:paraId="3AD87137" w14:textId="77777777" w:rsidR="00671428" w:rsidRPr="00E82CC1" w:rsidRDefault="00671428" w:rsidP="00CA7E11">
            <w:pPr>
              <w:spacing w:after="0" w:line="240" w:lineRule="auto"/>
              <w:jc w:val="center"/>
              <w:rPr>
                <w:rFonts w:asciiTheme="majorHAnsi" w:eastAsia="Times New Roman" w:hAnsiTheme="majorHAnsi" w:cstheme="majorHAnsi"/>
                <w:b/>
                <w:color w:val="FF0000"/>
                <w:sz w:val="18"/>
                <w:szCs w:val="18"/>
                <w:lang w:val="ro-RO"/>
              </w:rPr>
            </w:pPr>
          </w:p>
        </w:tc>
        <w:tc>
          <w:tcPr>
            <w:tcW w:w="900" w:type="dxa"/>
            <w:shd w:val="clear" w:color="auto" w:fill="auto"/>
          </w:tcPr>
          <w:p w14:paraId="1C7C1B28" w14:textId="77777777" w:rsidR="00671428" w:rsidRPr="00E82CC1" w:rsidRDefault="00671428" w:rsidP="00CA7E11">
            <w:pPr>
              <w:spacing w:after="0" w:line="240" w:lineRule="auto"/>
              <w:jc w:val="center"/>
              <w:rPr>
                <w:rFonts w:asciiTheme="majorHAnsi" w:eastAsia="Times New Roman" w:hAnsiTheme="majorHAnsi" w:cstheme="majorHAnsi"/>
                <w:b/>
                <w:color w:val="000000" w:themeColor="text1"/>
                <w:sz w:val="18"/>
                <w:szCs w:val="18"/>
                <w:lang w:val="ro-RO"/>
              </w:rPr>
            </w:pPr>
            <w:r w:rsidRPr="00E82CC1">
              <w:rPr>
                <w:rFonts w:asciiTheme="majorHAnsi" w:eastAsia="Times New Roman" w:hAnsiTheme="majorHAnsi" w:cstheme="majorHAnsi"/>
                <w:b/>
                <w:color w:val="000000" w:themeColor="text1"/>
                <w:sz w:val="18"/>
                <w:szCs w:val="18"/>
                <w:lang w:val="ro-RO"/>
              </w:rPr>
              <w:t>V</w:t>
            </w:r>
          </w:p>
        </w:tc>
        <w:tc>
          <w:tcPr>
            <w:tcW w:w="990" w:type="dxa"/>
          </w:tcPr>
          <w:p w14:paraId="602A8EA4"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1C51E12E" w14:textId="77777777" w:rsidTr="00045716">
        <w:trPr>
          <w:trHeight w:val="20"/>
        </w:trPr>
        <w:tc>
          <w:tcPr>
            <w:tcW w:w="604" w:type="dxa"/>
            <w:shd w:val="clear" w:color="auto" w:fill="auto"/>
            <w:noWrap/>
            <w:vAlign w:val="center"/>
          </w:tcPr>
          <w:p w14:paraId="68FF998B" w14:textId="0202C169" w:rsidR="00671428" w:rsidRPr="00E82CC1" w:rsidRDefault="00F747F0" w:rsidP="00F747F0">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4</w:t>
            </w:r>
          </w:p>
        </w:tc>
        <w:tc>
          <w:tcPr>
            <w:tcW w:w="2906" w:type="dxa"/>
            <w:shd w:val="clear" w:color="auto" w:fill="auto"/>
          </w:tcPr>
          <w:p w14:paraId="30B2558B" w14:textId="2BED1C95" w:rsidR="00671428" w:rsidRPr="00E82CC1" w:rsidRDefault="00671428" w:rsidP="00A53E85">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asigure măsuri de instruire și perfecționare a personalului implicat în procesul de acordare și stabilire a ajutorului social și ajutorului pentru perioada rece a anului, în scopul diminuării ponderii iregularităților constatate, precum și măsuri de responsabilizare a beneficiarilor acestor tipuri de prestații</w:t>
            </w:r>
          </w:p>
        </w:tc>
        <w:tc>
          <w:tcPr>
            <w:tcW w:w="8190" w:type="dxa"/>
            <w:shd w:val="clear" w:color="auto" w:fill="auto"/>
          </w:tcPr>
          <w:p w14:paraId="44888C7D" w14:textId="77777777" w:rsidR="00671428" w:rsidRPr="00E82CC1" w:rsidRDefault="00671428" w:rsidP="00CA7E11">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Scrisoarea MSMPS nr. 12/454 din  09.02.2022:</w:t>
            </w:r>
          </w:p>
          <w:p w14:paraId="45826CD4" w14:textId="1DC6590B" w:rsidR="00671428" w:rsidRPr="00E82CC1" w:rsidRDefault="00671428" w:rsidP="00BE2C83">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xml:space="preserve">În contextul modificărilor operate prin Legea nr. 5/2022 a Legii nr. 192/2021 cu privire la modificarea condiției de stabilire și acordare a ajutorului pentru perioada rece a anului, la data de 01.02.2022, Ministerul a organizat o ședință consultativă cu reprezentanții </w:t>
            </w:r>
            <w:r w:rsidR="00BE2C83">
              <w:rPr>
                <w:rFonts w:asciiTheme="majorHAnsi" w:eastAsia="Times New Roman" w:hAnsiTheme="majorHAnsi" w:cstheme="majorHAnsi"/>
                <w:sz w:val="18"/>
                <w:szCs w:val="18"/>
                <w:lang w:val="ro-RO"/>
              </w:rPr>
              <w:t>s</w:t>
            </w:r>
            <w:r w:rsidRPr="00E82CC1">
              <w:rPr>
                <w:rFonts w:asciiTheme="majorHAnsi" w:eastAsia="Times New Roman" w:hAnsiTheme="majorHAnsi" w:cstheme="majorHAnsi"/>
                <w:sz w:val="18"/>
                <w:szCs w:val="18"/>
                <w:lang w:val="ro-RO"/>
              </w:rPr>
              <w:t>tructurilor teritoriale de asistență socială în cadrul căreia a oferit informații exhaustive referitor la implementarea noilor prevederi. La ședința menționată au participat peste 350 persoane. Pentru a facilita accesul la informație, pe parcursul anului, ministerul intenționează să organizeze mai multe ședințe în acest format</w:t>
            </w:r>
          </w:p>
        </w:tc>
        <w:tc>
          <w:tcPr>
            <w:tcW w:w="810" w:type="dxa"/>
            <w:shd w:val="clear" w:color="auto" w:fill="auto"/>
          </w:tcPr>
          <w:p w14:paraId="3795DD8E" w14:textId="77777777" w:rsidR="00671428" w:rsidRPr="00E82CC1" w:rsidRDefault="00671428" w:rsidP="00CA7E11">
            <w:pPr>
              <w:spacing w:after="0" w:line="240" w:lineRule="auto"/>
              <w:rPr>
                <w:rFonts w:asciiTheme="majorHAnsi" w:eastAsia="Times New Roman" w:hAnsiTheme="majorHAnsi" w:cstheme="majorHAnsi"/>
                <w:b/>
                <w:bCs/>
                <w:sz w:val="18"/>
                <w:szCs w:val="18"/>
                <w:lang w:val="ro-RO"/>
              </w:rPr>
            </w:pPr>
          </w:p>
        </w:tc>
        <w:tc>
          <w:tcPr>
            <w:tcW w:w="900" w:type="dxa"/>
            <w:shd w:val="clear" w:color="auto" w:fill="auto"/>
          </w:tcPr>
          <w:p w14:paraId="0B615094"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90" w:type="dxa"/>
          </w:tcPr>
          <w:p w14:paraId="2F5CF5E3" w14:textId="77777777" w:rsidR="00671428" w:rsidRPr="00E82CC1" w:rsidRDefault="00671428" w:rsidP="00CA7E11">
            <w:pPr>
              <w:spacing w:after="0" w:line="240" w:lineRule="auto"/>
              <w:jc w:val="center"/>
              <w:rPr>
                <w:rFonts w:asciiTheme="majorHAnsi" w:eastAsia="Times New Roman" w:hAnsiTheme="majorHAnsi" w:cstheme="majorHAnsi"/>
                <w:b/>
                <w:bCs/>
                <w:iCs/>
                <w:sz w:val="18"/>
                <w:szCs w:val="18"/>
                <w:lang w:val="ro-RO"/>
              </w:rPr>
            </w:pPr>
          </w:p>
        </w:tc>
      </w:tr>
      <w:tr w:rsidR="00671428" w:rsidRPr="00E82CC1" w14:paraId="4722756D" w14:textId="77777777" w:rsidTr="00045716">
        <w:trPr>
          <w:trHeight w:val="20"/>
        </w:trPr>
        <w:tc>
          <w:tcPr>
            <w:tcW w:w="604" w:type="dxa"/>
            <w:shd w:val="clear" w:color="auto" w:fill="auto"/>
            <w:noWrap/>
            <w:vAlign w:val="center"/>
          </w:tcPr>
          <w:p w14:paraId="0C3861C7" w14:textId="1FA6AB09" w:rsidR="00671428" w:rsidRPr="00E82CC1" w:rsidRDefault="00F747F0" w:rsidP="00F747F0">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5</w:t>
            </w:r>
          </w:p>
        </w:tc>
        <w:tc>
          <w:tcPr>
            <w:tcW w:w="2906" w:type="dxa"/>
            <w:shd w:val="clear" w:color="auto" w:fill="auto"/>
          </w:tcPr>
          <w:p w14:paraId="6A0BCE61" w14:textId="5D52CF97" w:rsidR="00671428" w:rsidRPr="00E82CC1" w:rsidRDefault="00671428" w:rsidP="00A53E85">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elaboreze, de comun cu Inspecția Socială, și să înainteze, în modul stabilit, propuneri de ajustare a cadrului normativ din domeniile supuse inspecției, în scopul diminuării iregularităților constatate la acordarea AS și APRA și recuperării sumelor achitate necuvenit</w:t>
            </w:r>
          </w:p>
        </w:tc>
        <w:tc>
          <w:tcPr>
            <w:tcW w:w="8190" w:type="dxa"/>
            <w:shd w:val="clear" w:color="auto" w:fill="auto"/>
          </w:tcPr>
          <w:p w14:paraId="61F95D31" w14:textId="77777777" w:rsidR="00671428" w:rsidRPr="00E82CC1" w:rsidRDefault="00671428" w:rsidP="00CA7E11">
            <w:pPr>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Scrisoarea MSMPS nr. 12/454 din  09.02.2022:</w:t>
            </w:r>
          </w:p>
          <w:p w14:paraId="3679079A" w14:textId="4CF2B077" w:rsidR="00671428" w:rsidRPr="00E82CC1" w:rsidRDefault="00671428" w:rsidP="00BE2C83">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bCs/>
                <w:iCs/>
                <w:color w:val="000000" w:themeColor="text1"/>
                <w:sz w:val="18"/>
                <w:szCs w:val="18"/>
                <w:lang w:val="ro-RO"/>
              </w:rPr>
              <w:t>Prin Legea nr. 219/2021 pentru modificarea unor acte normative a fost aprobat cadrul normativ necesar pentru extinderea funcțională a Inspecției Sociale, introducerea competenței de a constata contravenții şi de a avea calitate procesuală activă în domeniul asistenței sociale, precum și constatarea încălcărilor de către structura teritorială de asistență socială a procedurilor în procesul acordării prestațiilor și serviciilor sociale. Întru implementarea legii menționate, la moment a fost inițiat procesul de elaborare a proiectului de hotărâre de modificare a Hotărârii Guvernului nr. 802/2011 cu privire la instituirea Inspecției Sociale</w:t>
            </w:r>
          </w:p>
        </w:tc>
        <w:tc>
          <w:tcPr>
            <w:tcW w:w="810" w:type="dxa"/>
            <w:shd w:val="clear" w:color="auto" w:fill="auto"/>
          </w:tcPr>
          <w:p w14:paraId="5C2580E0"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00" w:type="dxa"/>
            <w:shd w:val="clear" w:color="auto" w:fill="auto"/>
          </w:tcPr>
          <w:p w14:paraId="25CDFABA"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990" w:type="dxa"/>
          </w:tcPr>
          <w:p w14:paraId="6A1873E1" w14:textId="77777777" w:rsidR="00671428" w:rsidRPr="00E82CC1" w:rsidRDefault="00671428" w:rsidP="00CA7E11">
            <w:pPr>
              <w:spacing w:after="0" w:line="240" w:lineRule="auto"/>
              <w:jc w:val="center"/>
              <w:rPr>
                <w:rFonts w:asciiTheme="majorHAnsi" w:eastAsia="Times New Roman" w:hAnsiTheme="majorHAnsi" w:cstheme="majorHAnsi"/>
                <w:b/>
                <w:bCs/>
                <w:iCs/>
                <w:sz w:val="18"/>
                <w:szCs w:val="18"/>
                <w:lang w:val="ro-RO"/>
              </w:rPr>
            </w:pPr>
          </w:p>
        </w:tc>
      </w:tr>
      <w:tr w:rsidR="00671428" w:rsidRPr="00E82CC1" w14:paraId="6D65F7F9" w14:textId="77777777" w:rsidTr="00045716">
        <w:trPr>
          <w:trHeight w:val="20"/>
        </w:trPr>
        <w:tc>
          <w:tcPr>
            <w:tcW w:w="604" w:type="dxa"/>
            <w:shd w:val="clear" w:color="auto" w:fill="auto"/>
            <w:noWrap/>
            <w:vAlign w:val="center"/>
          </w:tcPr>
          <w:p w14:paraId="0FFFA5A6" w14:textId="568D74EA"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6</w:t>
            </w:r>
          </w:p>
        </w:tc>
        <w:tc>
          <w:tcPr>
            <w:tcW w:w="2906" w:type="dxa"/>
            <w:shd w:val="clear" w:color="auto" w:fill="auto"/>
          </w:tcPr>
          <w:p w14:paraId="5D829CFB" w14:textId="77777777" w:rsidR="00671428" w:rsidRPr="00E82CC1" w:rsidRDefault="00671428" w:rsidP="00671428">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elaboreze, de comun cu ANOFM și CNAS, și să aprobe, în modul stabilit, mecanisme și proceduri distincte privind determinarea stagiului de cotizare, în vederea stabilirii conforme a dreptului la ajutorul de șomaj</w:t>
            </w:r>
          </w:p>
        </w:tc>
        <w:tc>
          <w:tcPr>
            <w:tcW w:w="8190" w:type="dxa"/>
            <w:shd w:val="clear" w:color="auto" w:fill="auto"/>
          </w:tcPr>
          <w:p w14:paraId="76CD348E" w14:textId="29662330"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xml:space="preserve">Scris. CNAS nr.6689 din 30.12.2021: Prin scrisoarea nr.3567 din 26.07.2021, Ministerului Sănătății, Muncii și Protecției Sociale </w:t>
            </w:r>
            <w:r w:rsidR="00BE2C83">
              <w:rPr>
                <w:rFonts w:asciiTheme="majorHAnsi" w:eastAsia="Times New Roman" w:hAnsiTheme="majorHAnsi" w:cstheme="majorHAnsi"/>
                <w:color w:val="000000" w:themeColor="text1"/>
                <w:sz w:val="18"/>
                <w:szCs w:val="18"/>
                <w:lang w:val="ro-RO"/>
              </w:rPr>
              <w:t>i-</w:t>
            </w:r>
            <w:r w:rsidRPr="00E82CC1">
              <w:rPr>
                <w:rFonts w:asciiTheme="majorHAnsi" w:eastAsia="Times New Roman" w:hAnsiTheme="majorHAnsi" w:cstheme="majorHAnsi"/>
                <w:color w:val="000000" w:themeColor="text1"/>
                <w:sz w:val="18"/>
                <w:szCs w:val="18"/>
                <w:lang w:val="ro-RO"/>
              </w:rPr>
              <w:t xml:space="preserve">au fost înaintate propuneri privind determinarea stagiului de cotizare la stabilirea dreptului la ajutor de șomaj. </w:t>
            </w:r>
          </w:p>
          <w:p w14:paraId="39661097" w14:textId="77777777" w:rsidR="00671428" w:rsidRPr="00E82CC1" w:rsidRDefault="00671428" w:rsidP="00CA7E11">
            <w:pPr>
              <w:spacing w:before="240"/>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Scrisoarea MSMPS nr. 12/454 din  09.02.2022:</w:t>
            </w:r>
          </w:p>
          <w:p w14:paraId="1B974501" w14:textId="4AD5DBBF" w:rsidR="00671428" w:rsidRPr="00E82CC1" w:rsidRDefault="00671428" w:rsidP="00BE2C83">
            <w:pPr>
              <w:jc w:val="both"/>
              <w:rPr>
                <w:rFonts w:asciiTheme="majorHAnsi" w:hAnsiTheme="majorHAnsi" w:cstheme="majorHAnsi"/>
                <w:sz w:val="18"/>
                <w:szCs w:val="18"/>
                <w:lang w:val="ro-RO"/>
              </w:rPr>
            </w:pPr>
            <w:r w:rsidRPr="00E82CC1">
              <w:rPr>
                <w:rFonts w:asciiTheme="majorHAnsi" w:eastAsia="Times New Roman" w:hAnsiTheme="majorHAnsi" w:cstheme="majorHAnsi"/>
                <w:sz w:val="18"/>
                <w:szCs w:val="18"/>
                <w:lang w:val="ro-RO"/>
              </w:rPr>
              <w:t>În anul 2021 s-a inițiat procesul de revizuire a Legii nr.105/ 2018 cu privire la promovarea ocupării forței de muncă, actualmente proiectul Hotărârii Guvernului pentru aprobarea proiectului de lege privind modificarea Legii nr.105/2018 cu privire la promovarea ocupării forței de muncă și asigurarea de șomaj (număr unic 656/MMPS/2021), a fost supus procesului de avizare și expertizare juridică. Ministerul va iniția modificare</w:t>
            </w:r>
            <w:r w:rsidR="00BE2C83">
              <w:rPr>
                <w:rFonts w:asciiTheme="majorHAnsi" w:eastAsia="Times New Roman" w:hAnsiTheme="majorHAnsi" w:cstheme="majorHAnsi"/>
                <w:sz w:val="18"/>
                <w:szCs w:val="18"/>
                <w:lang w:val="ro-RO"/>
              </w:rPr>
              <w:t>a</w:t>
            </w:r>
            <w:r w:rsidRPr="00E82CC1">
              <w:rPr>
                <w:rFonts w:asciiTheme="majorHAnsi" w:eastAsia="Times New Roman" w:hAnsiTheme="majorHAnsi" w:cstheme="majorHAnsi"/>
                <w:sz w:val="18"/>
                <w:szCs w:val="18"/>
                <w:lang w:val="ro-RO"/>
              </w:rPr>
              <w:t xml:space="preserve"> la HG 1276/2018 urmare a aprobării modificărilor la Legea nr.105/2018, </w:t>
            </w:r>
            <w:r w:rsidR="00BE2C83">
              <w:rPr>
                <w:rFonts w:asciiTheme="majorHAnsi" w:eastAsia="Times New Roman" w:hAnsiTheme="majorHAnsi" w:cstheme="majorHAnsi"/>
                <w:sz w:val="18"/>
                <w:szCs w:val="18"/>
                <w:lang w:val="ro-RO"/>
              </w:rPr>
              <w:t>prin care</w:t>
            </w:r>
            <w:r w:rsidRPr="00E82CC1">
              <w:rPr>
                <w:rFonts w:asciiTheme="majorHAnsi" w:eastAsia="Times New Roman" w:hAnsiTheme="majorHAnsi" w:cstheme="majorHAnsi"/>
                <w:sz w:val="18"/>
                <w:szCs w:val="18"/>
                <w:lang w:val="ro-RO"/>
              </w:rPr>
              <w:t xml:space="preserve"> va stabili expres modul de calculare a stagiului de cotizare pentru șomeri. În acest sens, la data de 03.11.2021 a </w:t>
            </w:r>
            <w:r w:rsidR="00BE2C83">
              <w:rPr>
                <w:rFonts w:asciiTheme="majorHAnsi" w:eastAsia="Times New Roman" w:hAnsiTheme="majorHAnsi" w:cstheme="majorHAnsi"/>
                <w:sz w:val="18"/>
                <w:szCs w:val="18"/>
                <w:lang w:val="ro-RO"/>
              </w:rPr>
              <w:t xml:space="preserve">fost </w:t>
            </w:r>
            <w:r w:rsidRPr="00E82CC1">
              <w:rPr>
                <w:rFonts w:asciiTheme="majorHAnsi" w:eastAsia="Times New Roman" w:hAnsiTheme="majorHAnsi" w:cstheme="majorHAnsi"/>
                <w:sz w:val="18"/>
                <w:szCs w:val="18"/>
                <w:lang w:val="ro-RO"/>
              </w:rPr>
              <w:t xml:space="preserve">aprobat proiectul Hotărârii de Guvern </w:t>
            </w:r>
            <w:r w:rsidR="00BE2C83">
              <w:rPr>
                <w:rFonts w:asciiTheme="majorHAnsi" w:eastAsia="Times New Roman" w:hAnsiTheme="majorHAnsi" w:cstheme="majorHAnsi"/>
                <w:sz w:val="18"/>
                <w:szCs w:val="18"/>
                <w:lang w:val="ro-RO"/>
              </w:rPr>
              <w:t>„C</w:t>
            </w:r>
            <w:r w:rsidRPr="00E82CC1">
              <w:rPr>
                <w:rFonts w:asciiTheme="majorHAnsi" w:eastAsia="Times New Roman" w:hAnsiTheme="majorHAnsi" w:cstheme="majorHAnsi"/>
                <w:sz w:val="18"/>
                <w:szCs w:val="18"/>
                <w:lang w:val="ro-RO"/>
              </w:rPr>
              <w:t xml:space="preserve">u privire la aprobarea Conceptului Sistemului informațional „Înregistrare cu statut de șomer” și a Regulamentului privind organizarea și funcționarea Sistemului Informațional „Înregistrare cu statut de șomer”. Proiectul prevede digitalizarea procesului de înregistrare a cererilor de acordare a statutului de șomer și a ajutorului de șomaj </w:t>
            </w:r>
          </w:p>
        </w:tc>
        <w:tc>
          <w:tcPr>
            <w:tcW w:w="810" w:type="dxa"/>
            <w:shd w:val="clear" w:color="auto" w:fill="auto"/>
          </w:tcPr>
          <w:p w14:paraId="153EEA2B" w14:textId="77777777" w:rsidR="00671428" w:rsidRPr="00E82CC1" w:rsidRDefault="00671428" w:rsidP="00CA7E11">
            <w:pPr>
              <w:spacing w:after="0" w:line="240" w:lineRule="auto"/>
              <w:jc w:val="center"/>
              <w:rPr>
                <w:rFonts w:asciiTheme="majorHAnsi" w:eastAsia="Times New Roman" w:hAnsiTheme="majorHAnsi" w:cstheme="majorHAnsi"/>
                <w:sz w:val="18"/>
                <w:szCs w:val="18"/>
                <w:lang w:val="ro-RO"/>
              </w:rPr>
            </w:pPr>
          </w:p>
        </w:tc>
        <w:tc>
          <w:tcPr>
            <w:tcW w:w="900" w:type="dxa"/>
            <w:shd w:val="clear" w:color="auto" w:fill="auto"/>
          </w:tcPr>
          <w:p w14:paraId="29AA2CF1"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90" w:type="dxa"/>
          </w:tcPr>
          <w:p w14:paraId="008AF1AC" w14:textId="77777777" w:rsidR="00671428" w:rsidRPr="00E82CC1" w:rsidRDefault="00671428" w:rsidP="00CA7E11">
            <w:pPr>
              <w:spacing w:after="0" w:line="240" w:lineRule="auto"/>
              <w:jc w:val="center"/>
              <w:rPr>
                <w:rFonts w:asciiTheme="majorHAnsi" w:eastAsia="Times New Roman" w:hAnsiTheme="majorHAnsi" w:cstheme="majorHAnsi"/>
                <w:b/>
                <w:bCs/>
                <w:iCs/>
                <w:sz w:val="18"/>
                <w:szCs w:val="18"/>
                <w:lang w:val="ro-RO"/>
              </w:rPr>
            </w:pPr>
          </w:p>
        </w:tc>
      </w:tr>
      <w:tr w:rsidR="00671428" w:rsidRPr="00E82CC1" w14:paraId="205AA7EE" w14:textId="77777777" w:rsidTr="00045716">
        <w:trPr>
          <w:trHeight w:val="20"/>
        </w:trPr>
        <w:tc>
          <w:tcPr>
            <w:tcW w:w="604" w:type="dxa"/>
            <w:shd w:val="clear" w:color="auto" w:fill="auto"/>
            <w:noWrap/>
            <w:vAlign w:val="center"/>
          </w:tcPr>
          <w:p w14:paraId="7BE6F6E7" w14:textId="08E148E7"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7</w:t>
            </w:r>
          </w:p>
        </w:tc>
        <w:tc>
          <w:tcPr>
            <w:tcW w:w="2906" w:type="dxa"/>
            <w:shd w:val="clear" w:color="auto" w:fill="auto"/>
          </w:tcPr>
          <w:p w14:paraId="669AF36D" w14:textId="77777777" w:rsidR="00671428" w:rsidRPr="00E82CC1" w:rsidRDefault="00671428" w:rsidP="00671428">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întreprindă, de comun cu CNAM, acțiuni de perfecționare a Portalului certificatelor de concediu medical, în scopul recepționării informațiilor veridice și în termen a datelor din certificatele de concediu medical</w:t>
            </w:r>
          </w:p>
        </w:tc>
        <w:tc>
          <w:tcPr>
            <w:tcW w:w="8190" w:type="dxa"/>
            <w:shd w:val="clear" w:color="auto" w:fill="auto"/>
          </w:tcPr>
          <w:p w14:paraId="61799202"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hAnsiTheme="majorHAnsi" w:cstheme="majorHAnsi"/>
                <w:sz w:val="18"/>
                <w:szCs w:val="18"/>
                <w:lang w:val="ro-RO"/>
              </w:rPr>
              <w:t>Termenul de executare este până la 03.06.2022</w:t>
            </w:r>
          </w:p>
        </w:tc>
        <w:tc>
          <w:tcPr>
            <w:tcW w:w="810" w:type="dxa"/>
            <w:shd w:val="clear" w:color="auto" w:fill="auto"/>
          </w:tcPr>
          <w:p w14:paraId="0FE348C5" w14:textId="77777777" w:rsidR="00671428" w:rsidRPr="00E82CC1" w:rsidRDefault="00671428" w:rsidP="00CA7E11">
            <w:pPr>
              <w:spacing w:after="0" w:line="240" w:lineRule="auto"/>
              <w:jc w:val="center"/>
              <w:rPr>
                <w:rFonts w:asciiTheme="majorHAnsi" w:eastAsia="Times New Roman" w:hAnsiTheme="majorHAnsi" w:cstheme="majorHAnsi"/>
                <w:sz w:val="18"/>
                <w:szCs w:val="18"/>
                <w:lang w:val="ro-RO"/>
              </w:rPr>
            </w:pPr>
          </w:p>
        </w:tc>
        <w:tc>
          <w:tcPr>
            <w:tcW w:w="900" w:type="dxa"/>
            <w:shd w:val="clear" w:color="auto" w:fill="auto"/>
          </w:tcPr>
          <w:p w14:paraId="1D6B7294" w14:textId="77777777" w:rsidR="00671428" w:rsidRPr="00E82CC1" w:rsidRDefault="00671428" w:rsidP="00CA7E11">
            <w:pPr>
              <w:spacing w:after="0" w:line="240" w:lineRule="auto"/>
              <w:jc w:val="center"/>
              <w:rPr>
                <w:rFonts w:asciiTheme="majorHAnsi" w:eastAsia="Times New Roman" w:hAnsiTheme="majorHAnsi" w:cstheme="majorHAnsi"/>
                <w:sz w:val="18"/>
                <w:szCs w:val="18"/>
                <w:lang w:val="ro-RO"/>
              </w:rPr>
            </w:pPr>
          </w:p>
        </w:tc>
        <w:tc>
          <w:tcPr>
            <w:tcW w:w="990" w:type="dxa"/>
          </w:tcPr>
          <w:p w14:paraId="3E175668" w14:textId="77777777" w:rsidR="00671428" w:rsidRPr="00E82CC1" w:rsidRDefault="00671428" w:rsidP="00CA7E11">
            <w:pPr>
              <w:spacing w:after="0" w:line="240" w:lineRule="auto"/>
              <w:jc w:val="center"/>
              <w:rPr>
                <w:rFonts w:asciiTheme="majorHAnsi" w:eastAsia="Times New Roman" w:hAnsiTheme="majorHAnsi" w:cstheme="majorHAnsi"/>
                <w:b/>
                <w:bCs/>
                <w:iCs/>
                <w:sz w:val="18"/>
                <w:szCs w:val="18"/>
                <w:lang w:val="ro-RO"/>
              </w:rPr>
            </w:pPr>
          </w:p>
        </w:tc>
      </w:tr>
      <w:tr w:rsidR="00671428" w:rsidRPr="00E82CC1" w14:paraId="07CFB892" w14:textId="77777777" w:rsidTr="00045716">
        <w:trPr>
          <w:trHeight w:val="20"/>
        </w:trPr>
        <w:tc>
          <w:tcPr>
            <w:tcW w:w="604" w:type="dxa"/>
            <w:shd w:val="clear" w:color="auto" w:fill="auto"/>
            <w:noWrap/>
            <w:vAlign w:val="center"/>
          </w:tcPr>
          <w:p w14:paraId="50E90843" w14:textId="1E299D68"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8</w:t>
            </w:r>
          </w:p>
        </w:tc>
        <w:tc>
          <w:tcPr>
            <w:tcW w:w="2906" w:type="dxa"/>
            <w:shd w:val="clear" w:color="auto" w:fill="auto"/>
          </w:tcPr>
          <w:p w14:paraId="16EED207" w14:textId="095C0635" w:rsidR="00671428" w:rsidRPr="00E82CC1" w:rsidRDefault="00671428" w:rsidP="00A53E85">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examineze, de comun cu CNAM și CNAS, și în continuare să întreprindă măsuri de remediere/soluționare a problemei aferente introducerii tardive de către IMSP a datelor din certificatele de concediu medical</w:t>
            </w:r>
          </w:p>
        </w:tc>
        <w:tc>
          <w:tcPr>
            <w:tcW w:w="8190" w:type="dxa"/>
            <w:shd w:val="clear" w:color="auto" w:fill="auto"/>
          </w:tcPr>
          <w:p w14:paraId="62FC084B" w14:textId="77777777" w:rsidR="00671428" w:rsidRPr="00E82CC1" w:rsidRDefault="00671428" w:rsidP="00CA7E11">
            <w:pPr>
              <w:spacing w:after="0" w:line="240" w:lineRule="auto"/>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 xml:space="preserve">Scris. CNAS nr.6689 din 30.12.2021: </w:t>
            </w:r>
          </w:p>
          <w:p w14:paraId="79D71676" w14:textId="77777777" w:rsidR="00671428" w:rsidRPr="00E82CC1" w:rsidRDefault="00671428" w:rsidP="00CA7E11">
            <w:pPr>
              <w:spacing w:after="0" w:line="240" w:lineRule="auto"/>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În adresa Ministerului Sănătății, lunar a fost expediată informația privind transmiterea tardivă a datelor din certificatele de concediu medical de către prestatorii de servicii medicale</w:t>
            </w:r>
          </w:p>
        </w:tc>
        <w:tc>
          <w:tcPr>
            <w:tcW w:w="810" w:type="dxa"/>
            <w:shd w:val="clear" w:color="auto" w:fill="auto"/>
          </w:tcPr>
          <w:p w14:paraId="4B859850"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p>
        </w:tc>
        <w:tc>
          <w:tcPr>
            <w:tcW w:w="900" w:type="dxa"/>
            <w:shd w:val="clear" w:color="auto" w:fill="auto"/>
          </w:tcPr>
          <w:p w14:paraId="5F31212F" w14:textId="77777777" w:rsidR="00671428" w:rsidRPr="00E82CC1" w:rsidRDefault="00671428" w:rsidP="00CA7E11">
            <w:pPr>
              <w:spacing w:after="0" w:line="240" w:lineRule="auto"/>
              <w:rPr>
                <w:rFonts w:asciiTheme="majorHAnsi" w:eastAsia="Times New Roman" w:hAnsiTheme="majorHAnsi" w:cstheme="majorHAnsi"/>
                <w:sz w:val="18"/>
                <w:szCs w:val="18"/>
                <w:lang w:val="ro-RO"/>
              </w:rPr>
            </w:pPr>
          </w:p>
        </w:tc>
        <w:tc>
          <w:tcPr>
            <w:tcW w:w="990" w:type="dxa"/>
          </w:tcPr>
          <w:p w14:paraId="7AD2E608" w14:textId="77777777" w:rsidR="00671428" w:rsidRPr="00E82CC1" w:rsidRDefault="00671428" w:rsidP="00CA7E11">
            <w:pPr>
              <w:spacing w:after="0" w:line="240" w:lineRule="auto"/>
              <w:jc w:val="center"/>
              <w:rPr>
                <w:rFonts w:asciiTheme="majorHAnsi" w:eastAsia="Times New Roman" w:hAnsiTheme="majorHAnsi" w:cstheme="majorHAnsi"/>
                <w:b/>
                <w:iCs/>
                <w:sz w:val="18"/>
                <w:szCs w:val="18"/>
                <w:lang w:val="ro-RO"/>
              </w:rPr>
            </w:pPr>
            <w:r w:rsidRPr="00E82CC1">
              <w:rPr>
                <w:rFonts w:asciiTheme="majorHAnsi" w:eastAsia="Times New Roman" w:hAnsiTheme="majorHAnsi" w:cstheme="majorHAnsi"/>
                <w:b/>
                <w:iCs/>
                <w:sz w:val="18"/>
                <w:szCs w:val="18"/>
                <w:lang w:val="ro-RO"/>
              </w:rPr>
              <w:t>V</w:t>
            </w:r>
          </w:p>
        </w:tc>
      </w:tr>
      <w:tr w:rsidR="00671428" w:rsidRPr="00E82CC1" w14:paraId="32AF477F" w14:textId="77777777" w:rsidTr="00045716">
        <w:trPr>
          <w:trHeight w:val="20"/>
        </w:trPr>
        <w:tc>
          <w:tcPr>
            <w:tcW w:w="604" w:type="dxa"/>
            <w:shd w:val="clear" w:color="auto" w:fill="auto"/>
            <w:noWrap/>
            <w:vAlign w:val="center"/>
          </w:tcPr>
          <w:p w14:paraId="46E86FA9" w14:textId="47D80764"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9</w:t>
            </w:r>
          </w:p>
        </w:tc>
        <w:tc>
          <w:tcPr>
            <w:tcW w:w="2906" w:type="dxa"/>
            <w:shd w:val="clear" w:color="auto" w:fill="auto"/>
          </w:tcPr>
          <w:p w14:paraId="5E109031" w14:textId="2A66CE3C" w:rsidR="00671428" w:rsidRPr="00E82CC1" w:rsidRDefault="00671428" w:rsidP="00A53E85">
            <w:pPr>
              <w:pStyle w:val="a9"/>
              <w:numPr>
                <w:ilvl w:val="0"/>
                <w:numId w:val="36"/>
              </w:numPr>
              <w:spacing w:after="0" w:line="240" w:lineRule="auto"/>
              <w:ind w:left="-78" w:firstLine="78"/>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elaboreze, de comun cu CNAS și cu autoritățile de forță, să aprobe și să promoveze, în modul stabilit, propuneri privind modificarea/completarea cadrului legislativ-normativ, în vederea descrierii clare și exhaustive a instrumentelor, mecanismelor, tehnicilor și procedurilor de calculare a vechimii în muncă și a soldei (câștigului) din care se calculează pensia</w:t>
            </w:r>
            <w:r w:rsidR="00A53E85">
              <w:rPr>
                <w:rFonts w:asciiTheme="majorHAnsi" w:eastAsia="Times New Roman" w:hAnsiTheme="majorHAnsi" w:cstheme="majorHAnsi"/>
                <w:sz w:val="18"/>
                <w:szCs w:val="18"/>
                <w:lang w:val="ro-RO"/>
              </w:rPr>
              <w:t xml:space="preserve"> </w:t>
            </w:r>
            <w:r w:rsidRPr="00E82CC1">
              <w:rPr>
                <w:rFonts w:asciiTheme="majorHAnsi" w:eastAsia="Times New Roman" w:hAnsiTheme="majorHAnsi" w:cstheme="majorHAnsi"/>
                <w:sz w:val="18"/>
                <w:szCs w:val="18"/>
                <w:lang w:val="ro-RO"/>
              </w:rPr>
              <w:t>(reiterată)</w:t>
            </w:r>
          </w:p>
        </w:tc>
        <w:tc>
          <w:tcPr>
            <w:tcW w:w="8190" w:type="dxa"/>
            <w:shd w:val="clear" w:color="auto" w:fill="auto"/>
          </w:tcPr>
          <w:p w14:paraId="3C7893EC" w14:textId="77777777" w:rsidR="00671428" w:rsidRPr="00E82CC1" w:rsidRDefault="00671428" w:rsidP="00CA7E11">
            <w:pPr>
              <w:spacing w:after="0" w:line="240" w:lineRule="auto"/>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Scris. CNAS nr.6689 din 30.12.2021: Prin scrisoarea nr.5159 din 20.10.2021 către Ministerul Muncii și Protecției Sociale au fost înaintate propuneri de modificare a Legii nr.1544/1993 asigurării cu pensii a militarilor și a persoanelor din corpul de comanda și din trupele organelor afacerilor interne și din cadrul Inspectoratului General de Carabinieri și a Hotărârii Guvernului nr.78/1994</w:t>
            </w:r>
          </w:p>
        </w:tc>
        <w:tc>
          <w:tcPr>
            <w:tcW w:w="810" w:type="dxa"/>
            <w:shd w:val="clear" w:color="auto" w:fill="auto"/>
          </w:tcPr>
          <w:p w14:paraId="78CFA2B1"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p>
        </w:tc>
        <w:tc>
          <w:tcPr>
            <w:tcW w:w="900" w:type="dxa"/>
            <w:shd w:val="clear" w:color="auto" w:fill="auto"/>
          </w:tcPr>
          <w:p w14:paraId="50A157F6" w14:textId="77777777" w:rsidR="00671428" w:rsidRPr="00E82CC1" w:rsidRDefault="00671428" w:rsidP="00CA7E11">
            <w:pPr>
              <w:spacing w:after="0" w:line="240" w:lineRule="auto"/>
              <w:rPr>
                <w:rFonts w:asciiTheme="majorHAnsi" w:hAnsiTheme="majorHAnsi" w:cstheme="majorHAnsi"/>
                <w:sz w:val="18"/>
                <w:szCs w:val="18"/>
                <w:lang w:val="ro-RO"/>
              </w:rPr>
            </w:pPr>
          </w:p>
        </w:tc>
        <w:tc>
          <w:tcPr>
            <w:tcW w:w="990" w:type="dxa"/>
          </w:tcPr>
          <w:p w14:paraId="58B8555A" w14:textId="77777777" w:rsidR="00671428" w:rsidRPr="00E82CC1" w:rsidRDefault="00671428" w:rsidP="00CA7E11">
            <w:pPr>
              <w:spacing w:after="0" w:line="240" w:lineRule="auto"/>
              <w:jc w:val="center"/>
              <w:rPr>
                <w:rFonts w:asciiTheme="majorHAnsi" w:eastAsia="Times New Roman" w:hAnsiTheme="majorHAnsi" w:cstheme="majorHAnsi"/>
                <w:b/>
                <w:iCs/>
                <w:sz w:val="18"/>
                <w:szCs w:val="18"/>
                <w:lang w:val="ro-RO"/>
              </w:rPr>
            </w:pPr>
            <w:r w:rsidRPr="00E82CC1">
              <w:rPr>
                <w:rFonts w:asciiTheme="majorHAnsi" w:eastAsia="Times New Roman" w:hAnsiTheme="majorHAnsi" w:cstheme="majorHAnsi"/>
                <w:b/>
                <w:iCs/>
                <w:sz w:val="18"/>
                <w:szCs w:val="18"/>
                <w:lang w:val="ro-RO"/>
              </w:rPr>
              <w:t>V</w:t>
            </w:r>
          </w:p>
        </w:tc>
      </w:tr>
      <w:tr w:rsidR="00671428" w:rsidRPr="00E82CC1" w14:paraId="3DFDE344" w14:textId="77777777" w:rsidTr="00045716">
        <w:trPr>
          <w:trHeight w:val="20"/>
        </w:trPr>
        <w:tc>
          <w:tcPr>
            <w:tcW w:w="604" w:type="dxa"/>
            <w:shd w:val="clear" w:color="auto" w:fill="auto"/>
            <w:noWrap/>
            <w:vAlign w:val="center"/>
          </w:tcPr>
          <w:p w14:paraId="095698E6" w14:textId="7CB1EA34"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10</w:t>
            </w:r>
          </w:p>
        </w:tc>
        <w:tc>
          <w:tcPr>
            <w:tcW w:w="2906" w:type="dxa"/>
            <w:shd w:val="clear" w:color="auto" w:fill="auto"/>
          </w:tcPr>
          <w:p w14:paraId="5A346726" w14:textId="4502A95D" w:rsidR="00671428" w:rsidRPr="00E82CC1" w:rsidRDefault="00671428" w:rsidP="008362B9">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elaboreze și să înainteze, în modul stabilit, propuneri de ajustare a cadrului normativ ce reglementează acordarea înlesnirilor la calcularea vechimii în muncă angajaților cu activități în cadrul izolatoarelor de detenție provizorie din inspectoratele de poliție, în vederea excluderii litigiilor în instanțele de judecată</w:t>
            </w:r>
          </w:p>
        </w:tc>
        <w:tc>
          <w:tcPr>
            <w:tcW w:w="8190" w:type="dxa"/>
            <w:shd w:val="clear" w:color="auto" w:fill="auto"/>
          </w:tcPr>
          <w:p w14:paraId="27661478" w14:textId="77777777" w:rsidR="00671428" w:rsidRPr="00E82CC1" w:rsidRDefault="00671428" w:rsidP="00617E4A">
            <w:pPr>
              <w:spacing w:after="0" w:line="240" w:lineRule="auto"/>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Scris. CNAS nr.6689 din 30.12.2021: Prin scrisoarea nr.5159 din 20.10.2021 către Ministerul Muncii și Protecției Sociale au fost înaintate propuneri de modificare a Legii nr.1544/1993 asigurării cu pensii a militarilor și a persoanelor din corpul de comanda și din trupele organelor afacerilor interne și din cadrul Inspectoratului General de Carabinieri și a Hotărârii Guvernului nr.78/1994</w:t>
            </w:r>
          </w:p>
        </w:tc>
        <w:tc>
          <w:tcPr>
            <w:tcW w:w="810" w:type="dxa"/>
            <w:shd w:val="clear" w:color="auto" w:fill="auto"/>
          </w:tcPr>
          <w:p w14:paraId="122BF625" w14:textId="77777777" w:rsidR="00671428" w:rsidRPr="00E82CC1" w:rsidRDefault="00671428" w:rsidP="00CA7E11">
            <w:pPr>
              <w:spacing w:after="0" w:line="240" w:lineRule="auto"/>
              <w:jc w:val="center"/>
              <w:rPr>
                <w:rFonts w:asciiTheme="majorHAnsi" w:hAnsiTheme="majorHAnsi" w:cstheme="majorHAnsi"/>
                <w:b/>
                <w:sz w:val="18"/>
                <w:szCs w:val="18"/>
                <w:lang w:val="ro-RO"/>
              </w:rPr>
            </w:pPr>
          </w:p>
        </w:tc>
        <w:tc>
          <w:tcPr>
            <w:tcW w:w="900" w:type="dxa"/>
            <w:shd w:val="clear" w:color="auto" w:fill="auto"/>
          </w:tcPr>
          <w:p w14:paraId="3B8EA5E9" w14:textId="77777777" w:rsidR="00671428" w:rsidRPr="00E82CC1" w:rsidRDefault="00671428" w:rsidP="00CA7E11">
            <w:pPr>
              <w:spacing w:after="0" w:line="240" w:lineRule="auto"/>
              <w:rPr>
                <w:rFonts w:asciiTheme="majorHAnsi" w:eastAsia="Times New Roman" w:hAnsiTheme="majorHAnsi" w:cstheme="majorHAnsi"/>
                <w:bCs/>
                <w:iCs/>
                <w:sz w:val="18"/>
                <w:szCs w:val="18"/>
                <w:lang w:val="ro-RO"/>
              </w:rPr>
            </w:pPr>
          </w:p>
        </w:tc>
        <w:tc>
          <w:tcPr>
            <w:tcW w:w="990" w:type="dxa"/>
          </w:tcPr>
          <w:p w14:paraId="6A7FA586" w14:textId="77777777" w:rsidR="00671428" w:rsidRPr="00E82CC1" w:rsidRDefault="00671428" w:rsidP="00CA7E11">
            <w:pPr>
              <w:spacing w:after="0" w:line="240" w:lineRule="auto"/>
              <w:jc w:val="center"/>
              <w:rPr>
                <w:rFonts w:asciiTheme="majorHAnsi" w:eastAsia="Times New Roman" w:hAnsiTheme="majorHAnsi" w:cstheme="majorHAnsi"/>
                <w:b/>
                <w:iCs/>
                <w:sz w:val="18"/>
                <w:szCs w:val="18"/>
                <w:lang w:val="ro-RO"/>
              </w:rPr>
            </w:pPr>
            <w:r w:rsidRPr="00E82CC1">
              <w:rPr>
                <w:rFonts w:asciiTheme="majorHAnsi" w:eastAsia="Times New Roman" w:hAnsiTheme="majorHAnsi" w:cstheme="majorHAnsi"/>
                <w:b/>
                <w:iCs/>
                <w:sz w:val="18"/>
                <w:szCs w:val="18"/>
                <w:lang w:val="ro-RO"/>
              </w:rPr>
              <w:t>V</w:t>
            </w:r>
          </w:p>
        </w:tc>
      </w:tr>
      <w:tr w:rsidR="00671428" w:rsidRPr="00E82CC1" w14:paraId="7E492B55" w14:textId="77777777" w:rsidTr="00045716">
        <w:trPr>
          <w:trHeight w:val="20"/>
        </w:trPr>
        <w:tc>
          <w:tcPr>
            <w:tcW w:w="604" w:type="dxa"/>
            <w:shd w:val="clear" w:color="auto" w:fill="C5E0B3" w:themeFill="accent6" w:themeFillTint="66"/>
            <w:noWrap/>
            <w:vAlign w:val="center"/>
          </w:tcPr>
          <w:p w14:paraId="50047C85"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13796" w:type="dxa"/>
            <w:gridSpan w:val="5"/>
            <w:shd w:val="clear" w:color="auto" w:fill="C5E0B3" w:themeFill="accent6" w:themeFillTint="66"/>
          </w:tcPr>
          <w:p w14:paraId="5729EBD5" w14:textId="77777777" w:rsidR="00671428" w:rsidRPr="00E82CC1" w:rsidRDefault="00671428" w:rsidP="00CA7E11">
            <w:pPr>
              <w:spacing w:after="0" w:line="240" w:lineRule="auto"/>
              <w:rPr>
                <w:rFonts w:asciiTheme="majorHAnsi" w:eastAsia="Times New Roman" w:hAnsiTheme="majorHAnsi" w:cstheme="majorHAnsi"/>
                <w:b/>
                <w:bCs/>
                <w:i/>
                <w:iCs/>
                <w:sz w:val="18"/>
                <w:szCs w:val="18"/>
                <w:lang w:val="ro-RO"/>
              </w:rPr>
            </w:pPr>
            <w:r w:rsidRPr="00E82CC1">
              <w:rPr>
                <w:rFonts w:asciiTheme="majorHAnsi" w:eastAsia="Times New Roman" w:hAnsiTheme="majorHAnsi" w:cstheme="majorHAnsi"/>
                <w:b/>
                <w:bCs/>
                <w:i/>
                <w:iCs/>
                <w:sz w:val="18"/>
                <w:szCs w:val="18"/>
                <w:lang w:val="ro-RO"/>
              </w:rPr>
              <w:t>Recomandare Ministerului Afacerilor Interne</w:t>
            </w:r>
          </w:p>
        </w:tc>
      </w:tr>
      <w:tr w:rsidR="00671428" w:rsidRPr="00E82CC1" w14:paraId="522CA65F" w14:textId="77777777" w:rsidTr="00045716">
        <w:trPr>
          <w:trHeight w:val="20"/>
        </w:trPr>
        <w:tc>
          <w:tcPr>
            <w:tcW w:w="604" w:type="dxa"/>
            <w:shd w:val="clear" w:color="auto" w:fill="auto"/>
            <w:noWrap/>
            <w:vAlign w:val="center"/>
          </w:tcPr>
          <w:p w14:paraId="58105DBA" w14:textId="66FF034B" w:rsidR="00671428" w:rsidRPr="00E82CC1" w:rsidRDefault="00671428" w:rsidP="00F747F0">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r w:rsidR="00F747F0">
              <w:rPr>
                <w:rFonts w:asciiTheme="majorHAnsi" w:eastAsia="Times New Roman" w:hAnsiTheme="majorHAnsi" w:cstheme="majorHAnsi"/>
                <w:b/>
                <w:bCs/>
                <w:sz w:val="18"/>
                <w:szCs w:val="18"/>
                <w:lang w:val="ro-RO"/>
              </w:rPr>
              <w:t>1</w:t>
            </w:r>
          </w:p>
        </w:tc>
        <w:tc>
          <w:tcPr>
            <w:tcW w:w="2906" w:type="dxa"/>
            <w:shd w:val="clear" w:color="auto" w:fill="auto"/>
          </w:tcPr>
          <w:p w14:paraId="06E8A089" w14:textId="12283F43" w:rsidR="00671428" w:rsidRPr="00E82CC1" w:rsidRDefault="00671428" w:rsidP="008362B9">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ajusteze Ordinul nr.96 din 20.03.2018 „Cu privire la recunoașterea unor înlesniri pentru stabilirea pensiei anumitor categorii de funcționari publici cu statut special şi militar din cadrul Ministerului Afacerilor Interne”, în corespundere cu Hotărârea Guvernului nr. 78 din 21.02.1994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 și respectarea normelor prevăzute de art.16 alin.(2) și art.37 alin.(4) ale Legii cu privire la actele normative nr.100 din 22.12.2017</w:t>
            </w:r>
          </w:p>
        </w:tc>
        <w:tc>
          <w:tcPr>
            <w:tcW w:w="8190" w:type="dxa"/>
            <w:shd w:val="clear" w:color="auto" w:fill="auto"/>
          </w:tcPr>
          <w:p w14:paraId="256353D4" w14:textId="483AA45C" w:rsidR="00671428" w:rsidRPr="00E82CC1" w:rsidRDefault="00671428" w:rsidP="00CA7E11">
            <w:pPr>
              <w:jc w:val="both"/>
              <w:rPr>
                <w:rFonts w:asciiTheme="majorHAnsi" w:hAnsiTheme="majorHAnsi" w:cstheme="majorHAnsi"/>
                <w:sz w:val="18"/>
                <w:szCs w:val="18"/>
                <w:lang w:val="ro-RO"/>
              </w:rPr>
            </w:pPr>
            <w:r w:rsidRPr="00E82CC1">
              <w:rPr>
                <w:rFonts w:asciiTheme="majorHAnsi" w:hAnsiTheme="majorHAnsi" w:cstheme="majorHAnsi"/>
                <w:sz w:val="18"/>
                <w:szCs w:val="18"/>
                <w:lang w:val="ro-RO"/>
              </w:rPr>
              <w:t>Scris. MAI nr.42/252 din 18.01.2022: În temeiul prevederilor art.16 alin</w:t>
            </w:r>
            <w:r w:rsidR="00BE2C83">
              <w:rPr>
                <w:rFonts w:asciiTheme="majorHAnsi" w:hAnsiTheme="majorHAnsi" w:cstheme="majorHAnsi"/>
                <w:sz w:val="18"/>
                <w:szCs w:val="18"/>
                <w:lang w:val="ro-RO"/>
              </w:rPr>
              <w:t>.</w:t>
            </w:r>
            <w:r w:rsidRPr="00E82CC1">
              <w:rPr>
                <w:rFonts w:asciiTheme="majorHAnsi" w:hAnsiTheme="majorHAnsi" w:cstheme="majorHAnsi"/>
                <w:sz w:val="18"/>
                <w:szCs w:val="18"/>
                <w:lang w:val="ro-RO"/>
              </w:rPr>
              <w:t xml:space="preserve">(2) al Legii cu privire la actele normative nr.100 din 22.12.2017, </w:t>
            </w:r>
            <w:r w:rsidR="00BE2C83">
              <w:rPr>
                <w:rFonts w:asciiTheme="majorHAnsi" w:hAnsiTheme="majorHAnsi" w:cstheme="majorHAnsi"/>
                <w:sz w:val="18"/>
                <w:szCs w:val="18"/>
                <w:lang w:val="ro-RO"/>
              </w:rPr>
              <w:t>se</w:t>
            </w:r>
            <w:r w:rsidRPr="00E82CC1">
              <w:rPr>
                <w:rFonts w:asciiTheme="majorHAnsi" w:hAnsiTheme="majorHAnsi" w:cstheme="majorHAnsi"/>
                <w:sz w:val="18"/>
                <w:szCs w:val="18"/>
                <w:lang w:val="ro-RO"/>
              </w:rPr>
              <w:t xml:space="preserve"> reglementează că actele normative ale autorităților administrației publice centrale de specialitate și ale autorităților publice autonome sunt emise sau aprobate numai în temeiul și pentru executarea legilor și a Hotărârilor Parlamentului, a decretelor Președintelui RM, a hotărârilor și ordonanțelor Guvernului, astfel încât Ordinul nr.96 din 20.03.2018 respectă rigorile legale indicate, conformându-se prevederilor pct.7 lit</w:t>
            </w:r>
            <w:r w:rsidR="00BE2C83">
              <w:rPr>
                <w:rFonts w:asciiTheme="majorHAnsi" w:hAnsiTheme="majorHAnsi" w:cstheme="majorHAnsi"/>
                <w:sz w:val="18"/>
                <w:szCs w:val="18"/>
                <w:lang w:val="ro-RO"/>
              </w:rPr>
              <w:t>.</w:t>
            </w:r>
            <w:r w:rsidRPr="00E82CC1">
              <w:rPr>
                <w:rFonts w:asciiTheme="majorHAnsi" w:hAnsiTheme="majorHAnsi" w:cstheme="majorHAnsi"/>
                <w:sz w:val="18"/>
                <w:szCs w:val="18"/>
                <w:lang w:val="ro-RO"/>
              </w:rPr>
              <w:t xml:space="preserve"> (g) și 8 lit</w:t>
            </w:r>
            <w:r w:rsidR="00BE2C83">
              <w:rPr>
                <w:rFonts w:asciiTheme="majorHAnsi" w:hAnsiTheme="majorHAnsi" w:cstheme="majorHAnsi"/>
                <w:sz w:val="18"/>
                <w:szCs w:val="18"/>
                <w:lang w:val="ro-RO"/>
              </w:rPr>
              <w:t>.</w:t>
            </w:r>
            <w:r w:rsidRPr="00E82CC1">
              <w:rPr>
                <w:rFonts w:asciiTheme="majorHAnsi" w:hAnsiTheme="majorHAnsi" w:cstheme="majorHAnsi"/>
                <w:sz w:val="18"/>
                <w:szCs w:val="18"/>
                <w:lang w:val="ro-RO"/>
              </w:rPr>
              <w:t>(d) ale HG nr. 78 din 21.02.1994, unde noțiunea de „izolator de urmărire penală” este însoțită de „izolator de detenție provizorie”</w:t>
            </w:r>
          </w:p>
          <w:p w14:paraId="6E93BE5C" w14:textId="453760EC" w:rsidR="00671428" w:rsidRPr="00E82CC1" w:rsidRDefault="00671428" w:rsidP="00BE2C83">
            <w:pPr>
              <w:pStyle w:val="4"/>
              <w:numPr>
                <w:ilvl w:val="0"/>
                <w:numId w:val="0"/>
              </w:numPr>
              <w:shd w:val="clear" w:color="auto" w:fill="FFFFFF"/>
              <w:spacing w:before="0" w:line="240" w:lineRule="auto"/>
              <w:ind w:left="438" w:hanging="438"/>
              <w:rPr>
                <w:rFonts w:asciiTheme="majorHAnsi" w:hAnsiTheme="majorHAnsi" w:cstheme="majorHAnsi"/>
                <w:i w:val="0"/>
                <w:iCs w:val="0"/>
                <w:sz w:val="18"/>
                <w:szCs w:val="18"/>
                <w:lang w:val="ro-RO"/>
              </w:rPr>
            </w:pPr>
            <w:r w:rsidRPr="00E82CC1">
              <w:rPr>
                <w:rFonts w:asciiTheme="majorHAnsi" w:hAnsiTheme="majorHAnsi" w:cstheme="majorHAnsi"/>
                <w:sz w:val="18"/>
                <w:szCs w:val="18"/>
                <w:lang w:val="ro-RO"/>
              </w:rPr>
              <w:t>Cu privire la art. 37 alin</w:t>
            </w:r>
            <w:r w:rsidR="00BE2C83">
              <w:rPr>
                <w:rFonts w:asciiTheme="majorHAnsi" w:hAnsiTheme="majorHAnsi" w:cstheme="majorHAnsi"/>
                <w:sz w:val="18"/>
                <w:szCs w:val="18"/>
                <w:lang w:val="ro-RO"/>
              </w:rPr>
              <w:t>.</w:t>
            </w:r>
            <w:r w:rsidRPr="00E82CC1">
              <w:rPr>
                <w:rFonts w:asciiTheme="majorHAnsi" w:hAnsiTheme="majorHAnsi" w:cstheme="majorHAnsi"/>
                <w:sz w:val="18"/>
                <w:szCs w:val="18"/>
                <w:lang w:val="ro-RO"/>
              </w:rPr>
              <w:t>(4) al aceleiași Legi, care reglementează că actele normative ale autorităților administrației publice centrale de specialitate și ale autorităților publice autonome care vizează drepturile și interesele legitime ale omului sunt supuse expertizei juridice obligatorii și se înregistrează de către MJ,  se menționează că asigurarea expertizei juridice și înregistrarea în Registrul de stat al actelor juridice este un procedeu juridic care se asigură anterior procedurii de emitere a actului normativ, atunci când acesta se află la etapa de proiect de act normativ</w:t>
            </w:r>
          </w:p>
        </w:tc>
        <w:tc>
          <w:tcPr>
            <w:tcW w:w="810" w:type="dxa"/>
            <w:shd w:val="clear" w:color="auto" w:fill="auto"/>
          </w:tcPr>
          <w:p w14:paraId="34FAC12A" w14:textId="77777777" w:rsidR="00671428" w:rsidRPr="00E82CC1" w:rsidRDefault="00671428" w:rsidP="00CA7E11">
            <w:pPr>
              <w:spacing w:after="0" w:line="240" w:lineRule="auto"/>
              <w:rPr>
                <w:rFonts w:asciiTheme="majorHAnsi" w:eastAsia="Times New Roman" w:hAnsiTheme="majorHAnsi" w:cstheme="majorHAnsi"/>
                <w:sz w:val="18"/>
                <w:szCs w:val="18"/>
                <w:lang w:val="ro-RO"/>
              </w:rPr>
            </w:pPr>
          </w:p>
        </w:tc>
        <w:tc>
          <w:tcPr>
            <w:tcW w:w="900" w:type="dxa"/>
            <w:shd w:val="clear" w:color="auto" w:fill="auto"/>
          </w:tcPr>
          <w:p w14:paraId="12D137E9"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990" w:type="dxa"/>
          </w:tcPr>
          <w:p w14:paraId="7F5A9C57" w14:textId="77777777" w:rsidR="00671428" w:rsidRPr="00E82CC1" w:rsidRDefault="00671428" w:rsidP="00CA7E11">
            <w:pPr>
              <w:spacing w:after="0" w:line="240" w:lineRule="auto"/>
              <w:jc w:val="center"/>
              <w:rPr>
                <w:rFonts w:asciiTheme="majorHAnsi" w:eastAsia="Times New Roman" w:hAnsiTheme="majorHAnsi" w:cstheme="majorHAnsi"/>
                <w:b/>
                <w:bCs/>
                <w:iCs/>
                <w:sz w:val="18"/>
                <w:szCs w:val="18"/>
                <w:lang w:val="ro-RO"/>
              </w:rPr>
            </w:pPr>
            <w:r w:rsidRPr="00E82CC1">
              <w:rPr>
                <w:rFonts w:asciiTheme="majorHAnsi" w:eastAsia="Times New Roman" w:hAnsiTheme="majorHAnsi" w:cstheme="majorHAnsi"/>
                <w:b/>
                <w:bCs/>
                <w:iCs/>
                <w:sz w:val="18"/>
                <w:szCs w:val="18"/>
                <w:lang w:val="ro-RO"/>
              </w:rPr>
              <w:t>V</w:t>
            </w:r>
          </w:p>
        </w:tc>
      </w:tr>
      <w:tr w:rsidR="00671428" w:rsidRPr="00E82CC1" w14:paraId="339160C4" w14:textId="77777777" w:rsidTr="00045716">
        <w:trPr>
          <w:trHeight w:val="20"/>
        </w:trPr>
        <w:tc>
          <w:tcPr>
            <w:tcW w:w="604" w:type="dxa"/>
            <w:shd w:val="clear" w:color="auto" w:fill="C5E0B3" w:themeFill="accent6" w:themeFillTint="66"/>
            <w:noWrap/>
            <w:vAlign w:val="center"/>
          </w:tcPr>
          <w:p w14:paraId="15F77297"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13796" w:type="dxa"/>
            <w:gridSpan w:val="5"/>
            <w:shd w:val="clear" w:color="auto" w:fill="C5E0B3" w:themeFill="accent6" w:themeFillTint="66"/>
          </w:tcPr>
          <w:p w14:paraId="50F3C9CB"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r w:rsidRPr="00E82CC1">
              <w:rPr>
                <w:rFonts w:asciiTheme="majorHAnsi" w:eastAsia="Times New Roman" w:hAnsiTheme="majorHAnsi" w:cstheme="majorHAnsi"/>
                <w:b/>
                <w:bCs/>
                <w:i/>
                <w:sz w:val="18"/>
                <w:szCs w:val="18"/>
                <w:lang w:val="ro-RO"/>
              </w:rPr>
              <w:t>Recomandări Casei Naționale de Asigurări Sociale</w:t>
            </w:r>
          </w:p>
        </w:tc>
      </w:tr>
      <w:tr w:rsidR="00671428" w:rsidRPr="00E82CC1" w14:paraId="7F4F33D2" w14:textId="77777777" w:rsidTr="00045716">
        <w:trPr>
          <w:trHeight w:val="20"/>
        </w:trPr>
        <w:tc>
          <w:tcPr>
            <w:tcW w:w="604" w:type="dxa"/>
            <w:shd w:val="clear" w:color="auto" w:fill="auto"/>
            <w:noWrap/>
            <w:vAlign w:val="center"/>
          </w:tcPr>
          <w:p w14:paraId="6B3A07E2" w14:textId="3DD130CE" w:rsidR="00671428" w:rsidRPr="00E82CC1" w:rsidRDefault="00671428" w:rsidP="00F747F0">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r w:rsidR="00F747F0">
              <w:rPr>
                <w:rFonts w:asciiTheme="majorHAnsi" w:eastAsia="Times New Roman" w:hAnsiTheme="majorHAnsi" w:cstheme="majorHAnsi"/>
                <w:b/>
                <w:bCs/>
                <w:sz w:val="18"/>
                <w:szCs w:val="18"/>
                <w:lang w:val="ro-RO"/>
              </w:rPr>
              <w:t>2</w:t>
            </w:r>
          </w:p>
        </w:tc>
        <w:tc>
          <w:tcPr>
            <w:tcW w:w="2906" w:type="dxa"/>
            <w:shd w:val="clear" w:color="auto" w:fill="auto"/>
          </w:tcPr>
          <w:p w14:paraId="2C4D4A49" w14:textId="77777777" w:rsidR="00671428" w:rsidRPr="00E82CC1" w:rsidRDefault="00671428" w:rsidP="00671428">
            <w:pPr>
              <w:pStyle w:val="a9"/>
              <w:numPr>
                <w:ilvl w:val="0"/>
                <w:numId w:val="36"/>
              </w:numPr>
              <w:spacing w:after="0" w:line="240" w:lineRule="auto"/>
              <w:ind w:left="-78"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intensifice controlul asupra autenticității actelor ce confirmă vechimea în serviciu şi solda (câştigul), eliberate de organele abilitate, în baza prevederilor art.49 alin.(3) din Legea nr.1544-XII din 23.06.1993 privind asigurarea cu pensii a militarilor și a persoanelor din corpul de comandă și din trupele organelor afacerilor interne şi din cadrul Inspectoratului General de Carabinieri</w:t>
            </w:r>
          </w:p>
        </w:tc>
        <w:tc>
          <w:tcPr>
            <w:tcW w:w="8190" w:type="dxa"/>
            <w:shd w:val="clear" w:color="auto" w:fill="auto"/>
          </w:tcPr>
          <w:p w14:paraId="2C279CA0"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În temeiul ordinului intern nr.439-D din 12.08.2021, la data de 13.08.2021, pentru specialiștii CTAS a fost desfășurat seminarul de instruire internă cu tematica „Controlul asupra autenticității actelor ce confirmă vechimea în serviciu și solda (câștigul) eliberate de organele abilitate”.</w:t>
            </w:r>
          </w:p>
          <w:p w14:paraId="06B07242" w14:textId="788E2A61" w:rsidR="00671428" w:rsidRPr="00E82CC1" w:rsidRDefault="003A7CDE" w:rsidP="00CA7E11">
            <w:pPr>
              <w:spacing w:after="0" w:line="240" w:lineRule="auto"/>
              <w:jc w:val="both"/>
              <w:rPr>
                <w:rFonts w:asciiTheme="majorHAnsi" w:eastAsia="Times New Roman" w:hAnsiTheme="majorHAnsi" w:cstheme="majorHAnsi"/>
                <w:sz w:val="18"/>
                <w:szCs w:val="18"/>
                <w:lang w:val="ro-RO"/>
              </w:rPr>
            </w:pPr>
            <w:r>
              <w:rPr>
                <w:rFonts w:asciiTheme="majorHAnsi" w:eastAsia="Times New Roman" w:hAnsiTheme="majorHAnsi" w:cstheme="majorHAnsi"/>
                <w:color w:val="000000" w:themeColor="text1"/>
                <w:sz w:val="18"/>
                <w:szCs w:val="18"/>
                <w:lang w:val="ro-RO"/>
              </w:rPr>
              <w:t>Î</w:t>
            </w:r>
            <w:r w:rsidR="00671428" w:rsidRPr="00E82CC1">
              <w:rPr>
                <w:rFonts w:asciiTheme="majorHAnsi" w:eastAsia="Times New Roman" w:hAnsiTheme="majorHAnsi" w:cstheme="majorHAnsi"/>
                <w:color w:val="000000" w:themeColor="text1"/>
                <w:sz w:val="18"/>
                <w:szCs w:val="18"/>
                <w:lang w:val="ro-RO"/>
              </w:rPr>
              <w:t xml:space="preserve">n temeiul ordinului intern nr.410-D din 02.08.2021, de comun cu Administrația Națională a Penitenciarelor, la 05.08.2021 a avut loc seminarul de instruire a angajaților Administrației Naționale a Penitenciarelor privind aplicarea cadrului legal la stabilirea pensiilor și prezentarea actelor justificative ce țin de vechimea în muncă, precum și confirmarea perioadelor cu înlesniri/avantaje pentru foștii angajați ai Autorității Naționale a Penitenciarelor </w:t>
            </w:r>
          </w:p>
        </w:tc>
        <w:tc>
          <w:tcPr>
            <w:tcW w:w="810" w:type="dxa"/>
            <w:shd w:val="clear" w:color="auto" w:fill="auto"/>
          </w:tcPr>
          <w:p w14:paraId="3A1BF012"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5CD5AED1"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0CA05E52"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467C73AA" w14:textId="77777777" w:rsidTr="00045716">
        <w:trPr>
          <w:trHeight w:val="20"/>
        </w:trPr>
        <w:tc>
          <w:tcPr>
            <w:tcW w:w="604" w:type="dxa"/>
            <w:shd w:val="clear" w:color="auto" w:fill="auto"/>
            <w:noWrap/>
            <w:vAlign w:val="center"/>
          </w:tcPr>
          <w:p w14:paraId="1C83FCCC" w14:textId="7D8993A5" w:rsidR="00671428" w:rsidRPr="00E82CC1" w:rsidRDefault="00671428" w:rsidP="00F747F0">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r w:rsidR="00F747F0">
              <w:rPr>
                <w:rFonts w:asciiTheme="majorHAnsi" w:eastAsia="Times New Roman" w:hAnsiTheme="majorHAnsi" w:cstheme="majorHAnsi"/>
                <w:b/>
                <w:bCs/>
                <w:sz w:val="18"/>
                <w:szCs w:val="18"/>
                <w:lang w:val="ro-RO"/>
              </w:rPr>
              <w:t>3</w:t>
            </w:r>
          </w:p>
        </w:tc>
        <w:tc>
          <w:tcPr>
            <w:tcW w:w="2906" w:type="dxa"/>
            <w:shd w:val="clear" w:color="auto" w:fill="auto"/>
          </w:tcPr>
          <w:p w14:paraId="0E85DB2E" w14:textId="77777777" w:rsidR="00671428" w:rsidRPr="00E82CC1" w:rsidRDefault="00671428" w:rsidP="00671428">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evalueze procesul de formare a rapoartelor în SI „Protecția Socială”, reieșind din normele de evidență și rapoarte financiare, în vederea identificării riscurilor și estimării impactului valoric asupra situațiilor financiare, precum și asigurării corelării politicilor de reglementare a metodelor de contabilitate specifice asupra perioadei de gestiune stabilite ca constantă în SI „Protecția Socială”, ceea ce ar permite reconcilierea datelor utilizate la întocmirea rapoartelor</w:t>
            </w:r>
          </w:p>
        </w:tc>
        <w:tc>
          <w:tcPr>
            <w:tcW w:w="8190" w:type="dxa"/>
            <w:shd w:val="clear" w:color="auto" w:fill="auto"/>
          </w:tcPr>
          <w:p w14:paraId="4036289C"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A fost evaluat mecanismul de formare a rapoartelor în Sistemul Informațional „Protecția Socială” și în evidența plății prestațiilor sociale se includ sumele achitate, neachitate și restituite prin intermediul serviciului guvernamental de plăți electronice MPay.</w:t>
            </w:r>
          </w:p>
          <w:p w14:paraId="78C0CBA6" w14:textId="00FCB39E" w:rsidR="00671428" w:rsidRPr="00E82CC1" w:rsidRDefault="00671428" w:rsidP="003A7CDE">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Astfel, în Sistemul Informațional „Protecția Socială” a fost elaborat „Raportul privind identificarea și restituirea plăților necuvenite a prestațiilor sociale”. În raport sunt reflectate sumele supraplăților identificate în luna curentă. Suma restituită în luna curentă corespunde sumelor restituite prin intermediul serviciului guvernamental de plăți electronice MPay în perioada de gestiune</w:t>
            </w:r>
          </w:p>
        </w:tc>
        <w:tc>
          <w:tcPr>
            <w:tcW w:w="810" w:type="dxa"/>
            <w:shd w:val="clear" w:color="auto" w:fill="auto"/>
          </w:tcPr>
          <w:p w14:paraId="17519D7D"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31137364"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523E98E5"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684BB9FD" w14:textId="77777777" w:rsidTr="00045716">
        <w:trPr>
          <w:trHeight w:val="20"/>
        </w:trPr>
        <w:tc>
          <w:tcPr>
            <w:tcW w:w="604" w:type="dxa"/>
            <w:shd w:val="clear" w:color="auto" w:fill="auto"/>
            <w:noWrap/>
            <w:vAlign w:val="center"/>
          </w:tcPr>
          <w:p w14:paraId="2F6E1EDE" w14:textId="20C0EB85"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14</w:t>
            </w:r>
          </w:p>
        </w:tc>
        <w:tc>
          <w:tcPr>
            <w:tcW w:w="2906" w:type="dxa"/>
            <w:shd w:val="clear" w:color="auto" w:fill="auto"/>
          </w:tcPr>
          <w:p w14:paraId="2EA309E2" w14:textId="77777777" w:rsidR="00671428" w:rsidRPr="00E82CC1" w:rsidRDefault="00671428" w:rsidP="00671428">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identifice, să evalueze și să includă în evidența contabilă și în rapoarte creanțele privind suportul financiar și suportul unic</w:t>
            </w:r>
          </w:p>
        </w:tc>
        <w:tc>
          <w:tcPr>
            <w:tcW w:w="8190" w:type="dxa"/>
            <w:shd w:val="clear" w:color="auto" w:fill="auto"/>
          </w:tcPr>
          <w:p w14:paraId="3FBEF7C5" w14:textId="798368EC" w:rsidR="00671428" w:rsidRPr="00E82CC1" w:rsidRDefault="00671428" w:rsidP="003A7CDE">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În Sistemul Informațional „Protecția Socială” a fost elaborat „Raportul privind identificarea și restituirea plăților necuvenite a prestațiilor sociale”. Informația din raport privind sumele supraplăților identificate în luna curentă, suma restituită în luna curenta și soldul la sfârșitul lunii sunt reflectate în evidența contabilă pentru fiecare tip de prestație socială, inclusiv pentru suportul financiar și suportul unic</w:t>
            </w:r>
          </w:p>
        </w:tc>
        <w:tc>
          <w:tcPr>
            <w:tcW w:w="810" w:type="dxa"/>
            <w:shd w:val="clear" w:color="auto" w:fill="auto"/>
          </w:tcPr>
          <w:p w14:paraId="1C342426"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175B88A5"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2D95D651"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539C90CC" w14:textId="77777777" w:rsidTr="00045716">
        <w:trPr>
          <w:trHeight w:val="20"/>
        </w:trPr>
        <w:tc>
          <w:tcPr>
            <w:tcW w:w="604" w:type="dxa"/>
            <w:shd w:val="clear" w:color="auto" w:fill="auto"/>
            <w:noWrap/>
            <w:vAlign w:val="center"/>
          </w:tcPr>
          <w:p w14:paraId="3C2B1393" w14:textId="499325D3"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15</w:t>
            </w:r>
          </w:p>
        </w:tc>
        <w:tc>
          <w:tcPr>
            <w:tcW w:w="2906" w:type="dxa"/>
            <w:shd w:val="clear" w:color="auto" w:fill="auto"/>
          </w:tcPr>
          <w:p w14:paraId="5B9AC11F" w14:textId="415D0C3D" w:rsidR="00671428" w:rsidRPr="00E82CC1" w:rsidRDefault="00671428" w:rsidP="00671428">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elaboreze și să înainteze, în modul stabilit, propuneri de ajustare a instrucțiunii privind evidența contabilă a CNAS, în vederea descrierii procedurilor distincte de reflectare a datoriilor și creanțelor cu termen expirat</w:t>
            </w:r>
          </w:p>
        </w:tc>
        <w:tc>
          <w:tcPr>
            <w:tcW w:w="8190" w:type="dxa"/>
            <w:shd w:val="clear" w:color="auto" w:fill="auto"/>
          </w:tcPr>
          <w:p w14:paraId="5AEFB07B"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La data de 02.07.2021 a fost organizată ședința comună cu reprezentanții Casei Naționale de Asigurări Sociale, Ministerului Finanțelor și Curții de Conturi cu privire la mecanismul de evidență a datoriilor și creanțelor cu termen expirat și reflectarea acestora în rapoartele de executare a bugetului.</w:t>
            </w:r>
          </w:p>
          <w:p w14:paraId="38523FF1" w14:textId="2C6C51E6" w:rsidR="00671428" w:rsidRPr="00E82CC1" w:rsidRDefault="003A7CDE" w:rsidP="00CA7E11">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Ca u</w:t>
            </w:r>
            <w:r w:rsidR="00671428" w:rsidRPr="00E82CC1">
              <w:rPr>
                <w:rFonts w:asciiTheme="majorHAnsi" w:eastAsia="Times New Roman" w:hAnsiTheme="majorHAnsi" w:cstheme="majorHAnsi"/>
                <w:color w:val="000000" w:themeColor="text1"/>
                <w:sz w:val="18"/>
                <w:szCs w:val="18"/>
                <w:lang w:val="ro-RO"/>
              </w:rPr>
              <w:t xml:space="preserve">rmare a ședinței, prin scrisoarea nr.4148 din 24.08.2021, Ministerului Finanțelor </w:t>
            </w:r>
            <w:r>
              <w:rPr>
                <w:rFonts w:asciiTheme="majorHAnsi" w:eastAsia="Times New Roman" w:hAnsiTheme="majorHAnsi" w:cstheme="majorHAnsi"/>
                <w:color w:val="000000" w:themeColor="text1"/>
                <w:sz w:val="18"/>
                <w:szCs w:val="18"/>
                <w:lang w:val="ro-RO"/>
              </w:rPr>
              <w:t>i-</w:t>
            </w:r>
            <w:r w:rsidR="00671428" w:rsidRPr="00E82CC1">
              <w:rPr>
                <w:rFonts w:asciiTheme="majorHAnsi" w:eastAsia="Times New Roman" w:hAnsiTheme="majorHAnsi" w:cstheme="majorHAnsi"/>
                <w:color w:val="000000" w:themeColor="text1"/>
                <w:sz w:val="18"/>
                <w:szCs w:val="18"/>
                <w:lang w:val="ro-RO"/>
              </w:rPr>
              <w:t>au fost înaintate propuneri de modificare a Instrucțiunii privind evidența contabilă a Casei Naționale de Asigurări Sociale. Modificările înaintate au fost acceptate de către Ministerul Finanțelor prin scrisoarea nr.12/3-4-212 din 22.10.2021</w:t>
            </w:r>
          </w:p>
          <w:p w14:paraId="466BD18C" w14:textId="77777777" w:rsidR="00671428" w:rsidRPr="00E82CC1" w:rsidRDefault="00671428" w:rsidP="00CA7E11">
            <w:pPr>
              <w:spacing w:after="0" w:line="240" w:lineRule="auto"/>
              <w:jc w:val="both"/>
              <w:rPr>
                <w:rFonts w:asciiTheme="majorHAnsi" w:eastAsia="Times New Roman" w:hAnsiTheme="majorHAnsi" w:cstheme="majorHAnsi"/>
                <w:sz w:val="18"/>
                <w:szCs w:val="18"/>
                <w:lang w:val="ro-RO"/>
              </w:rPr>
            </w:pPr>
          </w:p>
        </w:tc>
        <w:tc>
          <w:tcPr>
            <w:tcW w:w="810" w:type="dxa"/>
            <w:shd w:val="clear" w:color="auto" w:fill="auto"/>
          </w:tcPr>
          <w:p w14:paraId="3152CF43"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50E60A4A"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2425A7A1"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5407945E" w14:textId="77777777" w:rsidTr="00045716">
        <w:trPr>
          <w:trHeight w:val="20"/>
        </w:trPr>
        <w:tc>
          <w:tcPr>
            <w:tcW w:w="604" w:type="dxa"/>
            <w:shd w:val="clear" w:color="auto" w:fill="auto"/>
            <w:noWrap/>
            <w:vAlign w:val="center"/>
          </w:tcPr>
          <w:p w14:paraId="386BBCA0" w14:textId="2880C8CE"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16</w:t>
            </w:r>
          </w:p>
        </w:tc>
        <w:tc>
          <w:tcPr>
            <w:tcW w:w="2906" w:type="dxa"/>
            <w:shd w:val="clear" w:color="auto" w:fill="auto"/>
          </w:tcPr>
          <w:p w14:paraId="183009CA" w14:textId="528EB6E6" w:rsidR="00671428" w:rsidRPr="00E82CC1" w:rsidRDefault="00671428" w:rsidP="008362B9">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eficientizeze controalele interne privind verificarea corectitudinii stabilirii, calculării și integrității dosarelor pentru: indemnizația unică în legătură cu decesul pensionarului din rândul instituțiilor de forță, indemnizația pentru incapacitatea temporară de muncă cauzată de boli obișnuite, ajutor de șomaj, indemnizația în cazul decesului unuia dintre soți</w:t>
            </w:r>
          </w:p>
        </w:tc>
        <w:tc>
          <w:tcPr>
            <w:tcW w:w="8190" w:type="dxa"/>
            <w:shd w:val="clear" w:color="auto" w:fill="auto"/>
          </w:tcPr>
          <w:p w14:paraId="05F43EB0" w14:textId="480B874C" w:rsidR="00671428" w:rsidRPr="00E82CC1" w:rsidRDefault="00671428" w:rsidP="00E318A2">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Scris. CNAS nr.6689 din 30.12.2021: Prin scrisoarea nr.II-03/10-1728 din 26.08.2021 au fost atenționați șefii Caselor Teritoriale de Asigurări Sociale privind asigurarea corectitudinii stabilirii, calculării și integrității dosarelor în cazul realizării dreptului la indemnizația unică în legătură cu decesul pensionarului din rândul instituțiilor de forța și indemnizației în cazul decesului unuia dintre soți</w:t>
            </w:r>
          </w:p>
        </w:tc>
        <w:tc>
          <w:tcPr>
            <w:tcW w:w="810" w:type="dxa"/>
            <w:shd w:val="clear" w:color="auto" w:fill="auto"/>
          </w:tcPr>
          <w:p w14:paraId="0615912D"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046F1769"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34E1C321"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56EC71C0" w14:textId="77777777" w:rsidTr="00045716">
        <w:trPr>
          <w:trHeight w:val="20"/>
        </w:trPr>
        <w:tc>
          <w:tcPr>
            <w:tcW w:w="604" w:type="dxa"/>
            <w:shd w:val="clear" w:color="auto" w:fill="auto"/>
            <w:noWrap/>
            <w:vAlign w:val="center"/>
          </w:tcPr>
          <w:p w14:paraId="41D3A9A6" w14:textId="09C2608F"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17</w:t>
            </w:r>
          </w:p>
        </w:tc>
        <w:tc>
          <w:tcPr>
            <w:tcW w:w="2906" w:type="dxa"/>
            <w:shd w:val="clear" w:color="auto" w:fill="auto"/>
          </w:tcPr>
          <w:p w14:paraId="7020146D" w14:textId="7D523E1B" w:rsidR="00671428" w:rsidRPr="00E82CC1" w:rsidRDefault="00671428" w:rsidP="008362B9">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înlăture erorile identificate privind sumele achitate incorect beneficiarilor și să  elaboreze un mecanism de control al corectitudinii achitării indemnizațiilor urmașilor personalului medical decedat ca urmare a desfășurării activității medicale în lupta cu COVID-19</w:t>
            </w:r>
          </w:p>
        </w:tc>
        <w:tc>
          <w:tcPr>
            <w:tcW w:w="8190" w:type="dxa"/>
            <w:shd w:val="clear" w:color="auto" w:fill="auto"/>
          </w:tcPr>
          <w:p w14:paraId="19BC929C"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A fost efectuată verificarea corectitudinii achitării indemnizațiilor urmașilor personalului medical decedat ca urmare a desfășurării activității medicale în lupta cu COVID-19, în rezultatul cărora pe contul Casei Naționale de Asigurări Sociale au fost recuperate sumele indemnizațiilor achitate incorect.</w:t>
            </w:r>
          </w:p>
          <w:p w14:paraId="72512BA2" w14:textId="5725874C"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xml:space="preserve">Prin ordinul nr.154-A din 01.07.2021 a fost modificată Instrucțiunea privind plata prestațiilor sociale beneficiarilor din sistemul public de asigurări sociale prin intermediul serviciului guvernamental de plăți electronice (MPay), aprobată prin ordinul nr.35-A din 15.02.2021, fiind completată cu </w:t>
            </w:r>
            <w:r w:rsidR="00E318A2">
              <w:rPr>
                <w:rFonts w:asciiTheme="majorHAnsi" w:eastAsia="Times New Roman" w:hAnsiTheme="majorHAnsi" w:cstheme="majorHAnsi"/>
                <w:color w:val="000000" w:themeColor="text1"/>
                <w:sz w:val="18"/>
                <w:szCs w:val="18"/>
                <w:lang w:val="ro-RO"/>
              </w:rPr>
              <w:t xml:space="preserve">un </w:t>
            </w:r>
            <w:r w:rsidRPr="00E82CC1">
              <w:rPr>
                <w:rFonts w:asciiTheme="majorHAnsi" w:eastAsia="Times New Roman" w:hAnsiTheme="majorHAnsi" w:cstheme="majorHAnsi"/>
                <w:color w:val="000000" w:themeColor="text1"/>
                <w:sz w:val="18"/>
                <w:szCs w:val="18"/>
                <w:lang w:val="ro-RO"/>
              </w:rPr>
              <w:t>mecanism nou de control logic, implementat în Sistemul Informațional „Protecția Socială”</w:t>
            </w:r>
          </w:p>
          <w:p w14:paraId="2F03D233" w14:textId="77777777" w:rsidR="00671428" w:rsidRPr="00E82CC1" w:rsidRDefault="00671428" w:rsidP="00CA7E11">
            <w:pPr>
              <w:spacing w:after="0" w:line="240" w:lineRule="auto"/>
              <w:jc w:val="both"/>
              <w:rPr>
                <w:rFonts w:asciiTheme="majorHAnsi" w:eastAsia="Times New Roman" w:hAnsiTheme="majorHAnsi" w:cstheme="majorHAnsi"/>
                <w:sz w:val="18"/>
                <w:szCs w:val="18"/>
                <w:lang w:val="ro-RO"/>
              </w:rPr>
            </w:pPr>
          </w:p>
        </w:tc>
        <w:tc>
          <w:tcPr>
            <w:tcW w:w="810" w:type="dxa"/>
            <w:shd w:val="clear" w:color="auto" w:fill="auto"/>
          </w:tcPr>
          <w:p w14:paraId="40A3BB2E"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6450A694"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051377ED"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5144F1DB" w14:textId="77777777" w:rsidTr="00045716">
        <w:trPr>
          <w:trHeight w:val="20"/>
        </w:trPr>
        <w:tc>
          <w:tcPr>
            <w:tcW w:w="604" w:type="dxa"/>
            <w:shd w:val="clear" w:color="auto" w:fill="auto"/>
            <w:noWrap/>
            <w:vAlign w:val="center"/>
          </w:tcPr>
          <w:p w14:paraId="47D4A47F" w14:textId="1C6897BD"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18</w:t>
            </w:r>
          </w:p>
        </w:tc>
        <w:tc>
          <w:tcPr>
            <w:tcW w:w="2906" w:type="dxa"/>
            <w:shd w:val="clear" w:color="auto" w:fill="auto"/>
          </w:tcPr>
          <w:p w14:paraId="43B77C7F" w14:textId="55C44141" w:rsidR="00671428" w:rsidRPr="00E82CC1" w:rsidRDefault="00671428" w:rsidP="008362B9">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Să monitorizeze procesul de stabilire și achitare în termen a: indemnizației de incapacitate temporară de muncă cauzate de boli obișnuite, indemnizației pentru incapacitate temporară de muncă cauzate de un accident de muncă sau boli profesionale, indemnizației în cazul decesului unuia dintre soți</w:t>
            </w:r>
          </w:p>
        </w:tc>
        <w:tc>
          <w:tcPr>
            <w:tcW w:w="8190" w:type="dxa"/>
            <w:shd w:val="clear" w:color="auto" w:fill="auto"/>
          </w:tcPr>
          <w:p w14:paraId="712FDE3D" w14:textId="650841DD"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Începând cu luna august 2021 a fost implementată înscrierea în Registrul de conturi personale din sistemul guvernamental de plăți electronice MPay a informației pentru plata indemnizațiilor pentru incapacitate temporară de muncă. Conform graficului lunar aprobat transferul mijloacelor bănești pentru plata indemnizației se efectuează de trei ori pe lun</w:t>
            </w:r>
            <w:r w:rsidR="00E318A2">
              <w:rPr>
                <w:rFonts w:asciiTheme="majorHAnsi" w:eastAsia="Times New Roman" w:hAnsiTheme="majorHAnsi" w:cstheme="majorHAnsi"/>
                <w:color w:val="000000" w:themeColor="text1"/>
                <w:sz w:val="18"/>
                <w:szCs w:val="18"/>
                <w:lang w:val="ro-RO"/>
              </w:rPr>
              <w:t>ă</w:t>
            </w:r>
          </w:p>
          <w:p w14:paraId="546DBCA6"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Săptămânal a fost monitorizat termenul de stabilire a indemnizațiilor pentru incapacitate temporară de muncă și în adresa Caselor Teritoriale de Asigurări Sociale au fost expediate, prin intermediul poștei electronice, listele deciziilor de stabilire a indemnizațiilor pentru examinare fi aprobare.</w:t>
            </w:r>
          </w:p>
          <w:p w14:paraId="10EB1B20"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Prin scrisoarea nr.II-03/10-1564 din 28.07.2021 șefii Caselor Teritoriale de Asigurări Sociale au fost atenționați asupra asigurării corectitudinii stabilirii și calculării indemnizației pentru incapacitatea temporară de muncă, precum și integrității dosarelor personale ale beneficiarilor de indemnizație pentru incapacitatea temporară de muncă și ajutor de șomaj.</w:t>
            </w:r>
          </w:p>
          <w:p w14:paraId="267C66E7"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În perioada iunie-noiembrie 2021 au fost verificate pe aspectul corectitudinii stabilirii și calculării:</w:t>
            </w:r>
          </w:p>
          <w:p w14:paraId="0D848250"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- 116 dosare de indemnizații unice în legătura cu decesul pensionarului din rândul instituțiilor de forță, fiind emise</w:t>
            </w:r>
          </w:p>
          <w:p w14:paraId="2F87FB19"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5 scrisori cu recomandări metodice pentru Casele Teritoriale de Asigurări Sociale;</w:t>
            </w:r>
          </w:p>
          <w:p w14:paraId="0EB8C53A"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- 468 dosare de indemnizații în cazul decesului unuia dintre soți, fiind emise 23 scrisori cu recomandări metodice pentru Casele Teritoriale de Asigurări Sociale.</w:t>
            </w:r>
          </w:p>
          <w:p w14:paraId="6172FF0F" w14:textId="08D3A0AB" w:rsidR="00671428" w:rsidRPr="00E82CC1" w:rsidRDefault="00671428" w:rsidP="00E318A2">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Totodată, prin scrisoarea nr.II-03/10-1728 din 26.08.2021 șefii Caselor Teritoriale de Asigurări Sociale au fost atenționați asupra asigurării respectării termenului de emitere a deciziei de acordare a indemnizației în cazul decesului unuia dintre soți. În perioada iunie-noiembrie 2021, a fost asigurat procesul de verificare a corectitudinii stabilirii și calculării indemnizației în cazul decesului unuia dintre soți</w:t>
            </w:r>
          </w:p>
        </w:tc>
        <w:tc>
          <w:tcPr>
            <w:tcW w:w="810" w:type="dxa"/>
            <w:shd w:val="clear" w:color="auto" w:fill="auto"/>
          </w:tcPr>
          <w:p w14:paraId="13AFDD1C"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5CC23BE9"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22813117"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31A08903" w14:textId="77777777" w:rsidTr="00045716">
        <w:trPr>
          <w:trHeight w:val="20"/>
        </w:trPr>
        <w:tc>
          <w:tcPr>
            <w:tcW w:w="604" w:type="dxa"/>
            <w:shd w:val="clear" w:color="auto" w:fill="auto"/>
            <w:noWrap/>
            <w:vAlign w:val="center"/>
          </w:tcPr>
          <w:p w14:paraId="5CFF48BB" w14:textId="6A6DC0A0" w:rsidR="00671428" w:rsidRPr="00E82CC1" w:rsidRDefault="00F747F0" w:rsidP="00CA7E11">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19</w:t>
            </w:r>
          </w:p>
        </w:tc>
        <w:tc>
          <w:tcPr>
            <w:tcW w:w="2906" w:type="dxa"/>
            <w:shd w:val="clear" w:color="auto" w:fill="auto"/>
          </w:tcPr>
          <w:p w14:paraId="48961689" w14:textId="77777777" w:rsidR="00671428" w:rsidRPr="00E82CC1" w:rsidRDefault="00671428" w:rsidP="00671428">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Să identifice, să evalueze și să includă în evidență separată sumele aferente indemnizațiilor pentru incapacitate temporară de muncă cauzată de un accident de muncă sau boli profesionale achitate de angajator, cât și cele stabilite de CNAS, cu reflectarea corespunzătoare în rapoarte</w:t>
            </w:r>
          </w:p>
        </w:tc>
        <w:tc>
          <w:tcPr>
            <w:tcW w:w="8190" w:type="dxa"/>
            <w:shd w:val="clear" w:color="auto" w:fill="auto"/>
          </w:tcPr>
          <w:p w14:paraId="40EB4F20" w14:textId="34186474"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În Raportul privind plata indemnizațiilor pentru incapacitate temporară de muncă a fost introdus codul nou de buget de finanțare la sumele indemnizațiilor pentru incapacitate temporară de muncă cauzat</w:t>
            </w:r>
            <w:r w:rsidR="00E318A2">
              <w:rPr>
                <w:rFonts w:asciiTheme="majorHAnsi" w:eastAsia="Times New Roman" w:hAnsiTheme="majorHAnsi" w:cstheme="majorHAnsi"/>
                <w:color w:val="000000" w:themeColor="text1"/>
                <w:sz w:val="18"/>
                <w:szCs w:val="18"/>
                <w:lang w:val="ro-RO"/>
              </w:rPr>
              <w:t>ă</w:t>
            </w:r>
            <w:r w:rsidRPr="00E82CC1">
              <w:rPr>
                <w:rFonts w:asciiTheme="majorHAnsi" w:eastAsia="Times New Roman" w:hAnsiTheme="majorHAnsi" w:cstheme="majorHAnsi"/>
                <w:color w:val="000000" w:themeColor="text1"/>
                <w:sz w:val="18"/>
                <w:szCs w:val="18"/>
                <w:lang w:val="ro-RO"/>
              </w:rPr>
              <w:t xml:space="preserve"> de un accident de munc</w:t>
            </w:r>
            <w:r w:rsidR="00E318A2">
              <w:rPr>
                <w:rFonts w:asciiTheme="majorHAnsi" w:eastAsia="Times New Roman" w:hAnsiTheme="majorHAnsi" w:cstheme="majorHAnsi"/>
                <w:color w:val="000000" w:themeColor="text1"/>
                <w:sz w:val="18"/>
                <w:szCs w:val="18"/>
                <w:lang w:val="ro-RO"/>
              </w:rPr>
              <w:t>ă</w:t>
            </w:r>
            <w:r w:rsidRPr="00E82CC1">
              <w:rPr>
                <w:rFonts w:asciiTheme="majorHAnsi" w:eastAsia="Times New Roman" w:hAnsiTheme="majorHAnsi" w:cstheme="majorHAnsi"/>
                <w:color w:val="000000" w:themeColor="text1"/>
                <w:sz w:val="18"/>
                <w:szCs w:val="18"/>
                <w:lang w:val="ro-RO"/>
              </w:rPr>
              <w:t xml:space="preserve"> sau boli profesionale</w:t>
            </w:r>
          </w:p>
          <w:p w14:paraId="1E4751CC" w14:textId="77777777" w:rsidR="00671428" w:rsidRPr="00E82CC1" w:rsidRDefault="00671428" w:rsidP="00CA7E11">
            <w:pPr>
              <w:spacing w:after="0" w:line="240" w:lineRule="auto"/>
              <w:jc w:val="both"/>
              <w:rPr>
                <w:rFonts w:asciiTheme="majorHAnsi" w:eastAsia="Times New Roman" w:hAnsiTheme="majorHAnsi" w:cstheme="majorHAnsi"/>
                <w:sz w:val="18"/>
                <w:szCs w:val="18"/>
                <w:lang w:val="ro-RO"/>
              </w:rPr>
            </w:pPr>
          </w:p>
        </w:tc>
        <w:tc>
          <w:tcPr>
            <w:tcW w:w="810" w:type="dxa"/>
            <w:shd w:val="clear" w:color="auto" w:fill="auto"/>
          </w:tcPr>
          <w:p w14:paraId="3119CA6A"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45770D0A"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033C0BE2"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13189A53" w14:textId="77777777" w:rsidTr="00045716">
        <w:trPr>
          <w:trHeight w:val="20"/>
        </w:trPr>
        <w:tc>
          <w:tcPr>
            <w:tcW w:w="604" w:type="dxa"/>
            <w:shd w:val="clear" w:color="auto" w:fill="auto"/>
            <w:noWrap/>
            <w:vAlign w:val="center"/>
          </w:tcPr>
          <w:p w14:paraId="76B4FC80" w14:textId="7B7789DC" w:rsidR="00671428" w:rsidRPr="00E82CC1" w:rsidRDefault="00671428" w:rsidP="00F747F0">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w:t>
            </w:r>
            <w:r w:rsidR="00F747F0">
              <w:rPr>
                <w:rFonts w:asciiTheme="majorHAnsi" w:eastAsia="Times New Roman" w:hAnsiTheme="majorHAnsi" w:cstheme="majorHAnsi"/>
                <w:b/>
                <w:bCs/>
                <w:sz w:val="18"/>
                <w:szCs w:val="18"/>
                <w:lang w:val="ro-RO"/>
              </w:rPr>
              <w:t>0</w:t>
            </w:r>
          </w:p>
        </w:tc>
        <w:tc>
          <w:tcPr>
            <w:tcW w:w="2906" w:type="dxa"/>
            <w:shd w:val="clear" w:color="auto" w:fill="auto"/>
          </w:tcPr>
          <w:p w14:paraId="1847A520" w14:textId="77777777" w:rsidR="00671428" w:rsidRPr="00E82CC1" w:rsidRDefault="00671428" w:rsidP="00671428">
            <w:pPr>
              <w:pStyle w:val="a9"/>
              <w:numPr>
                <w:ilvl w:val="0"/>
                <w:numId w:val="36"/>
              </w:numPr>
              <w:spacing w:after="0" w:line="240" w:lineRule="auto"/>
              <w:ind w:left="0"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Să evalueze și să eficientizeze, de comun cu părțile implicate, procesele aferente formării și schimbului de date privind decesul beneficiarilor, în scopul excluderii cheltuielilor nejustificate</w:t>
            </w:r>
          </w:p>
        </w:tc>
        <w:tc>
          <w:tcPr>
            <w:tcW w:w="8190" w:type="dxa"/>
            <w:shd w:val="clear" w:color="auto" w:fill="auto"/>
          </w:tcPr>
          <w:p w14:paraId="0F968263" w14:textId="77777777" w:rsidR="00671428" w:rsidRPr="00E82CC1" w:rsidRDefault="00671428" w:rsidP="00CA7E11">
            <w:pPr>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CNAS nr.6689 din 30.12.2021: A fost implementat un mecanism nou de verificare a datelor livrate de către Agenția Servicii Publice și înscrise în Sistemul Informațional „Protecția Socială”, fiind asigurată monitorizarea continuă a suspendării plății prestațiilor sociale în baza schimbului de date privind decesul beneficiarilor.</w:t>
            </w:r>
          </w:p>
          <w:p w14:paraId="1C14C790" w14:textId="26D27CA6" w:rsidR="00671428" w:rsidRPr="00E82CC1" w:rsidRDefault="00671428" w:rsidP="00E318A2">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Informația privind decesul beneficiarilor se transmite către Agenția de Guvernare Electronică pentru blocarea plăților și în scopul excluderii cheltuielilor nejustificate</w:t>
            </w:r>
          </w:p>
        </w:tc>
        <w:tc>
          <w:tcPr>
            <w:tcW w:w="810" w:type="dxa"/>
            <w:shd w:val="clear" w:color="auto" w:fill="auto"/>
          </w:tcPr>
          <w:p w14:paraId="6438B09C" w14:textId="77777777" w:rsidR="00671428" w:rsidRPr="00E82CC1"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6DDC2D95" w14:textId="77777777" w:rsidR="00671428" w:rsidRPr="00E82CC1"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32CD8FF6"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p>
        </w:tc>
      </w:tr>
      <w:tr w:rsidR="00671428" w:rsidRPr="00E82CC1" w14:paraId="051E8BA7" w14:textId="77777777" w:rsidTr="00045716">
        <w:trPr>
          <w:trHeight w:val="20"/>
        </w:trPr>
        <w:tc>
          <w:tcPr>
            <w:tcW w:w="604" w:type="dxa"/>
            <w:shd w:val="clear" w:color="auto" w:fill="C5E0B3" w:themeFill="accent6" w:themeFillTint="66"/>
            <w:noWrap/>
            <w:vAlign w:val="center"/>
          </w:tcPr>
          <w:p w14:paraId="31E52058" w14:textId="77777777" w:rsidR="00671428" w:rsidRPr="00E82CC1" w:rsidRDefault="00671428" w:rsidP="00CA7E11">
            <w:pPr>
              <w:spacing w:after="0" w:line="240" w:lineRule="auto"/>
              <w:jc w:val="center"/>
              <w:rPr>
                <w:rFonts w:asciiTheme="majorHAnsi" w:eastAsia="Times New Roman" w:hAnsiTheme="majorHAnsi" w:cstheme="majorHAnsi"/>
                <w:b/>
                <w:bCs/>
                <w:sz w:val="18"/>
                <w:szCs w:val="18"/>
                <w:lang w:val="ro-RO"/>
              </w:rPr>
            </w:pPr>
          </w:p>
        </w:tc>
        <w:tc>
          <w:tcPr>
            <w:tcW w:w="13796" w:type="dxa"/>
            <w:gridSpan w:val="5"/>
            <w:shd w:val="clear" w:color="auto" w:fill="C5E0B3" w:themeFill="accent6" w:themeFillTint="66"/>
          </w:tcPr>
          <w:p w14:paraId="3E16A0AB" w14:textId="77777777" w:rsidR="00671428" w:rsidRPr="00E82CC1" w:rsidRDefault="00671428" w:rsidP="00CA7E11">
            <w:pPr>
              <w:spacing w:after="0" w:line="240" w:lineRule="auto"/>
              <w:rPr>
                <w:rFonts w:asciiTheme="majorHAnsi" w:eastAsia="Times New Roman" w:hAnsiTheme="majorHAnsi" w:cstheme="majorHAnsi"/>
                <w:b/>
                <w:bCs/>
                <w:i/>
                <w:sz w:val="18"/>
                <w:szCs w:val="18"/>
                <w:lang w:val="ro-RO"/>
              </w:rPr>
            </w:pPr>
            <w:r w:rsidRPr="00E82CC1">
              <w:rPr>
                <w:rFonts w:asciiTheme="majorHAnsi" w:eastAsia="Times New Roman" w:hAnsiTheme="majorHAnsi" w:cstheme="majorHAnsi"/>
                <w:b/>
                <w:bCs/>
                <w:i/>
                <w:sz w:val="18"/>
                <w:szCs w:val="18"/>
                <w:lang w:val="ro-RO"/>
              </w:rPr>
              <w:t>Recomandare Agenției Naționale pentru Ocuparea Forței de Muncă</w:t>
            </w:r>
          </w:p>
        </w:tc>
      </w:tr>
      <w:tr w:rsidR="00671428" w:rsidRPr="002D411E" w14:paraId="41A2FCE7" w14:textId="77777777" w:rsidTr="00045716">
        <w:trPr>
          <w:trHeight w:val="20"/>
        </w:trPr>
        <w:tc>
          <w:tcPr>
            <w:tcW w:w="604" w:type="dxa"/>
            <w:shd w:val="clear" w:color="auto" w:fill="auto"/>
            <w:noWrap/>
            <w:vAlign w:val="center"/>
          </w:tcPr>
          <w:p w14:paraId="7FE03CBD" w14:textId="605BA41F" w:rsidR="00671428" w:rsidRPr="00E82CC1" w:rsidRDefault="00671428" w:rsidP="00F747F0">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w:t>
            </w:r>
            <w:r w:rsidR="00F747F0">
              <w:rPr>
                <w:rFonts w:asciiTheme="majorHAnsi" w:eastAsia="Times New Roman" w:hAnsiTheme="majorHAnsi" w:cstheme="majorHAnsi"/>
                <w:b/>
                <w:bCs/>
                <w:sz w:val="18"/>
                <w:szCs w:val="18"/>
                <w:lang w:val="ro-RO"/>
              </w:rPr>
              <w:t>1</w:t>
            </w:r>
          </w:p>
        </w:tc>
        <w:tc>
          <w:tcPr>
            <w:tcW w:w="2906" w:type="dxa"/>
            <w:shd w:val="clear" w:color="auto" w:fill="auto"/>
          </w:tcPr>
          <w:p w14:paraId="58870BE8" w14:textId="7404C338" w:rsidR="00671428" w:rsidRPr="00E82CC1" w:rsidRDefault="00671428" w:rsidP="008362B9">
            <w:pPr>
              <w:pStyle w:val="a9"/>
              <w:numPr>
                <w:ilvl w:val="0"/>
                <w:numId w:val="36"/>
              </w:numPr>
              <w:spacing w:after="0" w:line="240" w:lineRule="auto"/>
              <w:ind w:left="12" w:firstLine="12"/>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Să eficientizeze activitățile de control intern în scopul introducerii informației corecte și veridice cu privire la deciziile de stabilire a dreptului la ajutor de șomaj și a datelor privind beneficiarii de ajutor de șomaj și să monitorizeze termenul de acordare a dreptului acestei prestații</w:t>
            </w:r>
          </w:p>
        </w:tc>
        <w:tc>
          <w:tcPr>
            <w:tcW w:w="8190" w:type="dxa"/>
            <w:shd w:val="clear" w:color="auto" w:fill="auto"/>
          </w:tcPr>
          <w:p w14:paraId="4FE096D3" w14:textId="77777777" w:rsidR="00671428" w:rsidRPr="00E82CC1" w:rsidRDefault="00671428" w:rsidP="00CA7E11">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Scris. ANOFM nr.02-936 din 21.12.2021: a întreprins mai multe acțiuni, și anume:</w:t>
            </w:r>
          </w:p>
          <w:p w14:paraId="76070ACB" w14:textId="75C23027" w:rsidR="00671428" w:rsidRPr="00E82CC1" w:rsidRDefault="00671428" w:rsidP="00CA7E11">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1. S-au înaintat către MSMPS propuneri de completare a Procedurii de examinare a cererii de stabilire a dreptului la ajutor de șomaj  Reglementarea respectivă va facilita procesul de luare a deciziei cu privire la stabilirea dreptului la ajutorul de șomaj</w:t>
            </w:r>
            <w:r w:rsidR="00E318A2">
              <w:rPr>
                <w:rFonts w:asciiTheme="majorHAnsi" w:eastAsia="Times New Roman" w:hAnsiTheme="majorHAnsi" w:cstheme="majorHAnsi"/>
                <w:color w:val="000000" w:themeColor="text1"/>
                <w:sz w:val="18"/>
                <w:szCs w:val="18"/>
                <w:lang w:val="ro-RO"/>
              </w:rPr>
              <w:t>;</w:t>
            </w:r>
          </w:p>
          <w:p w14:paraId="07360E67" w14:textId="769A826D" w:rsidR="00671428" w:rsidRPr="00E82CC1" w:rsidRDefault="00671428" w:rsidP="00CA7E11">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2. S-au înaintat către MMPS propuneri de modificare/completare a Legii 105/2018 cu privire la promovarea ocupării forței de muncă și asigurarea de șomaj. Unele din propuneri țin de simplificarea mecanismului de stabilire a dreptului la ajutorul de șomaj</w:t>
            </w:r>
            <w:r w:rsidR="00E318A2">
              <w:rPr>
                <w:rFonts w:asciiTheme="majorHAnsi" w:eastAsia="Times New Roman" w:hAnsiTheme="majorHAnsi" w:cstheme="majorHAnsi"/>
                <w:color w:val="000000" w:themeColor="text1"/>
                <w:sz w:val="18"/>
                <w:szCs w:val="18"/>
                <w:lang w:val="ro-RO"/>
              </w:rPr>
              <w:t>;</w:t>
            </w:r>
            <w:r w:rsidRPr="00E82CC1">
              <w:rPr>
                <w:rFonts w:asciiTheme="majorHAnsi" w:eastAsia="Times New Roman" w:hAnsiTheme="majorHAnsi" w:cstheme="majorHAnsi"/>
                <w:color w:val="000000" w:themeColor="text1"/>
                <w:sz w:val="18"/>
                <w:szCs w:val="18"/>
                <w:lang w:val="ro-RO"/>
              </w:rPr>
              <w:t xml:space="preserve"> </w:t>
            </w:r>
          </w:p>
          <w:p w14:paraId="3FD33440" w14:textId="647E55EF" w:rsidR="00671428" w:rsidRPr="00E82CC1" w:rsidRDefault="00671428" w:rsidP="00CA7E11">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3. S-a elaborat și aprobat prin Ordinul ANOFM nr. 104 din 24.09.2021 „Procesul de stabilire/suspendare/restabilire/încetare a dreptului la ajutor de șomaj” în vederea facilitării implementării acestui proces de către subdiviziunile teritoriale pentru ocuparea forței de muncă și eficientizării activității de control intern</w:t>
            </w:r>
            <w:r w:rsidR="00E318A2">
              <w:rPr>
                <w:rFonts w:asciiTheme="majorHAnsi" w:eastAsia="Times New Roman" w:hAnsiTheme="majorHAnsi" w:cstheme="majorHAnsi"/>
                <w:color w:val="000000" w:themeColor="text1"/>
                <w:sz w:val="18"/>
                <w:szCs w:val="18"/>
                <w:lang w:val="ro-RO"/>
              </w:rPr>
              <w:t>;</w:t>
            </w:r>
            <w:r w:rsidRPr="00E82CC1">
              <w:rPr>
                <w:rFonts w:asciiTheme="majorHAnsi" w:eastAsia="Times New Roman" w:hAnsiTheme="majorHAnsi" w:cstheme="majorHAnsi"/>
                <w:color w:val="000000" w:themeColor="text1"/>
                <w:sz w:val="18"/>
                <w:szCs w:val="18"/>
                <w:lang w:val="ro-RO"/>
              </w:rPr>
              <w:t xml:space="preserve"> </w:t>
            </w:r>
          </w:p>
          <w:p w14:paraId="248842E2" w14:textId="497AA48D" w:rsidR="00671428" w:rsidRPr="00E82CC1" w:rsidRDefault="00671428" w:rsidP="00CA7E11">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4. S-a participat la elaborarea Conceptului Sistemului Informațional Automatizat „Înregistrarea cu statut de șomer” și a Regulamentului privind organizarea și funcționarea Sistemului Informațional automatizat „Înregistrarea cu statut de șomer</w:t>
            </w:r>
            <w:r w:rsidR="00E318A2">
              <w:rPr>
                <w:rFonts w:asciiTheme="majorHAnsi" w:eastAsia="Times New Roman" w:hAnsiTheme="majorHAnsi" w:cstheme="majorHAnsi"/>
                <w:color w:val="000000" w:themeColor="text1"/>
                <w:sz w:val="18"/>
                <w:szCs w:val="18"/>
                <w:lang w:val="ro-RO"/>
              </w:rPr>
              <w:t>”;</w:t>
            </w:r>
            <w:r w:rsidRPr="00E82CC1">
              <w:rPr>
                <w:rFonts w:asciiTheme="majorHAnsi" w:eastAsia="Times New Roman" w:hAnsiTheme="majorHAnsi" w:cstheme="majorHAnsi"/>
                <w:color w:val="000000" w:themeColor="text1"/>
                <w:sz w:val="18"/>
                <w:szCs w:val="18"/>
                <w:lang w:val="ro-RO"/>
              </w:rPr>
              <w:t xml:space="preserve"> </w:t>
            </w:r>
          </w:p>
          <w:p w14:paraId="1A7AA475" w14:textId="463723DA" w:rsidR="00671428" w:rsidRPr="00E82CC1" w:rsidRDefault="00671428" w:rsidP="00EF6323">
            <w:pPr>
              <w:spacing w:after="0" w:line="240" w:lineRule="auto"/>
              <w:jc w:val="both"/>
              <w:rPr>
                <w:rFonts w:asciiTheme="majorHAnsi" w:eastAsia="Times New Roman" w:hAnsiTheme="majorHAnsi" w:cstheme="majorHAnsi"/>
                <w:sz w:val="18"/>
                <w:szCs w:val="18"/>
                <w:lang w:val="ro-RO"/>
              </w:rPr>
            </w:pPr>
            <w:r w:rsidRPr="00E82CC1">
              <w:rPr>
                <w:rFonts w:asciiTheme="majorHAnsi" w:eastAsia="Times New Roman" w:hAnsiTheme="majorHAnsi" w:cstheme="majorHAnsi"/>
                <w:color w:val="000000" w:themeColor="text1"/>
                <w:sz w:val="18"/>
                <w:szCs w:val="18"/>
                <w:lang w:val="ro-RO"/>
              </w:rPr>
              <w:t>5.  S-a demarat din luna decembrie 2021 pilotarea noului Sistem informațional automatizat „Înregistrarea cu statut de șomer”. Prin intermediul noului sistem informațional a fost digit</w:t>
            </w:r>
            <w:r w:rsidR="00E318A2">
              <w:rPr>
                <w:rFonts w:asciiTheme="majorHAnsi" w:eastAsia="Times New Roman" w:hAnsiTheme="majorHAnsi" w:cstheme="majorHAnsi"/>
                <w:color w:val="000000" w:themeColor="text1"/>
                <w:sz w:val="18"/>
                <w:szCs w:val="18"/>
                <w:lang w:val="ro-RO"/>
              </w:rPr>
              <w:t>al</w:t>
            </w:r>
            <w:r w:rsidRPr="00E82CC1">
              <w:rPr>
                <w:rFonts w:asciiTheme="majorHAnsi" w:eastAsia="Times New Roman" w:hAnsiTheme="majorHAnsi" w:cstheme="majorHAnsi"/>
                <w:color w:val="000000" w:themeColor="text1"/>
                <w:sz w:val="18"/>
                <w:szCs w:val="18"/>
                <w:lang w:val="ro-RO"/>
              </w:rPr>
              <w:t xml:space="preserve">izat procesul de examinare și stabilire a dreptului la ajutorul de șomaj. Digitalizarea serviciului a fost realizată în cadrul proiectului „Modernizarea Serviciilor Guvernamentale”, implementat de către Agenția de Guvernare Electronică cu suportul </w:t>
            </w:r>
            <w:r w:rsidR="00EF6323">
              <w:rPr>
                <w:rFonts w:asciiTheme="majorHAnsi" w:eastAsia="Times New Roman" w:hAnsiTheme="majorHAnsi" w:cstheme="majorHAnsi"/>
                <w:color w:val="000000" w:themeColor="text1"/>
                <w:sz w:val="18"/>
                <w:szCs w:val="18"/>
                <w:lang w:val="ro-RO"/>
              </w:rPr>
              <w:t>Băncii</w:t>
            </w:r>
            <w:r w:rsidRPr="00E82CC1">
              <w:rPr>
                <w:rFonts w:asciiTheme="majorHAnsi" w:eastAsia="Times New Roman" w:hAnsiTheme="majorHAnsi" w:cstheme="majorHAnsi"/>
                <w:color w:val="000000" w:themeColor="text1"/>
                <w:sz w:val="18"/>
                <w:szCs w:val="18"/>
                <w:lang w:val="ro-RO"/>
              </w:rPr>
              <w:t xml:space="preserve"> Mondial</w:t>
            </w:r>
            <w:r w:rsidR="00EF6323">
              <w:rPr>
                <w:rFonts w:asciiTheme="majorHAnsi" w:eastAsia="Times New Roman" w:hAnsiTheme="majorHAnsi" w:cstheme="majorHAnsi"/>
                <w:color w:val="000000" w:themeColor="text1"/>
                <w:sz w:val="18"/>
                <w:szCs w:val="18"/>
                <w:lang w:val="ro-RO"/>
              </w:rPr>
              <w:t>e</w:t>
            </w:r>
          </w:p>
        </w:tc>
        <w:tc>
          <w:tcPr>
            <w:tcW w:w="810" w:type="dxa"/>
            <w:shd w:val="clear" w:color="auto" w:fill="auto"/>
          </w:tcPr>
          <w:p w14:paraId="6E03D380" w14:textId="77777777" w:rsidR="00671428" w:rsidRPr="00341E6C" w:rsidRDefault="00671428" w:rsidP="00CA7E11">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23D5BBC7" w14:textId="77777777" w:rsidR="00671428" w:rsidRPr="00341E6C" w:rsidRDefault="00671428" w:rsidP="00CA7E11">
            <w:pPr>
              <w:spacing w:after="0" w:line="240" w:lineRule="auto"/>
              <w:rPr>
                <w:rFonts w:asciiTheme="majorHAnsi" w:eastAsia="Times New Roman" w:hAnsiTheme="majorHAnsi" w:cstheme="majorHAnsi"/>
                <w:bCs/>
                <w:sz w:val="18"/>
                <w:szCs w:val="18"/>
                <w:lang w:val="ro-RO"/>
              </w:rPr>
            </w:pPr>
          </w:p>
        </w:tc>
        <w:tc>
          <w:tcPr>
            <w:tcW w:w="990" w:type="dxa"/>
          </w:tcPr>
          <w:p w14:paraId="599198E2" w14:textId="77777777" w:rsidR="00671428" w:rsidRPr="00341E6C" w:rsidRDefault="00671428" w:rsidP="00CA7E11">
            <w:pPr>
              <w:spacing w:after="0" w:line="240" w:lineRule="auto"/>
              <w:rPr>
                <w:rFonts w:asciiTheme="majorHAnsi" w:eastAsia="Times New Roman" w:hAnsiTheme="majorHAnsi" w:cstheme="majorHAnsi"/>
                <w:b/>
                <w:bCs/>
                <w:i/>
                <w:sz w:val="18"/>
                <w:szCs w:val="18"/>
                <w:lang w:val="ro-RO"/>
              </w:rPr>
            </w:pPr>
          </w:p>
        </w:tc>
      </w:tr>
    </w:tbl>
    <w:p w14:paraId="24CD0BDA" w14:textId="6AA63CFF" w:rsidR="00671428" w:rsidRDefault="00671428" w:rsidP="00671428">
      <w:pPr>
        <w:rPr>
          <w:rFonts w:asciiTheme="majorHAnsi" w:hAnsiTheme="majorHAnsi" w:cstheme="majorHAnsi"/>
          <w:b/>
          <w:sz w:val="24"/>
          <w:szCs w:val="24"/>
          <w:lang w:val="ro-RO"/>
        </w:rPr>
      </w:pPr>
    </w:p>
    <w:p w14:paraId="067EFC8D" w14:textId="77514C10" w:rsidR="00502141" w:rsidRDefault="00502141" w:rsidP="00671428">
      <w:pPr>
        <w:rPr>
          <w:rFonts w:asciiTheme="majorHAnsi" w:hAnsiTheme="majorHAnsi" w:cstheme="majorHAnsi"/>
          <w:b/>
          <w:sz w:val="24"/>
          <w:szCs w:val="24"/>
          <w:lang w:val="ro-RO"/>
        </w:rPr>
      </w:pPr>
    </w:p>
    <w:p w14:paraId="04DFFC79" w14:textId="1D0B0AB0" w:rsidR="00502141" w:rsidRDefault="00502141" w:rsidP="00671428">
      <w:pPr>
        <w:rPr>
          <w:rFonts w:asciiTheme="majorHAnsi" w:hAnsiTheme="majorHAnsi" w:cstheme="majorHAnsi"/>
          <w:b/>
          <w:sz w:val="24"/>
          <w:szCs w:val="24"/>
          <w:lang w:val="ro-RO"/>
        </w:rPr>
      </w:pPr>
      <w:r>
        <w:rPr>
          <w:rFonts w:asciiTheme="majorHAnsi" w:hAnsiTheme="majorHAnsi" w:cstheme="majorHAnsi"/>
          <w:b/>
          <w:sz w:val="24"/>
          <w:szCs w:val="24"/>
          <w:lang w:val="ro-RO"/>
        </w:rPr>
        <w:br w:type="page"/>
      </w:r>
    </w:p>
    <w:p w14:paraId="2073BF72" w14:textId="70FDD61E" w:rsidR="00502141" w:rsidRPr="009434E7" w:rsidRDefault="00502141" w:rsidP="00B96086">
      <w:pPr>
        <w:pStyle w:val="2"/>
        <w:jc w:val="right"/>
        <w:rPr>
          <w:rFonts w:cstheme="majorHAnsi"/>
          <w:b/>
          <w:color w:val="000000" w:themeColor="text1"/>
          <w:sz w:val="24"/>
          <w:szCs w:val="24"/>
          <w:lang w:val="ro-RO"/>
        </w:rPr>
      </w:pPr>
      <w:r w:rsidRPr="009434E7">
        <w:rPr>
          <w:rFonts w:cstheme="majorHAnsi"/>
          <w:b/>
          <w:color w:val="000000" w:themeColor="text1"/>
          <w:sz w:val="24"/>
          <w:szCs w:val="24"/>
          <w:lang w:val="ro-RO"/>
        </w:rPr>
        <w:t>Anexa</w:t>
      </w:r>
      <w:r w:rsidR="00590DF4" w:rsidRPr="009434E7">
        <w:rPr>
          <w:rFonts w:cstheme="majorHAnsi"/>
          <w:b/>
          <w:color w:val="000000" w:themeColor="text1"/>
          <w:sz w:val="24"/>
          <w:szCs w:val="24"/>
          <w:lang w:val="ro-RO"/>
        </w:rPr>
        <w:t xml:space="preserve"> nr.</w:t>
      </w:r>
      <w:r w:rsidRPr="009434E7">
        <w:rPr>
          <w:rFonts w:cstheme="majorHAnsi"/>
          <w:b/>
          <w:color w:val="000000" w:themeColor="text1"/>
          <w:sz w:val="24"/>
          <w:szCs w:val="24"/>
          <w:lang w:val="ro-RO"/>
        </w:rPr>
        <w:t xml:space="preserve"> 1</w:t>
      </w:r>
      <w:r w:rsidR="00590DF4" w:rsidRPr="009434E7">
        <w:rPr>
          <w:rFonts w:cstheme="majorHAnsi"/>
          <w:b/>
          <w:color w:val="000000" w:themeColor="text1"/>
          <w:sz w:val="24"/>
          <w:szCs w:val="24"/>
          <w:lang w:val="ro-RO"/>
        </w:rPr>
        <w:t>5</w:t>
      </w:r>
    </w:p>
    <w:p w14:paraId="334B441C" w14:textId="2BD65908" w:rsidR="00EF6323" w:rsidRPr="009434E7" w:rsidRDefault="00B96086" w:rsidP="00EF6323">
      <w:pPr>
        <w:jc w:val="center"/>
        <w:rPr>
          <w:rFonts w:asciiTheme="majorHAnsi" w:hAnsiTheme="majorHAnsi" w:cstheme="majorHAnsi"/>
          <w:b/>
          <w:sz w:val="24"/>
          <w:szCs w:val="24"/>
          <w:lang w:val="ro-MD"/>
        </w:rPr>
      </w:pPr>
      <w:r w:rsidRPr="009434E7">
        <w:rPr>
          <w:rFonts w:asciiTheme="majorHAnsi" w:hAnsiTheme="majorHAnsi" w:cstheme="majorHAnsi"/>
          <w:b/>
          <w:sz w:val="24"/>
          <w:szCs w:val="24"/>
          <w:lang w:val="ro-RO"/>
        </w:rPr>
        <w:t>Informa</w:t>
      </w:r>
      <w:r w:rsidRPr="009434E7">
        <w:rPr>
          <w:rFonts w:asciiTheme="majorHAnsi" w:hAnsiTheme="majorHAnsi" w:cstheme="majorHAnsi"/>
          <w:b/>
          <w:sz w:val="24"/>
          <w:szCs w:val="24"/>
          <w:lang w:val="ro-MD"/>
        </w:rPr>
        <w:t>ții privind indicatorii de salarizare în cadrul C</w:t>
      </w:r>
      <w:r w:rsidR="001D7A3A" w:rsidRPr="009434E7">
        <w:rPr>
          <w:rFonts w:asciiTheme="majorHAnsi" w:hAnsiTheme="majorHAnsi" w:cstheme="majorHAnsi"/>
          <w:b/>
          <w:sz w:val="24"/>
          <w:szCs w:val="24"/>
          <w:lang w:val="ro-MD"/>
        </w:rPr>
        <w:t xml:space="preserve">asei </w:t>
      </w:r>
      <w:r w:rsidRPr="009434E7">
        <w:rPr>
          <w:rFonts w:asciiTheme="majorHAnsi" w:hAnsiTheme="majorHAnsi" w:cstheme="majorHAnsi"/>
          <w:b/>
          <w:sz w:val="24"/>
          <w:szCs w:val="24"/>
          <w:lang w:val="ro-MD"/>
        </w:rPr>
        <w:t>N</w:t>
      </w:r>
      <w:r w:rsidR="001D7A3A" w:rsidRPr="009434E7">
        <w:rPr>
          <w:rFonts w:asciiTheme="majorHAnsi" w:hAnsiTheme="majorHAnsi" w:cstheme="majorHAnsi"/>
          <w:b/>
          <w:sz w:val="24"/>
          <w:szCs w:val="24"/>
          <w:lang w:val="ro-MD"/>
        </w:rPr>
        <w:t xml:space="preserve">aționale de </w:t>
      </w:r>
      <w:r w:rsidRPr="009434E7">
        <w:rPr>
          <w:rFonts w:asciiTheme="majorHAnsi" w:hAnsiTheme="majorHAnsi" w:cstheme="majorHAnsi"/>
          <w:b/>
          <w:sz w:val="24"/>
          <w:szCs w:val="24"/>
          <w:lang w:val="ro-MD"/>
        </w:rPr>
        <w:t>A</w:t>
      </w:r>
      <w:r w:rsidR="001D7A3A" w:rsidRPr="009434E7">
        <w:rPr>
          <w:rFonts w:asciiTheme="majorHAnsi" w:hAnsiTheme="majorHAnsi" w:cstheme="majorHAnsi"/>
          <w:b/>
          <w:sz w:val="24"/>
          <w:szCs w:val="24"/>
          <w:lang w:val="ro-MD"/>
        </w:rPr>
        <w:t xml:space="preserve">sigurări </w:t>
      </w:r>
      <w:r w:rsidRPr="009434E7">
        <w:rPr>
          <w:rFonts w:asciiTheme="majorHAnsi" w:hAnsiTheme="majorHAnsi" w:cstheme="majorHAnsi"/>
          <w:b/>
          <w:sz w:val="24"/>
          <w:szCs w:val="24"/>
          <w:lang w:val="ro-MD"/>
        </w:rPr>
        <w:t>S</w:t>
      </w:r>
      <w:r w:rsidR="001D7A3A" w:rsidRPr="009434E7">
        <w:rPr>
          <w:rFonts w:asciiTheme="majorHAnsi" w:hAnsiTheme="majorHAnsi" w:cstheme="majorHAnsi"/>
          <w:b/>
          <w:sz w:val="24"/>
          <w:szCs w:val="24"/>
          <w:lang w:val="ro-MD"/>
        </w:rPr>
        <w:t>ociale</w:t>
      </w:r>
    </w:p>
    <w:tbl>
      <w:tblPr>
        <w:tblW w:w="13991" w:type="dxa"/>
        <w:tblLook w:val="04A0" w:firstRow="1" w:lastRow="0" w:firstColumn="1" w:lastColumn="0" w:noHBand="0" w:noVBand="1"/>
      </w:tblPr>
      <w:tblGrid>
        <w:gridCol w:w="921"/>
        <w:gridCol w:w="1582"/>
        <w:gridCol w:w="988"/>
        <w:gridCol w:w="1682"/>
        <w:gridCol w:w="3677"/>
        <w:gridCol w:w="2192"/>
        <w:gridCol w:w="2949"/>
      </w:tblGrid>
      <w:tr w:rsidR="00EF6323" w:rsidRPr="009434E7" w14:paraId="60C73916" w14:textId="77777777" w:rsidTr="00EF6323">
        <w:trPr>
          <w:trHeight w:val="576"/>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0AC57" w14:textId="77777777" w:rsidR="00EF6323" w:rsidRPr="009434E7" w:rsidRDefault="00EF6323" w:rsidP="00EF6323">
            <w:pPr>
              <w:spacing w:after="0" w:line="240" w:lineRule="auto"/>
              <w:jc w:val="center"/>
              <w:rPr>
                <w:rFonts w:asciiTheme="majorHAnsi" w:eastAsia="Times New Roman" w:hAnsiTheme="majorHAnsi" w:cstheme="majorHAnsi"/>
                <w:b/>
                <w:bCs/>
                <w:i/>
                <w:iCs/>
                <w:color w:val="000000"/>
                <w:sz w:val="20"/>
                <w:szCs w:val="20"/>
                <w:lang w:val="ro-RO"/>
              </w:rPr>
            </w:pPr>
            <w:r w:rsidRPr="009434E7">
              <w:rPr>
                <w:rFonts w:asciiTheme="majorHAnsi" w:eastAsia="Times New Roman" w:hAnsiTheme="majorHAnsi" w:cstheme="majorHAnsi"/>
                <w:b/>
                <w:bCs/>
                <w:i/>
                <w:iCs/>
                <w:color w:val="000000"/>
                <w:sz w:val="20"/>
                <w:szCs w:val="20"/>
                <w:lang w:val="ro-RO"/>
              </w:rPr>
              <w:t>Nr. d/o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86076B7" w14:textId="77777777" w:rsidR="00EF6323" w:rsidRPr="009434E7" w:rsidRDefault="00EF6323" w:rsidP="00EF6323">
            <w:pPr>
              <w:spacing w:after="0" w:line="240" w:lineRule="auto"/>
              <w:rPr>
                <w:rFonts w:asciiTheme="majorHAnsi" w:eastAsia="Times New Roman" w:hAnsiTheme="majorHAnsi" w:cstheme="majorHAnsi"/>
                <w:b/>
                <w:bCs/>
                <w:i/>
                <w:iCs/>
                <w:color w:val="000000"/>
                <w:sz w:val="20"/>
                <w:szCs w:val="20"/>
                <w:lang w:val="ro-RO"/>
              </w:rPr>
            </w:pPr>
            <w:r w:rsidRPr="009434E7">
              <w:rPr>
                <w:rFonts w:asciiTheme="majorHAnsi" w:eastAsia="Times New Roman" w:hAnsiTheme="majorHAnsi" w:cstheme="majorHAnsi"/>
                <w:b/>
                <w:bCs/>
                <w:i/>
                <w:iCs/>
                <w:color w:val="000000"/>
                <w:sz w:val="20"/>
                <w:szCs w:val="20"/>
                <w:lang w:val="ro-RO"/>
              </w:rPr>
              <w:t>Denumirea</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77B6F1E4" w14:textId="77777777" w:rsidR="00EF6323" w:rsidRPr="009434E7" w:rsidRDefault="00EF6323" w:rsidP="00EF6323">
            <w:pPr>
              <w:spacing w:after="0" w:line="240" w:lineRule="auto"/>
              <w:jc w:val="center"/>
              <w:rPr>
                <w:rFonts w:asciiTheme="majorHAnsi" w:eastAsia="Times New Roman" w:hAnsiTheme="majorHAnsi" w:cstheme="majorHAnsi"/>
                <w:b/>
                <w:bCs/>
                <w:i/>
                <w:iCs/>
                <w:color w:val="000000"/>
                <w:sz w:val="20"/>
                <w:szCs w:val="20"/>
                <w:lang w:val="ro-RO"/>
              </w:rPr>
            </w:pPr>
            <w:r w:rsidRPr="009434E7">
              <w:rPr>
                <w:rFonts w:asciiTheme="majorHAnsi" w:eastAsia="Times New Roman" w:hAnsiTheme="majorHAnsi" w:cstheme="majorHAnsi"/>
                <w:b/>
                <w:bCs/>
                <w:i/>
                <w:iCs/>
                <w:color w:val="000000"/>
                <w:sz w:val="20"/>
                <w:szCs w:val="20"/>
                <w:lang w:val="ro-RO"/>
              </w:rPr>
              <w:t>Unitatea de măsură</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406AA67F" w14:textId="77777777" w:rsidR="00EF6323" w:rsidRPr="009434E7" w:rsidRDefault="00EF6323" w:rsidP="00EF6323">
            <w:pPr>
              <w:spacing w:after="0" w:line="240" w:lineRule="auto"/>
              <w:jc w:val="center"/>
              <w:rPr>
                <w:rFonts w:asciiTheme="majorHAnsi" w:eastAsia="Times New Roman" w:hAnsiTheme="majorHAnsi" w:cstheme="majorHAnsi"/>
                <w:b/>
                <w:bCs/>
                <w:i/>
                <w:iCs/>
                <w:color w:val="000000"/>
                <w:sz w:val="20"/>
                <w:szCs w:val="20"/>
                <w:lang w:val="ro-RO"/>
              </w:rPr>
            </w:pPr>
            <w:r w:rsidRPr="009434E7">
              <w:rPr>
                <w:rFonts w:asciiTheme="majorHAnsi" w:eastAsia="Times New Roman" w:hAnsiTheme="majorHAnsi" w:cstheme="majorHAnsi"/>
                <w:b/>
                <w:bCs/>
                <w:i/>
                <w:iCs/>
                <w:color w:val="000000"/>
                <w:sz w:val="20"/>
                <w:szCs w:val="20"/>
                <w:lang w:val="ro-RO"/>
              </w:rPr>
              <w:t>Valoarea</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56823AEA" w14:textId="77777777" w:rsidR="00EF6323" w:rsidRPr="009434E7" w:rsidRDefault="00EF6323" w:rsidP="00EF6323">
            <w:pPr>
              <w:spacing w:after="0" w:line="240" w:lineRule="auto"/>
              <w:jc w:val="center"/>
              <w:rPr>
                <w:rFonts w:asciiTheme="majorHAnsi" w:eastAsia="Times New Roman" w:hAnsiTheme="majorHAnsi" w:cstheme="majorHAnsi"/>
                <w:b/>
                <w:bCs/>
                <w:i/>
                <w:iCs/>
                <w:color w:val="000000"/>
                <w:sz w:val="20"/>
                <w:szCs w:val="20"/>
                <w:lang w:val="ro-RO"/>
              </w:rPr>
            </w:pPr>
            <w:r w:rsidRPr="009434E7">
              <w:rPr>
                <w:rFonts w:asciiTheme="majorHAnsi" w:eastAsia="Times New Roman" w:hAnsiTheme="majorHAnsi" w:cstheme="majorHAnsi"/>
                <w:b/>
                <w:bCs/>
                <w:i/>
                <w:iCs/>
                <w:color w:val="000000"/>
                <w:sz w:val="20"/>
                <w:szCs w:val="20"/>
                <w:lang w:val="ro-RO"/>
              </w:rPr>
              <w:t>Problema identificată</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14:paraId="5D1B089C" w14:textId="77777777" w:rsidR="00EF6323" w:rsidRPr="009434E7" w:rsidRDefault="00EF6323" w:rsidP="00EF6323">
            <w:pPr>
              <w:spacing w:after="0" w:line="240" w:lineRule="auto"/>
              <w:jc w:val="center"/>
              <w:rPr>
                <w:rFonts w:asciiTheme="majorHAnsi" w:eastAsia="Times New Roman" w:hAnsiTheme="majorHAnsi" w:cstheme="majorHAnsi"/>
                <w:b/>
                <w:bCs/>
                <w:i/>
                <w:iCs/>
                <w:color w:val="000000"/>
                <w:sz w:val="20"/>
                <w:szCs w:val="20"/>
                <w:lang w:val="ro-RO"/>
              </w:rPr>
            </w:pPr>
            <w:r w:rsidRPr="009434E7">
              <w:rPr>
                <w:rFonts w:asciiTheme="majorHAnsi" w:eastAsia="Times New Roman" w:hAnsiTheme="majorHAnsi" w:cstheme="majorHAnsi"/>
                <w:b/>
                <w:bCs/>
                <w:i/>
                <w:iCs/>
                <w:color w:val="000000"/>
                <w:sz w:val="20"/>
                <w:szCs w:val="20"/>
                <w:lang w:val="ro-RO"/>
              </w:rPr>
              <w:t>Cauza problemei identificate</w:t>
            </w:r>
          </w:p>
        </w:tc>
        <w:tc>
          <w:tcPr>
            <w:tcW w:w="2949" w:type="dxa"/>
            <w:tcBorders>
              <w:top w:val="single" w:sz="4" w:space="0" w:color="auto"/>
              <w:left w:val="nil"/>
              <w:bottom w:val="single" w:sz="4" w:space="0" w:color="auto"/>
              <w:right w:val="single" w:sz="4" w:space="0" w:color="auto"/>
            </w:tcBorders>
            <w:shd w:val="clear" w:color="auto" w:fill="auto"/>
            <w:noWrap/>
            <w:vAlign w:val="center"/>
            <w:hideMark/>
          </w:tcPr>
          <w:p w14:paraId="71262E32" w14:textId="77777777" w:rsidR="00EF6323" w:rsidRPr="009434E7" w:rsidRDefault="00EF6323" w:rsidP="00EF6323">
            <w:pPr>
              <w:spacing w:after="0" w:line="240" w:lineRule="auto"/>
              <w:jc w:val="both"/>
              <w:rPr>
                <w:rFonts w:asciiTheme="majorHAnsi" w:eastAsia="Times New Roman" w:hAnsiTheme="majorHAnsi" w:cstheme="majorHAnsi"/>
                <w:b/>
                <w:i/>
                <w:iCs/>
                <w:color w:val="000000"/>
                <w:sz w:val="20"/>
                <w:szCs w:val="20"/>
                <w:lang w:val="ro-RO"/>
              </w:rPr>
            </w:pPr>
            <w:r w:rsidRPr="009434E7">
              <w:rPr>
                <w:rFonts w:asciiTheme="majorHAnsi" w:eastAsia="Times New Roman" w:hAnsiTheme="majorHAnsi" w:cstheme="majorHAnsi"/>
                <w:b/>
                <w:i/>
                <w:iCs/>
                <w:color w:val="000000"/>
                <w:sz w:val="20"/>
                <w:szCs w:val="20"/>
                <w:lang w:val="ro-RO"/>
              </w:rPr>
              <w:t>Comentariile auditorului</w:t>
            </w:r>
          </w:p>
        </w:tc>
      </w:tr>
      <w:tr w:rsidR="00EF6323" w:rsidRPr="009434E7" w14:paraId="11CCC206"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5E5E3D2"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w:t>
            </w:r>
          </w:p>
        </w:tc>
        <w:tc>
          <w:tcPr>
            <w:tcW w:w="1582" w:type="dxa"/>
            <w:tcBorders>
              <w:top w:val="nil"/>
              <w:left w:val="nil"/>
              <w:bottom w:val="single" w:sz="4" w:space="0" w:color="auto"/>
              <w:right w:val="single" w:sz="4" w:space="0" w:color="auto"/>
            </w:tcBorders>
            <w:shd w:val="clear" w:color="auto" w:fill="auto"/>
            <w:vAlign w:val="center"/>
            <w:hideMark/>
          </w:tcPr>
          <w:p w14:paraId="6F61DF87"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fondului de salarizare</w:t>
            </w:r>
          </w:p>
        </w:tc>
        <w:tc>
          <w:tcPr>
            <w:tcW w:w="988" w:type="dxa"/>
            <w:tcBorders>
              <w:top w:val="nil"/>
              <w:left w:val="nil"/>
              <w:bottom w:val="single" w:sz="4" w:space="0" w:color="auto"/>
              <w:right w:val="single" w:sz="4" w:space="0" w:color="auto"/>
            </w:tcBorders>
            <w:shd w:val="clear" w:color="auto" w:fill="auto"/>
            <w:vAlign w:val="center"/>
            <w:hideMark/>
          </w:tcPr>
          <w:p w14:paraId="18C941FF" w14:textId="794C385D"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1682" w:type="dxa"/>
            <w:tcBorders>
              <w:top w:val="nil"/>
              <w:left w:val="nil"/>
              <w:bottom w:val="single" w:sz="4" w:space="0" w:color="auto"/>
              <w:right w:val="single" w:sz="4" w:space="0" w:color="auto"/>
            </w:tcBorders>
            <w:shd w:val="clear" w:color="auto" w:fill="auto"/>
            <w:vAlign w:val="center"/>
            <w:hideMark/>
          </w:tcPr>
          <w:p w14:paraId="7BF5822A" w14:textId="7C1B34F4"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148F7DB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FD7BED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72C1D9C8"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64BFB4A6"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73C171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1.1.</w:t>
            </w:r>
          </w:p>
        </w:tc>
        <w:tc>
          <w:tcPr>
            <w:tcW w:w="1582" w:type="dxa"/>
            <w:tcBorders>
              <w:top w:val="nil"/>
              <w:left w:val="nil"/>
              <w:bottom w:val="single" w:sz="4" w:space="0" w:color="auto"/>
              <w:right w:val="single" w:sz="4" w:space="0" w:color="auto"/>
            </w:tcBorders>
            <w:shd w:val="clear" w:color="auto" w:fill="auto"/>
            <w:vAlign w:val="center"/>
            <w:hideMark/>
          </w:tcPr>
          <w:p w14:paraId="574F1FC1"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Total aprobat</w:t>
            </w:r>
          </w:p>
        </w:tc>
        <w:tc>
          <w:tcPr>
            <w:tcW w:w="988" w:type="dxa"/>
            <w:tcBorders>
              <w:top w:val="nil"/>
              <w:left w:val="nil"/>
              <w:bottom w:val="single" w:sz="4" w:space="0" w:color="auto"/>
              <w:right w:val="single" w:sz="4" w:space="0" w:color="auto"/>
            </w:tcBorders>
            <w:shd w:val="clear" w:color="auto" w:fill="auto"/>
            <w:vAlign w:val="center"/>
            <w:hideMark/>
          </w:tcPr>
          <w:p w14:paraId="11820AC1"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vAlign w:val="center"/>
            <w:hideMark/>
          </w:tcPr>
          <w:p w14:paraId="44E34735"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136149,40</w:t>
            </w:r>
          </w:p>
        </w:tc>
        <w:tc>
          <w:tcPr>
            <w:tcW w:w="3677" w:type="dxa"/>
            <w:tcBorders>
              <w:top w:val="nil"/>
              <w:left w:val="nil"/>
              <w:bottom w:val="single" w:sz="4" w:space="0" w:color="auto"/>
              <w:right w:val="single" w:sz="4" w:space="0" w:color="auto"/>
            </w:tcBorders>
            <w:shd w:val="clear" w:color="auto" w:fill="auto"/>
            <w:noWrap/>
            <w:vAlign w:val="center"/>
            <w:hideMark/>
          </w:tcPr>
          <w:p w14:paraId="5E2FA5D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4F98D3B"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54ABFAC2"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3A132FB2"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9822BC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1.1.1.*</w:t>
            </w:r>
          </w:p>
        </w:tc>
        <w:tc>
          <w:tcPr>
            <w:tcW w:w="1582" w:type="dxa"/>
            <w:tcBorders>
              <w:top w:val="nil"/>
              <w:left w:val="nil"/>
              <w:bottom w:val="single" w:sz="4" w:space="0" w:color="auto"/>
              <w:right w:val="single" w:sz="4" w:space="0" w:color="auto"/>
            </w:tcBorders>
            <w:shd w:val="clear" w:color="auto" w:fill="auto"/>
            <w:vAlign w:val="center"/>
            <w:hideMark/>
          </w:tcPr>
          <w:p w14:paraId="01D66B94"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Din care: </w:t>
            </w:r>
            <w:r w:rsidRPr="009434E7">
              <w:rPr>
                <w:rFonts w:asciiTheme="majorHAnsi" w:eastAsia="Times New Roman" w:hAnsiTheme="majorHAnsi" w:cstheme="majorHAnsi"/>
                <w:i/>
                <w:iCs/>
                <w:color w:val="000000"/>
                <w:sz w:val="20"/>
                <w:szCs w:val="20"/>
                <w:lang w:val="ro-RO"/>
              </w:rPr>
              <w:t>personal tehnic</w:t>
            </w:r>
          </w:p>
        </w:tc>
        <w:tc>
          <w:tcPr>
            <w:tcW w:w="988" w:type="dxa"/>
            <w:tcBorders>
              <w:top w:val="nil"/>
              <w:left w:val="nil"/>
              <w:bottom w:val="single" w:sz="4" w:space="0" w:color="auto"/>
              <w:right w:val="single" w:sz="4" w:space="0" w:color="auto"/>
            </w:tcBorders>
            <w:shd w:val="clear" w:color="auto" w:fill="auto"/>
            <w:vAlign w:val="center"/>
            <w:hideMark/>
          </w:tcPr>
          <w:p w14:paraId="19E9D10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vAlign w:val="center"/>
            <w:hideMark/>
          </w:tcPr>
          <w:p w14:paraId="3A04BF3B"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7806,00</w:t>
            </w:r>
          </w:p>
        </w:tc>
        <w:tc>
          <w:tcPr>
            <w:tcW w:w="3677" w:type="dxa"/>
            <w:tcBorders>
              <w:top w:val="nil"/>
              <w:left w:val="nil"/>
              <w:bottom w:val="single" w:sz="4" w:space="0" w:color="auto"/>
              <w:right w:val="single" w:sz="4" w:space="0" w:color="auto"/>
            </w:tcBorders>
            <w:shd w:val="clear" w:color="auto" w:fill="auto"/>
            <w:noWrap/>
            <w:vAlign w:val="center"/>
            <w:hideMark/>
          </w:tcPr>
          <w:p w14:paraId="63290210"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3741128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5670A267"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2602A360"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D19972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1.2.</w:t>
            </w:r>
          </w:p>
        </w:tc>
        <w:tc>
          <w:tcPr>
            <w:tcW w:w="1582" w:type="dxa"/>
            <w:tcBorders>
              <w:top w:val="nil"/>
              <w:left w:val="nil"/>
              <w:bottom w:val="single" w:sz="4" w:space="0" w:color="auto"/>
              <w:right w:val="single" w:sz="4" w:space="0" w:color="auto"/>
            </w:tcBorders>
            <w:shd w:val="clear" w:color="auto" w:fill="auto"/>
            <w:vAlign w:val="center"/>
            <w:hideMark/>
          </w:tcPr>
          <w:p w14:paraId="29C99F8C" w14:textId="3ACB6782" w:rsidR="00EF6323" w:rsidRPr="009434E7" w:rsidRDefault="00EF6323" w:rsidP="00EF6323">
            <w:pPr>
              <w:tabs>
                <w:tab w:val="left" w:pos="970"/>
              </w:tabs>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Total rectificat</w:t>
            </w:r>
          </w:p>
        </w:tc>
        <w:tc>
          <w:tcPr>
            <w:tcW w:w="988" w:type="dxa"/>
            <w:tcBorders>
              <w:top w:val="nil"/>
              <w:left w:val="nil"/>
              <w:bottom w:val="single" w:sz="4" w:space="0" w:color="auto"/>
              <w:right w:val="single" w:sz="4" w:space="0" w:color="auto"/>
            </w:tcBorders>
            <w:shd w:val="clear" w:color="auto" w:fill="auto"/>
            <w:vAlign w:val="center"/>
            <w:hideMark/>
          </w:tcPr>
          <w:p w14:paraId="36FA7D8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vAlign w:val="center"/>
            <w:hideMark/>
          </w:tcPr>
          <w:p w14:paraId="42AF4CD6"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136149,40</w:t>
            </w:r>
          </w:p>
        </w:tc>
        <w:tc>
          <w:tcPr>
            <w:tcW w:w="3677" w:type="dxa"/>
            <w:tcBorders>
              <w:top w:val="nil"/>
              <w:left w:val="nil"/>
              <w:bottom w:val="single" w:sz="4" w:space="0" w:color="auto"/>
              <w:right w:val="single" w:sz="4" w:space="0" w:color="auto"/>
            </w:tcBorders>
            <w:shd w:val="clear" w:color="auto" w:fill="auto"/>
            <w:noWrap/>
            <w:vAlign w:val="center"/>
            <w:hideMark/>
          </w:tcPr>
          <w:p w14:paraId="5A237393"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D15B355"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48D910E"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39B79B2D"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E4252D2"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1.2.1.*</w:t>
            </w:r>
          </w:p>
        </w:tc>
        <w:tc>
          <w:tcPr>
            <w:tcW w:w="1582" w:type="dxa"/>
            <w:tcBorders>
              <w:top w:val="nil"/>
              <w:left w:val="nil"/>
              <w:bottom w:val="single" w:sz="4" w:space="0" w:color="auto"/>
              <w:right w:val="single" w:sz="4" w:space="0" w:color="auto"/>
            </w:tcBorders>
            <w:shd w:val="clear" w:color="auto" w:fill="auto"/>
            <w:vAlign w:val="center"/>
            <w:hideMark/>
          </w:tcPr>
          <w:p w14:paraId="61701DED"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Din care: </w:t>
            </w:r>
            <w:r w:rsidRPr="009434E7">
              <w:rPr>
                <w:rFonts w:asciiTheme="majorHAnsi" w:eastAsia="Times New Roman" w:hAnsiTheme="majorHAnsi" w:cstheme="majorHAnsi"/>
                <w:i/>
                <w:iCs/>
                <w:color w:val="000000"/>
                <w:sz w:val="20"/>
                <w:szCs w:val="20"/>
                <w:lang w:val="ro-RO"/>
              </w:rPr>
              <w:t>personal tehnic</w:t>
            </w:r>
          </w:p>
        </w:tc>
        <w:tc>
          <w:tcPr>
            <w:tcW w:w="988" w:type="dxa"/>
            <w:tcBorders>
              <w:top w:val="nil"/>
              <w:left w:val="nil"/>
              <w:bottom w:val="single" w:sz="4" w:space="0" w:color="auto"/>
              <w:right w:val="single" w:sz="4" w:space="0" w:color="auto"/>
            </w:tcBorders>
            <w:shd w:val="clear" w:color="auto" w:fill="auto"/>
            <w:vAlign w:val="center"/>
            <w:hideMark/>
          </w:tcPr>
          <w:p w14:paraId="2538EC8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vAlign w:val="center"/>
            <w:hideMark/>
          </w:tcPr>
          <w:p w14:paraId="13D7ED2A"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7806,00</w:t>
            </w:r>
          </w:p>
        </w:tc>
        <w:tc>
          <w:tcPr>
            <w:tcW w:w="3677" w:type="dxa"/>
            <w:tcBorders>
              <w:top w:val="nil"/>
              <w:left w:val="nil"/>
              <w:bottom w:val="single" w:sz="4" w:space="0" w:color="auto"/>
              <w:right w:val="single" w:sz="4" w:space="0" w:color="auto"/>
            </w:tcBorders>
            <w:shd w:val="clear" w:color="auto" w:fill="auto"/>
            <w:noWrap/>
            <w:vAlign w:val="center"/>
            <w:hideMark/>
          </w:tcPr>
          <w:p w14:paraId="5DB2151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3E0BD80"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2FD28150"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56EC9791"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3C8E14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w:t>
            </w:r>
          </w:p>
        </w:tc>
        <w:tc>
          <w:tcPr>
            <w:tcW w:w="1582" w:type="dxa"/>
            <w:tcBorders>
              <w:top w:val="nil"/>
              <w:left w:val="nil"/>
              <w:bottom w:val="single" w:sz="4" w:space="0" w:color="auto"/>
              <w:right w:val="single" w:sz="4" w:space="0" w:color="auto"/>
            </w:tcBorders>
            <w:shd w:val="clear" w:color="auto" w:fill="auto"/>
            <w:vAlign w:val="center"/>
            <w:hideMark/>
          </w:tcPr>
          <w:p w14:paraId="5C76D853"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Total executat</w:t>
            </w:r>
          </w:p>
        </w:tc>
        <w:tc>
          <w:tcPr>
            <w:tcW w:w="988" w:type="dxa"/>
            <w:tcBorders>
              <w:top w:val="nil"/>
              <w:left w:val="nil"/>
              <w:bottom w:val="single" w:sz="4" w:space="0" w:color="auto"/>
              <w:right w:val="single" w:sz="4" w:space="0" w:color="auto"/>
            </w:tcBorders>
            <w:shd w:val="clear" w:color="auto" w:fill="auto"/>
            <w:vAlign w:val="center"/>
            <w:hideMark/>
          </w:tcPr>
          <w:p w14:paraId="5655D433"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vAlign w:val="center"/>
            <w:hideMark/>
          </w:tcPr>
          <w:p w14:paraId="35BA7F85"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135472,60</w:t>
            </w:r>
          </w:p>
        </w:tc>
        <w:tc>
          <w:tcPr>
            <w:tcW w:w="3677" w:type="dxa"/>
            <w:tcBorders>
              <w:top w:val="nil"/>
              <w:left w:val="nil"/>
              <w:bottom w:val="single" w:sz="4" w:space="0" w:color="auto"/>
              <w:right w:val="single" w:sz="4" w:space="0" w:color="auto"/>
            </w:tcBorders>
            <w:shd w:val="clear" w:color="auto" w:fill="auto"/>
            <w:noWrap/>
            <w:vAlign w:val="center"/>
            <w:hideMark/>
          </w:tcPr>
          <w:p w14:paraId="4EBAE6B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33296D5"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76D14FBA"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17C94302" w14:textId="77777777" w:rsidTr="00EF6323">
        <w:trPr>
          <w:trHeight w:val="552"/>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D7F7F66"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1.3.1.*</w:t>
            </w:r>
          </w:p>
        </w:tc>
        <w:tc>
          <w:tcPr>
            <w:tcW w:w="1582" w:type="dxa"/>
            <w:tcBorders>
              <w:top w:val="nil"/>
              <w:left w:val="nil"/>
              <w:bottom w:val="single" w:sz="4" w:space="0" w:color="auto"/>
              <w:right w:val="single" w:sz="4" w:space="0" w:color="auto"/>
            </w:tcBorders>
            <w:shd w:val="clear" w:color="auto" w:fill="auto"/>
            <w:vAlign w:val="center"/>
            <w:hideMark/>
          </w:tcPr>
          <w:p w14:paraId="2F475136"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Din care: </w:t>
            </w:r>
            <w:r w:rsidRPr="009434E7">
              <w:rPr>
                <w:rFonts w:asciiTheme="majorHAnsi" w:eastAsia="Times New Roman" w:hAnsiTheme="majorHAnsi" w:cstheme="majorHAnsi"/>
                <w:i/>
                <w:iCs/>
                <w:color w:val="000000"/>
                <w:sz w:val="20"/>
                <w:szCs w:val="20"/>
                <w:lang w:val="ro-RO"/>
              </w:rPr>
              <w:t>personal tehnic</w:t>
            </w:r>
          </w:p>
        </w:tc>
        <w:tc>
          <w:tcPr>
            <w:tcW w:w="988" w:type="dxa"/>
            <w:tcBorders>
              <w:top w:val="nil"/>
              <w:left w:val="nil"/>
              <w:bottom w:val="single" w:sz="4" w:space="0" w:color="auto"/>
              <w:right w:val="single" w:sz="4" w:space="0" w:color="auto"/>
            </w:tcBorders>
            <w:shd w:val="clear" w:color="auto" w:fill="auto"/>
            <w:vAlign w:val="center"/>
            <w:hideMark/>
          </w:tcPr>
          <w:p w14:paraId="5E034055"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vAlign w:val="center"/>
            <w:hideMark/>
          </w:tcPr>
          <w:p w14:paraId="3DC7F42A" w14:textId="284EAB3D"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3AEECFB1"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6A28A5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tcPr>
          <w:p w14:paraId="54A34CE1"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1E4208AF" w14:textId="77777777" w:rsidTr="00EF6323">
        <w:trPr>
          <w:trHeight w:val="552"/>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1F1C7374"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2</w:t>
            </w:r>
          </w:p>
        </w:tc>
        <w:tc>
          <w:tcPr>
            <w:tcW w:w="1582" w:type="dxa"/>
            <w:tcBorders>
              <w:top w:val="nil"/>
              <w:left w:val="nil"/>
              <w:bottom w:val="single" w:sz="4" w:space="0" w:color="auto"/>
              <w:right w:val="single" w:sz="4" w:space="0" w:color="auto"/>
            </w:tcBorders>
            <w:shd w:val="clear" w:color="000000" w:fill="FFFFFF"/>
            <w:vAlign w:val="center"/>
            <w:hideMark/>
          </w:tcPr>
          <w:p w14:paraId="2185E6CF"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Rețineri la achitarea pentru serviciile prestate de personalul tehnic</w:t>
            </w:r>
          </w:p>
        </w:tc>
        <w:tc>
          <w:tcPr>
            <w:tcW w:w="988" w:type="dxa"/>
            <w:tcBorders>
              <w:top w:val="nil"/>
              <w:left w:val="nil"/>
              <w:bottom w:val="single" w:sz="4" w:space="0" w:color="auto"/>
              <w:right w:val="single" w:sz="4" w:space="0" w:color="auto"/>
            </w:tcBorders>
            <w:shd w:val="clear" w:color="auto" w:fill="auto"/>
            <w:vAlign w:val="center"/>
            <w:hideMark/>
          </w:tcPr>
          <w:p w14:paraId="28F4597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zile, luni</w:t>
            </w:r>
          </w:p>
        </w:tc>
        <w:tc>
          <w:tcPr>
            <w:tcW w:w="1682" w:type="dxa"/>
            <w:tcBorders>
              <w:top w:val="nil"/>
              <w:left w:val="nil"/>
              <w:bottom w:val="single" w:sz="4" w:space="0" w:color="auto"/>
              <w:right w:val="single" w:sz="4" w:space="0" w:color="auto"/>
            </w:tcBorders>
            <w:shd w:val="clear" w:color="auto" w:fill="auto"/>
            <w:vAlign w:val="center"/>
            <w:hideMark/>
          </w:tcPr>
          <w:p w14:paraId="4119AC0F" w14:textId="6D0C01CC"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10EA964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29367E0"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C04C68E"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31D6A62C"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6653E5E8"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3</w:t>
            </w:r>
          </w:p>
        </w:tc>
        <w:tc>
          <w:tcPr>
            <w:tcW w:w="1582" w:type="dxa"/>
            <w:tcBorders>
              <w:top w:val="nil"/>
              <w:left w:val="nil"/>
              <w:bottom w:val="single" w:sz="4" w:space="0" w:color="auto"/>
              <w:right w:val="single" w:sz="4" w:space="0" w:color="auto"/>
            </w:tcBorders>
            <w:shd w:val="clear" w:color="auto" w:fill="auto"/>
            <w:vAlign w:val="center"/>
            <w:hideMark/>
          </w:tcPr>
          <w:p w14:paraId="3BA7E84C"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angajați</w:t>
            </w:r>
          </w:p>
        </w:tc>
        <w:tc>
          <w:tcPr>
            <w:tcW w:w="988" w:type="dxa"/>
            <w:tcBorders>
              <w:top w:val="nil"/>
              <w:left w:val="nil"/>
              <w:bottom w:val="single" w:sz="4" w:space="0" w:color="auto"/>
              <w:right w:val="single" w:sz="4" w:space="0" w:color="auto"/>
            </w:tcBorders>
            <w:shd w:val="clear" w:color="auto" w:fill="auto"/>
            <w:vAlign w:val="center"/>
            <w:hideMark/>
          </w:tcPr>
          <w:p w14:paraId="33877E7B" w14:textId="00ADE99F"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1682" w:type="dxa"/>
            <w:tcBorders>
              <w:top w:val="nil"/>
              <w:left w:val="nil"/>
              <w:bottom w:val="single" w:sz="4" w:space="0" w:color="auto"/>
              <w:right w:val="single" w:sz="4" w:space="0" w:color="auto"/>
            </w:tcBorders>
            <w:shd w:val="clear" w:color="auto" w:fill="auto"/>
            <w:vAlign w:val="center"/>
            <w:hideMark/>
          </w:tcPr>
          <w:p w14:paraId="700C0A79"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1348</w:t>
            </w:r>
          </w:p>
        </w:tc>
        <w:tc>
          <w:tcPr>
            <w:tcW w:w="3677" w:type="dxa"/>
            <w:tcBorders>
              <w:top w:val="nil"/>
              <w:left w:val="nil"/>
              <w:bottom w:val="single" w:sz="4" w:space="0" w:color="auto"/>
              <w:right w:val="single" w:sz="4" w:space="0" w:color="auto"/>
            </w:tcBorders>
            <w:shd w:val="clear" w:color="auto" w:fill="auto"/>
            <w:noWrap/>
            <w:vAlign w:val="center"/>
            <w:hideMark/>
          </w:tcPr>
          <w:p w14:paraId="18FAC356"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7248BF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001B4946"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18928772"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12B1B21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3.1.</w:t>
            </w:r>
          </w:p>
        </w:tc>
        <w:tc>
          <w:tcPr>
            <w:tcW w:w="1582" w:type="dxa"/>
            <w:tcBorders>
              <w:top w:val="nil"/>
              <w:left w:val="nil"/>
              <w:bottom w:val="single" w:sz="4" w:space="0" w:color="auto"/>
              <w:right w:val="single" w:sz="4" w:space="0" w:color="auto"/>
            </w:tcBorders>
            <w:shd w:val="clear" w:color="auto" w:fill="auto"/>
            <w:vAlign w:val="center"/>
            <w:hideMark/>
          </w:tcPr>
          <w:p w14:paraId="460AD961"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Conform statelor de personal</w:t>
            </w:r>
          </w:p>
        </w:tc>
        <w:tc>
          <w:tcPr>
            <w:tcW w:w="988" w:type="dxa"/>
            <w:tcBorders>
              <w:top w:val="nil"/>
              <w:left w:val="nil"/>
              <w:bottom w:val="single" w:sz="4" w:space="0" w:color="auto"/>
              <w:right w:val="single" w:sz="4" w:space="0" w:color="auto"/>
            </w:tcBorders>
            <w:shd w:val="clear" w:color="auto" w:fill="auto"/>
            <w:vAlign w:val="center"/>
            <w:hideMark/>
          </w:tcPr>
          <w:p w14:paraId="294225B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69ADE89F" w14:textId="77777777" w:rsidR="00EF6323" w:rsidRPr="009434E7" w:rsidRDefault="00EF6323" w:rsidP="00EF6323">
            <w:pPr>
              <w:tabs>
                <w:tab w:val="left" w:pos="620"/>
              </w:tabs>
              <w:spacing w:after="0" w:line="240" w:lineRule="auto"/>
              <w:jc w:val="right"/>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1348</w:t>
            </w:r>
          </w:p>
        </w:tc>
        <w:tc>
          <w:tcPr>
            <w:tcW w:w="3677" w:type="dxa"/>
            <w:tcBorders>
              <w:top w:val="nil"/>
              <w:left w:val="nil"/>
              <w:bottom w:val="single" w:sz="4" w:space="0" w:color="auto"/>
              <w:right w:val="single" w:sz="4" w:space="0" w:color="auto"/>
            </w:tcBorders>
            <w:shd w:val="clear" w:color="auto" w:fill="auto"/>
            <w:noWrap/>
            <w:vAlign w:val="center"/>
            <w:hideMark/>
          </w:tcPr>
          <w:p w14:paraId="4FC2015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0BB3250"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088605A0"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615A3F6B"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862DC5B"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3.1.1.*</w:t>
            </w:r>
          </w:p>
        </w:tc>
        <w:tc>
          <w:tcPr>
            <w:tcW w:w="1582" w:type="dxa"/>
            <w:tcBorders>
              <w:top w:val="nil"/>
              <w:left w:val="nil"/>
              <w:bottom w:val="single" w:sz="4" w:space="0" w:color="auto"/>
              <w:right w:val="single" w:sz="4" w:space="0" w:color="auto"/>
            </w:tcBorders>
            <w:shd w:val="clear" w:color="auto" w:fill="auto"/>
            <w:vAlign w:val="center"/>
            <w:hideMark/>
          </w:tcPr>
          <w:p w14:paraId="13AC74E4"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Din care:</w:t>
            </w:r>
            <w:r w:rsidRPr="009434E7">
              <w:rPr>
                <w:rFonts w:asciiTheme="majorHAnsi" w:eastAsia="Times New Roman" w:hAnsiTheme="majorHAnsi" w:cstheme="majorHAnsi"/>
                <w:i/>
                <w:iCs/>
                <w:color w:val="000000"/>
                <w:sz w:val="20"/>
                <w:szCs w:val="20"/>
                <w:lang w:val="ro-RO"/>
              </w:rPr>
              <w:t xml:space="preserve"> personal tehnic</w:t>
            </w:r>
          </w:p>
        </w:tc>
        <w:tc>
          <w:tcPr>
            <w:tcW w:w="988" w:type="dxa"/>
            <w:tcBorders>
              <w:top w:val="nil"/>
              <w:left w:val="nil"/>
              <w:bottom w:val="single" w:sz="4" w:space="0" w:color="auto"/>
              <w:right w:val="single" w:sz="4" w:space="0" w:color="auto"/>
            </w:tcBorders>
            <w:shd w:val="clear" w:color="auto" w:fill="auto"/>
            <w:vAlign w:val="center"/>
            <w:hideMark/>
          </w:tcPr>
          <w:p w14:paraId="5A0CFC8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3F40E5F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132</w:t>
            </w:r>
          </w:p>
        </w:tc>
        <w:tc>
          <w:tcPr>
            <w:tcW w:w="3677" w:type="dxa"/>
            <w:tcBorders>
              <w:top w:val="nil"/>
              <w:left w:val="nil"/>
              <w:bottom w:val="single" w:sz="4" w:space="0" w:color="auto"/>
              <w:right w:val="single" w:sz="4" w:space="0" w:color="auto"/>
            </w:tcBorders>
            <w:shd w:val="clear" w:color="auto" w:fill="auto"/>
            <w:noWrap/>
            <w:vAlign w:val="center"/>
            <w:hideMark/>
          </w:tcPr>
          <w:p w14:paraId="37C3188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2911782"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233FCAF8"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67C473D9"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E3FD5F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3.2.</w:t>
            </w:r>
          </w:p>
        </w:tc>
        <w:tc>
          <w:tcPr>
            <w:tcW w:w="1582" w:type="dxa"/>
            <w:tcBorders>
              <w:top w:val="nil"/>
              <w:left w:val="nil"/>
              <w:bottom w:val="single" w:sz="4" w:space="0" w:color="auto"/>
              <w:right w:val="single" w:sz="4" w:space="0" w:color="auto"/>
            </w:tcBorders>
            <w:shd w:val="clear" w:color="auto" w:fill="auto"/>
            <w:vAlign w:val="center"/>
            <w:hideMark/>
          </w:tcPr>
          <w:p w14:paraId="52006CB9"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De facto</w:t>
            </w:r>
          </w:p>
        </w:tc>
        <w:tc>
          <w:tcPr>
            <w:tcW w:w="988" w:type="dxa"/>
            <w:tcBorders>
              <w:top w:val="nil"/>
              <w:left w:val="nil"/>
              <w:bottom w:val="single" w:sz="4" w:space="0" w:color="auto"/>
              <w:right w:val="single" w:sz="4" w:space="0" w:color="auto"/>
            </w:tcBorders>
            <w:shd w:val="clear" w:color="auto" w:fill="auto"/>
            <w:vAlign w:val="center"/>
            <w:hideMark/>
          </w:tcPr>
          <w:p w14:paraId="7557E90B"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4894442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1094</w:t>
            </w:r>
          </w:p>
        </w:tc>
        <w:tc>
          <w:tcPr>
            <w:tcW w:w="3677" w:type="dxa"/>
            <w:tcBorders>
              <w:top w:val="nil"/>
              <w:left w:val="nil"/>
              <w:bottom w:val="single" w:sz="4" w:space="0" w:color="auto"/>
              <w:right w:val="single" w:sz="4" w:space="0" w:color="auto"/>
            </w:tcBorders>
            <w:shd w:val="clear" w:color="auto" w:fill="auto"/>
            <w:noWrap/>
            <w:vAlign w:val="center"/>
            <w:hideMark/>
          </w:tcPr>
          <w:p w14:paraId="7B07816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9FD3D10"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31C826E"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5BE859C2"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69D4D61"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3.2.1.*</w:t>
            </w:r>
          </w:p>
        </w:tc>
        <w:tc>
          <w:tcPr>
            <w:tcW w:w="1582" w:type="dxa"/>
            <w:tcBorders>
              <w:top w:val="nil"/>
              <w:left w:val="nil"/>
              <w:bottom w:val="single" w:sz="4" w:space="0" w:color="auto"/>
              <w:right w:val="single" w:sz="4" w:space="0" w:color="auto"/>
            </w:tcBorders>
            <w:shd w:val="clear" w:color="auto" w:fill="auto"/>
            <w:vAlign w:val="center"/>
            <w:hideMark/>
          </w:tcPr>
          <w:p w14:paraId="0BAE849E"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Din care: </w:t>
            </w:r>
            <w:r w:rsidRPr="009434E7">
              <w:rPr>
                <w:rFonts w:asciiTheme="majorHAnsi" w:eastAsia="Times New Roman" w:hAnsiTheme="majorHAnsi" w:cstheme="majorHAnsi"/>
                <w:i/>
                <w:iCs/>
                <w:color w:val="000000"/>
                <w:sz w:val="20"/>
                <w:szCs w:val="20"/>
                <w:lang w:val="ro-RO"/>
              </w:rPr>
              <w:t>personal tehnic</w:t>
            </w:r>
          </w:p>
        </w:tc>
        <w:tc>
          <w:tcPr>
            <w:tcW w:w="988" w:type="dxa"/>
            <w:tcBorders>
              <w:top w:val="nil"/>
              <w:left w:val="nil"/>
              <w:bottom w:val="single" w:sz="4" w:space="0" w:color="auto"/>
              <w:right w:val="single" w:sz="4" w:space="0" w:color="auto"/>
            </w:tcBorders>
            <w:shd w:val="clear" w:color="auto" w:fill="auto"/>
            <w:vAlign w:val="center"/>
            <w:hideMark/>
          </w:tcPr>
          <w:p w14:paraId="412256F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5D6F636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115</w:t>
            </w:r>
          </w:p>
        </w:tc>
        <w:tc>
          <w:tcPr>
            <w:tcW w:w="3677" w:type="dxa"/>
            <w:tcBorders>
              <w:top w:val="nil"/>
              <w:left w:val="nil"/>
              <w:bottom w:val="single" w:sz="4" w:space="0" w:color="auto"/>
              <w:right w:val="single" w:sz="4" w:space="0" w:color="auto"/>
            </w:tcBorders>
            <w:shd w:val="clear" w:color="auto" w:fill="auto"/>
            <w:noWrap/>
            <w:vAlign w:val="center"/>
            <w:hideMark/>
          </w:tcPr>
          <w:p w14:paraId="154625B1"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3F20A9A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31947E7"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0C934E21" w14:textId="77777777" w:rsidTr="00EF6323">
        <w:trPr>
          <w:trHeight w:val="5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BC85671"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4</w:t>
            </w:r>
          </w:p>
        </w:tc>
        <w:tc>
          <w:tcPr>
            <w:tcW w:w="1582" w:type="dxa"/>
            <w:tcBorders>
              <w:top w:val="nil"/>
              <w:left w:val="nil"/>
              <w:bottom w:val="single" w:sz="4" w:space="0" w:color="auto"/>
              <w:right w:val="single" w:sz="4" w:space="0" w:color="auto"/>
            </w:tcBorders>
            <w:shd w:val="clear" w:color="auto" w:fill="auto"/>
            <w:vAlign w:val="center"/>
            <w:hideMark/>
          </w:tcPr>
          <w:p w14:paraId="4FA92DA1"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Rata de fluctuație în cadrul entității</w:t>
            </w:r>
          </w:p>
        </w:tc>
        <w:tc>
          <w:tcPr>
            <w:tcW w:w="988" w:type="dxa"/>
            <w:tcBorders>
              <w:top w:val="nil"/>
              <w:left w:val="nil"/>
              <w:bottom w:val="single" w:sz="4" w:space="0" w:color="auto"/>
              <w:right w:val="single" w:sz="4" w:space="0" w:color="auto"/>
            </w:tcBorders>
            <w:shd w:val="clear" w:color="auto" w:fill="auto"/>
            <w:vAlign w:val="center"/>
            <w:hideMark/>
          </w:tcPr>
          <w:p w14:paraId="284847A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1682" w:type="dxa"/>
            <w:tcBorders>
              <w:top w:val="nil"/>
              <w:left w:val="nil"/>
              <w:bottom w:val="single" w:sz="4" w:space="0" w:color="auto"/>
              <w:right w:val="single" w:sz="4" w:space="0" w:color="auto"/>
            </w:tcBorders>
            <w:shd w:val="clear" w:color="auto" w:fill="auto"/>
            <w:vAlign w:val="center"/>
            <w:hideMark/>
          </w:tcPr>
          <w:p w14:paraId="77F1235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9 %</w:t>
            </w:r>
          </w:p>
        </w:tc>
        <w:tc>
          <w:tcPr>
            <w:tcW w:w="3677" w:type="dxa"/>
            <w:tcBorders>
              <w:top w:val="nil"/>
              <w:left w:val="nil"/>
              <w:bottom w:val="single" w:sz="4" w:space="0" w:color="auto"/>
              <w:right w:val="single" w:sz="4" w:space="0" w:color="auto"/>
            </w:tcBorders>
            <w:shd w:val="clear" w:color="auto" w:fill="auto"/>
            <w:noWrap/>
            <w:vAlign w:val="center"/>
            <w:hideMark/>
          </w:tcPr>
          <w:p w14:paraId="78E676E1" w14:textId="58145E1A" w:rsidR="00EF6323" w:rsidRPr="009434E7" w:rsidRDefault="00EF6323" w:rsidP="00B70F12">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Activitatea CNAS este una complexă care include multe procese sistemice, în cadrul entității sunt gestionate/acordate/calculate/achitate mai multe tipuri de prestații, iar fiecare prestație dispune de o bază legală separată și </w:t>
            </w:r>
            <w:r w:rsidR="00BC59E7" w:rsidRPr="009434E7">
              <w:rPr>
                <w:rFonts w:asciiTheme="majorHAnsi" w:eastAsia="Times New Roman" w:hAnsiTheme="majorHAnsi" w:cstheme="majorHAnsi"/>
                <w:color w:val="000000"/>
                <w:sz w:val="20"/>
                <w:szCs w:val="20"/>
                <w:lang w:val="ro-RO"/>
              </w:rPr>
              <w:t xml:space="preserve">de </w:t>
            </w:r>
            <w:r w:rsidRPr="009434E7">
              <w:rPr>
                <w:rFonts w:asciiTheme="majorHAnsi" w:eastAsia="Times New Roman" w:hAnsiTheme="majorHAnsi" w:cstheme="majorHAnsi"/>
                <w:color w:val="000000"/>
                <w:sz w:val="20"/>
                <w:szCs w:val="20"/>
                <w:lang w:val="ro-RO"/>
              </w:rPr>
              <w:t>un proces de acordare distinct pe fiecare tip</w:t>
            </w:r>
          </w:p>
        </w:tc>
        <w:tc>
          <w:tcPr>
            <w:tcW w:w="2192" w:type="dxa"/>
            <w:tcBorders>
              <w:top w:val="nil"/>
              <w:left w:val="nil"/>
              <w:bottom w:val="single" w:sz="4" w:space="0" w:color="auto"/>
              <w:right w:val="single" w:sz="4" w:space="0" w:color="auto"/>
            </w:tcBorders>
            <w:shd w:val="clear" w:color="auto" w:fill="auto"/>
            <w:noWrap/>
            <w:vAlign w:val="center"/>
            <w:hideMark/>
          </w:tcPr>
          <w:p w14:paraId="3C6B9CAF" w14:textId="019EE21E"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Anual activitatea CNAS se suplimentează cu noi procese și noi prestații, noi responsabilități</w:t>
            </w:r>
            <w:r w:rsidR="00BC59E7" w:rsidRPr="009434E7">
              <w:rPr>
                <w:rFonts w:asciiTheme="majorHAnsi" w:eastAsia="Times New Roman" w:hAnsiTheme="majorHAnsi" w:cstheme="majorHAnsi"/>
                <w:color w:val="000000"/>
                <w:sz w:val="20"/>
                <w:szCs w:val="20"/>
                <w:lang w:val="ro-RO"/>
              </w:rPr>
              <w:t>,</w:t>
            </w:r>
            <w:r w:rsidRPr="009434E7">
              <w:rPr>
                <w:rFonts w:asciiTheme="majorHAnsi" w:eastAsia="Times New Roman" w:hAnsiTheme="majorHAnsi" w:cstheme="majorHAnsi"/>
                <w:color w:val="000000"/>
                <w:sz w:val="20"/>
                <w:szCs w:val="20"/>
                <w:lang w:val="ro-RO"/>
              </w:rPr>
              <w:t xml:space="preserve"> fără a </w:t>
            </w:r>
            <w:r w:rsidR="00BC59E7" w:rsidRPr="009434E7">
              <w:rPr>
                <w:rFonts w:asciiTheme="majorHAnsi" w:eastAsia="Times New Roman" w:hAnsiTheme="majorHAnsi" w:cstheme="majorHAnsi"/>
                <w:color w:val="000000"/>
                <w:sz w:val="20"/>
                <w:szCs w:val="20"/>
                <w:lang w:val="ro-RO"/>
              </w:rPr>
              <w:t xml:space="preserve">fi </w:t>
            </w:r>
            <w:r w:rsidRPr="009434E7">
              <w:rPr>
                <w:rFonts w:asciiTheme="majorHAnsi" w:eastAsia="Times New Roman" w:hAnsiTheme="majorHAnsi" w:cstheme="majorHAnsi"/>
                <w:color w:val="000000"/>
                <w:sz w:val="20"/>
                <w:szCs w:val="20"/>
                <w:lang w:val="ro-RO"/>
              </w:rPr>
              <w:t>majora</w:t>
            </w:r>
            <w:r w:rsidR="00BC59E7" w:rsidRPr="009434E7">
              <w:rPr>
                <w:rFonts w:asciiTheme="majorHAnsi" w:eastAsia="Times New Roman" w:hAnsiTheme="majorHAnsi" w:cstheme="majorHAnsi"/>
                <w:color w:val="000000"/>
                <w:sz w:val="20"/>
                <w:szCs w:val="20"/>
                <w:lang w:val="ro-RO"/>
              </w:rPr>
              <w:t>t</w:t>
            </w:r>
            <w:r w:rsidRPr="009434E7">
              <w:rPr>
                <w:rFonts w:asciiTheme="majorHAnsi" w:eastAsia="Times New Roman" w:hAnsiTheme="majorHAnsi" w:cstheme="majorHAnsi"/>
                <w:color w:val="000000"/>
                <w:sz w:val="20"/>
                <w:szCs w:val="20"/>
                <w:lang w:val="ro-RO"/>
              </w:rPr>
              <w:t xml:space="preserve"> efectivul de personal, astfel crescând considerabil intensitatea asupra specialiștilor activi</w:t>
            </w:r>
          </w:p>
        </w:tc>
        <w:tc>
          <w:tcPr>
            <w:tcW w:w="2949" w:type="dxa"/>
            <w:tcBorders>
              <w:top w:val="nil"/>
              <w:left w:val="nil"/>
              <w:bottom w:val="single" w:sz="4" w:space="0" w:color="auto"/>
              <w:right w:val="single" w:sz="4" w:space="0" w:color="auto"/>
            </w:tcBorders>
            <w:shd w:val="clear" w:color="auto" w:fill="auto"/>
            <w:noWrap/>
            <w:vAlign w:val="center"/>
            <w:hideMark/>
          </w:tcPr>
          <w:p w14:paraId="0766C4A9"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6C61EE79" w14:textId="77777777" w:rsidTr="00EF6323">
        <w:trPr>
          <w:trHeight w:val="165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A290D73"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5</w:t>
            </w:r>
          </w:p>
        </w:tc>
        <w:tc>
          <w:tcPr>
            <w:tcW w:w="1582" w:type="dxa"/>
            <w:tcBorders>
              <w:top w:val="nil"/>
              <w:left w:val="nil"/>
              <w:bottom w:val="single" w:sz="4" w:space="0" w:color="auto"/>
              <w:right w:val="single" w:sz="4" w:space="0" w:color="auto"/>
            </w:tcBorders>
            <w:shd w:val="clear" w:color="auto" w:fill="auto"/>
            <w:vAlign w:val="center"/>
            <w:hideMark/>
          </w:tcPr>
          <w:p w14:paraId="63F5B6DD" w14:textId="5B219444"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 xml:space="preserve">Numărul </w:t>
            </w:r>
            <w:r w:rsidR="00E07694">
              <w:rPr>
                <w:rFonts w:asciiTheme="majorHAnsi" w:eastAsia="Times New Roman" w:hAnsiTheme="majorHAnsi" w:cstheme="majorHAnsi"/>
                <w:b/>
                <w:bCs/>
                <w:color w:val="000000"/>
                <w:sz w:val="20"/>
                <w:szCs w:val="20"/>
                <w:lang w:val="ro-RO"/>
              </w:rPr>
              <w:t xml:space="preserve">mediu </w:t>
            </w:r>
            <w:r w:rsidRPr="009434E7">
              <w:rPr>
                <w:rFonts w:asciiTheme="majorHAnsi" w:eastAsia="Times New Roman" w:hAnsiTheme="majorHAnsi" w:cstheme="majorHAnsi"/>
                <w:b/>
                <w:bCs/>
                <w:color w:val="000000"/>
                <w:sz w:val="20"/>
                <w:szCs w:val="20"/>
                <w:lang w:val="ro-RO"/>
              </w:rPr>
              <w:t>de funcții vacante</w:t>
            </w:r>
          </w:p>
        </w:tc>
        <w:tc>
          <w:tcPr>
            <w:tcW w:w="988" w:type="dxa"/>
            <w:tcBorders>
              <w:top w:val="nil"/>
              <w:left w:val="nil"/>
              <w:bottom w:val="single" w:sz="4" w:space="0" w:color="auto"/>
              <w:right w:val="single" w:sz="4" w:space="0" w:color="auto"/>
            </w:tcBorders>
            <w:shd w:val="clear" w:color="auto" w:fill="auto"/>
            <w:vAlign w:val="center"/>
            <w:hideMark/>
          </w:tcPr>
          <w:p w14:paraId="64751E11"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7C0F4D96" w14:textId="7516A308" w:rsidR="00EF6323" w:rsidRPr="009434E7" w:rsidRDefault="00E07694" w:rsidP="00EF6323">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262</w:t>
            </w:r>
          </w:p>
        </w:tc>
        <w:tc>
          <w:tcPr>
            <w:tcW w:w="3677" w:type="dxa"/>
            <w:tcBorders>
              <w:top w:val="nil"/>
              <w:left w:val="nil"/>
              <w:bottom w:val="single" w:sz="4" w:space="0" w:color="auto"/>
              <w:right w:val="single" w:sz="4" w:space="0" w:color="auto"/>
            </w:tcBorders>
            <w:shd w:val="clear" w:color="auto" w:fill="auto"/>
            <w:noWrap/>
            <w:vAlign w:val="center"/>
            <w:hideMark/>
          </w:tcPr>
          <w:p w14:paraId="72206468" w14:textId="70612CDE"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Problema lipsei personalului este strâns legată de nivelul salarizării. Astfel, salariul mediu al funcțiilor de execuție (domeniu cu cele mai multe cadre lipsă – 236 persoane) este cu 3,6 mii lei mai </w:t>
            </w:r>
            <w:r w:rsidR="00BC59E7" w:rsidRPr="009434E7">
              <w:rPr>
                <w:rFonts w:asciiTheme="majorHAnsi" w:eastAsia="Times New Roman" w:hAnsiTheme="majorHAnsi" w:cstheme="majorHAnsi"/>
                <w:color w:val="000000"/>
                <w:sz w:val="20"/>
                <w:szCs w:val="20"/>
                <w:lang w:val="ro-RO"/>
              </w:rPr>
              <w:t xml:space="preserve">mic </w:t>
            </w:r>
            <w:r w:rsidRPr="009434E7">
              <w:rPr>
                <w:rFonts w:asciiTheme="majorHAnsi" w:eastAsia="Times New Roman" w:hAnsiTheme="majorHAnsi" w:cstheme="majorHAnsi"/>
                <w:color w:val="000000"/>
                <w:sz w:val="20"/>
                <w:szCs w:val="20"/>
                <w:lang w:val="ro-RO"/>
              </w:rPr>
              <w:t>decât salariu</w:t>
            </w:r>
            <w:r w:rsidR="00BC59E7" w:rsidRPr="009434E7">
              <w:rPr>
                <w:rFonts w:asciiTheme="majorHAnsi" w:eastAsia="Times New Roman" w:hAnsiTheme="majorHAnsi" w:cstheme="majorHAnsi"/>
                <w:color w:val="000000"/>
                <w:sz w:val="20"/>
                <w:szCs w:val="20"/>
                <w:lang w:val="ro-RO"/>
              </w:rPr>
              <w:t>l</w:t>
            </w:r>
            <w:r w:rsidRPr="009434E7">
              <w:rPr>
                <w:rFonts w:asciiTheme="majorHAnsi" w:eastAsia="Times New Roman" w:hAnsiTheme="majorHAnsi" w:cstheme="majorHAnsi"/>
                <w:color w:val="000000"/>
                <w:sz w:val="20"/>
                <w:szCs w:val="20"/>
                <w:lang w:val="ro-RO"/>
              </w:rPr>
              <w:t xml:space="preserve"> mediu pe economie pe anul respectiv</w:t>
            </w:r>
          </w:p>
        </w:tc>
        <w:tc>
          <w:tcPr>
            <w:tcW w:w="2192" w:type="dxa"/>
            <w:tcBorders>
              <w:top w:val="nil"/>
              <w:left w:val="nil"/>
              <w:bottom w:val="single" w:sz="4" w:space="0" w:color="auto"/>
              <w:right w:val="single" w:sz="4" w:space="0" w:color="auto"/>
            </w:tcBorders>
            <w:shd w:val="clear" w:color="auto" w:fill="auto"/>
            <w:noWrap/>
            <w:vAlign w:val="center"/>
            <w:hideMark/>
          </w:tcPr>
          <w:p w14:paraId="5FB8DFCB" w14:textId="3E81CE2E"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Volumul de lucru, responsabilitatea și intensitatea crescândă, necesitatea activității peste orele de program, contingentul specific de cetățeni deserviți, remunerarea  necorespunzătoare eforturilor depuse nu contribuie la menținerea și atragerea specialiștilor</w:t>
            </w:r>
          </w:p>
        </w:tc>
        <w:tc>
          <w:tcPr>
            <w:tcW w:w="2949" w:type="dxa"/>
            <w:tcBorders>
              <w:top w:val="nil"/>
              <w:left w:val="nil"/>
              <w:bottom w:val="single" w:sz="4" w:space="0" w:color="auto"/>
              <w:right w:val="single" w:sz="4" w:space="0" w:color="auto"/>
            </w:tcBorders>
            <w:shd w:val="clear" w:color="auto" w:fill="auto"/>
            <w:vAlign w:val="center"/>
            <w:hideMark/>
          </w:tcPr>
          <w:p w14:paraId="526E4BE2" w14:textId="13F9C6FD" w:rsidR="00EF6323" w:rsidRPr="009434E7" w:rsidRDefault="003E7B5C" w:rsidP="009434E7">
            <w:pPr>
              <w:spacing w:after="0" w:line="240" w:lineRule="auto"/>
              <w:jc w:val="both"/>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Pe parcursul anului, numărul de funcții vacante a variat de la 245 până la 278 unități.</w:t>
            </w:r>
          </w:p>
        </w:tc>
      </w:tr>
      <w:tr w:rsidR="00EF6323" w:rsidRPr="009434E7" w14:paraId="5F6B8EC5" w14:textId="77777777" w:rsidTr="00EF6323">
        <w:trPr>
          <w:trHeight w:val="211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4067BD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5.1.</w:t>
            </w:r>
          </w:p>
        </w:tc>
        <w:tc>
          <w:tcPr>
            <w:tcW w:w="1582" w:type="dxa"/>
            <w:tcBorders>
              <w:top w:val="nil"/>
              <w:left w:val="nil"/>
              <w:bottom w:val="single" w:sz="4" w:space="0" w:color="auto"/>
              <w:right w:val="single" w:sz="4" w:space="0" w:color="auto"/>
            </w:tcBorders>
            <w:shd w:val="clear" w:color="auto" w:fill="auto"/>
            <w:vAlign w:val="center"/>
            <w:hideMark/>
          </w:tcPr>
          <w:p w14:paraId="07C99F88" w14:textId="77777777" w:rsidR="00EF6323" w:rsidRPr="009434E7" w:rsidRDefault="00EF6323" w:rsidP="00EF6323">
            <w:pPr>
              <w:spacing w:after="0" w:line="240" w:lineRule="auto"/>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Din care: blocate urmare a moratoriului</w:t>
            </w:r>
          </w:p>
        </w:tc>
        <w:tc>
          <w:tcPr>
            <w:tcW w:w="988" w:type="dxa"/>
            <w:tcBorders>
              <w:top w:val="nil"/>
              <w:left w:val="nil"/>
              <w:bottom w:val="single" w:sz="4" w:space="0" w:color="auto"/>
              <w:right w:val="single" w:sz="4" w:space="0" w:color="auto"/>
            </w:tcBorders>
            <w:shd w:val="clear" w:color="auto" w:fill="auto"/>
            <w:vAlign w:val="center"/>
            <w:hideMark/>
          </w:tcPr>
          <w:p w14:paraId="5CF9CF4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769139A5" w14:textId="2AE82BA4"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3C5D55E5" w14:textId="27DEF2DF"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p>
        </w:tc>
        <w:tc>
          <w:tcPr>
            <w:tcW w:w="2192" w:type="dxa"/>
            <w:tcBorders>
              <w:top w:val="nil"/>
              <w:left w:val="nil"/>
              <w:bottom w:val="single" w:sz="4" w:space="0" w:color="auto"/>
              <w:right w:val="single" w:sz="4" w:space="0" w:color="auto"/>
            </w:tcBorders>
            <w:shd w:val="clear" w:color="auto" w:fill="auto"/>
            <w:noWrap/>
            <w:vAlign w:val="center"/>
            <w:hideMark/>
          </w:tcPr>
          <w:p w14:paraId="63B4FBD8" w14:textId="2F180E25"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p>
        </w:tc>
        <w:tc>
          <w:tcPr>
            <w:tcW w:w="2949" w:type="dxa"/>
            <w:tcBorders>
              <w:top w:val="nil"/>
              <w:left w:val="nil"/>
              <w:bottom w:val="single" w:sz="4" w:space="0" w:color="auto"/>
              <w:right w:val="single" w:sz="4" w:space="0" w:color="auto"/>
            </w:tcBorders>
            <w:shd w:val="clear" w:color="auto" w:fill="auto"/>
            <w:vAlign w:val="center"/>
            <w:hideMark/>
          </w:tcPr>
          <w:p w14:paraId="312E7C84" w14:textId="1F353970" w:rsidR="00EF6323" w:rsidRPr="009434E7" w:rsidRDefault="00EF6323" w:rsidP="00BC59E7">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CNAS nu dispune de date privind numărul de funcții vacante deoarece conform HG</w:t>
            </w:r>
            <w:r w:rsidR="00BC59E7" w:rsidRPr="009434E7">
              <w:rPr>
                <w:rFonts w:asciiTheme="majorHAnsi" w:eastAsia="Times New Roman" w:hAnsiTheme="majorHAnsi" w:cstheme="majorHAnsi"/>
                <w:color w:val="000000"/>
                <w:sz w:val="20"/>
                <w:szCs w:val="20"/>
                <w:lang w:val="ro-RO"/>
              </w:rPr>
              <w:t xml:space="preserve"> nr.</w:t>
            </w:r>
            <w:r w:rsidRPr="009434E7">
              <w:rPr>
                <w:rFonts w:asciiTheme="majorHAnsi" w:eastAsia="Times New Roman" w:hAnsiTheme="majorHAnsi" w:cstheme="majorHAnsi"/>
                <w:color w:val="000000"/>
                <w:sz w:val="20"/>
                <w:szCs w:val="20"/>
                <w:lang w:val="ro-RO"/>
              </w:rPr>
              <w:t>942/2020 pentru stabilirea moratoriului temporar privind încadrarea personalului din sectorul bugetar în funcţiile vacante înregistrate  pentru CNAS</w:t>
            </w:r>
            <w:r w:rsidR="00BC59E7" w:rsidRPr="009434E7">
              <w:rPr>
                <w:rFonts w:asciiTheme="majorHAnsi" w:eastAsia="Times New Roman" w:hAnsiTheme="majorHAnsi" w:cstheme="majorHAnsi"/>
                <w:color w:val="000000"/>
                <w:sz w:val="20"/>
                <w:szCs w:val="20"/>
                <w:lang w:val="ro-RO"/>
              </w:rPr>
              <w:t>, prevederile respective</w:t>
            </w:r>
            <w:r w:rsidRPr="009434E7">
              <w:rPr>
                <w:rFonts w:asciiTheme="majorHAnsi" w:eastAsia="Times New Roman" w:hAnsiTheme="majorHAnsi" w:cstheme="majorHAnsi"/>
                <w:color w:val="000000"/>
                <w:sz w:val="20"/>
                <w:szCs w:val="20"/>
                <w:lang w:val="ro-RO"/>
              </w:rPr>
              <w:t xml:space="preserve"> sunt cu titlu de recomandare</w:t>
            </w:r>
          </w:p>
        </w:tc>
      </w:tr>
      <w:tr w:rsidR="00EF6323" w:rsidRPr="009434E7" w14:paraId="65BDB8F0" w14:textId="77777777" w:rsidTr="00EF6323">
        <w:trPr>
          <w:trHeight w:val="89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C510BF6"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6</w:t>
            </w:r>
          </w:p>
        </w:tc>
        <w:tc>
          <w:tcPr>
            <w:tcW w:w="1582" w:type="dxa"/>
            <w:tcBorders>
              <w:top w:val="nil"/>
              <w:left w:val="nil"/>
              <w:bottom w:val="single" w:sz="4" w:space="0" w:color="auto"/>
              <w:right w:val="single" w:sz="4" w:space="0" w:color="auto"/>
            </w:tcBorders>
            <w:shd w:val="clear" w:color="000000" w:fill="FFFFFF"/>
            <w:vAlign w:val="center"/>
            <w:hideMark/>
          </w:tcPr>
          <w:p w14:paraId="0C44A188"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medie a vechimii funcțiilor vacante de redat pe luni</w:t>
            </w:r>
          </w:p>
        </w:tc>
        <w:tc>
          <w:tcPr>
            <w:tcW w:w="988" w:type="dxa"/>
            <w:tcBorders>
              <w:top w:val="nil"/>
              <w:left w:val="nil"/>
              <w:bottom w:val="single" w:sz="4" w:space="0" w:color="auto"/>
              <w:right w:val="single" w:sz="4" w:space="0" w:color="auto"/>
            </w:tcBorders>
            <w:shd w:val="clear" w:color="000000" w:fill="FFFFFF"/>
            <w:vAlign w:val="center"/>
            <w:hideMark/>
          </w:tcPr>
          <w:p w14:paraId="3FF5849F" w14:textId="48E37B51"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1682" w:type="dxa"/>
            <w:tcBorders>
              <w:top w:val="nil"/>
              <w:left w:val="nil"/>
              <w:bottom w:val="single" w:sz="4" w:space="0" w:color="auto"/>
              <w:right w:val="single" w:sz="4" w:space="0" w:color="auto"/>
            </w:tcBorders>
            <w:shd w:val="clear" w:color="auto" w:fill="auto"/>
            <w:vAlign w:val="center"/>
            <w:hideMark/>
          </w:tcPr>
          <w:p w14:paraId="48ED93AA" w14:textId="59FEBAC3"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5D46BAA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D74311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6D8D6DE4"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Reieșind din actualizarea lunară și fluxul mare de personal, delimitarea funcțiilor vacante pe luni nu a fost posibil de calculat, deoarece evidența funcțiilor/posturilor vacante se ține în fișiere Excel. Lunar se întocmește mișcarea de personal de către specialiștii Direcției resurse umane</w:t>
            </w:r>
          </w:p>
        </w:tc>
      </w:tr>
      <w:tr w:rsidR="00EF6323" w:rsidRPr="009434E7" w14:paraId="628D77AB"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A6CCBCB"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6.1.</w:t>
            </w:r>
          </w:p>
        </w:tc>
        <w:tc>
          <w:tcPr>
            <w:tcW w:w="1582" w:type="dxa"/>
            <w:tcBorders>
              <w:top w:val="nil"/>
              <w:left w:val="nil"/>
              <w:bottom w:val="single" w:sz="4" w:space="0" w:color="auto"/>
              <w:right w:val="single" w:sz="4" w:space="0" w:color="auto"/>
            </w:tcBorders>
            <w:shd w:val="clear" w:color="000000" w:fill="FFFFFF"/>
            <w:vAlign w:val="center"/>
            <w:hideMark/>
          </w:tcPr>
          <w:p w14:paraId="7AD30734" w14:textId="77777777" w:rsidR="00EF6323" w:rsidRPr="009434E7" w:rsidRDefault="00EF6323" w:rsidP="00EF6323">
            <w:pPr>
              <w:spacing w:after="0" w:line="240" w:lineRule="auto"/>
              <w:rPr>
                <w:rFonts w:asciiTheme="majorHAnsi" w:eastAsia="Times New Roman" w:hAnsiTheme="majorHAnsi" w:cstheme="majorHAnsi"/>
                <w:i/>
                <w:iCs/>
                <w:color w:val="000000"/>
                <w:sz w:val="20"/>
                <w:szCs w:val="20"/>
                <w:lang w:val="ro-RO"/>
              </w:rPr>
            </w:pPr>
            <w:r w:rsidRPr="009434E7">
              <w:rPr>
                <w:rFonts w:asciiTheme="majorHAnsi" w:eastAsia="Times New Roman" w:hAnsiTheme="majorHAnsi" w:cstheme="majorHAnsi"/>
                <w:i/>
                <w:iCs/>
                <w:color w:val="000000"/>
                <w:sz w:val="20"/>
                <w:szCs w:val="20"/>
                <w:lang w:val="ro-RO"/>
              </w:rPr>
              <w:t>Pînă la 3 luni</w:t>
            </w:r>
          </w:p>
        </w:tc>
        <w:tc>
          <w:tcPr>
            <w:tcW w:w="988" w:type="dxa"/>
            <w:tcBorders>
              <w:top w:val="nil"/>
              <w:left w:val="nil"/>
              <w:bottom w:val="single" w:sz="4" w:space="0" w:color="auto"/>
              <w:right w:val="single" w:sz="4" w:space="0" w:color="auto"/>
            </w:tcBorders>
            <w:shd w:val="clear" w:color="000000" w:fill="FFFFFF"/>
            <w:vAlign w:val="center"/>
            <w:hideMark/>
          </w:tcPr>
          <w:p w14:paraId="0CC85BA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7D705EE4" w14:textId="1C4FB564"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5AF5597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17742F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2750D1CD"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0A3FC65D"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6834BEEC"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6.2.</w:t>
            </w:r>
          </w:p>
        </w:tc>
        <w:tc>
          <w:tcPr>
            <w:tcW w:w="1582" w:type="dxa"/>
            <w:tcBorders>
              <w:top w:val="nil"/>
              <w:left w:val="nil"/>
              <w:bottom w:val="single" w:sz="4" w:space="0" w:color="auto"/>
              <w:right w:val="single" w:sz="4" w:space="0" w:color="auto"/>
            </w:tcBorders>
            <w:shd w:val="clear" w:color="000000" w:fill="FFFFFF"/>
            <w:vAlign w:val="center"/>
            <w:hideMark/>
          </w:tcPr>
          <w:p w14:paraId="4A8D61D7" w14:textId="77777777" w:rsidR="00EF6323" w:rsidRPr="009434E7" w:rsidRDefault="00EF6323" w:rsidP="00EF6323">
            <w:pPr>
              <w:spacing w:after="0" w:line="240" w:lineRule="auto"/>
              <w:rPr>
                <w:rFonts w:asciiTheme="majorHAnsi" w:eastAsia="Times New Roman" w:hAnsiTheme="majorHAnsi" w:cstheme="majorHAnsi"/>
                <w:i/>
                <w:iCs/>
                <w:color w:val="000000"/>
                <w:sz w:val="20"/>
                <w:szCs w:val="20"/>
                <w:lang w:val="ro-RO"/>
              </w:rPr>
            </w:pPr>
            <w:r w:rsidRPr="009434E7">
              <w:rPr>
                <w:rFonts w:asciiTheme="majorHAnsi" w:eastAsia="Times New Roman" w:hAnsiTheme="majorHAnsi" w:cstheme="majorHAnsi"/>
                <w:i/>
                <w:iCs/>
                <w:color w:val="000000"/>
                <w:sz w:val="20"/>
                <w:szCs w:val="20"/>
                <w:lang w:val="ro-RO"/>
              </w:rPr>
              <w:t>Pînă la 6 luni</w:t>
            </w:r>
          </w:p>
        </w:tc>
        <w:tc>
          <w:tcPr>
            <w:tcW w:w="988" w:type="dxa"/>
            <w:tcBorders>
              <w:top w:val="nil"/>
              <w:left w:val="nil"/>
              <w:bottom w:val="single" w:sz="4" w:space="0" w:color="auto"/>
              <w:right w:val="single" w:sz="4" w:space="0" w:color="auto"/>
            </w:tcBorders>
            <w:shd w:val="clear" w:color="000000" w:fill="FFFFFF"/>
            <w:vAlign w:val="center"/>
            <w:hideMark/>
          </w:tcPr>
          <w:p w14:paraId="2CEF437B"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71FC9F5F" w14:textId="38EE7C0B"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037AE99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D60E74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299668D0"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252C7935"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BA9863F"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6.3.</w:t>
            </w:r>
          </w:p>
        </w:tc>
        <w:tc>
          <w:tcPr>
            <w:tcW w:w="1582" w:type="dxa"/>
            <w:tcBorders>
              <w:top w:val="nil"/>
              <w:left w:val="nil"/>
              <w:bottom w:val="single" w:sz="4" w:space="0" w:color="auto"/>
              <w:right w:val="single" w:sz="4" w:space="0" w:color="auto"/>
            </w:tcBorders>
            <w:shd w:val="clear" w:color="000000" w:fill="FFFFFF"/>
            <w:vAlign w:val="center"/>
            <w:hideMark/>
          </w:tcPr>
          <w:p w14:paraId="418FFC06" w14:textId="77777777" w:rsidR="00EF6323" w:rsidRPr="009434E7" w:rsidRDefault="00EF6323" w:rsidP="00EF6323">
            <w:pPr>
              <w:spacing w:after="0" w:line="240" w:lineRule="auto"/>
              <w:rPr>
                <w:rFonts w:asciiTheme="majorHAnsi" w:eastAsia="Times New Roman" w:hAnsiTheme="majorHAnsi" w:cstheme="majorHAnsi"/>
                <w:i/>
                <w:iCs/>
                <w:color w:val="000000"/>
                <w:sz w:val="20"/>
                <w:szCs w:val="20"/>
                <w:lang w:val="ro-RO"/>
              </w:rPr>
            </w:pPr>
            <w:r w:rsidRPr="009434E7">
              <w:rPr>
                <w:rFonts w:asciiTheme="majorHAnsi" w:eastAsia="Times New Roman" w:hAnsiTheme="majorHAnsi" w:cstheme="majorHAnsi"/>
                <w:i/>
                <w:iCs/>
                <w:color w:val="000000"/>
                <w:sz w:val="20"/>
                <w:szCs w:val="20"/>
                <w:lang w:val="ro-RO"/>
              </w:rPr>
              <w:t>Pînă la 12 luni</w:t>
            </w:r>
          </w:p>
        </w:tc>
        <w:tc>
          <w:tcPr>
            <w:tcW w:w="988" w:type="dxa"/>
            <w:tcBorders>
              <w:top w:val="nil"/>
              <w:left w:val="nil"/>
              <w:bottom w:val="single" w:sz="4" w:space="0" w:color="auto"/>
              <w:right w:val="single" w:sz="4" w:space="0" w:color="auto"/>
            </w:tcBorders>
            <w:shd w:val="clear" w:color="000000" w:fill="FFFFFF"/>
            <w:vAlign w:val="center"/>
            <w:hideMark/>
          </w:tcPr>
          <w:p w14:paraId="4BC4438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43605C1A" w14:textId="30198D1C"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62BA302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BD638CA"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044D5116"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393525BA"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632B348"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7</w:t>
            </w:r>
          </w:p>
        </w:tc>
        <w:tc>
          <w:tcPr>
            <w:tcW w:w="1582" w:type="dxa"/>
            <w:tcBorders>
              <w:top w:val="nil"/>
              <w:left w:val="nil"/>
              <w:bottom w:val="single" w:sz="4" w:space="0" w:color="auto"/>
              <w:right w:val="single" w:sz="4" w:space="0" w:color="auto"/>
            </w:tcBorders>
            <w:shd w:val="clear" w:color="auto" w:fill="auto"/>
            <w:vAlign w:val="center"/>
            <w:hideMark/>
          </w:tcPr>
          <w:p w14:paraId="5214A081" w14:textId="78D15D3C"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w:t>
            </w:r>
            <w:r w:rsidR="00B70F12">
              <w:rPr>
                <w:rFonts w:asciiTheme="majorHAnsi" w:eastAsia="Times New Roman" w:hAnsiTheme="majorHAnsi" w:cstheme="majorHAnsi"/>
                <w:b/>
                <w:bCs/>
                <w:color w:val="000000"/>
                <w:sz w:val="20"/>
                <w:szCs w:val="20"/>
                <w:lang w:val="ro-RO"/>
              </w:rPr>
              <w:t xml:space="preserve"> mediu</w:t>
            </w:r>
            <w:r w:rsidRPr="009434E7">
              <w:rPr>
                <w:rFonts w:asciiTheme="majorHAnsi" w:eastAsia="Times New Roman" w:hAnsiTheme="majorHAnsi" w:cstheme="majorHAnsi"/>
                <w:b/>
                <w:bCs/>
                <w:color w:val="000000"/>
                <w:sz w:val="20"/>
                <w:szCs w:val="20"/>
                <w:lang w:val="ro-RO"/>
              </w:rPr>
              <w:t xml:space="preserve"> de funcții cumulate</w:t>
            </w:r>
          </w:p>
        </w:tc>
        <w:tc>
          <w:tcPr>
            <w:tcW w:w="988" w:type="dxa"/>
            <w:tcBorders>
              <w:top w:val="nil"/>
              <w:left w:val="nil"/>
              <w:bottom w:val="single" w:sz="4" w:space="0" w:color="auto"/>
              <w:right w:val="single" w:sz="4" w:space="0" w:color="auto"/>
            </w:tcBorders>
            <w:shd w:val="clear" w:color="auto" w:fill="auto"/>
            <w:vAlign w:val="center"/>
            <w:hideMark/>
          </w:tcPr>
          <w:p w14:paraId="7C5E5C6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vAlign w:val="center"/>
            <w:hideMark/>
          </w:tcPr>
          <w:p w14:paraId="4B0C2965" w14:textId="6D67F7E8" w:rsidR="00EF6323" w:rsidRPr="009434E7" w:rsidRDefault="00B70F12" w:rsidP="00EF6323">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262</w:t>
            </w:r>
          </w:p>
        </w:tc>
        <w:tc>
          <w:tcPr>
            <w:tcW w:w="3677" w:type="dxa"/>
            <w:tcBorders>
              <w:top w:val="nil"/>
              <w:left w:val="nil"/>
              <w:bottom w:val="single" w:sz="4" w:space="0" w:color="auto"/>
              <w:right w:val="single" w:sz="4" w:space="0" w:color="auto"/>
            </w:tcBorders>
            <w:shd w:val="clear" w:color="auto" w:fill="auto"/>
            <w:noWrap/>
            <w:vAlign w:val="center"/>
            <w:hideMark/>
          </w:tcPr>
          <w:p w14:paraId="2C9CEE45"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B6D9A1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56BD5A11" w14:textId="35DDACC4" w:rsidR="00EF6323" w:rsidRPr="00B70F12" w:rsidRDefault="00B70F12" w:rsidP="00B70F12">
            <w:pPr>
              <w:spacing w:after="0" w:line="240" w:lineRule="auto"/>
              <w:jc w:val="both"/>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RO"/>
              </w:rPr>
              <w:t>Pe parcursul anului, numărul de funcții vacante a variat de la 245 până la 278 unități.</w:t>
            </w:r>
          </w:p>
        </w:tc>
      </w:tr>
      <w:tr w:rsidR="00EF6323" w:rsidRPr="009434E7" w14:paraId="747E83F1" w14:textId="77777777" w:rsidTr="00EF6323">
        <w:trPr>
          <w:trHeight w:val="40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6F52B75"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8</w:t>
            </w:r>
          </w:p>
        </w:tc>
        <w:tc>
          <w:tcPr>
            <w:tcW w:w="1582" w:type="dxa"/>
            <w:tcBorders>
              <w:top w:val="nil"/>
              <w:left w:val="nil"/>
              <w:bottom w:val="single" w:sz="4" w:space="0" w:color="auto"/>
              <w:right w:val="single" w:sz="4" w:space="0" w:color="auto"/>
            </w:tcBorders>
            <w:shd w:val="clear" w:color="auto" w:fill="auto"/>
            <w:vAlign w:val="center"/>
            <w:hideMark/>
          </w:tcPr>
          <w:p w14:paraId="46910E01"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funcțiilor cumulate</w:t>
            </w:r>
          </w:p>
        </w:tc>
        <w:tc>
          <w:tcPr>
            <w:tcW w:w="988" w:type="dxa"/>
            <w:tcBorders>
              <w:top w:val="nil"/>
              <w:left w:val="nil"/>
              <w:bottom w:val="single" w:sz="4" w:space="0" w:color="auto"/>
              <w:right w:val="single" w:sz="4" w:space="0" w:color="auto"/>
            </w:tcBorders>
            <w:shd w:val="clear" w:color="auto" w:fill="auto"/>
            <w:vAlign w:val="center"/>
            <w:hideMark/>
          </w:tcPr>
          <w:p w14:paraId="45D328C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noWrap/>
            <w:vAlign w:val="center"/>
            <w:hideMark/>
          </w:tcPr>
          <w:p w14:paraId="50D07A7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12927,60</w:t>
            </w:r>
          </w:p>
        </w:tc>
        <w:tc>
          <w:tcPr>
            <w:tcW w:w="3677" w:type="dxa"/>
            <w:tcBorders>
              <w:top w:val="nil"/>
              <w:left w:val="nil"/>
              <w:bottom w:val="single" w:sz="4" w:space="0" w:color="auto"/>
              <w:right w:val="single" w:sz="4" w:space="0" w:color="auto"/>
            </w:tcBorders>
            <w:shd w:val="clear" w:color="auto" w:fill="auto"/>
            <w:noWrap/>
            <w:vAlign w:val="center"/>
            <w:hideMark/>
          </w:tcPr>
          <w:p w14:paraId="68F7F496" w14:textId="708DFBB6" w:rsidR="00EF6323" w:rsidRPr="009434E7" w:rsidRDefault="00EF6323" w:rsidP="00646246">
            <w:pPr>
              <w:spacing w:after="0" w:line="276"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Î</w:t>
            </w:r>
            <w:r w:rsidRPr="009434E7">
              <w:rPr>
                <w:rFonts w:asciiTheme="majorHAnsi" w:hAnsiTheme="majorHAnsi" w:cstheme="majorHAnsi"/>
                <w:sz w:val="20"/>
                <w:szCs w:val="20"/>
                <w:lang w:val="ro-MD"/>
              </w:rPr>
              <w:t xml:space="preserve">ndeplinirea/cumularea funcțiilor vacante din cadrul altei subdiviziuni decât în cea </w:t>
            </w:r>
            <w:r w:rsidR="00BC59E7" w:rsidRPr="009434E7">
              <w:rPr>
                <w:rFonts w:asciiTheme="majorHAnsi" w:hAnsiTheme="majorHAnsi" w:cstheme="majorHAnsi"/>
                <w:sz w:val="20"/>
                <w:szCs w:val="20"/>
                <w:lang w:val="ro-MD"/>
              </w:rPr>
              <w:t xml:space="preserve">în </w:t>
            </w:r>
            <w:r w:rsidRPr="009434E7">
              <w:rPr>
                <w:rFonts w:asciiTheme="majorHAnsi" w:hAnsiTheme="majorHAnsi" w:cstheme="majorHAnsi"/>
                <w:sz w:val="20"/>
                <w:szCs w:val="20"/>
                <w:lang w:val="ro-MD"/>
              </w:rPr>
              <w:t>care persoana își desfășoară activitatea de bază, creează incertitudini privind utilizarea a 357,0 mii lei</w:t>
            </w:r>
          </w:p>
        </w:tc>
        <w:tc>
          <w:tcPr>
            <w:tcW w:w="2192" w:type="dxa"/>
            <w:tcBorders>
              <w:top w:val="nil"/>
              <w:left w:val="nil"/>
              <w:bottom w:val="single" w:sz="4" w:space="0" w:color="auto"/>
              <w:right w:val="single" w:sz="4" w:space="0" w:color="auto"/>
            </w:tcBorders>
            <w:shd w:val="clear" w:color="auto" w:fill="auto"/>
            <w:noWrap/>
            <w:vAlign w:val="center"/>
            <w:hideMark/>
          </w:tcPr>
          <w:p w14:paraId="0B6EFCE8" w14:textId="7E5C2C78"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hAnsiTheme="majorHAnsi" w:cstheme="majorHAnsi"/>
                <w:sz w:val="20"/>
                <w:szCs w:val="20"/>
                <w:lang w:val="ro-MD"/>
              </w:rPr>
              <w:t>Deși CNAS se bazează pe experiența anterioară a specialiștilor, aceasta nu este argumentată în demersurile/notele de cumulare</w:t>
            </w:r>
          </w:p>
        </w:tc>
        <w:tc>
          <w:tcPr>
            <w:tcW w:w="2949" w:type="dxa"/>
            <w:tcBorders>
              <w:top w:val="nil"/>
              <w:left w:val="nil"/>
              <w:bottom w:val="single" w:sz="4" w:space="0" w:color="auto"/>
              <w:right w:val="single" w:sz="4" w:space="0" w:color="auto"/>
            </w:tcBorders>
            <w:shd w:val="clear" w:color="auto" w:fill="auto"/>
            <w:noWrap/>
            <w:vAlign w:val="center"/>
            <w:hideMark/>
          </w:tcPr>
          <w:p w14:paraId="3BE8FEAA" w14:textId="4B775E0A"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p>
        </w:tc>
      </w:tr>
      <w:tr w:rsidR="00EF6323" w:rsidRPr="009434E7" w14:paraId="47359E03" w14:textId="77777777" w:rsidTr="00EF6323">
        <w:trPr>
          <w:trHeight w:val="552"/>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49899A1"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9</w:t>
            </w:r>
          </w:p>
        </w:tc>
        <w:tc>
          <w:tcPr>
            <w:tcW w:w="1582" w:type="dxa"/>
            <w:tcBorders>
              <w:top w:val="nil"/>
              <w:left w:val="nil"/>
              <w:bottom w:val="single" w:sz="4" w:space="0" w:color="auto"/>
              <w:right w:val="single" w:sz="4" w:space="0" w:color="auto"/>
            </w:tcBorders>
            <w:shd w:val="clear" w:color="auto" w:fill="auto"/>
            <w:vAlign w:val="center"/>
            <w:hideMark/>
          </w:tcPr>
          <w:p w14:paraId="5D4A90AD"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economiilor formate la remunerarea muncii</w:t>
            </w:r>
          </w:p>
        </w:tc>
        <w:tc>
          <w:tcPr>
            <w:tcW w:w="988" w:type="dxa"/>
            <w:tcBorders>
              <w:top w:val="nil"/>
              <w:left w:val="nil"/>
              <w:bottom w:val="single" w:sz="4" w:space="0" w:color="auto"/>
              <w:right w:val="single" w:sz="4" w:space="0" w:color="auto"/>
            </w:tcBorders>
            <w:shd w:val="clear" w:color="auto" w:fill="auto"/>
            <w:vAlign w:val="center"/>
            <w:hideMark/>
          </w:tcPr>
          <w:p w14:paraId="109D18D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noWrap/>
            <w:vAlign w:val="center"/>
            <w:hideMark/>
          </w:tcPr>
          <w:p w14:paraId="75CF8BDB"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2074,30</w:t>
            </w:r>
          </w:p>
        </w:tc>
        <w:tc>
          <w:tcPr>
            <w:tcW w:w="3677" w:type="dxa"/>
            <w:tcBorders>
              <w:top w:val="nil"/>
              <w:left w:val="nil"/>
              <w:bottom w:val="single" w:sz="4" w:space="0" w:color="auto"/>
              <w:right w:val="single" w:sz="4" w:space="0" w:color="auto"/>
            </w:tcBorders>
            <w:shd w:val="clear" w:color="auto" w:fill="auto"/>
            <w:noWrap/>
            <w:vAlign w:val="center"/>
            <w:hideMark/>
          </w:tcPr>
          <w:p w14:paraId="36354BE4" w14:textId="783E4E8E" w:rsidR="00EF6323" w:rsidRPr="009434E7" w:rsidRDefault="00EF6323" w:rsidP="00646246">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Î</w:t>
            </w:r>
            <w:r w:rsidRPr="009434E7">
              <w:rPr>
                <w:rFonts w:asciiTheme="majorHAnsi" w:hAnsiTheme="majorHAnsi" w:cstheme="majorHAnsi"/>
                <w:sz w:val="20"/>
                <w:szCs w:val="20"/>
                <w:lang w:val="ro-MD"/>
              </w:rPr>
              <w:t>n contextul multiplelor funcții vacante, în anul auditat au rămas ne</w:t>
            </w:r>
            <w:r w:rsidR="00646246">
              <w:rPr>
                <w:rFonts w:asciiTheme="majorHAnsi" w:hAnsiTheme="majorHAnsi" w:cstheme="majorHAnsi"/>
                <w:sz w:val="20"/>
                <w:szCs w:val="20"/>
                <w:lang w:val="ro-MD"/>
              </w:rPr>
              <w:t xml:space="preserve">utilizate </w:t>
            </w:r>
            <w:r w:rsidRPr="009434E7">
              <w:rPr>
                <w:rFonts w:asciiTheme="majorHAnsi" w:hAnsiTheme="majorHAnsi" w:cstheme="majorHAnsi"/>
                <w:sz w:val="20"/>
                <w:szCs w:val="20"/>
                <w:lang w:val="ro-MD"/>
              </w:rPr>
              <w:t>2 074.3 mii lei în contul economiei mijloacelor alocate pentru retribuirea muncii pe anul respectiv, fapt ce nu a permis împărțirea stimulentelor angajaților</w:t>
            </w:r>
          </w:p>
        </w:tc>
        <w:tc>
          <w:tcPr>
            <w:tcW w:w="2192" w:type="dxa"/>
            <w:tcBorders>
              <w:top w:val="nil"/>
              <w:left w:val="nil"/>
              <w:bottom w:val="single" w:sz="4" w:space="0" w:color="auto"/>
              <w:right w:val="single" w:sz="4" w:space="0" w:color="auto"/>
            </w:tcBorders>
            <w:shd w:val="clear" w:color="auto" w:fill="auto"/>
            <w:noWrap/>
            <w:vAlign w:val="center"/>
            <w:hideMark/>
          </w:tcPr>
          <w:p w14:paraId="35AD4312" w14:textId="47C7D1A7" w:rsidR="00EF6323" w:rsidRPr="009434E7" w:rsidRDefault="00EF6323" w:rsidP="00046B6A">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Stimulentele</w:t>
            </w:r>
            <w:r w:rsidRPr="009434E7">
              <w:rPr>
                <w:rFonts w:asciiTheme="majorHAnsi" w:hAnsiTheme="majorHAnsi" w:cstheme="majorHAnsi"/>
                <w:sz w:val="20"/>
                <w:szCs w:val="20"/>
                <w:lang w:val="ro-MD"/>
              </w:rPr>
              <w:t xml:space="preserve"> se plătesc nu mai mult de 5% din fondul anual de salarizare la nivel de unitate bugetară</w:t>
            </w:r>
          </w:p>
        </w:tc>
        <w:tc>
          <w:tcPr>
            <w:tcW w:w="2949" w:type="dxa"/>
            <w:tcBorders>
              <w:top w:val="nil"/>
              <w:left w:val="nil"/>
              <w:bottom w:val="single" w:sz="4" w:space="0" w:color="auto"/>
              <w:right w:val="single" w:sz="4" w:space="0" w:color="auto"/>
            </w:tcBorders>
            <w:shd w:val="clear" w:color="auto" w:fill="auto"/>
            <w:noWrap/>
            <w:vAlign w:val="center"/>
            <w:hideMark/>
          </w:tcPr>
          <w:p w14:paraId="52F2C9D4"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57DB783C" w14:textId="77777777" w:rsidTr="00EF6323">
        <w:trPr>
          <w:trHeight w:val="11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6EFBA451"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10</w:t>
            </w:r>
          </w:p>
        </w:tc>
        <w:tc>
          <w:tcPr>
            <w:tcW w:w="1582" w:type="dxa"/>
            <w:tcBorders>
              <w:top w:val="nil"/>
              <w:left w:val="nil"/>
              <w:bottom w:val="single" w:sz="4" w:space="0" w:color="auto"/>
              <w:right w:val="single" w:sz="4" w:space="0" w:color="auto"/>
            </w:tcBorders>
            <w:shd w:val="clear" w:color="auto" w:fill="auto"/>
            <w:vAlign w:val="center"/>
            <w:hideMark/>
          </w:tcPr>
          <w:p w14:paraId="46DB9F5A"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persoane care primesc diferența de salariu urmare a intrării în vigoare a Legii nr. 270/2018</w:t>
            </w:r>
          </w:p>
        </w:tc>
        <w:tc>
          <w:tcPr>
            <w:tcW w:w="988" w:type="dxa"/>
            <w:tcBorders>
              <w:top w:val="nil"/>
              <w:left w:val="nil"/>
              <w:bottom w:val="single" w:sz="4" w:space="0" w:color="auto"/>
              <w:right w:val="single" w:sz="4" w:space="0" w:color="auto"/>
            </w:tcBorders>
            <w:shd w:val="clear" w:color="auto" w:fill="auto"/>
            <w:vAlign w:val="center"/>
            <w:hideMark/>
          </w:tcPr>
          <w:p w14:paraId="727D1722"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noWrap/>
            <w:vAlign w:val="center"/>
            <w:hideMark/>
          </w:tcPr>
          <w:p w14:paraId="43ED729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29</w:t>
            </w:r>
          </w:p>
        </w:tc>
        <w:tc>
          <w:tcPr>
            <w:tcW w:w="3677" w:type="dxa"/>
            <w:tcBorders>
              <w:top w:val="nil"/>
              <w:left w:val="nil"/>
              <w:bottom w:val="single" w:sz="4" w:space="0" w:color="auto"/>
              <w:right w:val="single" w:sz="4" w:space="0" w:color="auto"/>
            </w:tcBorders>
            <w:shd w:val="clear" w:color="auto" w:fill="auto"/>
            <w:noWrap/>
            <w:vAlign w:val="center"/>
            <w:hideMark/>
          </w:tcPr>
          <w:p w14:paraId="0751821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CF87C8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43CE2E85"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10C9B14C" w14:textId="77777777" w:rsidTr="00EF6323">
        <w:trPr>
          <w:trHeight w:val="828"/>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19A0806C"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11</w:t>
            </w:r>
          </w:p>
        </w:tc>
        <w:tc>
          <w:tcPr>
            <w:tcW w:w="1582" w:type="dxa"/>
            <w:tcBorders>
              <w:top w:val="nil"/>
              <w:left w:val="nil"/>
              <w:bottom w:val="single" w:sz="4" w:space="0" w:color="auto"/>
              <w:right w:val="single" w:sz="4" w:space="0" w:color="auto"/>
            </w:tcBorders>
            <w:shd w:val="clear" w:color="auto" w:fill="auto"/>
            <w:vAlign w:val="center"/>
            <w:hideMark/>
          </w:tcPr>
          <w:p w14:paraId="3D6B74EB"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diferenței de salariu achitate urmare a intrării în vigoare a Legii nr. 270/2018</w:t>
            </w:r>
          </w:p>
        </w:tc>
        <w:tc>
          <w:tcPr>
            <w:tcW w:w="988" w:type="dxa"/>
            <w:tcBorders>
              <w:top w:val="nil"/>
              <w:left w:val="nil"/>
              <w:bottom w:val="single" w:sz="4" w:space="0" w:color="auto"/>
              <w:right w:val="single" w:sz="4" w:space="0" w:color="auto"/>
            </w:tcBorders>
            <w:shd w:val="clear" w:color="auto" w:fill="auto"/>
            <w:vAlign w:val="center"/>
            <w:hideMark/>
          </w:tcPr>
          <w:p w14:paraId="5E71325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noWrap/>
            <w:vAlign w:val="center"/>
            <w:hideMark/>
          </w:tcPr>
          <w:p w14:paraId="37A5EF3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261,00</w:t>
            </w:r>
          </w:p>
        </w:tc>
        <w:tc>
          <w:tcPr>
            <w:tcW w:w="3677" w:type="dxa"/>
            <w:tcBorders>
              <w:top w:val="nil"/>
              <w:left w:val="nil"/>
              <w:bottom w:val="single" w:sz="4" w:space="0" w:color="auto"/>
              <w:right w:val="single" w:sz="4" w:space="0" w:color="auto"/>
            </w:tcBorders>
            <w:shd w:val="clear" w:color="auto" w:fill="auto"/>
            <w:noWrap/>
            <w:vAlign w:val="center"/>
            <w:hideMark/>
          </w:tcPr>
          <w:p w14:paraId="73D67A6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06238DF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1D0981EA"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480DC4A4" w14:textId="77777777" w:rsidTr="00EF6323">
        <w:trPr>
          <w:trHeight w:val="11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4A3686F"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12</w:t>
            </w:r>
          </w:p>
        </w:tc>
        <w:tc>
          <w:tcPr>
            <w:tcW w:w="1582" w:type="dxa"/>
            <w:tcBorders>
              <w:top w:val="nil"/>
              <w:left w:val="nil"/>
              <w:bottom w:val="single" w:sz="4" w:space="0" w:color="auto"/>
              <w:right w:val="single" w:sz="4" w:space="0" w:color="auto"/>
            </w:tcBorders>
            <w:shd w:val="clear" w:color="auto" w:fill="auto"/>
            <w:vAlign w:val="center"/>
            <w:hideMark/>
          </w:tcPr>
          <w:p w14:paraId="2BEA2A2A"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mijloacelor financiare achitate în baza contractelor individuale de muncă/prestări servicii</w:t>
            </w:r>
          </w:p>
        </w:tc>
        <w:tc>
          <w:tcPr>
            <w:tcW w:w="988" w:type="dxa"/>
            <w:tcBorders>
              <w:top w:val="nil"/>
              <w:left w:val="nil"/>
              <w:bottom w:val="single" w:sz="4" w:space="0" w:color="auto"/>
              <w:right w:val="single" w:sz="4" w:space="0" w:color="auto"/>
            </w:tcBorders>
            <w:shd w:val="clear" w:color="auto" w:fill="auto"/>
            <w:vAlign w:val="center"/>
            <w:hideMark/>
          </w:tcPr>
          <w:p w14:paraId="51605DC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noWrap/>
            <w:vAlign w:val="center"/>
            <w:hideMark/>
          </w:tcPr>
          <w:p w14:paraId="78FB8BCA"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2964,30</w:t>
            </w:r>
          </w:p>
        </w:tc>
        <w:tc>
          <w:tcPr>
            <w:tcW w:w="3677" w:type="dxa"/>
            <w:tcBorders>
              <w:top w:val="nil"/>
              <w:left w:val="nil"/>
              <w:bottom w:val="single" w:sz="4" w:space="0" w:color="auto"/>
              <w:right w:val="single" w:sz="4" w:space="0" w:color="auto"/>
            </w:tcBorders>
            <w:shd w:val="clear" w:color="auto" w:fill="auto"/>
            <w:noWrap/>
            <w:vAlign w:val="center"/>
            <w:hideMark/>
          </w:tcPr>
          <w:p w14:paraId="652EAA0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A3EEE05"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B3E1739"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r>
      <w:tr w:rsidR="00EF6323" w:rsidRPr="009434E7" w14:paraId="2E57EA04" w14:textId="77777777" w:rsidTr="00EF6323">
        <w:trPr>
          <w:trHeight w:val="11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33DA6D0"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13</w:t>
            </w:r>
          </w:p>
        </w:tc>
        <w:tc>
          <w:tcPr>
            <w:tcW w:w="1582" w:type="dxa"/>
            <w:tcBorders>
              <w:top w:val="nil"/>
              <w:left w:val="nil"/>
              <w:bottom w:val="single" w:sz="4" w:space="0" w:color="auto"/>
              <w:right w:val="single" w:sz="4" w:space="0" w:color="auto"/>
            </w:tcBorders>
            <w:shd w:val="clear" w:color="auto" w:fill="auto"/>
            <w:vAlign w:val="center"/>
            <w:hideMark/>
          </w:tcPr>
          <w:p w14:paraId="7F354E3A"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concursuri organizate</w:t>
            </w:r>
          </w:p>
        </w:tc>
        <w:tc>
          <w:tcPr>
            <w:tcW w:w="988" w:type="dxa"/>
            <w:tcBorders>
              <w:top w:val="nil"/>
              <w:left w:val="nil"/>
              <w:bottom w:val="single" w:sz="4" w:space="0" w:color="auto"/>
              <w:right w:val="single" w:sz="4" w:space="0" w:color="auto"/>
            </w:tcBorders>
            <w:shd w:val="clear" w:color="auto" w:fill="auto"/>
            <w:vAlign w:val="center"/>
            <w:hideMark/>
          </w:tcPr>
          <w:p w14:paraId="3B07110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noWrap/>
            <w:vAlign w:val="center"/>
            <w:hideMark/>
          </w:tcPr>
          <w:p w14:paraId="1924895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39</w:t>
            </w:r>
          </w:p>
        </w:tc>
        <w:tc>
          <w:tcPr>
            <w:tcW w:w="3677" w:type="dxa"/>
            <w:tcBorders>
              <w:top w:val="nil"/>
              <w:left w:val="nil"/>
              <w:bottom w:val="single" w:sz="4" w:space="0" w:color="auto"/>
              <w:right w:val="single" w:sz="4" w:space="0" w:color="auto"/>
            </w:tcBorders>
            <w:shd w:val="clear" w:color="auto" w:fill="auto"/>
            <w:noWrap/>
            <w:vAlign w:val="center"/>
            <w:hideMark/>
          </w:tcPr>
          <w:p w14:paraId="29B6967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CB8343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21B81705" w14:textId="2BBB0B9A" w:rsidR="00EF6323" w:rsidRPr="009434E7" w:rsidRDefault="00EF6323" w:rsidP="00E07694">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Pe parcursul anului 2021 în cadrul CNAS au fost organizate concursuri pentru 193 funcţii publice </w:t>
            </w:r>
            <w:r w:rsidR="00E07694">
              <w:rPr>
                <w:rFonts w:asciiTheme="majorHAnsi" w:eastAsia="Times New Roman" w:hAnsiTheme="majorHAnsi" w:cstheme="majorHAnsi"/>
                <w:color w:val="000000"/>
                <w:sz w:val="20"/>
                <w:szCs w:val="20"/>
                <w:lang w:val="ro-RO"/>
              </w:rPr>
              <w:t>și au fost angajate 92 persoane.</w:t>
            </w:r>
          </w:p>
        </w:tc>
      </w:tr>
      <w:tr w:rsidR="00EF6323" w:rsidRPr="009434E7" w14:paraId="75102DB1" w14:textId="77777777" w:rsidTr="00EF6323">
        <w:trPr>
          <w:trHeight w:val="276"/>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DB97510"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14</w:t>
            </w:r>
          </w:p>
        </w:tc>
        <w:tc>
          <w:tcPr>
            <w:tcW w:w="1582" w:type="dxa"/>
            <w:tcBorders>
              <w:top w:val="nil"/>
              <w:left w:val="nil"/>
              <w:bottom w:val="single" w:sz="4" w:space="0" w:color="auto"/>
              <w:right w:val="single" w:sz="4" w:space="0" w:color="auto"/>
            </w:tcBorders>
            <w:shd w:val="clear" w:color="auto" w:fill="auto"/>
            <w:vAlign w:val="center"/>
            <w:hideMark/>
          </w:tcPr>
          <w:p w14:paraId="4ECCF04E"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persoane noi angajate</w:t>
            </w:r>
          </w:p>
        </w:tc>
        <w:tc>
          <w:tcPr>
            <w:tcW w:w="988" w:type="dxa"/>
            <w:tcBorders>
              <w:top w:val="nil"/>
              <w:left w:val="nil"/>
              <w:bottom w:val="single" w:sz="4" w:space="0" w:color="auto"/>
              <w:right w:val="single" w:sz="4" w:space="0" w:color="auto"/>
            </w:tcBorders>
            <w:shd w:val="clear" w:color="auto" w:fill="auto"/>
            <w:vAlign w:val="center"/>
            <w:hideMark/>
          </w:tcPr>
          <w:p w14:paraId="272BC62A"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noWrap/>
            <w:vAlign w:val="center"/>
            <w:hideMark/>
          </w:tcPr>
          <w:p w14:paraId="555E0D54"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92</w:t>
            </w:r>
          </w:p>
        </w:tc>
        <w:tc>
          <w:tcPr>
            <w:tcW w:w="3677" w:type="dxa"/>
            <w:tcBorders>
              <w:top w:val="nil"/>
              <w:left w:val="nil"/>
              <w:bottom w:val="single" w:sz="4" w:space="0" w:color="auto"/>
              <w:right w:val="single" w:sz="4" w:space="0" w:color="auto"/>
            </w:tcBorders>
            <w:shd w:val="clear" w:color="auto" w:fill="auto"/>
            <w:noWrap/>
            <w:vAlign w:val="center"/>
            <w:hideMark/>
          </w:tcPr>
          <w:p w14:paraId="143221B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24426EB"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B960379" w14:textId="3D5F7A3A"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p>
        </w:tc>
      </w:tr>
      <w:tr w:rsidR="00EF6323" w:rsidRPr="009434E7" w14:paraId="15691225" w14:textId="77777777" w:rsidTr="00EF6323">
        <w:trPr>
          <w:trHeight w:val="248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8B5DF82"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15</w:t>
            </w:r>
          </w:p>
        </w:tc>
        <w:tc>
          <w:tcPr>
            <w:tcW w:w="1582" w:type="dxa"/>
            <w:tcBorders>
              <w:top w:val="nil"/>
              <w:left w:val="nil"/>
              <w:bottom w:val="single" w:sz="4" w:space="0" w:color="auto"/>
              <w:right w:val="single" w:sz="4" w:space="0" w:color="auto"/>
            </w:tcBorders>
            <w:shd w:val="clear" w:color="auto" w:fill="auto"/>
            <w:vAlign w:val="center"/>
            <w:hideMark/>
          </w:tcPr>
          <w:p w14:paraId="444C299C"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persoane angajate în funcțiile vacante asupra cărora a fost instituit moratoriul</w:t>
            </w:r>
          </w:p>
        </w:tc>
        <w:tc>
          <w:tcPr>
            <w:tcW w:w="988" w:type="dxa"/>
            <w:tcBorders>
              <w:top w:val="nil"/>
              <w:left w:val="nil"/>
              <w:bottom w:val="single" w:sz="4" w:space="0" w:color="auto"/>
              <w:right w:val="single" w:sz="4" w:space="0" w:color="auto"/>
            </w:tcBorders>
            <w:shd w:val="clear" w:color="auto" w:fill="auto"/>
            <w:vAlign w:val="center"/>
            <w:hideMark/>
          </w:tcPr>
          <w:p w14:paraId="38E5260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noWrap/>
            <w:vAlign w:val="center"/>
            <w:hideMark/>
          </w:tcPr>
          <w:p w14:paraId="49F0CB03" w14:textId="12E0DFAF"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35A8FE3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2F2D72CD"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7D99EEBF" w14:textId="16528FFE" w:rsidR="00EF6323" w:rsidRPr="009434E7" w:rsidRDefault="00EF6323" w:rsidP="00BC59E7">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 xml:space="preserve">CNAS nu dispune de date privind numărul de funcții vacante deoarece conform HG </w:t>
            </w:r>
            <w:r w:rsidR="00BC59E7" w:rsidRPr="009434E7">
              <w:rPr>
                <w:rFonts w:asciiTheme="majorHAnsi" w:eastAsia="Times New Roman" w:hAnsiTheme="majorHAnsi" w:cstheme="majorHAnsi"/>
                <w:color w:val="000000"/>
                <w:sz w:val="20"/>
                <w:szCs w:val="20"/>
                <w:lang w:val="ro-RO"/>
              </w:rPr>
              <w:t>nr.</w:t>
            </w:r>
            <w:r w:rsidRPr="009434E7">
              <w:rPr>
                <w:rFonts w:asciiTheme="majorHAnsi" w:eastAsia="Times New Roman" w:hAnsiTheme="majorHAnsi" w:cstheme="majorHAnsi"/>
                <w:color w:val="000000"/>
                <w:sz w:val="20"/>
                <w:szCs w:val="20"/>
                <w:lang w:val="ro-RO"/>
              </w:rPr>
              <w:t>942/2020 pentru stabilirea moratoriului temporar  privind încadrarea personalului din sectorul bugetar în funcţiile vacante înregistrate</w:t>
            </w:r>
            <w:r w:rsidR="00BC59E7" w:rsidRPr="009434E7">
              <w:rPr>
                <w:rFonts w:asciiTheme="majorHAnsi" w:eastAsia="Times New Roman" w:hAnsiTheme="majorHAnsi" w:cstheme="majorHAnsi"/>
                <w:color w:val="000000"/>
                <w:sz w:val="20"/>
                <w:szCs w:val="20"/>
                <w:lang w:val="ro-RO"/>
              </w:rPr>
              <w:t>,</w:t>
            </w:r>
            <w:r w:rsidRPr="009434E7">
              <w:rPr>
                <w:rFonts w:asciiTheme="majorHAnsi" w:eastAsia="Times New Roman" w:hAnsiTheme="majorHAnsi" w:cstheme="majorHAnsi"/>
                <w:color w:val="000000"/>
                <w:sz w:val="20"/>
                <w:szCs w:val="20"/>
                <w:lang w:val="ro-RO"/>
              </w:rPr>
              <w:t xml:space="preserve">  pentru CNAS </w:t>
            </w:r>
            <w:r w:rsidR="00BC59E7" w:rsidRPr="009434E7">
              <w:rPr>
                <w:rFonts w:asciiTheme="majorHAnsi" w:eastAsia="Times New Roman" w:hAnsiTheme="majorHAnsi" w:cstheme="majorHAnsi"/>
                <w:color w:val="000000"/>
                <w:sz w:val="20"/>
                <w:szCs w:val="20"/>
                <w:lang w:val="ro-RO"/>
              </w:rPr>
              <w:t xml:space="preserve">aceste prevederi </w:t>
            </w:r>
            <w:r w:rsidRPr="009434E7">
              <w:rPr>
                <w:rFonts w:asciiTheme="majorHAnsi" w:eastAsia="Times New Roman" w:hAnsiTheme="majorHAnsi" w:cstheme="majorHAnsi"/>
                <w:color w:val="000000"/>
                <w:sz w:val="20"/>
                <w:szCs w:val="20"/>
                <w:lang w:val="ro-RO"/>
              </w:rPr>
              <w:t>sunt cu titlu de recomandare</w:t>
            </w:r>
          </w:p>
        </w:tc>
      </w:tr>
      <w:tr w:rsidR="00EF6323" w:rsidRPr="009434E7" w14:paraId="4AD6F9FB" w14:textId="77777777" w:rsidTr="00EF6323">
        <w:trPr>
          <w:trHeight w:val="57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AE9D98C"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16</w:t>
            </w:r>
          </w:p>
        </w:tc>
        <w:tc>
          <w:tcPr>
            <w:tcW w:w="1582" w:type="dxa"/>
            <w:tcBorders>
              <w:top w:val="nil"/>
              <w:left w:val="nil"/>
              <w:bottom w:val="single" w:sz="4" w:space="0" w:color="auto"/>
              <w:right w:val="single" w:sz="4" w:space="0" w:color="auto"/>
            </w:tcBorders>
            <w:shd w:val="clear" w:color="auto" w:fill="auto"/>
            <w:vAlign w:val="center"/>
            <w:hideMark/>
          </w:tcPr>
          <w:p w14:paraId="784BD454"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persoane care dispun de zile de concediu neutilizate</w:t>
            </w:r>
          </w:p>
        </w:tc>
        <w:tc>
          <w:tcPr>
            <w:tcW w:w="988" w:type="dxa"/>
            <w:tcBorders>
              <w:top w:val="nil"/>
              <w:left w:val="nil"/>
              <w:bottom w:val="single" w:sz="4" w:space="0" w:color="auto"/>
              <w:right w:val="single" w:sz="4" w:space="0" w:color="auto"/>
            </w:tcBorders>
            <w:shd w:val="clear" w:color="auto" w:fill="auto"/>
            <w:noWrap/>
            <w:vAlign w:val="center"/>
            <w:hideMark/>
          </w:tcPr>
          <w:p w14:paraId="101DA01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noWrap/>
            <w:vAlign w:val="center"/>
            <w:hideMark/>
          </w:tcPr>
          <w:p w14:paraId="5B944D47" w14:textId="57F20388"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6365875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905F9A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vMerge w:val="restart"/>
            <w:tcBorders>
              <w:top w:val="nil"/>
              <w:left w:val="single" w:sz="4" w:space="0" w:color="auto"/>
              <w:bottom w:val="single" w:sz="4" w:space="0" w:color="000000"/>
              <w:right w:val="single" w:sz="4" w:space="0" w:color="auto"/>
            </w:tcBorders>
            <w:shd w:val="clear" w:color="auto" w:fill="auto"/>
            <w:vAlign w:val="center"/>
            <w:hideMark/>
          </w:tcPr>
          <w:p w14:paraId="054889B1" w14:textId="0180A833" w:rsidR="00EF6323" w:rsidRPr="009434E7" w:rsidRDefault="00EF6323" w:rsidP="00646246">
            <w:pPr>
              <w:spacing w:after="0" w:line="240" w:lineRule="auto"/>
              <w:jc w:val="both"/>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Casa Națională de Asigurări Sociale nu poate să ofere aceste date, deoarece informația respectivă se ține pe suport de hârtie în fișa pe</w:t>
            </w:r>
            <w:r w:rsidR="00646246">
              <w:rPr>
                <w:rFonts w:asciiTheme="majorHAnsi" w:eastAsia="Times New Roman" w:hAnsiTheme="majorHAnsi" w:cstheme="majorHAnsi"/>
                <w:color w:val="000000"/>
                <w:sz w:val="20"/>
                <w:szCs w:val="20"/>
                <w:lang w:val="ro-RO"/>
              </w:rPr>
              <w:t>rsonală MR2 a fiecărui angajat. E</w:t>
            </w:r>
            <w:r w:rsidRPr="009434E7">
              <w:rPr>
                <w:rFonts w:asciiTheme="majorHAnsi" w:eastAsia="Times New Roman" w:hAnsiTheme="majorHAnsi" w:cstheme="majorHAnsi"/>
                <w:color w:val="000000"/>
                <w:sz w:val="20"/>
                <w:szCs w:val="20"/>
                <w:lang w:val="ro-RO"/>
              </w:rPr>
              <w:t xml:space="preserve">ntitatea nu deține o informație consolidată pe </w:t>
            </w:r>
            <w:r w:rsidR="00646246">
              <w:rPr>
                <w:rFonts w:asciiTheme="majorHAnsi" w:eastAsia="Times New Roman" w:hAnsiTheme="majorHAnsi" w:cstheme="majorHAnsi"/>
                <w:color w:val="000000"/>
                <w:sz w:val="20"/>
                <w:szCs w:val="20"/>
                <w:lang w:val="ro-RO"/>
              </w:rPr>
              <w:t>numărul efectiv de angajați (1094 persoane).</w:t>
            </w:r>
          </w:p>
        </w:tc>
      </w:tr>
      <w:tr w:rsidR="00EF6323" w:rsidRPr="009434E7" w14:paraId="57BB484C" w14:textId="77777777" w:rsidTr="00EF6323">
        <w:trPr>
          <w:trHeight w:val="61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440F23E"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17</w:t>
            </w:r>
          </w:p>
        </w:tc>
        <w:tc>
          <w:tcPr>
            <w:tcW w:w="1582" w:type="dxa"/>
            <w:tcBorders>
              <w:top w:val="nil"/>
              <w:left w:val="nil"/>
              <w:bottom w:val="single" w:sz="4" w:space="0" w:color="auto"/>
              <w:right w:val="single" w:sz="4" w:space="0" w:color="auto"/>
            </w:tcBorders>
            <w:shd w:val="clear" w:color="auto" w:fill="auto"/>
            <w:vAlign w:val="center"/>
            <w:hideMark/>
          </w:tcPr>
          <w:p w14:paraId="3A9A091E"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total al zilelor de concediu neutilizate per instituție</w:t>
            </w:r>
          </w:p>
        </w:tc>
        <w:tc>
          <w:tcPr>
            <w:tcW w:w="988" w:type="dxa"/>
            <w:tcBorders>
              <w:top w:val="nil"/>
              <w:left w:val="nil"/>
              <w:bottom w:val="single" w:sz="4" w:space="0" w:color="auto"/>
              <w:right w:val="single" w:sz="4" w:space="0" w:color="auto"/>
            </w:tcBorders>
            <w:shd w:val="clear" w:color="auto" w:fill="auto"/>
            <w:noWrap/>
            <w:vAlign w:val="center"/>
            <w:hideMark/>
          </w:tcPr>
          <w:p w14:paraId="425CA083"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zile</w:t>
            </w:r>
          </w:p>
        </w:tc>
        <w:tc>
          <w:tcPr>
            <w:tcW w:w="1682" w:type="dxa"/>
            <w:tcBorders>
              <w:top w:val="nil"/>
              <w:left w:val="nil"/>
              <w:bottom w:val="single" w:sz="4" w:space="0" w:color="auto"/>
              <w:right w:val="single" w:sz="4" w:space="0" w:color="auto"/>
            </w:tcBorders>
            <w:shd w:val="clear" w:color="auto" w:fill="auto"/>
            <w:noWrap/>
            <w:vAlign w:val="center"/>
            <w:hideMark/>
          </w:tcPr>
          <w:p w14:paraId="7686888B" w14:textId="7A7E52C4"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22313D3A"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6068FF1"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vMerge/>
            <w:tcBorders>
              <w:top w:val="nil"/>
              <w:left w:val="single" w:sz="4" w:space="0" w:color="auto"/>
              <w:bottom w:val="single" w:sz="4" w:space="0" w:color="000000"/>
              <w:right w:val="single" w:sz="4" w:space="0" w:color="auto"/>
            </w:tcBorders>
            <w:vAlign w:val="center"/>
            <w:hideMark/>
          </w:tcPr>
          <w:p w14:paraId="54CD0164"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p>
        </w:tc>
      </w:tr>
      <w:tr w:rsidR="00EF6323" w:rsidRPr="009434E7" w14:paraId="633A7475" w14:textId="77777777" w:rsidTr="00EF6323">
        <w:trPr>
          <w:trHeight w:val="114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6D165D3"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18</w:t>
            </w:r>
          </w:p>
        </w:tc>
        <w:tc>
          <w:tcPr>
            <w:tcW w:w="1582" w:type="dxa"/>
            <w:tcBorders>
              <w:top w:val="nil"/>
              <w:left w:val="nil"/>
              <w:bottom w:val="single" w:sz="4" w:space="0" w:color="auto"/>
              <w:right w:val="single" w:sz="4" w:space="0" w:color="auto"/>
            </w:tcBorders>
            <w:shd w:val="clear" w:color="auto" w:fill="auto"/>
            <w:vAlign w:val="center"/>
            <w:hideMark/>
          </w:tcPr>
          <w:p w14:paraId="6A3C1DCD"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necesarului de resurse financiare pentru achitarea numărului total al zilelor de concediu neutilizate</w:t>
            </w:r>
          </w:p>
        </w:tc>
        <w:tc>
          <w:tcPr>
            <w:tcW w:w="988" w:type="dxa"/>
            <w:tcBorders>
              <w:top w:val="nil"/>
              <w:left w:val="nil"/>
              <w:bottom w:val="single" w:sz="4" w:space="0" w:color="auto"/>
              <w:right w:val="single" w:sz="4" w:space="0" w:color="auto"/>
            </w:tcBorders>
            <w:shd w:val="clear" w:color="auto" w:fill="auto"/>
            <w:noWrap/>
            <w:vAlign w:val="center"/>
            <w:hideMark/>
          </w:tcPr>
          <w:p w14:paraId="1F502C9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noWrap/>
            <w:vAlign w:val="center"/>
            <w:hideMark/>
          </w:tcPr>
          <w:p w14:paraId="61CC9FDC" w14:textId="5B3A2BA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021D9B6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4E0A300"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vMerge/>
            <w:tcBorders>
              <w:top w:val="nil"/>
              <w:left w:val="single" w:sz="4" w:space="0" w:color="auto"/>
              <w:bottom w:val="single" w:sz="4" w:space="0" w:color="000000"/>
              <w:right w:val="single" w:sz="4" w:space="0" w:color="auto"/>
            </w:tcBorders>
            <w:vAlign w:val="center"/>
            <w:hideMark/>
          </w:tcPr>
          <w:p w14:paraId="78DA213F" w14:textId="77777777"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p>
        </w:tc>
      </w:tr>
      <w:tr w:rsidR="00EF6323" w:rsidRPr="009434E7" w14:paraId="4884B5B4" w14:textId="77777777" w:rsidTr="00EF6323">
        <w:trPr>
          <w:trHeight w:val="828"/>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4928F09"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19*</w:t>
            </w:r>
          </w:p>
        </w:tc>
        <w:tc>
          <w:tcPr>
            <w:tcW w:w="1582" w:type="dxa"/>
            <w:tcBorders>
              <w:top w:val="nil"/>
              <w:left w:val="nil"/>
              <w:bottom w:val="single" w:sz="4" w:space="0" w:color="auto"/>
              <w:right w:val="single" w:sz="4" w:space="0" w:color="auto"/>
            </w:tcBorders>
            <w:shd w:val="clear" w:color="auto" w:fill="auto"/>
            <w:vAlign w:val="center"/>
            <w:hideMark/>
          </w:tcPr>
          <w:p w14:paraId="158620A4"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Numărul de angajați care au beneficiat de indemnizații unice aferente infecției cu COVID-19</w:t>
            </w:r>
          </w:p>
        </w:tc>
        <w:tc>
          <w:tcPr>
            <w:tcW w:w="988" w:type="dxa"/>
            <w:tcBorders>
              <w:top w:val="nil"/>
              <w:left w:val="nil"/>
              <w:bottom w:val="single" w:sz="4" w:space="0" w:color="auto"/>
              <w:right w:val="single" w:sz="4" w:space="0" w:color="auto"/>
            </w:tcBorders>
            <w:shd w:val="clear" w:color="auto" w:fill="auto"/>
            <w:noWrap/>
            <w:vAlign w:val="center"/>
            <w:hideMark/>
          </w:tcPr>
          <w:p w14:paraId="559EFB49"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unități</w:t>
            </w:r>
          </w:p>
        </w:tc>
        <w:tc>
          <w:tcPr>
            <w:tcW w:w="1682" w:type="dxa"/>
            <w:tcBorders>
              <w:top w:val="nil"/>
              <w:left w:val="nil"/>
              <w:bottom w:val="single" w:sz="4" w:space="0" w:color="auto"/>
              <w:right w:val="single" w:sz="4" w:space="0" w:color="auto"/>
            </w:tcBorders>
            <w:shd w:val="clear" w:color="auto" w:fill="auto"/>
            <w:noWrap/>
            <w:vAlign w:val="center"/>
            <w:hideMark/>
          </w:tcPr>
          <w:p w14:paraId="4F1AF2D7"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68</w:t>
            </w:r>
          </w:p>
        </w:tc>
        <w:tc>
          <w:tcPr>
            <w:tcW w:w="3677" w:type="dxa"/>
            <w:tcBorders>
              <w:top w:val="nil"/>
              <w:left w:val="nil"/>
              <w:bottom w:val="single" w:sz="4" w:space="0" w:color="auto"/>
              <w:right w:val="single" w:sz="4" w:space="0" w:color="auto"/>
            </w:tcBorders>
            <w:shd w:val="clear" w:color="auto" w:fill="auto"/>
            <w:noWrap/>
            <w:vAlign w:val="center"/>
            <w:hideMark/>
          </w:tcPr>
          <w:p w14:paraId="57E2FB58"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39D1459F"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2C68B8C2" w14:textId="61A988A6" w:rsidR="00EF6323" w:rsidRPr="009434E7" w:rsidRDefault="00EF6323" w:rsidP="00EF6323">
            <w:pPr>
              <w:spacing w:after="0" w:line="240" w:lineRule="auto"/>
              <w:jc w:val="both"/>
              <w:rPr>
                <w:rFonts w:asciiTheme="majorHAnsi" w:eastAsia="Times New Roman" w:hAnsiTheme="majorHAnsi" w:cstheme="majorHAnsi"/>
                <w:color w:val="000000"/>
                <w:sz w:val="20"/>
                <w:szCs w:val="20"/>
                <w:lang w:val="ro-RO"/>
              </w:rPr>
            </w:pPr>
          </w:p>
        </w:tc>
      </w:tr>
      <w:tr w:rsidR="00EF6323" w:rsidRPr="00EF6323" w14:paraId="7DDAF2AD" w14:textId="77777777" w:rsidTr="00EF6323">
        <w:trPr>
          <w:trHeight w:val="828"/>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63BA251" w14:textId="77777777" w:rsidR="00EF6323" w:rsidRPr="009434E7" w:rsidRDefault="00EF6323" w:rsidP="00EF6323">
            <w:pPr>
              <w:spacing w:after="0" w:line="240" w:lineRule="auto"/>
              <w:jc w:val="center"/>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20*</w:t>
            </w:r>
          </w:p>
        </w:tc>
        <w:tc>
          <w:tcPr>
            <w:tcW w:w="1582" w:type="dxa"/>
            <w:tcBorders>
              <w:top w:val="nil"/>
              <w:left w:val="nil"/>
              <w:bottom w:val="single" w:sz="4" w:space="0" w:color="auto"/>
              <w:right w:val="single" w:sz="4" w:space="0" w:color="auto"/>
            </w:tcBorders>
            <w:shd w:val="clear" w:color="auto" w:fill="auto"/>
            <w:vAlign w:val="center"/>
            <w:hideMark/>
          </w:tcPr>
          <w:p w14:paraId="58CED4CA" w14:textId="77777777" w:rsidR="00EF6323" w:rsidRPr="009434E7" w:rsidRDefault="00EF6323" w:rsidP="00EF6323">
            <w:pPr>
              <w:spacing w:after="0" w:line="240" w:lineRule="auto"/>
              <w:rPr>
                <w:rFonts w:asciiTheme="majorHAnsi" w:eastAsia="Times New Roman" w:hAnsiTheme="majorHAnsi" w:cstheme="majorHAnsi"/>
                <w:b/>
                <w:bCs/>
                <w:color w:val="000000"/>
                <w:sz w:val="20"/>
                <w:szCs w:val="20"/>
                <w:lang w:val="ro-RO"/>
              </w:rPr>
            </w:pPr>
            <w:r w:rsidRPr="009434E7">
              <w:rPr>
                <w:rFonts w:asciiTheme="majorHAnsi" w:eastAsia="Times New Roman" w:hAnsiTheme="majorHAnsi" w:cstheme="majorHAnsi"/>
                <w:b/>
                <w:bCs/>
                <w:color w:val="000000"/>
                <w:sz w:val="20"/>
                <w:szCs w:val="20"/>
                <w:lang w:val="ro-RO"/>
              </w:rPr>
              <w:t>Valoarea indemnizațiilor unice aferente infecției cu COVID-19 achitate angajaților</w:t>
            </w:r>
          </w:p>
        </w:tc>
        <w:tc>
          <w:tcPr>
            <w:tcW w:w="988" w:type="dxa"/>
            <w:tcBorders>
              <w:top w:val="nil"/>
              <w:left w:val="nil"/>
              <w:bottom w:val="single" w:sz="4" w:space="0" w:color="auto"/>
              <w:right w:val="single" w:sz="4" w:space="0" w:color="auto"/>
            </w:tcBorders>
            <w:shd w:val="clear" w:color="auto" w:fill="auto"/>
            <w:noWrap/>
            <w:vAlign w:val="center"/>
            <w:hideMark/>
          </w:tcPr>
          <w:p w14:paraId="11C641A5"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mii lei</w:t>
            </w:r>
          </w:p>
        </w:tc>
        <w:tc>
          <w:tcPr>
            <w:tcW w:w="1682" w:type="dxa"/>
            <w:tcBorders>
              <w:top w:val="nil"/>
              <w:left w:val="nil"/>
              <w:bottom w:val="single" w:sz="4" w:space="0" w:color="auto"/>
              <w:right w:val="single" w:sz="4" w:space="0" w:color="auto"/>
            </w:tcBorders>
            <w:shd w:val="clear" w:color="auto" w:fill="auto"/>
            <w:noWrap/>
            <w:vAlign w:val="center"/>
            <w:hideMark/>
          </w:tcPr>
          <w:p w14:paraId="7DD11EDE"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1088,00</w:t>
            </w:r>
          </w:p>
        </w:tc>
        <w:tc>
          <w:tcPr>
            <w:tcW w:w="3677" w:type="dxa"/>
            <w:tcBorders>
              <w:top w:val="nil"/>
              <w:left w:val="nil"/>
              <w:bottom w:val="single" w:sz="4" w:space="0" w:color="auto"/>
              <w:right w:val="single" w:sz="4" w:space="0" w:color="auto"/>
            </w:tcBorders>
            <w:shd w:val="clear" w:color="auto" w:fill="auto"/>
            <w:noWrap/>
            <w:vAlign w:val="center"/>
            <w:hideMark/>
          </w:tcPr>
          <w:p w14:paraId="5A9A393C" w14:textId="77777777" w:rsidR="00EF6323" w:rsidRPr="009434E7"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992A61C" w14:textId="77777777" w:rsidR="00EF6323" w:rsidRPr="00EF6323" w:rsidRDefault="00EF6323" w:rsidP="00EF6323">
            <w:pPr>
              <w:spacing w:after="0" w:line="240" w:lineRule="auto"/>
              <w:jc w:val="center"/>
              <w:rPr>
                <w:rFonts w:asciiTheme="majorHAnsi" w:eastAsia="Times New Roman" w:hAnsiTheme="majorHAnsi" w:cstheme="majorHAnsi"/>
                <w:color w:val="000000"/>
                <w:sz w:val="20"/>
                <w:szCs w:val="20"/>
                <w:lang w:val="ro-RO"/>
              </w:rPr>
            </w:pPr>
            <w:r w:rsidRPr="009434E7">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9FB6EEB" w14:textId="3FEC201F" w:rsidR="00EF6323" w:rsidRPr="00EF6323" w:rsidRDefault="00EF6323" w:rsidP="00EF6323">
            <w:pPr>
              <w:spacing w:after="0" w:line="240" w:lineRule="auto"/>
              <w:jc w:val="both"/>
              <w:rPr>
                <w:rFonts w:asciiTheme="majorHAnsi" w:eastAsia="Times New Roman" w:hAnsiTheme="majorHAnsi" w:cstheme="majorHAnsi"/>
                <w:color w:val="000000"/>
                <w:sz w:val="20"/>
                <w:szCs w:val="20"/>
                <w:lang w:val="ro-RO"/>
              </w:rPr>
            </w:pPr>
          </w:p>
        </w:tc>
      </w:tr>
    </w:tbl>
    <w:p w14:paraId="539CD7B9" w14:textId="77777777" w:rsidR="00EF6323" w:rsidRDefault="00EF6323" w:rsidP="00EF6323"/>
    <w:p w14:paraId="376C6EF0" w14:textId="2E74D5D5" w:rsidR="00A402C9" w:rsidRDefault="00A402C9" w:rsidP="00671428">
      <w:pPr>
        <w:rPr>
          <w:rFonts w:asciiTheme="majorHAnsi" w:hAnsiTheme="majorHAnsi" w:cstheme="majorHAnsi"/>
          <w:b/>
          <w:sz w:val="24"/>
          <w:szCs w:val="24"/>
          <w:lang w:val="ro-RO"/>
        </w:rPr>
      </w:pPr>
    </w:p>
    <w:p w14:paraId="399BD629" w14:textId="77777777" w:rsidR="00A402C9" w:rsidRPr="00A402C9" w:rsidRDefault="00A402C9" w:rsidP="00A402C9">
      <w:pPr>
        <w:rPr>
          <w:rFonts w:asciiTheme="majorHAnsi" w:hAnsiTheme="majorHAnsi" w:cstheme="majorHAnsi"/>
          <w:sz w:val="24"/>
          <w:szCs w:val="24"/>
          <w:lang w:val="ro-RO"/>
        </w:rPr>
      </w:pPr>
    </w:p>
    <w:p w14:paraId="33282079" w14:textId="77777777" w:rsidR="00A402C9" w:rsidRPr="00A402C9" w:rsidRDefault="00A402C9" w:rsidP="00A402C9">
      <w:pPr>
        <w:rPr>
          <w:rFonts w:asciiTheme="majorHAnsi" w:hAnsiTheme="majorHAnsi" w:cstheme="majorHAnsi"/>
          <w:sz w:val="24"/>
          <w:szCs w:val="24"/>
          <w:lang w:val="ro-RO"/>
        </w:rPr>
      </w:pPr>
    </w:p>
    <w:p w14:paraId="36F847FE" w14:textId="77777777" w:rsidR="00A402C9" w:rsidRPr="00A402C9" w:rsidRDefault="00A402C9" w:rsidP="00A402C9">
      <w:pPr>
        <w:rPr>
          <w:rFonts w:asciiTheme="majorHAnsi" w:hAnsiTheme="majorHAnsi" w:cstheme="majorHAnsi"/>
          <w:sz w:val="24"/>
          <w:szCs w:val="24"/>
          <w:lang w:val="ro-RO"/>
        </w:rPr>
      </w:pPr>
    </w:p>
    <w:p w14:paraId="77624554" w14:textId="77777777" w:rsidR="00A402C9" w:rsidRPr="00A402C9" w:rsidRDefault="00A402C9" w:rsidP="00A402C9">
      <w:pPr>
        <w:rPr>
          <w:rFonts w:asciiTheme="majorHAnsi" w:hAnsiTheme="majorHAnsi" w:cstheme="majorHAnsi"/>
          <w:sz w:val="24"/>
          <w:szCs w:val="24"/>
          <w:lang w:val="ro-RO"/>
        </w:rPr>
      </w:pPr>
    </w:p>
    <w:p w14:paraId="02052449" w14:textId="77777777" w:rsidR="00A402C9" w:rsidRPr="00A402C9" w:rsidRDefault="00A402C9" w:rsidP="00A402C9">
      <w:pPr>
        <w:rPr>
          <w:rFonts w:asciiTheme="majorHAnsi" w:hAnsiTheme="majorHAnsi" w:cstheme="majorHAnsi"/>
          <w:sz w:val="24"/>
          <w:szCs w:val="24"/>
          <w:lang w:val="ro-RO"/>
        </w:rPr>
      </w:pPr>
    </w:p>
    <w:p w14:paraId="34A68BA5" w14:textId="77777777" w:rsidR="00A402C9" w:rsidRPr="00A402C9" w:rsidRDefault="00A402C9" w:rsidP="00A402C9">
      <w:pPr>
        <w:rPr>
          <w:rFonts w:asciiTheme="majorHAnsi" w:hAnsiTheme="majorHAnsi" w:cstheme="majorHAnsi"/>
          <w:sz w:val="24"/>
          <w:szCs w:val="24"/>
          <w:lang w:val="ro-RO"/>
        </w:rPr>
      </w:pPr>
    </w:p>
    <w:p w14:paraId="0B9DD8FD" w14:textId="77777777" w:rsidR="00A402C9" w:rsidRPr="00A402C9" w:rsidRDefault="00A402C9" w:rsidP="00A402C9">
      <w:pPr>
        <w:rPr>
          <w:rFonts w:asciiTheme="majorHAnsi" w:hAnsiTheme="majorHAnsi" w:cstheme="majorHAnsi"/>
          <w:sz w:val="24"/>
          <w:szCs w:val="24"/>
          <w:lang w:val="ro-RO"/>
        </w:rPr>
      </w:pPr>
    </w:p>
    <w:p w14:paraId="4E6451F3" w14:textId="77777777" w:rsidR="00A402C9" w:rsidRPr="00A402C9" w:rsidRDefault="00A402C9" w:rsidP="00A402C9">
      <w:pPr>
        <w:rPr>
          <w:rFonts w:asciiTheme="majorHAnsi" w:hAnsiTheme="majorHAnsi" w:cstheme="majorHAnsi"/>
          <w:sz w:val="24"/>
          <w:szCs w:val="24"/>
          <w:lang w:val="ro-RO"/>
        </w:rPr>
      </w:pPr>
    </w:p>
    <w:p w14:paraId="56076FEF" w14:textId="77777777" w:rsidR="00A402C9" w:rsidRPr="00A402C9" w:rsidRDefault="00A402C9" w:rsidP="00A402C9">
      <w:pPr>
        <w:rPr>
          <w:rFonts w:asciiTheme="majorHAnsi" w:hAnsiTheme="majorHAnsi" w:cstheme="majorHAnsi"/>
          <w:sz w:val="24"/>
          <w:szCs w:val="24"/>
          <w:lang w:val="ro-RO"/>
        </w:rPr>
      </w:pPr>
    </w:p>
    <w:p w14:paraId="103DA466" w14:textId="77777777" w:rsidR="00A402C9" w:rsidRPr="00A402C9" w:rsidRDefault="00A402C9" w:rsidP="00A402C9">
      <w:pPr>
        <w:rPr>
          <w:rFonts w:asciiTheme="majorHAnsi" w:hAnsiTheme="majorHAnsi" w:cstheme="majorHAnsi"/>
          <w:sz w:val="24"/>
          <w:szCs w:val="24"/>
          <w:lang w:val="ro-RO"/>
        </w:rPr>
      </w:pPr>
    </w:p>
    <w:p w14:paraId="384A98CE" w14:textId="77777777" w:rsidR="00A402C9" w:rsidRPr="00A402C9" w:rsidRDefault="00A402C9" w:rsidP="00A402C9">
      <w:pPr>
        <w:jc w:val="right"/>
        <w:rPr>
          <w:rFonts w:asciiTheme="majorHAnsi" w:hAnsiTheme="majorHAnsi" w:cstheme="majorHAnsi"/>
          <w:sz w:val="24"/>
          <w:szCs w:val="24"/>
          <w:lang w:val="ro-RO"/>
        </w:rPr>
      </w:pPr>
    </w:p>
    <w:p w14:paraId="2455AC32" w14:textId="77777777" w:rsidR="00A402C9" w:rsidRPr="00A402C9" w:rsidRDefault="00A402C9" w:rsidP="00A402C9">
      <w:pPr>
        <w:rPr>
          <w:rFonts w:asciiTheme="majorHAnsi" w:hAnsiTheme="majorHAnsi" w:cstheme="majorHAnsi"/>
          <w:sz w:val="24"/>
          <w:szCs w:val="24"/>
          <w:lang w:val="ro-RO"/>
        </w:rPr>
      </w:pPr>
    </w:p>
    <w:p w14:paraId="533C0CE4" w14:textId="20D4F207" w:rsidR="00EF6323" w:rsidRPr="00A402C9" w:rsidRDefault="00EF6323" w:rsidP="00A402C9">
      <w:pPr>
        <w:rPr>
          <w:rFonts w:asciiTheme="majorHAnsi" w:hAnsiTheme="majorHAnsi" w:cstheme="majorHAnsi"/>
          <w:sz w:val="24"/>
          <w:szCs w:val="24"/>
          <w:lang w:val="ro-RO"/>
        </w:rPr>
        <w:sectPr w:rsidR="00EF6323" w:rsidRPr="00A402C9" w:rsidSect="00671428">
          <w:pgSz w:w="15840" w:h="12240" w:orient="landscape"/>
          <w:pgMar w:top="1355" w:right="1140" w:bottom="851" w:left="1140" w:header="720" w:footer="720" w:gutter="0"/>
          <w:cols w:space="720"/>
          <w:docGrid w:linePitch="360"/>
        </w:sectPr>
      </w:pPr>
    </w:p>
    <w:p w14:paraId="694C6D2E" w14:textId="77777777" w:rsidR="00F034E7" w:rsidRPr="00B050E3" w:rsidRDefault="00F034E7" w:rsidP="00671428">
      <w:pPr>
        <w:jc w:val="both"/>
        <w:rPr>
          <w:rFonts w:asciiTheme="majorHAnsi" w:hAnsiTheme="majorHAnsi" w:cstheme="majorHAnsi"/>
          <w:sz w:val="24"/>
          <w:szCs w:val="24"/>
          <w:lang w:val="ro-RO"/>
        </w:rPr>
      </w:pPr>
    </w:p>
    <w:sectPr w:rsidR="00F034E7" w:rsidRPr="00B050E3" w:rsidSect="00D470AF">
      <w:pgSz w:w="12240" w:h="15840"/>
      <w:pgMar w:top="1138" w:right="850" w:bottom="1138"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CD45" w14:textId="77777777" w:rsidR="00B21B23" w:rsidRDefault="00B21B23" w:rsidP="009351E2">
      <w:pPr>
        <w:spacing w:after="0" w:line="240" w:lineRule="auto"/>
      </w:pPr>
      <w:r>
        <w:separator/>
      </w:r>
    </w:p>
  </w:endnote>
  <w:endnote w:type="continuationSeparator" w:id="0">
    <w:p w14:paraId="284BCA37" w14:textId="77777777" w:rsidR="00B21B23" w:rsidRDefault="00B21B23" w:rsidP="009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941647"/>
      <w:docPartObj>
        <w:docPartGallery w:val="Page Numbers (Bottom of Page)"/>
        <w:docPartUnique/>
      </w:docPartObj>
    </w:sdtPr>
    <w:sdtEndPr>
      <w:rPr>
        <w:rFonts w:asciiTheme="majorHAnsi" w:hAnsiTheme="majorHAnsi" w:cstheme="majorHAnsi"/>
        <w:noProof/>
      </w:rPr>
    </w:sdtEndPr>
    <w:sdtContent>
      <w:p w14:paraId="044AC5F9" w14:textId="6ACBD197" w:rsidR="00A402C9" w:rsidRPr="00A402C9" w:rsidRDefault="00A402C9">
        <w:pPr>
          <w:pStyle w:val="ad"/>
          <w:jc w:val="right"/>
          <w:rPr>
            <w:rFonts w:asciiTheme="majorHAnsi" w:hAnsiTheme="majorHAnsi" w:cstheme="majorHAnsi"/>
          </w:rPr>
        </w:pPr>
        <w:r w:rsidRPr="00A402C9">
          <w:rPr>
            <w:rFonts w:asciiTheme="majorHAnsi" w:hAnsiTheme="majorHAnsi" w:cstheme="majorHAnsi"/>
          </w:rPr>
          <w:fldChar w:fldCharType="begin"/>
        </w:r>
        <w:r w:rsidRPr="00A402C9">
          <w:rPr>
            <w:rFonts w:asciiTheme="majorHAnsi" w:hAnsiTheme="majorHAnsi" w:cstheme="majorHAnsi"/>
          </w:rPr>
          <w:instrText xml:space="preserve"> PAGE   \* MERGEFORMAT </w:instrText>
        </w:r>
        <w:r w:rsidRPr="00A402C9">
          <w:rPr>
            <w:rFonts w:asciiTheme="majorHAnsi" w:hAnsiTheme="majorHAnsi" w:cstheme="majorHAnsi"/>
          </w:rPr>
          <w:fldChar w:fldCharType="separate"/>
        </w:r>
        <w:r w:rsidR="00DB4D34">
          <w:rPr>
            <w:rFonts w:asciiTheme="majorHAnsi" w:hAnsiTheme="majorHAnsi" w:cstheme="majorHAnsi"/>
            <w:noProof/>
          </w:rPr>
          <w:t>2</w:t>
        </w:r>
        <w:r w:rsidRPr="00A402C9">
          <w:rPr>
            <w:rFonts w:asciiTheme="majorHAnsi" w:hAnsiTheme="majorHAnsi" w:cstheme="majorHAnsi"/>
            <w:noProof/>
          </w:rPr>
          <w:fldChar w:fldCharType="end"/>
        </w:r>
      </w:p>
    </w:sdtContent>
  </w:sdt>
  <w:p w14:paraId="4399A172" w14:textId="77777777" w:rsidR="00A402C9" w:rsidRDefault="00A402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5B12" w14:textId="77777777" w:rsidR="00B21B23" w:rsidRDefault="00B21B23" w:rsidP="009351E2">
      <w:pPr>
        <w:spacing w:after="0" w:line="240" w:lineRule="auto"/>
      </w:pPr>
      <w:r>
        <w:separator/>
      </w:r>
    </w:p>
  </w:footnote>
  <w:footnote w:type="continuationSeparator" w:id="0">
    <w:p w14:paraId="4D85FDD3" w14:textId="77777777" w:rsidR="00B21B23" w:rsidRDefault="00B21B23" w:rsidP="009351E2">
      <w:pPr>
        <w:spacing w:after="0" w:line="240" w:lineRule="auto"/>
      </w:pPr>
      <w:r>
        <w:continuationSeparator/>
      </w:r>
    </w:p>
  </w:footnote>
  <w:footnote w:id="1">
    <w:p w14:paraId="2D891D75" w14:textId="77777777" w:rsidR="00A402C9" w:rsidRPr="00E01748" w:rsidRDefault="00A402C9" w:rsidP="009351E2">
      <w:pPr>
        <w:pStyle w:val="a8"/>
        <w:jc w:val="both"/>
        <w:rPr>
          <w:rFonts w:asciiTheme="majorHAnsi" w:hAnsiTheme="majorHAnsi" w:cstheme="majorHAnsi"/>
          <w:noProof/>
          <w:sz w:val="16"/>
          <w:szCs w:val="16"/>
          <w:highlight w:val="yellow"/>
          <w:lang w:val="ro-RO"/>
        </w:rPr>
      </w:pPr>
      <w:r w:rsidRPr="00E01748">
        <w:rPr>
          <w:rStyle w:val="a5"/>
          <w:rFonts w:asciiTheme="majorHAnsi" w:hAnsiTheme="majorHAnsi" w:cstheme="majorHAnsi"/>
          <w:sz w:val="16"/>
          <w:szCs w:val="16"/>
          <w:lang w:val="ro-RO"/>
        </w:rPr>
        <w:footnoteRef/>
      </w:r>
      <w:r w:rsidRPr="00E01748">
        <w:rPr>
          <w:rFonts w:asciiTheme="majorHAnsi" w:hAnsiTheme="majorHAnsi" w:cstheme="majorHAnsi"/>
          <w:sz w:val="16"/>
          <w:szCs w:val="16"/>
          <w:lang w:val="ro-RO"/>
        </w:rPr>
        <w:t xml:space="preserve"> </w:t>
      </w:r>
      <w:r w:rsidRPr="00E01748">
        <w:rPr>
          <w:rFonts w:asciiTheme="majorHAnsi" w:hAnsiTheme="majorHAnsi" w:cstheme="majorHAnsi"/>
          <w:noProof/>
          <w:sz w:val="16"/>
          <w:szCs w:val="16"/>
          <w:lang w:val="ro-RO"/>
        </w:rPr>
        <w:t xml:space="preserve">Raportul privind executarea indicatorilor generali ai bugetului asigurărilor sociale de stat – Formularul nr.1 CNAS (conform Anexei nr.1 la Legea bugetului asigurărilor sociale de stat); Raportul privind executarea subprogramelor de cheltuieli ale bugetului asigurărilor sociale de stat – Formularul nr.2 CNAS (conform Anexei nr.2 la Legea bugetului asigurărilor sociale de stat); Raportul privind executarea bugetului asigurărilor sociale de stat – Formularul nr.4 CNAS; Raportul privind executarea bugetului asigurărilor sociale de stat la partea de cheltuieli şi active nefinanciare – Formularul nr.4.1 CNAS; Raportul privind executarea bugetului asigurărilor sociale de stat (descrierea narativă). </w:t>
      </w:r>
    </w:p>
  </w:footnote>
  <w:footnote w:id="2">
    <w:p w14:paraId="003BD40B" w14:textId="77777777" w:rsidR="00A402C9" w:rsidRPr="00E01748" w:rsidRDefault="00A402C9" w:rsidP="009351E2">
      <w:pPr>
        <w:pStyle w:val="a3"/>
        <w:jc w:val="both"/>
        <w:rPr>
          <w:rFonts w:asciiTheme="majorHAnsi" w:hAnsiTheme="majorHAnsi" w:cstheme="majorHAnsi"/>
          <w:sz w:val="16"/>
          <w:szCs w:val="16"/>
          <w:lang w:val="ro-RO"/>
        </w:rPr>
      </w:pPr>
      <w:r w:rsidRPr="00E01748">
        <w:rPr>
          <w:rStyle w:val="a5"/>
          <w:rFonts w:asciiTheme="majorHAnsi" w:hAnsiTheme="majorHAnsi" w:cstheme="majorHAnsi"/>
          <w:sz w:val="16"/>
          <w:szCs w:val="16"/>
          <w:lang w:val="ro-RO"/>
        </w:rPr>
        <w:footnoteRef/>
      </w:r>
      <w:r w:rsidRPr="00E01748">
        <w:rPr>
          <w:rFonts w:asciiTheme="majorHAnsi" w:hAnsiTheme="majorHAnsi" w:cstheme="majorHAnsi"/>
          <w:sz w:val="16"/>
          <w:szCs w:val="16"/>
          <w:lang w:val="ro-RO"/>
        </w:rPr>
        <w:t xml:space="preserve"> </w:t>
      </w:r>
      <w:r w:rsidRPr="00E01748">
        <w:rPr>
          <w:rFonts w:asciiTheme="majorHAnsi" w:hAnsiTheme="majorHAnsi" w:cstheme="majorHAnsi"/>
          <w:noProof/>
          <w:sz w:val="16"/>
          <w:szCs w:val="16"/>
          <w:lang w:val="ro-RO"/>
        </w:rPr>
        <w:t xml:space="preserve">Ordinul ministrului </w:t>
      </w:r>
      <w:r>
        <w:rPr>
          <w:rFonts w:asciiTheme="majorHAnsi" w:hAnsiTheme="majorHAnsi" w:cstheme="majorHAnsi"/>
          <w:noProof/>
          <w:sz w:val="16"/>
          <w:szCs w:val="16"/>
          <w:lang w:val="ro-RO"/>
        </w:rPr>
        <w:t>F</w:t>
      </w:r>
      <w:r w:rsidRPr="00E01748">
        <w:rPr>
          <w:rFonts w:asciiTheme="majorHAnsi" w:hAnsiTheme="majorHAnsi" w:cstheme="majorHAnsi"/>
          <w:noProof/>
          <w:sz w:val="16"/>
          <w:szCs w:val="16"/>
          <w:lang w:val="ro-RO"/>
        </w:rPr>
        <w:t xml:space="preserve">inanțelor nr.38 din 17.02.2017 „Cu privire la aprobarea formularelor Rapoartelor privind executarea bugetului asigurărilor sociale de stat şi Normelor metodologice privind modul de întocmire a acestora” (cu modificările și completările ulterioare), (în continuare – Ordinul ministrului </w:t>
      </w:r>
      <w:r>
        <w:rPr>
          <w:rFonts w:asciiTheme="majorHAnsi" w:hAnsiTheme="majorHAnsi" w:cstheme="majorHAnsi"/>
          <w:noProof/>
          <w:sz w:val="16"/>
          <w:szCs w:val="16"/>
          <w:lang w:val="ro-RO"/>
        </w:rPr>
        <w:t>F</w:t>
      </w:r>
      <w:r w:rsidRPr="00E01748">
        <w:rPr>
          <w:rFonts w:asciiTheme="majorHAnsi" w:hAnsiTheme="majorHAnsi" w:cstheme="majorHAnsi"/>
          <w:noProof/>
          <w:sz w:val="16"/>
          <w:szCs w:val="16"/>
          <w:lang w:val="ro-RO"/>
        </w:rPr>
        <w:t>inanțelor nr.38 din 17.02.2017).</w:t>
      </w:r>
    </w:p>
  </w:footnote>
  <w:footnote w:id="3">
    <w:p w14:paraId="124268DD" w14:textId="77777777" w:rsidR="00A402C9" w:rsidRPr="00B222A4" w:rsidRDefault="00A402C9" w:rsidP="00504112">
      <w:pPr>
        <w:pStyle w:val="a3"/>
        <w:jc w:val="both"/>
        <w:rPr>
          <w:rFonts w:asciiTheme="majorHAnsi" w:hAnsiTheme="majorHAnsi" w:cstheme="majorHAnsi"/>
          <w:sz w:val="16"/>
          <w:szCs w:val="16"/>
          <w:lang w:val="ro-MD"/>
        </w:rPr>
      </w:pPr>
      <w:r w:rsidRPr="00B222A4">
        <w:rPr>
          <w:rStyle w:val="a5"/>
          <w:rFonts w:asciiTheme="majorHAnsi" w:hAnsiTheme="majorHAnsi" w:cstheme="majorHAnsi"/>
          <w:sz w:val="16"/>
          <w:szCs w:val="16"/>
          <w:lang w:val="ro-MD"/>
        </w:rPr>
        <w:footnoteRef/>
      </w:r>
      <w:r w:rsidRPr="00B222A4">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18BDA8FA" w14:textId="46DB2E5D" w:rsidR="00A402C9" w:rsidRPr="00046B6A" w:rsidRDefault="00A402C9" w:rsidP="00C5751A">
      <w:pPr>
        <w:pStyle w:val="tt"/>
        <w:jc w:val="both"/>
        <w:rPr>
          <w:rFonts w:asciiTheme="majorHAnsi" w:hAnsiTheme="majorHAnsi" w:cstheme="majorHAnsi"/>
          <w:b w:val="0"/>
          <w:sz w:val="16"/>
          <w:szCs w:val="16"/>
          <w:lang w:val="ro-RO"/>
        </w:rPr>
      </w:pPr>
      <w:r w:rsidRPr="00614DB2">
        <w:rPr>
          <w:rStyle w:val="a5"/>
          <w:rFonts w:asciiTheme="majorHAnsi" w:hAnsiTheme="majorHAnsi" w:cstheme="majorHAnsi"/>
          <w:b w:val="0"/>
          <w:sz w:val="16"/>
          <w:szCs w:val="16"/>
        </w:rPr>
        <w:footnoteRef/>
      </w:r>
      <w:r w:rsidRPr="00614DB2">
        <w:rPr>
          <w:rFonts w:asciiTheme="majorHAnsi" w:hAnsiTheme="majorHAnsi" w:cstheme="majorHAnsi"/>
          <w:b w:val="0"/>
          <w:sz w:val="16"/>
          <w:szCs w:val="16"/>
        </w:rPr>
        <w:t xml:space="preserve"> </w:t>
      </w:r>
      <w:r w:rsidRPr="00046B6A">
        <w:rPr>
          <w:rFonts w:asciiTheme="majorHAnsi" w:hAnsiTheme="majorHAnsi" w:cstheme="majorHAnsi"/>
          <w:b w:val="0"/>
          <w:sz w:val="16"/>
          <w:szCs w:val="16"/>
          <w:lang w:val="ro-RO"/>
        </w:rPr>
        <w:t>Art.62 alin.(2) din Legea  finanţelor publice şi responsabilităţii bugetar-fiscale</w:t>
      </w:r>
      <w:r w:rsidRPr="00046B6A">
        <w:rPr>
          <w:rFonts w:asciiTheme="majorHAnsi" w:hAnsiTheme="majorHAnsi" w:cstheme="majorHAnsi"/>
          <w:lang w:val="ro-RO"/>
        </w:rPr>
        <w:t xml:space="preserve"> </w:t>
      </w:r>
      <w:r w:rsidRPr="00046B6A">
        <w:rPr>
          <w:rFonts w:asciiTheme="majorHAnsi" w:hAnsiTheme="majorHAnsi" w:cstheme="majorHAnsi"/>
          <w:b w:val="0"/>
          <w:sz w:val="16"/>
          <w:szCs w:val="16"/>
          <w:lang w:val="ro-RO"/>
        </w:rPr>
        <w:t>nr.181 din 25.07.2014 (în continuare – Legea nr.181 din 25.07.2014).</w:t>
      </w:r>
    </w:p>
  </w:footnote>
  <w:footnote w:id="5">
    <w:p w14:paraId="3F0833A0" w14:textId="77777777" w:rsidR="00A402C9" w:rsidRPr="00614DB2" w:rsidRDefault="00A402C9" w:rsidP="00D420DA">
      <w:pPr>
        <w:pStyle w:val="a3"/>
        <w:rPr>
          <w:rFonts w:asciiTheme="majorHAnsi" w:hAnsiTheme="majorHAnsi" w:cstheme="majorHAnsi"/>
          <w:lang w:val="ro-MD"/>
        </w:rPr>
      </w:pPr>
      <w:r w:rsidRPr="00046B6A">
        <w:rPr>
          <w:rStyle w:val="a5"/>
          <w:rFonts w:asciiTheme="majorHAnsi" w:hAnsiTheme="majorHAnsi" w:cstheme="majorHAnsi"/>
          <w:sz w:val="16"/>
          <w:szCs w:val="16"/>
          <w:lang w:val="ro-RO"/>
        </w:rPr>
        <w:footnoteRef/>
      </w:r>
      <w:r w:rsidRPr="00046B6A">
        <w:rPr>
          <w:rFonts w:asciiTheme="majorHAnsi" w:hAnsiTheme="majorHAnsi" w:cstheme="majorHAnsi"/>
          <w:lang w:val="ro-RO"/>
        </w:rPr>
        <w:t xml:space="preserve"> </w:t>
      </w:r>
      <w:r w:rsidRPr="00046B6A">
        <w:rPr>
          <w:rFonts w:asciiTheme="majorHAnsi" w:hAnsiTheme="majorHAnsi" w:cstheme="majorHAnsi"/>
          <w:sz w:val="16"/>
          <w:szCs w:val="16"/>
          <w:lang w:val="ro-RO"/>
        </w:rPr>
        <w:t>Raportul privind executarea bugetului asigurărilor sociale de stat la situația de 1 ianuarie 2022 (Formularul nr.4 CNAS).</w:t>
      </w:r>
    </w:p>
  </w:footnote>
  <w:footnote w:id="6">
    <w:p w14:paraId="38B164FD" w14:textId="1EC4782E" w:rsidR="00A402C9" w:rsidRPr="00614DB2" w:rsidRDefault="00A402C9" w:rsidP="00D420DA">
      <w:pPr>
        <w:pStyle w:val="a3"/>
        <w:rPr>
          <w:rFonts w:asciiTheme="majorHAnsi" w:hAnsiTheme="majorHAnsi" w:cstheme="majorHAnsi"/>
          <w:sz w:val="16"/>
          <w:szCs w:val="16"/>
          <w:lang w:val="ro-MD"/>
        </w:rPr>
      </w:pPr>
      <w:r w:rsidRPr="00614DB2">
        <w:rPr>
          <w:rStyle w:val="a5"/>
          <w:rFonts w:asciiTheme="majorHAnsi" w:hAnsiTheme="majorHAnsi" w:cstheme="majorHAnsi"/>
          <w:sz w:val="16"/>
          <w:szCs w:val="16"/>
          <w:lang w:val="ro-MD"/>
        </w:rPr>
        <w:footnoteRef/>
      </w:r>
      <w:r w:rsidRPr="00614DB2">
        <w:rPr>
          <w:rFonts w:asciiTheme="majorHAnsi" w:hAnsiTheme="majorHAnsi" w:cstheme="majorHAnsi"/>
          <w:sz w:val="16"/>
          <w:szCs w:val="16"/>
          <w:lang w:val="ro-MD"/>
        </w:rPr>
        <w:t xml:space="preserve"> Anexa </w:t>
      </w:r>
      <w:r>
        <w:rPr>
          <w:rFonts w:asciiTheme="majorHAnsi" w:hAnsiTheme="majorHAnsi" w:cstheme="majorHAnsi"/>
          <w:sz w:val="16"/>
          <w:szCs w:val="16"/>
          <w:lang w:val="ro-MD"/>
        </w:rPr>
        <w:t>nr.</w:t>
      </w:r>
      <w:r w:rsidRPr="00614DB2">
        <w:rPr>
          <w:rFonts w:asciiTheme="majorHAnsi" w:hAnsiTheme="majorHAnsi" w:cstheme="majorHAnsi"/>
          <w:sz w:val="16"/>
          <w:szCs w:val="16"/>
          <w:lang w:val="ro-MD"/>
        </w:rPr>
        <w:t>1 la Legea nr. 489</w:t>
      </w:r>
      <w:r>
        <w:rPr>
          <w:rFonts w:asciiTheme="majorHAnsi" w:hAnsiTheme="majorHAnsi" w:cstheme="majorHAnsi"/>
          <w:sz w:val="16"/>
          <w:szCs w:val="16"/>
          <w:lang w:val="ro-MD"/>
        </w:rPr>
        <w:t>-XIV</w:t>
      </w:r>
      <w:r w:rsidRPr="00614DB2">
        <w:rPr>
          <w:rFonts w:asciiTheme="majorHAnsi" w:hAnsiTheme="majorHAnsi" w:cstheme="majorHAnsi"/>
          <w:sz w:val="16"/>
          <w:szCs w:val="16"/>
          <w:lang w:val="ro-MD"/>
        </w:rPr>
        <w:t xml:space="preserve"> din 08.07.1999 privind sistemul public de asigurări sociale</w:t>
      </w:r>
      <w:r>
        <w:rPr>
          <w:rFonts w:asciiTheme="majorHAnsi" w:hAnsiTheme="majorHAnsi" w:cstheme="majorHAnsi"/>
          <w:sz w:val="16"/>
          <w:szCs w:val="16"/>
          <w:lang w:val="ro-MD"/>
        </w:rPr>
        <w:t xml:space="preserve"> (în continuare – Legea nr.489-XIV</w:t>
      </w:r>
      <w:r w:rsidRPr="00614DB2">
        <w:rPr>
          <w:rFonts w:asciiTheme="majorHAnsi" w:hAnsiTheme="majorHAnsi" w:cstheme="majorHAnsi"/>
          <w:sz w:val="16"/>
          <w:szCs w:val="16"/>
          <w:lang w:val="ro-MD"/>
        </w:rPr>
        <w:t xml:space="preserve"> din 08.07.1999</w:t>
      </w:r>
      <w:r>
        <w:rPr>
          <w:rFonts w:asciiTheme="majorHAnsi" w:hAnsiTheme="majorHAnsi" w:cstheme="majorHAnsi"/>
          <w:sz w:val="16"/>
          <w:szCs w:val="16"/>
          <w:lang w:val="ro-MD"/>
        </w:rPr>
        <w:t>)</w:t>
      </w:r>
      <w:r w:rsidRPr="00614DB2">
        <w:rPr>
          <w:rFonts w:asciiTheme="majorHAnsi" w:hAnsiTheme="majorHAnsi" w:cstheme="majorHAnsi"/>
          <w:sz w:val="16"/>
          <w:szCs w:val="16"/>
          <w:lang w:val="ro-MD"/>
        </w:rPr>
        <w:t xml:space="preserve">. </w:t>
      </w:r>
    </w:p>
  </w:footnote>
  <w:footnote w:id="7">
    <w:p w14:paraId="087BFE21" w14:textId="473C30FB" w:rsidR="00A402C9" w:rsidRPr="00614DB2" w:rsidRDefault="00A402C9" w:rsidP="00D420DA">
      <w:pPr>
        <w:pStyle w:val="a3"/>
        <w:rPr>
          <w:rFonts w:asciiTheme="majorHAnsi" w:hAnsiTheme="majorHAnsi" w:cstheme="majorHAnsi"/>
          <w:sz w:val="16"/>
          <w:szCs w:val="16"/>
          <w:lang w:val="ro-MD"/>
        </w:rPr>
      </w:pPr>
      <w:r w:rsidRPr="00614DB2">
        <w:rPr>
          <w:rFonts w:asciiTheme="majorHAnsi" w:hAnsiTheme="majorHAnsi" w:cstheme="majorHAnsi"/>
          <w:sz w:val="16"/>
          <w:szCs w:val="16"/>
          <w:vertAlign w:val="superscript"/>
          <w:lang w:val="ro-MD"/>
        </w:rPr>
        <w:footnoteRef/>
      </w:r>
      <w:r w:rsidRPr="00614DB2">
        <w:rPr>
          <w:rFonts w:asciiTheme="majorHAnsi" w:hAnsiTheme="majorHAnsi" w:cstheme="majorHAnsi"/>
          <w:sz w:val="16"/>
          <w:szCs w:val="16"/>
          <w:lang w:val="ro-MD"/>
        </w:rPr>
        <w:t xml:space="preserve"> Art.5(1) din Legea bugetului asigurărilor sociale de stat pe anul 2021</w:t>
      </w:r>
      <w:r>
        <w:rPr>
          <w:rFonts w:asciiTheme="majorHAnsi" w:hAnsiTheme="majorHAnsi" w:cstheme="majorHAnsi"/>
          <w:sz w:val="16"/>
          <w:szCs w:val="16"/>
          <w:lang w:val="ro-MD"/>
        </w:rPr>
        <w:t xml:space="preserve">, </w:t>
      </w:r>
      <w:r w:rsidRPr="00614DB2">
        <w:rPr>
          <w:rFonts w:asciiTheme="majorHAnsi" w:hAnsiTheme="majorHAnsi" w:cstheme="majorHAnsi"/>
          <w:sz w:val="16"/>
          <w:szCs w:val="16"/>
          <w:lang w:val="ro-MD"/>
        </w:rPr>
        <w:t>nr.255 din 16</w:t>
      </w:r>
      <w:r>
        <w:rPr>
          <w:rFonts w:asciiTheme="majorHAnsi" w:hAnsiTheme="majorHAnsi" w:cstheme="majorHAnsi"/>
          <w:sz w:val="16"/>
          <w:szCs w:val="16"/>
          <w:lang w:val="ro-MD"/>
        </w:rPr>
        <w:t>.</w:t>
      </w:r>
      <w:r w:rsidRPr="00614DB2">
        <w:rPr>
          <w:rFonts w:asciiTheme="majorHAnsi" w:hAnsiTheme="majorHAnsi" w:cstheme="majorHAnsi"/>
          <w:sz w:val="16"/>
          <w:szCs w:val="16"/>
          <w:lang w:val="ro-MD"/>
        </w:rPr>
        <w:t>12</w:t>
      </w:r>
      <w:r>
        <w:rPr>
          <w:rFonts w:asciiTheme="majorHAnsi" w:hAnsiTheme="majorHAnsi" w:cstheme="majorHAnsi"/>
          <w:sz w:val="16"/>
          <w:szCs w:val="16"/>
          <w:lang w:val="ro-MD"/>
        </w:rPr>
        <w:t>.</w:t>
      </w:r>
      <w:r w:rsidRPr="00614DB2">
        <w:rPr>
          <w:rFonts w:asciiTheme="majorHAnsi" w:hAnsiTheme="majorHAnsi" w:cstheme="majorHAnsi"/>
          <w:sz w:val="16"/>
          <w:szCs w:val="16"/>
          <w:lang w:val="ro-MD"/>
        </w:rPr>
        <w:t>2020.</w:t>
      </w:r>
    </w:p>
  </w:footnote>
  <w:footnote w:id="8">
    <w:p w14:paraId="17D0DEA7" w14:textId="6B2FDE1B" w:rsidR="00A402C9" w:rsidRPr="00614DB2" w:rsidRDefault="00A402C9" w:rsidP="00D420DA">
      <w:pPr>
        <w:pStyle w:val="a3"/>
        <w:rPr>
          <w:rFonts w:asciiTheme="majorHAnsi" w:hAnsiTheme="majorHAnsi" w:cstheme="majorHAnsi"/>
          <w:sz w:val="16"/>
          <w:szCs w:val="16"/>
          <w:lang w:val="ro-MD"/>
        </w:rPr>
      </w:pPr>
      <w:r w:rsidRPr="00614DB2">
        <w:rPr>
          <w:rStyle w:val="a5"/>
          <w:rFonts w:asciiTheme="majorHAnsi" w:hAnsiTheme="majorHAnsi" w:cstheme="majorHAnsi"/>
          <w:sz w:val="16"/>
          <w:szCs w:val="16"/>
        </w:rPr>
        <w:footnoteRef/>
      </w:r>
      <w:r w:rsidRPr="00614DB2">
        <w:rPr>
          <w:rFonts w:asciiTheme="majorHAnsi" w:hAnsiTheme="majorHAnsi" w:cstheme="majorHAnsi"/>
          <w:sz w:val="16"/>
          <w:szCs w:val="16"/>
        </w:rPr>
        <w:t xml:space="preserve"> </w:t>
      </w:r>
      <w:r w:rsidRPr="00614DB2">
        <w:rPr>
          <w:rFonts w:asciiTheme="majorHAnsi" w:hAnsiTheme="majorHAnsi" w:cstheme="majorHAnsi"/>
          <w:sz w:val="16"/>
          <w:szCs w:val="16"/>
          <w:lang w:val="ro-MD"/>
        </w:rPr>
        <w:t>Art.5(3) din Legea bugetului asigurărilor sociale de stat pe anul 2021</w:t>
      </w:r>
      <w:r>
        <w:rPr>
          <w:rFonts w:asciiTheme="majorHAnsi" w:hAnsiTheme="majorHAnsi" w:cstheme="majorHAnsi"/>
          <w:sz w:val="16"/>
          <w:szCs w:val="16"/>
          <w:lang w:val="ro-MD"/>
        </w:rPr>
        <w:t xml:space="preserve">, </w:t>
      </w:r>
      <w:r w:rsidRPr="00614DB2">
        <w:rPr>
          <w:rFonts w:asciiTheme="majorHAnsi" w:hAnsiTheme="majorHAnsi" w:cstheme="majorHAnsi"/>
          <w:sz w:val="16"/>
          <w:szCs w:val="16"/>
          <w:lang w:val="ro-MD"/>
        </w:rPr>
        <w:t>nr.255 din 16</w:t>
      </w:r>
      <w:r>
        <w:rPr>
          <w:rFonts w:asciiTheme="majorHAnsi" w:hAnsiTheme="majorHAnsi" w:cstheme="majorHAnsi"/>
          <w:sz w:val="16"/>
          <w:szCs w:val="16"/>
          <w:lang w:val="ro-MD"/>
        </w:rPr>
        <w:t>.</w:t>
      </w:r>
      <w:r w:rsidRPr="00614DB2">
        <w:rPr>
          <w:rFonts w:asciiTheme="majorHAnsi" w:hAnsiTheme="majorHAnsi" w:cstheme="majorHAnsi"/>
          <w:sz w:val="16"/>
          <w:szCs w:val="16"/>
          <w:lang w:val="ro-MD"/>
        </w:rPr>
        <w:t>12</w:t>
      </w:r>
      <w:r>
        <w:rPr>
          <w:rFonts w:asciiTheme="majorHAnsi" w:hAnsiTheme="majorHAnsi" w:cstheme="majorHAnsi"/>
          <w:sz w:val="16"/>
          <w:szCs w:val="16"/>
          <w:lang w:val="ro-MD"/>
        </w:rPr>
        <w:t>.</w:t>
      </w:r>
      <w:r w:rsidRPr="00614DB2">
        <w:rPr>
          <w:rFonts w:asciiTheme="majorHAnsi" w:hAnsiTheme="majorHAnsi" w:cstheme="majorHAnsi"/>
          <w:sz w:val="16"/>
          <w:szCs w:val="16"/>
          <w:lang w:val="ro-MD"/>
        </w:rPr>
        <w:t>2020.</w:t>
      </w:r>
    </w:p>
  </w:footnote>
  <w:footnote w:id="9">
    <w:p w14:paraId="42FA7C04" w14:textId="2668923E" w:rsidR="00A402C9" w:rsidRPr="00614DB2" w:rsidRDefault="00A402C9" w:rsidP="00D420DA">
      <w:pPr>
        <w:pStyle w:val="a3"/>
        <w:rPr>
          <w:rFonts w:asciiTheme="majorHAnsi" w:hAnsiTheme="majorHAnsi" w:cstheme="majorHAnsi"/>
          <w:sz w:val="16"/>
          <w:szCs w:val="16"/>
          <w:lang w:val="ro-MD"/>
        </w:rPr>
      </w:pPr>
      <w:r w:rsidRPr="00614DB2">
        <w:rPr>
          <w:rFonts w:asciiTheme="majorHAnsi" w:hAnsiTheme="majorHAnsi" w:cstheme="majorHAnsi"/>
          <w:sz w:val="16"/>
          <w:szCs w:val="16"/>
          <w:vertAlign w:val="superscript"/>
          <w:lang w:val="ro-MD"/>
        </w:rPr>
        <w:footnoteRef/>
      </w:r>
      <w:r w:rsidRPr="00614DB2">
        <w:rPr>
          <w:rFonts w:asciiTheme="majorHAnsi" w:hAnsiTheme="majorHAnsi" w:cstheme="majorHAnsi"/>
          <w:sz w:val="16"/>
          <w:szCs w:val="16"/>
          <w:lang w:val="ro-MD"/>
        </w:rPr>
        <w:t xml:space="preserve"> Leg</w:t>
      </w:r>
      <w:r>
        <w:rPr>
          <w:rFonts w:asciiTheme="majorHAnsi" w:hAnsiTheme="majorHAnsi" w:cstheme="majorHAnsi"/>
          <w:sz w:val="16"/>
          <w:szCs w:val="16"/>
          <w:lang w:val="ro-MD"/>
        </w:rPr>
        <w:t>ea</w:t>
      </w:r>
      <w:r w:rsidRPr="00614DB2">
        <w:rPr>
          <w:rFonts w:asciiTheme="majorHAnsi" w:hAnsiTheme="majorHAnsi" w:cstheme="majorHAnsi"/>
          <w:sz w:val="16"/>
          <w:szCs w:val="16"/>
          <w:lang w:val="ro-MD"/>
        </w:rPr>
        <w:t xml:space="preserve"> nr.22 din 23.02.2018 privind exercitarea unor activități necalificate cu caracter ocazional desfășurate de zilieri.</w:t>
      </w:r>
    </w:p>
  </w:footnote>
  <w:footnote w:id="10">
    <w:p w14:paraId="1E748D02" w14:textId="77777777" w:rsidR="00A402C9" w:rsidRPr="00614DB2" w:rsidRDefault="00A402C9" w:rsidP="00D420DA">
      <w:pPr>
        <w:pStyle w:val="a3"/>
        <w:rPr>
          <w:rFonts w:asciiTheme="majorHAnsi" w:hAnsiTheme="majorHAnsi" w:cstheme="majorHAnsi"/>
          <w:sz w:val="16"/>
          <w:szCs w:val="16"/>
          <w:lang w:val="ro-MD"/>
        </w:rPr>
      </w:pPr>
      <w:r w:rsidRPr="00614DB2">
        <w:rPr>
          <w:rStyle w:val="a5"/>
          <w:rFonts w:asciiTheme="majorHAnsi" w:hAnsiTheme="majorHAnsi" w:cstheme="majorHAnsi"/>
          <w:sz w:val="16"/>
          <w:szCs w:val="16"/>
        </w:rPr>
        <w:footnoteRef/>
      </w:r>
      <w:r w:rsidRPr="00614DB2">
        <w:rPr>
          <w:rFonts w:asciiTheme="majorHAnsi" w:hAnsiTheme="majorHAnsi" w:cstheme="majorHAnsi"/>
          <w:sz w:val="16"/>
          <w:szCs w:val="16"/>
          <w:lang w:val="ro-MD"/>
        </w:rPr>
        <w:t xml:space="preserve"> Raportul privind executarea bugetului asigurărilor sociale de stat la situația de 1 ianuarie 2022 (Formularul nr.4.2 CNAS).</w:t>
      </w:r>
    </w:p>
  </w:footnote>
  <w:footnote w:id="11">
    <w:p w14:paraId="78523A40" w14:textId="77777777" w:rsidR="00A402C9" w:rsidRPr="00614DB2" w:rsidRDefault="00A402C9" w:rsidP="00D420DA">
      <w:pPr>
        <w:pStyle w:val="a3"/>
        <w:rPr>
          <w:rFonts w:asciiTheme="majorHAnsi" w:hAnsiTheme="majorHAnsi" w:cstheme="majorHAnsi"/>
          <w:sz w:val="16"/>
          <w:szCs w:val="16"/>
          <w:lang w:val="ro-MD"/>
        </w:rPr>
      </w:pPr>
      <w:r w:rsidRPr="00614DB2">
        <w:rPr>
          <w:rStyle w:val="a5"/>
          <w:rFonts w:asciiTheme="majorHAnsi" w:hAnsiTheme="majorHAnsi" w:cstheme="majorHAnsi"/>
          <w:sz w:val="16"/>
          <w:szCs w:val="16"/>
        </w:rPr>
        <w:footnoteRef/>
      </w:r>
      <w:r w:rsidRPr="00614DB2">
        <w:rPr>
          <w:rFonts w:asciiTheme="majorHAnsi" w:hAnsiTheme="majorHAnsi" w:cstheme="majorHAnsi"/>
          <w:sz w:val="16"/>
          <w:szCs w:val="16"/>
          <w:lang w:val="ro-MD"/>
        </w:rPr>
        <w:t xml:space="preserve"> Raportul privind executarea bugetului asigurărilor sociale de stat la situația de 1 ianuarie 2022 (Formularul nr.4.2 CNAS).</w:t>
      </w:r>
    </w:p>
  </w:footnote>
  <w:footnote w:id="12">
    <w:p w14:paraId="007B625E" w14:textId="61513838" w:rsidR="00A402C9" w:rsidRPr="00614DB2" w:rsidRDefault="00A402C9" w:rsidP="00E95BC8">
      <w:pPr>
        <w:pStyle w:val="a3"/>
        <w:jc w:val="both"/>
        <w:rPr>
          <w:rFonts w:asciiTheme="majorHAnsi" w:hAnsiTheme="majorHAnsi" w:cstheme="majorHAnsi"/>
          <w:sz w:val="16"/>
          <w:szCs w:val="16"/>
          <w:lang w:val="ro-RO"/>
        </w:rPr>
      </w:pPr>
      <w:r w:rsidRPr="00614DB2">
        <w:rPr>
          <w:rStyle w:val="a5"/>
          <w:rFonts w:asciiTheme="majorHAnsi" w:hAnsiTheme="majorHAnsi" w:cstheme="majorHAnsi"/>
          <w:sz w:val="16"/>
          <w:szCs w:val="16"/>
        </w:rPr>
        <w:footnoteRef/>
      </w:r>
      <w:r w:rsidRPr="00614DB2">
        <w:rPr>
          <w:rFonts w:asciiTheme="majorHAnsi" w:hAnsiTheme="majorHAnsi" w:cstheme="majorHAnsi"/>
          <w:sz w:val="16"/>
          <w:szCs w:val="16"/>
        </w:rPr>
        <w:t xml:space="preserve"> </w:t>
      </w:r>
      <w:r w:rsidRPr="00614DB2">
        <w:rPr>
          <w:rFonts w:asciiTheme="majorHAnsi" w:hAnsiTheme="majorHAnsi" w:cstheme="majorHAnsi"/>
          <w:sz w:val="16"/>
          <w:szCs w:val="16"/>
          <w:lang w:val="ro-MD"/>
        </w:rPr>
        <w:t>H</w:t>
      </w:r>
      <w:r>
        <w:rPr>
          <w:rFonts w:asciiTheme="majorHAnsi" w:hAnsiTheme="majorHAnsi" w:cstheme="majorHAnsi"/>
          <w:sz w:val="16"/>
          <w:szCs w:val="16"/>
          <w:lang w:val="ro-MD"/>
        </w:rPr>
        <w:t xml:space="preserve">otărârea </w:t>
      </w:r>
      <w:r w:rsidRPr="00614DB2">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614DB2">
        <w:rPr>
          <w:rFonts w:asciiTheme="majorHAnsi" w:hAnsiTheme="majorHAnsi" w:cstheme="majorHAnsi"/>
          <w:sz w:val="16"/>
          <w:szCs w:val="16"/>
          <w:lang w:val="ro-MD"/>
        </w:rPr>
        <w:t xml:space="preserve"> nr.926 din 22.12.2020 pentru modificarea anexei nr. 1 la Regulamentul cu privire la modul de stabilire și plată a indemnizațiilor adresate familiilor cu copii, aprobat pri</w:t>
      </w:r>
      <w:r>
        <w:rPr>
          <w:rFonts w:asciiTheme="majorHAnsi" w:hAnsiTheme="majorHAnsi" w:cstheme="majorHAnsi"/>
          <w:sz w:val="16"/>
          <w:szCs w:val="16"/>
          <w:lang w:val="ro-MD"/>
        </w:rPr>
        <w:t>n Hotărârea Guvernului nr. 1478 din 15.11.2002 cu privire la indemnizațiile adresate familiilor cu copii.</w:t>
      </w:r>
    </w:p>
  </w:footnote>
  <w:footnote w:id="13">
    <w:p w14:paraId="7785D7A3" w14:textId="77777777" w:rsidR="00A402C9" w:rsidRPr="00915E84" w:rsidRDefault="00A402C9" w:rsidP="00ED691E">
      <w:pPr>
        <w:pStyle w:val="a3"/>
        <w:rPr>
          <w:rFonts w:asciiTheme="majorHAnsi" w:hAnsiTheme="majorHAnsi" w:cstheme="majorHAnsi"/>
          <w:sz w:val="16"/>
          <w:szCs w:val="16"/>
        </w:rPr>
      </w:pPr>
      <w:r w:rsidRPr="00915E84">
        <w:rPr>
          <w:rStyle w:val="a5"/>
          <w:rFonts w:cstheme="majorHAnsi"/>
          <w:sz w:val="16"/>
          <w:szCs w:val="16"/>
        </w:rPr>
        <w:footnoteRef/>
      </w:r>
      <w:r w:rsidRPr="00915E84">
        <w:rPr>
          <w:rFonts w:asciiTheme="majorHAnsi" w:hAnsiTheme="majorHAnsi" w:cstheme="majorHAnsi"/>
          <w:sz w:val="16"/>
          <w:szCs w:val="16"/>
        </w:rPr>
        <w:t xml:space="preserve"> </w:t>
      </w:r>
      <w:r w:rsidRPr="00915E84">
        <w:rPr>
          <w:rFonts w:asciiTheme="majorHAnsi" w:hAnsiTheme="majorHAnsi" w:cstheme="majorHAnsi"/>
          <w:sz w:val="16"/>
          <w:szCs w:val="16"/>
          <w:lang w:val="ro-RO"/>
        </w:rPr>
        <w:t>Regulamentul cu privire la modul de stabilire și plată a ajutorului social, aprobat prin Hotărârea Guvernului nr.1167 din 16.10.2008.</w:t>
      </w:r>
    </w:p>
  </w:footnote>
  <w:footnote w:id="14">
    <w:p w14:paraId="64AE851E" w14:textId="77777777" w:rsidR="00A402C9" w:rsidRPr="00681E1E" w:rsidRDefault="00A402C9" w:rsidP="00ED691E">
      <w:pPr>
        <w:pStyle w:val="a3"/>
        <w:rPr>
          <w:rFonts w:asciiTheme="majorHAnsi" w:hAnsiTheme="majorHAnsi" w:cstheme="majorHAnsi"/>
          <w:sz w:val="16"/>
          <w:szCs w:val="16"/>
          <w:lang w:val="ro-MD"/>
        </w:rPr>
      </w:pPr>
      <w:r w:rsidRPr="00681E1E">
        <w:rPr>
          <w:rStyle w:val="a5"/>
          <w:rFonts w:cstheme="majorHAnsi"/>
          <w:sz w:val="16"/>
          <w:szCs w:val="16"/>
        </w:rPr>
        <w:footnoteRef/>
      </w:r>
      <w:r>
        <w:rPr>
          <w:rFonts w:asciiTheme="majorHAnsi" w:hAnsiTheme="majorHAnsi" w:cstheme="majorHAnsi"/>
          <w:sz w:val="16"/>
          <w:szCs w:val="16"/>
          <w:lang w:val="ro-MD"/>
        </w:rPr>
        <w:t xml:space="preserve"> Hotărârea Guvernului nr. 802 din 28.10.</w:t>
      </w:r>
      <w:r w:rsidRPr="00681E1E">
        <w:rPr>
          <w:rFonts w:asciiTheme="majorHAnsi" w:hAnsiTheme="majorHAnsi" w:cstheme="majorHAnsi"/>
          <w:sz w:val="16"/>
          <w:szCs w:val="16"/>
          <w:lang w:val="ro-MD"/>
        </w:rPr>
        <w:t>2011 c</w:t>
      </w:r>
      <w:r>
        <w:rPr>
          <w:rFonts w:asciiTheme="majorHAnsi" w:hAnsiTheme="majorHAnsi" w:cstheme="majorHAnsi"/>
          <w:sz w:val="16"/>
          <w:szCs w:val="16"/>
          <w:lang w:val="ro-MD"/>
        </w:rPr>
        <w:t>u privire la instituirea Inspecț</w:t>
      </w:r>
      <w:r w:rsidRPr="00681E1E">
        <w:rPr>
          <w:rFonts w:asciiTheme="majorHAnsi" w:hAnsiTheme="majorHAnsi" w:cstheme="majorHAnsi"/>
          <w:sz w:val="16"/>
          <w:szCs w:val="16"/>
          <w:lang w:val="ro-MD"/>
        </w:rPr>
        <w:t>iei Sociale.</w:t>
      </w:r>
    </w:p>
  </w:footnote>
  <w:footnote w:id="15">
    <w:p w14:paraId="6DC4B550" w14:textId="14BF25AC" w:rsidR="00A402C9" w:rsidRPr="00614DB2" w:rsidRDefault="00A402C9" w:rsidP="007013C7">
      <w:pPr>
        <w:pStyle w:val="a3"/>
        <w:jc w:val="both"/>
        <w:rPr>
          <w:rFonts w:asciiTheme="majorHAnsi" w:hAnsiTheme="majorHAnsi" w:cstheme="majorHAnsi"/>
          <w:sz w:val="16"/>
          <w:szCs w:val="16"/>
          <w:lang w:val="ro-MD"/>
        </w:rPr>
      </w:pPr>
      <w:r w:rsidRPr="00614DB2">
        <w:rPr>
          <w:rStyle w:val="a5"/>
          <w:rFonts w:asciiTheme="majorHAnsi" w:hAnsiTheme="majorHAnsi" w:cstheme="majorHAnsi"/>
          <w:sz w:val="16"/>
          <w:szCs w:val="16"/>
          <w:lang w:val="ro-MD"/>
        </w:rPr>
        <w:footnoteRef/>
      </w:r>
      <w:r w:rsidRPr="00614DB2">
        <w:rPr>
          <w:rFonts w:asciiTheme="majorHAnsi" w:hAnsiTheme="majorHAnsi" w:cstheme="majorHAnsi"/>
          <w:sz w:val="16"/>
          <w:szCs w:val="16"/>
          <w:lang w:val="ro-MD"/>
        </w:rPr>
        <w:t xml:space="preserve"> Art. 16 alin.1 din </w:t>
      </w:r>
      <w:bookmarkStart w:id="5" w:name="_Hlk99542811"/>
      <w:r w:rsidRPr="00614DB2">
        <w:rPr>
          <w:rFonts w:asciiTheme="majorHAnsi" w:hAnsiTheme="majorHAnsi" w:cstheme="majorHAnsi"/>
          <w:sz w:val="16"/>
          <w:szCs w:val="16"/>
          <w:lang w:val="ro-MD"/>
        </w:rPr>
        <w:t>Legea nr.289 din 22.07.2004 privind indemnizațiile pentru incapacitate temporară de muncă și alte prestații de asigurări sociale</w:t>
      </w:r>
      <w:bookmarkEnd w:id="5"/>
      <w:r>
        <w:rPr>
          <w:rFonts w:asciiTheme="majorHAnsi" w:hAnsiTheme="majorHAnsi" w:cstheme="majorHAnsi"/>
          <w:sz w:val="16"/>
          <w:szCs w:val="16"/>
          <w:lang w:val="ro-MD"/>
        </w:rPr>
        <w:t xml:space="preserve"> (în continuare – </w:t>
      </w:r>
      <w:r w:rsidRPr="00614DB2">
        <w:rPr>
          <w:rFonts w:asciiTheme="majorHAnsi" w:hAnsiTheme="majorHAnsi" w:cstheme="majorHAnsi"/>
          <w:sz w:val="16"/>
          <w:szCs w:val="16"/>
          <w:lang w:val="ro-MD"/>
        </w:rPr>
        <w:t>Legea nr.289 din 22.07.2004</w:t>
      </w:r>
      <w:r>
        <w:rPr>
          <w:rFonts w:asciiTheme="majorHAnsi" w:hAnsiTheme="majorHAnsi" w:cstheme="majorHAnsi"/>
          <w:sz w:val="16"/>
          <w:szCs w:val="16"/>
          <w:lang w:val="ro-MD"/>
        </w:rPr>
        <w:t>).</w:t>
      </w:r>
    </w:p>
  </w:footnote>
  <w:footnote w:id="16">
    <w:p w14:paraId="2E6CC2D6" w14:textId="77777777" w:rsidR="00A402C9" w:rsidRPr="00906A56" w:rsidRDefault="00A402C9" w:rsidP="00906A56">
      <w:pPr>
        <w:pStyle w:val="a3"/>
        <w:jc w:val="both"/>
        <w:rPr>
          <w:rFonts w:asciiTheme="majorHAnsi" w:hAnsiTheme="majorHAnsi" w:cstheme="majorHAnsi"/>
          <w:sz w:val="16"/>
          <w:szCs w:val="16"/>
          <w:lang w:val="ro-RO"/>
        </w:rPr>
      </w:pPr>
      <w:r w:rsidRPr="00906A56">
        <w:rPr>
          <w:rStyle w:val="a5"/>
          <w:rFonts w:asciiTheme="majorHAnsi" w:hAnsiTheme="majorHAnsi" w:cstheme="majorHAnsi"/>
          <w:sz w:val="16"/>
          <w:szCs w:val="16"/>
          <w:lang w:val="ro-RO"/>
        </w:rPr>
        <w:footnoteRef/>
      </w:r>
      <w:r w:rsidRPr="00906A56">
        <w:rPr>
          <w:rFonts w:asciiTheme="majorHAnsi" w:hAnsiTheme="majorHAnsi" w:cstheme="majorHAnsi"/>
          <w:sz w:val="16"/>
          <w:szCs w:val="16"/>
          <w:lang w:val="ro-RO"/>
        </w:rPr>
        <w:t xml:space="preserve"> Hotărârea Guvernului nr. 108 din 03.02.2005 privind aprobarea Reg</w:t>
      </w:r>
      <w:r>
        <w:rPr>
          <w:rFonts w:asciiTheme="majorHAnsi" w:hAnsiTheme="majorHAnsi" w:cstheme="majorHAnsi"/>
          <w:sz w:val="16"/>
          <w:szCs w:val="16"/>
          <w:lang w:val="ro-RO"/>
        </w:rPr>
        <w:t>ulamentului cu privire la condiț</w:t>
      </w:r>
      <w:r w:rsidRPr="00906A56">
        <w:rPr>
          <w:rFonts w:asciiTheme="majorHAnsi" w:hAnsiTheme="majorHAnsi" w:cstheme="majorHAnsi"/>
          <w:sz w:val="16"/>
          <w:szCs w:val="16"/>
          <w:lang w:val="ro-RO"/>
        </w:rPr>
        <w:t>iile de stabilire, modul de calcul şi de plată a indem</w:t>
      </w:r>
      <w:r>
        <w:rPr>
          <w:rFonts w:asciiTheme="majorHAnsi" w:hAnsiTheme="majorHAnsi" w:cstheme="majorHAnsi"/>
          <w:sz w:val="16"/>
          <w:szCs w:val="16"/>
          <w:lang w:val="ro-RO"/>
        </w:rPr>
        <w:t>nizaț</w:t>
      </w:r>
      <w:r w:rsidRPr="00906A56">
        <w:rPr>
          <w:rFonts w:asciiTheme="majorHAnsi" w:hAnsiTheme="majorHAnsi" w:cstheme="majorHAnsi"/>
          <w:sz w:val="16"/>
          <w:szCs w:val="16"/>
          <w:lang w:val="ro-RO"/>
        </w:rPr>
        <w:t>iilor pentru i</w:t>
      </w:r>
      <w:r>
        <w:rPr>
          <w:rFonts w:asciiTheme="majorHAnsi" w:hAnsiTheme="majorHAnsi" w:cstheme="majorHAnsi"/>
          <w:sz w:val="16"/>
          <w:szCs w:val="16"/>
          <w:lang w:val="ro-RO"/>
        </w:rPr>
        <w:t>ncapacitate temporară de muncă și altor prestaț</w:t>
      </w:r>
      <w:r w:rsidRPr="00906A56">
        <w:rPr>
          <w:rFonts w:asciiTheme="majorHAnsi" w:hAnsiTheme="majorHAnsi" w:cstheme="majorHAnsi"/>
          <w:sz w:val="16"/>
          <w:szCs w:val="16"/>
          <w:lang w:val="ro-RO"/>
        </w:rPr>
        <w:t>ii de asigurări sociale</w:t>
      </w:r>
      <w:r>
        <w:rPr>
          <w:rFonts w:asciiTheme="majorHAnsi" w:hAnsiTheme="majorHAnsi" w:cstheme="majorHAnsi"/>
          <w:sz w:val="16"/>
          <w:szCs w:val="16"/>
          <w:lang w:val="ro-RO"/>
        </w:rPr>
        <w:t>.</w:t>
      </w:r>
    </w:p>
  </w:footnote>
  <w:footnote w:id="17">
    <w:p w14:paraId="1D7B607D" w14:textId="77777777" w:rsidR="00A402C9" w:rsidRPr="00906A56" w:rsidRDefault="00A402C9" w:rsidP="00906A56">
      <w:pPr>
        <w:pStyle w:val="a3"/>
        <w:jc w:val="both"/>
        <w:rPr>
          <w:rFonts w:asciiTheme="majorHAnsi" w:hAnsiTheme="majorHAnsi" w:cstheme="majorHAnsi"/>
          <w:sz w:val="16"/>
          <w:szCs w:val="16"/>
          <w:lang w:val="ro-RO"/>
        </w:rPr>
      </w:pPr>
      <w:r w:rsidRPr="00906A56">
        <w:rPr>
          <w:rStyle w:val="a5"/>
          <w:rFonts w:asciiTheme="majorHAnsi" w:hAnsiTheme="majorHAnsi" w:cstheme="majorHAnsi"/>
          <w:sz w:val="16"/>
          <w:szCs w:val="16"/>
          <w:lang w:val="ro-RO"/>
        </w:rPr>
        <w:footnoteRef/>
      </w:r>
      <w:r w:rsidRPr="00906A56">
        <w:rPr>
          <w:rFonts w:asciiTheme="majorHAnsi" w:hAnsiTheme="majorHAnsi" w:cstheme="majorHAnsi"/>
          <w:sz w:val="16"/>
          <w:szCs w:val="16"/>
          <w:lang w:val="ro-RO"/>
        </w:rPr>
        <w:t xml:space="preserve"> Art. 391 alin. (1) din Codul civil al Republicii Moldova, aprobat prin Legea nr.1107-XV din 06.06.2002 (republicat în Monitorul Oficial al Republicii Moldova nr. 66-75 din 01.03.2019, art. 132).</w:t>
      </w:r>
    </w:p>
  </w:footnote>
  <w:footnote w:id="18">
    <w:p w14:paraId="21315F99" w14:textId="04150676" w:rsidR="00A402C9" w:rsidRPr="00906A56" w:rsidRDefault="00A402C9" w:rsidP="00906A56">
      <w:pPr>
        <w:pStyle w:val="a3"/>
        <w:jc w:val="both"/>
        <w:rPr>
          <w:rFonts w:asciiTheme="majorHAnsi" w:hAnsiTheme="majorHAnsi" w:cstheme="majorHAnsi"/>
          <w:sz w:val="16"/>
          <w:szCs w:val="16"/>
          <w:lang w:val="ro-RO"/>
        </w:rPr>
      </w:pPr>
      <w:r w:rsidRPr="00906A56">
        <w:rPr>
          <w:rStyle w:val="a5"/>
          <w:rFonts w:asciiTheme="majorHAnsi" w:hAnsiTheme="majorHAnsi" w:cstheme="majorHAnsi"/>
          <w:sz w:val="16"/>
          <w:szCs w:val="16"/>
          <w:lang w:val="ro-RO"/>
        </w:rPr>
        <w:footnoteRef/>
      </w:r>
      <w:r w:rsidRPr="00906A56">
        <w:rPr>
          <w:rFonts w:asciiTheme="majorHAnsi" w:hAnsiTheme="majorHAnsi" w:cstheme="majorHAnsi"/>
          <w:sz w:val="16"/>
          <w:szCs w:val="16"/>
          <w:lang w:val="ro-RO"/>
        </w:rPr>
        <w:t xml:space="preserve"> </w:t>
      </w:r>
      <w:r>
        <w:rPr>
          <w:rFonts w:asciiTheme="majorHAnsi" w:hAnsiTheme="majorHAnsi" w:cstheme="majorHAnsi"/>
          <w:bCs/>
          <w:sz w:val="16"/>
          <w:szCs w:val="16"/>
          <w:lang w:val="ro-RO"/>
        </w:rPr>
        <w:t>Art. 27 alin. (2) din Legea nr. 289 din 22.07.</w:t>
      </w:r>
      <w:r w:rsidRPr="00906A56">
        <w:rPr>
          <w:rFonts w:asciiTheme="majorHAnsi" w:hAnsiTheme="majorHAnsi" w:cstheme="majorHAnsi"/>
          <w:bCs/>
          <w:sz w:val="16"/>
          <w:szCs w:val="16"/>
          <w:lang w:val="ro-RO"/>
        </w:rPr>
        <w:t>2004</w:t>
      </w:r>
      <w:r>
        <w:rPr>
          <w:rFonts w:asciiTheme="majorHAnsi" w:hAnsiTheme="majorHAnsi" w:cstheme="majorHAnsi"/>
          <w:bCs/>
          <w:sz w:val="16"/>
          <w:szCs w:val="16"/>
          <w:lang w:val="ro-RO"/>
        </w:rPr>
        <w:t>.</w:t>
      </w:r>
    </w:p>
  </w:footnote>
  <w:footnote w:id="19">
    <w:p w14:paraId="3A1C736F" w14:textId="77777777" w:rsidR="00A402C9" w:rsidRPr="00906A56" w:rsidRDefault="00A402C9" w:rsidP="00ED691E">
      <w:pPr>
        <w:pStyle w:val="a3"/>
        <w:jc w:val="both"/>
        <w:rPr>
          <w:rFonts w:asciiTheme="majorHAnsi" w:hAnsiTheme="majorHAnsi" w:cstheme="majorHAnsi"/>
          <w:sz w:val="16"/>
          <w:szCs w:val="16"/>
          <w:lang w:val="ro-MD"/>
        </w:rPr>
      </w:pPr>
      <w:r w:rsidRPr="00BB565F">
        <w:rPr>
          <w:rStyle w:val="a5"/>
          <w:rFonts w:asciiTheme="majorHAnsi" w:hAnsiTheme="majorHAnsi" w:cstheme="majorHAnsi"/>
          <w:sz w:val="16"/>
          <w:szCs w:val="16"/>
          <w:lang w:val="ro-MD"/>
        </w:rPr>
        <w:footnoteRef/>
      </w:r>
      <w:r w:rsidRPr="00BB565F">
        <w:rPr>
          <w:rFonts w:asciiTheme="majorHAnsi" w:hAnsiTheme="majorHAnsi" w:cstheme="majorHAnsi"/>
          <w:sz w:val="16"/>
          <w:szCs w:val="16"/>
          <w:lang w:val="ro-MD"/>
        </w:rPr>
        <w:t xml:space="preserve"> Art. 18 din Legea nr.289 din 22.07.2004.</w:t>
      </w:r>
    </w:p>
  </w:footnote>
  <w:footnote w:id="20">
    <w:p w14:paraId="267C51B9" w14:textId="35A5A194" w:rsidR="00A402C9" w:rsidRPr="008431E0" w:rsidRDefault="00A402C9" w:rsidP="00BB565F">
      <w:pPr>
        <w:pStyle w:val="a3"/>
        <w:jc w:val="both"/>
        <w:rPr>
          <w:rFonts w:asciiTheme="majorHAnsi" w:hAnsiTheme="majorHAnsi" w:cstheme="majorHAnsi"/>
          <w:sz w:val="16"/>
          <w:szCs w:val="16"/>
          <w:lang w:val="ro-RO"/>
        </w:rPr>
      </w:pPr>
      <w:r w:rsidRPr="00BB565F">
        <w:rPr>
          <w:rStyle w:val="a5"/>
          <w:rFonts w:asciiTheme="majorHAnsi" w:hAnsiTheme="majorHAnsi" w:cstheme="majorHAnsi"/>
          <w:sz w:val="16"/>
          <w:szCs w:val="16"/>
          <w:lang w:val="ro-RO"/>
        </w:rPr>
        <w:footnoteRef/>
      </w:r>
      <w:r w:rsidRPr="00BB565F">
        <w:rPr>
          <w:rFonts w:asciiTheme="majorHAnsi" w:hAnsiTheme="majorHAnsi" w:cstheme="majorHAnsi"/>
          <w:sz w:val="16"/>
          <w:szCs w:val="16"/>
          <w:lang w:val="ro-RO"/>
        </w:rPr>
        <w:t xml:space="preserve"> Pct. 14 din Regulamentul cu </w:t>
      </w:r>
      <w:r w:rsidRPr="008431E0">
        <w:rPr>
          <w:rFonts w:asciiTheme="majorHAnsi" w:hAnsiTheme="majorHAnsi" w:cstheme="majorHAnsi"/>
          <w:sz w:val="16"/>
          <w:szCs w:val="16"/>
          <w:lang w:val="ro-RO"/>
        </w:rPr>
        <w:t>privire la condițiile de stabilire, modul de calcul și de plată a indemnizației paternale, aprobat prin Hotărârea Guvernului nr. 1245 din 15.11.2016.</w:t>
      </w:r>
    </w:p>
  </w:footnote>
  <w:footnote w:id="21">
    <w:p w14:paraId="4504593C" w14:textId="2E3473E6" w:rsidR="00A402C9" w:rsidRPr="00617E4A" w:rsidRDefault="00A402C9" w:rsidP="00BB565F">
      <w:pPr>
        <w:pStyle w:val="a3"/>
        <w:jc w:val="both"/>
        <w:rPr>
          <w:rFonts w:asciiTheme="majorHAnsi" w:hAnsiTheme="majorHAnsi" w:cstheme="majorHAnsi"/>
          <w:sz w:val="16"/>
          <w:szCs w:val="16"/>
          <w:lang w:val="ro-RO"/>
        </w:rPr>
      </w:pPr>
      <w:r w:rsidRPr="00617E4A">
        <w:rPr>
          <w:rStyle w:val="a5"/>
          <w:rFonts w:asciiTheme="majorHAnsi" w:hAnsiTheme="majorHAnsi" w:cstheme="majorHAnsi"/>
          <w:sz w:val="16"/>
          <w:szCs w:val="16"/>
          <w:lang w:val="ro-RO"/>
        </w:rPr>
        <w:footnoteRef/>
      </w:r>
      <w:r w:rsidRPr="00617E4A">
        <w:rPr>
          <w:rFonts w:asciiTheme="majorHAnsi" w:hAnsiTheme="majorHAnsi" w:cstheme="majorHAnsi"/>
          <w:sz w:val="16"/>
          <w:szCs w:val="16"/>
          <w:lang w:val="ro-RO"/>
        </w:rPr>
        <w:t xml:space="preserve"> </w:t>
      </w:r>
      <w:bookmarkStart w:id="6" w:name="_Hlk103588748"/>
      <w:r w:rsidRPr="008431E0">
        <w:rPr>
          <w:rFonts w:asciiTheme="majorHAnsi" w:hAnsiTheme="majorHAnsi" w:cstheme="majorHAnsi"/>
          <w:sz w:val="16"/>
          <w:szCs w:val="16"/>
          <w:lang w:val="ro-RO"/>
        </w:rPr>
        <w:t>Pct. 9 din Regulamentul cu privire la condiţiile de stabilire, modul de calcul şi de plată a indemnizaţiei paternale, aprobat prin Hotărâ</w:t>
      </w:r>
      <w:r w:rsidRPr="00C273E8">
        <w:rPr>
          <w:rFonts w:asciiTheme="majorHAnsi" w:hAnsiTheme="majorHAnsi" w:cstheme="majorHAnsi"/>
          <w:sz w:val="16"/>
          <w:szCs w:val="16"/>
          <w:lang w:val="ro-RO"/>
        </w:rPr>
        <w:t>rea Guvernului nr. 1245 din 15.11.2016</w:t>
      </w:r>
      <w:bookmarkEnd w:id="6"/>
      <w:r w:rsidRPr="00C273E8">
        <w:rPr>
          <w:rFonts w:asciiTheme="majorHAnsi" w:hAnsiTheme="majorHAnsi" w:cstheme="majorHAnsi"/>
          <w:sz w:val="16"/>
          <w:szCs w:val="16"/>
          <w:lang w:val="ro-RO"/>
        </w:rPr>
        <w:t>.</w:t>
      </w:r>
    </w:p>
  </w:footnote>
  <w:footnote w:id="22">
    <w:p w14:paraId="10BE8EF0" w14:textId="77777777" w:rsidR="00A402C9" w:rsidRPr="00B10243" w:rsidRDefault="00A402C9" w:rsidP="00F13DFF">
      <w:pPr>
        <w:pStyle w:val="a3"/>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 4, art. 8 și art. 15 din Legea nr.229 din 23.09.2010 privind controlul financiar public intern (în continuare – Legea </w:t>
      </w:r>
      <w:r w:rsidRPr="000136F8">
        <w:rPr>
          <w:rFonts w:asciiTheme="majorHAnsi" w:eastAsia="Times New Roman" w:hAnsiTheme="majorHAnsi" w:cstheme="majorHAnsi"/>
          <w:sz w:val="16"/>
          <w:szCs w:val="16"/>
          <w:lang w:val="ro-MD"/>
        </w:rPr>
        <w:t>nr.229 din 23.09.2010)</w:t>
      </w:r>
      <w:r w:rsidRPr="00B10243">
        <w:rPr>
          <w:rFonts w:asciiTheme="majorHAnsi" w:hAnsiTheme="majorHAnsi" w:cstheme="majorHAnsi"/>
          <w:sz w:val="16"/>
          <w:szCs w:val="16"/>
          <w:lang w:val="ro-MD"/>
        </w:rPr>
        <w:t>.</w:t>
      </w:r>
    </w:p>
  </w:footnote>
  <w:footnote w:id="23">
    <w:p w14:paraId="797E34BF" w14:textId="77777777" w:rsidR="00A402C9" w:rsidRPr="000136F8" w:rsidRDefault="00A402C9" w:rsidP="00680151">
      <w:pPr>
        <w:pStyle w:val="a8"/>
        <w:rPr>
          <w:rFonts w:asciiTheme="majorHAnsi" w:hAnsiTheme="majorHAnsi" w:cstheme="majorHAnsi"/>
          <w:sz w:val="16"/>
          <w:szCs w:val="16"/>
          <w:lang w:val="ro-MD"/>
        </w:rPr>
      </w:pPr>
      <w:r w:rsidRPr="000136F8">
        <w:rPr>
          <w:rStyle w:val="a5"/>
          <w:rFonts w:asciiTheme="majorHAnsi" w:hAnsiTheme="majorHAnsi" w:cstheme="majorHAnsi"/>
          <w:sz w:val="16"/>
          <w:szCs w:val="16"/>
          <w:lang w:val="ro-MD"/>
        </w:rPr>
        <w:footnoteRef/>
      </w:r>
      <w:r w:rsidRPr="000136F8">
        <w:rPr>
          <w:rFonts w:asciiTheme="majorHAnsi" w:hAnsiTheme="majorHAnsi" w:cstheme="majorHAnsi"/>
          <w:sz w:val="16"/>
          <w:szCs w:val="16"/>
          <w:lang w:val="ro-MD"/>
        </w:rPr>
        <w:t xml:space="preserve"> </w:t>
      </w:r>
      <w:r w:rsidRPr="000136F8">
        <w:rPr>
          <w:rFonts w:asciiTheme="majorHAnsi" w:eastAsia="Times New Roman" w:hAnsiTheme="majorHAnsi" w:cstheme="majorHAnsi"/>
          <w:sz w:val="16"/>
          <w:szCs w:val="16"/>
          <w:lang w:val="ro-MD"/>
        </w:rPr>
        <w:t>Legea nr.229 din 23.09.2010.</w:t>
      </w:r>
    </w:p>
  </w:footnote>
  <w:footnote w:id="24">
    <w:p w14:paraId="79BA7FFD" w14:textId="20A2445E" w:rsidR="00A402C9" w:rsidRPr="009734D8" w:rsidRDefault="00A402C9" w:rsidP="007E3CA1">
      <w:pPr>
        <w:spacing w:after="0"/>
        <w:jc w:val="both"/>
        <w:rPr>
          <w:rFonts w:asciiTheme="majorHAnsi" w:eastAsia="Times New Roman" w:hAnsiTheme="majorHAnsi" w:cstheme="majorHAnsi"/>
          <w:sz w:val="16"/>
          <w:szCs w:val="16"/>
          <w:lang w:val="ro-RO"/>
        </w:rPr>
      </w:pPr>
      <w:r w:rsidRPr="00484924">
        <w:rPr>
          <w:rStyle w:val="a5"/>
          <w:rFonts w:asciiTheme="majorHAnsi" w:hAnsiTheme="majorHAnsi" w:cstheme="majorHAnsi"/>
          <w:sz w:val="16"/>
          <w:szCs w:val="16"/>
          <w:lang w:val="ro-RO"/>
        </w:rPr>
        <w:footnoteRef/>
      </w:r>
      <w:r w:rsidRPr="00484924">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Prin </w:t>
      </w:r>
      <w:r w:rsidRPr="00814622">
        <w:rPr>
          <w:rFonts w:asciiTheme="majorHAnsi" w:eastAsia="Times New Roman" w:hAnsiTheme="majorHAnsi" w:cstheme="majorHAnsi"/>
          <w:sz w:val="16"/>
          <w:szCs w:val="16"/>
          <w:lang w:val="ro-RO"/>
        </w:rPr>
        <w:t>Hotărârea Curții de Conturi nr.2</w:t>
      </w:r>
      <w:r>
        <w:rPr>
          <w:rFonts w:asciiTheme="majorHAnsi" w:eastAsia="Times New Roman" w:hAnsiTheme="majorHAnsi" w:cstheme="majorHAnsi"/>
          <w:sz w:val="16"/>
          <w:szCs w:val="16"/>
          <w:lang w:val="ro-RO"/>
        </w:rPr>
        <w:t>0</w:t>
      </w:r>
      <w:r w:rsidRPr="00814622">
        <w:rPr>
          <w:rFonts w:asciiTheme="majorHAnsi" w:eastAsia="Times New Roman" w:hAnsiTheme="majorHAnsi" w:cstheme="majorHAnsi"/>
          <w:sz w:val="16"/>
          <w:szCs w:val="16"/>
          <w:lang w:val="ro-RO"/>
        </w:rPr>
        <w:t xml:space="preserve"> din </w:t>
      </w:r>
      <w:r>
        <w:rPr>
          <w:rFonts w:asciiTheme="majorHAnsi" w:eastAsia="Times New Roman" w:hAnsiTheme="majorHAnsi" w:cstheme="majorHAnsi"/>
          <w:sz w:val="16"/>
          <w:szCs w:val="16"/>
          <w:lang w:val="ro-RO"/>
        </w:rPr>
        <w:t>03.06</w:t>
      </w:r>
      <w:r w:rsidRPr="00814622">
        <w:rPr>
          <w:rFonts w:asciiTheme="majorHAnsi" w:eastAsia="Times New Roman" w:hAnsiTheme="majorHAnsi" w:cstheme="majorHAnsi"/>
          <w:sz w:val="16"/>
          <w:szCs w:val="16"/>
          <w:lang w:val="ro-RO"/>
        </w:rPr>
        <w:t>.202</w:t>
      </w:r>
      <w:r>
        <w:rPr>
          <w:rFonts w:asciiTheme="majorHAnsi" w:eastAsia="Times New Roman" w:hAnsiTheme="majorHAnsi" w:cstheme="majorHAnsi"/>
          <w:sz w:val="16"/>
          <w:szCs w:val="16"/>
          <w:lang w:val="ro-RO"/>
        </w:rPr>
        <w:t>1</w:t>
      </w:r>
      <w:r w:rsidRPr="00814622">
        <w:rPr>
          <w:rFonts w:asciiTheme="majorHAnsi" w:eastAsia="Times New Roman" w:hAnsiTheme="majorHAnsi" w:cstheme="majorHAnsi"/>
          <w:sz w:val="16"/>
          <w:szCs w:val="16"/>
          <w:lang w:val="ro-RO"/>
        </w:rPr>
        <w:t xml:space="preserve"> „Cu privire la Raportul auditului financiar asupra Raportului Guvernului privind executarea bugetului asigurărilor social</w:t>
      </w:r>
      <w:r>
        <w:rPr>
          <w:rFonts w:asciiTheme="majorHAnsi" w:eastAsia="Times New Roman" w:hAnsiTheme="majorHAnsi" w:cstheme="majorHAnsi"/>
          <w:sz w:val="16"/>
          <w:szCs w:val="16"/>
          <w:lang w:val="ro-RO"/>
        </w:rPr>
        <w:t>e de stat în anul bugetar 2019” au fost</w:t>
      </w:r>
      <w:r w:rsidRPr="009734D8">
        <w:rPr>
          <w:rFonts w:asciiTheme="majorHAnsi" w:eastAsia="Times New Roman" w:hAnsiTheme="majorHAnsi" w:cstheme="majorHAnsi"/>
          <w:sz w:val="16"/>
          <w:szCs w:val="16"/>
          <w:lang w:val="ro-RO"/>
        </w:rPr>
        <w:t xml:space="preserve"> înaintate 21 </w:t>
      </w:r>
      <w:r>
        <w:rPr>
          <w:rFonts w:asciiTheme="majorHAnsi" w:eastAsia="Times New Roman" w:hAnsiTheme="majorHAnsi" w:cstheme="majorHAnsi"/>
          <w:sz w:val="16"/>
          <w:szCs w:val="16"/>
          <w:lang w:val="ro-RO"/>
        </w:rPr>
        <w:t xml:space="preserve">de </w:t>
      </w:r>
      <w:r w:rsidRPr="009734D8">
        <w:rPr>
          <w:rFonts w:asciiTheme="majorHAnsi" w:eastAsia="Times New Roman" w:hAnsiTheme="majorHAnsi" w:cstheme="majorHAnsi"/>
          <w:sz w:val="16"/>
          <w:szCs w:val="16"/>
          <w:lang w:val="ro-RO"/>
        </w:rPr>
        <w:t>recomandări.</w:t>
      </w:r>
    </w:p>
  </w:footnote>
  <w:footnote w:id="25">
    <w:p w14:paraId="02CD0FD0" w14:textId="77777777" w:rsidR="00A402C9" w:rsidRPr="009734D8" w:rsidRDefault="00A402C9" w:rsidP="00B21A26">
      <w:pPr>
        <w:pStyle w:val="a3"/>
        <w:rPr>
          <w:rFonts w:asciiTheme="majorHAnsi" w:eastAsia="Times New Roman" w:hAnsiTheme="majorHAnsi" w:cstheme="majorHAnsi"/>
          <w:sz w:val="16"/>
          <w:szCs w:val="16"/>
          <w:lang w:val="ro-RO"/>
        </w:rPr>
      </w:pPr>
      <w:r w:rsidRPr="00617E4A">
        <w:rPr>
          <w:rFonts w:asciiTheme="majorHAnsi" w:eastAsia="Times New Roman" w:hAnsiTheme="majorHAnsi" w:cstheme="majorHAnsi"/>
          <w:sz w:val="16"/>
          <w:szCs w:val="16"/>
          <w:vertAlign w:val="superscript"/>
          <w:lang w:val="ro-RO"/>
        </w:rPr>
        <w:footnoteRef/>
      </w:r>
      <w:r w:rsidRPr="00617E4A">
        <w:rPr>
          <w:rFonts w:asciiTheme="majorHAnsi" w:eastAsia="Times New Roman" w:hAnsiTheme="majorHAnsi" w:cstheme="majorHAnsi"/>
          <w:sz w:val="16"/>
          <w:szCs w:val="16"/>
          <w:vertAlign w:val="superscript"/>
          <w:lang w:val="ro-RO"/>
        </w:rPr>
        <w:t xml:space="preserve"> </w:t>
      </w:r>
      <w:r>
        <w:rPr>
          <w:rFonts w:asciiTheme="majorHAnsi" w:eastAsia="Times New Roman" w:hAnsiTheme="majorHAnsi" w:cstheme="majorHAnsi"/>
          <w:sz w:val="16"/>
          <w:szCs w:val="16"/>
          <w:lang w:val="ro-RO"/>
        </w:rPr>
        <w:t>Secțiunea a 4-a „Asigurare de șomaj” din</w:t>
      </w:r>
      <w:r w:rsidRPr="009734D8">
        <w:rPr>
          <w:rFonts w:asciiTheme="majorHAnsi" w:eastAsia="Times New Roman" w:hAnsiTheme="majorHAnsi" w:cstheme="majorHAnsi"/>
          <w:sz w:val="16"/>
          <w:szCs w:val="16"/>
          <w:lang w:val="ro-RO"/>
        </w:rPr>
        <w:t xml:space="preserve"> Legea nr. 105 din 14.06.2018 cu privire la promovarea ocupării forței de muncă și asigurare de șomaj. </w:t>
      </w:r>
    </w:p>
  </w:footnote>
  <w:footnote w:id="26">
    <w:p w14:paraId="0FE45EA1" w14:textId="77450D85" w:rsidR="00A402C9" w:rsidRPr="00B2348F" w:rsidRDefault="00A402C9">
      <w:pPr>
        <w:pStyle w:val="a3"/>
        <w:rPr>
          <w:lang w:val="ro-MD"/>
        </w:rPr>
      </w:pPr>
      <w:r w:rsidRPr="00617E4A">
        <w:rPr>
          <w:rFonts w:asciiTheme="majorHAnsi" w:eastAsia="Times New Roman" w:hAnsiTheme="majorHAnsi" w:cstheme="majorHAnsi"/>
          <w:sz w:val="16"/>
          <w:szCs w:val="16"/>
          <w:vertAlign w:val="superscript"/>
          <w:lang w:val="ro-RO"/>
        </w:rPr>
        <w:footnoteRef/>
      </w:r>
      <w:r w:rsidRPr="00617E4A">
        <w:rPr>
          <w:rFonts w:asciiTheme="majorHAnsi" w:eastAsia="Times New Roman" w:hAnsiTheme="majorHAnsi" w:cstheme="majorHAnsi"/>
          <w:sz w:val="16"/>
          <w:szCs w:val="16"/>
          <w:vertAlign w:val="superscript"/>
          <w:lang w:val="ro-RO"/>
        </w:rPr>
        <w:t xml:space="preserve"> </w:t>
      </w:r>
      <w:r w:rsidRPr="009734D8">
        <w:rPr>
          <w:rFonts w:asciiTheme="majorHAnsi" w:eastAsia="Times New Roman" w:hAnsiTheme="majorHAnsi" w:cstheme="majorHAnsi"/>
          <w:sz w:val="16"/>
          <w:szCs w:val="16"/>
          <w:lang w:val="ro-RO"/>
        </w:rPr>
        <w:t>M</w:t>
      </w:r>
      <w:r>
        <w:rPr>
          <w:rFonts w:asciiTheme="majorHAnsi" w:eastAsia="Times New Roman" w:hAnsiTheme="majorHAnsi" w:cstheme="majorHAnsi"/>
          <w:sz w:val="16"/>
          <w:szCs w:val="16"/>
          <w:lang w:val="ro-RO"/>
        </w:rPr>
        <w:t>inisterul A</w:t>
      </w:r>
      <w:r w:rsidRPr="009734D8">
        <w:rPr>
          <w:rFonts w:asciiTheme="majorHAnsi" w:eastAsia="Times New Roman" w:hAnsiTheme="majorHAnsi" w:cstheme="majorHAnsi"/>
          <w:sz w:val="16"/>
          <w:szCs w:val="16"/>
          <w:lang w:val="ro-RO"/>
        </w:rPr>
        <w:t xml:space="preserve">facerilor Interne, </w:t>
      </w:r>
      <w:r>
        <w:rPr>
          <w:rFonts w:asciiTheme="majorHAnsi" w:eastAsia="Times New Roman" w:hAnsiTheme="majorHAnsi" w:cstheme="majorHAnsi"/>
          <w:sz w:val="16"/>
          <w:szCs w:val="16"/>
          <w:lang w:val="ro-RO"/>
        </w:rPr>
        <w:t>Ministerul Muncii și Protecției Sociale.</w:t>
      </w:r>
    </w:p>
  </w:footnote>
  <w:footnote w:id="27">
    <w:p w14:paraId="28E0E988" w14:textId="72EBC4FC" w:rsidR="00A402C9" w:rsidRPr="00614DB2" w:rsidRDefault="00A402C9" w:rsidP="009E1FA0">
      <w:pPr>
        <w:pStyle w:val="a3"/>
        <w:jc w:val="both"/>
        <w:rPr>
          <w:rFonts w:asciiTheme="majorHAnsi" w:hAnsiTheme="majorHAnsi" w:cstheme="majorHAnsi"/>
          <w:sz w:val="16"/>
          <w:szCs w:val="16"/>
          <w:lang w:val="ro-MD"/>
        </w:rPr>
      </w:pPr>
      <w:r w:rsidRPr="00617E4A">
        <w:rPr>
          <w:rFonts w:asciiTheme="majorHAnsi" w:eastAsia="Times New Roman" w:hAnsiTheme="majorHAnsi" w:cstheme="majorHAnsi"/>
          <w:bCs/>
          <w:sz w:val="16"/>
          <w:szCs w:val="16"/>
          <w:vertAlign w:val="superscript"/>
          <w:lang w:val="ro-MD" w:eastAsia="ro-RO"/>
        </w:rPr>
        <w:footnoteRef/>
      </w:r>
      <w:r w:rsidRPr="00614DB2">
        <w:rPr>
          <w:rFonts w:asciiTheme="majorHAnsi" w:eastAsia="Times New Roman" w:hAnsiTheme="majorHAnsi" w:cstheme="majorHAnsi"/>
          <w:bCs/>
          <w:sz w:val="16"/>
          <w:szCs w:val="16"/>
          <w:lang w:val="ro-MD" w:eastAsia="ro-RO"/>
        </w:rPr>
        <w:t xml:space="preserve"> Leg</w:t>
      </w:r>
      <w:r>
        <w:rPr>
          <w:rFonts w:asciiTheme="majorHAnsi" w:eastAsia="Times New Roman" w:hAnsiTheme="majorHAnsi" w:cstheme="majorHAnsi"/>
          <w:bCs/>
          <w:sz w:val="16"/>
          <w:szCs w:val="16"/>
          <w:lang w:val="ro-MD" w:eastAsia="ro-RO"/>
        </w:rPr>
        <w:t>ea</w:t>
      </w:r>
      <w:r w:rsidRPr="00614DB2">
        <w:rPr>
          <w:rFonts w:asciiTheme="majorHAnsi" w:eastAsia="Times New Roman" w:hAnsiTheme="majorHAnsi" w:cstheme="majorHAnsi"/>
          <w:bCs/>
          <w:sz w:val="16"/>
          <w:szCs w:val="16"/>
          <w:lang w:val="ro-MD" w:eastAsia="ro-RO"/>
        </w:rPr>
        <w:t xml:space="preserve"> nr.489</w:t>
      </w:r>
      <w:r>
        <w:rPr>
          <w:rFonts w:asciiTheme="majorHAnsi" w:hAnsiTheme="majorHAnsi" w:cstheme="majorHAnsi"/>
          <w:sz w:val="16"/>
          <w:szCs w:val="16"/>
          <w:lang w:val="ro-MD"/>
        </w:rPr>
        <w:t>-XIV din 08.07.</w:t>
      </w:r>
      <w:r w:rsidRPr="00614DB2">
        <w:rPr>
          <w:rFonts w:asciiTheme="majorHAnsi" w:eastAsia="Times New Roman" w:hAnsiTheme="majorHAnsi" w:cstheme="majorHAnsi"/>
          <w:bCs/>
          <w:sz w:val="16"/>
          <w:szCs w:val="16"/>
          <w:lang w:val="ro-MD" w:eastAsia="ro-RO"/>
        </w:rPr>
        <w:t>1999</w:t>
      </w:r>
      <w:r>
        <w:rPr>
          <w:rFonts w:asciiTheme="majorHAnsi" w:hAnsiTheme="majorHAnsi" w:cstheme="majorHAnsi"/>
          <w:noProof/>
          <w:color w:val="000000"/>
          <w:sz w:val="16"/>
          <w:szCs w:val="16"/>
          <w:lang w:val="ro-MD"/>
        </w:rPr>
        <w:t>.</w:t>
      </w:r>
    </w:p>
  </w:footnote>
  <w:footnote w:id="28">
    <w:p w14:paraId="576BC379" w14:textId="1D320E16" w:rsidR="00A402C9" w:rsidRPr="006D7922" w:rsidRDefault="00A402C9" w:rsidP="009E1FA0">
      <w:pPr>
        <w:pStyle w:val="a3"/>
        <w:contextualSpacing/>
        <w:jc w:val="both"/>
        <w:rPr>
          <w:rFonts w:asciiTheme="majorHAnsi" w:hAnsiTheme="majorHAnsi" w:cstheme="majorHAnsi"/>
          <w:sz w:val="16"/>
          <w:szCs w:val="16"/>
          <w:lang w:val="ro-MD"/>
        </w:rPr>
      </w:pPr>
      <w:r w:rsidRPr="006D7922">
        <w:rPr>
          <w:rStyle w:val="a5"/>
          <w:rFonts w:asciiTheme="majorHAnsi" w:hAnsiTheme="majorHAnsi" w:cstheme="majorHAnsi"/>
          <w:sz w:val="16"/>
          <w:szCs w:val="16"/>
          <w:lang w:val="ro-MD"/>
        </w:rPr>
        <w:footnoteRef/>
      </w:r>
      <w:r w:rsidRPr="006D7922">
        <w:rPr>
          <w:rFonts w:asciiTheme="majorHAnsi" w:hAnsiTheme="majorHAnsi" w:cstheme="majorHAnsi"/>
          <w:sz w:val="16"/>
          <w:szCs w:val="16"/>
          <w:lang w:val="ro-MD"/>
        </w:rPr>
        <w:t xml:space="preserve"> </w:t>
      </w:r>
      <w:r w:rsidRPr="006D7922">
        <w:rPr>
          <w:rFonts w:asciiTheme="majorHAnsi" w:hAnsiTheme="majorHAnsi" w:cstheme="majorHAnsi"/>
          <w:noProof/>
          <w:sz w:val="16"/>
          <w:szCs w:val="16"/>
          <w:lang w:val="ro-MD"/>
        </w:rPr>
        <w:t xml:space="preserve">Legea nr. 255 din 16.12.2020 privind bugetul asigurărilor sociale de stat pe anul 2021 (în continuare </w:t>
      </w:r>
      <w:r>
        <w:rPr>
          <w:rFonts w:asciiTheme="majorHAnsi" w:hAnsiTheme="majorHAnsi" w:cstheme="majorHAnsi"/>
          <w:noProof/>
          <w:sz w:val="16"/>
          <w:szCs w:val="16"/>
          <w:lang w:val="ro-MD"/>
        </w:rPr>
        <w:t xml:space="preserve">– </w:t>
      </w:r>
      <w:r w:rsidRPr="006D7922">
        <w:rPr>
          <w:rFonts w:asciiTheme="majorHAnsi" w:hAnsiTheme="majorHAnsi" w:cstheme="majorHAnsi"/>
          <w:noProof/>
          <w:sz w:val="16"/>
          <w:szCs w:val="16"/>
          <w:lang w:val="ro-MD"/>
        </w:rPr>
        <w:t xml:space="preserve">Legea nr. 255 din 16.12.2020); </w:t>
      </w:r>
      <w:r w:rsidRPr="006D7922">
        <w:rPr>
          <w:rFonts w:asciiTheme="majorHAnsi" w:hAnsiTheme="majorHAnsi" w:cstheme="majorHAnsi"/>
          <w:sz w:val="16"/>
          <w:szCs w:val="16"/>
          <w:lang w:val="ro-MD"/>
        </w:rPr>
        <w:t>Legea nr.489-XIV din 08.07.1999</w:t>
      </w:r>
      <w:r w:rsidRPr="006D7922">
        <w:rPr>
          <w:rFonts w:asciiTheme="majorHAnsi" w:hAnsiTheme="majorHAnsi" w:cstheme="majorHAnsi"/>
          <w:noProof/>
          <w:color w:val="000000"/>
          <w:sz w:val="16"/>
          <w:szCs w:val="16"/>
          <w:lang w:val="ro-MD"/>
        </w:rPr>
        <w:t>.</w:t>
      </w:r>
    </w:p>
  </w:footnote>
  <w:footnote w:id="29">
    <w:p w14:paraId="470F0595" w14:textId="77777777" w:rsidR="00A402C9" w:rsidRPr="006D7922" w:rsidRDefault="00A402C9" w:rsidP="00D30FF8">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rPr>
        <w:footnoteRef/>
      </w:r>
      <w:r w:rsidRPr="006D7922">
        <w:rPr>
          <w:rFonts w:asciiTheme="majorHAnsi" w:hAnsiTheme="majorHAnsi" w:cstheme="majorHAnsi"/>
          <w:sz w:val="16"/>
          <w:szCs w:val="16"/>
          <w:lang w:val="ro-MD"/>
        </w:rPr>
        <w:t xml:space="preserve"> Art.13 alin.(1) din Legea nr.156-XIV din 14.10.1998 privind sistemul public de pensii (în continuare – Legea nr.156-XIV din 14.10.1998).</w:t>
      </w:r>
    </w:p>
  </w:footnote>
  <w:footnote w:id="30">
    <w:p w14:paraId="2655ED5D" w14:textId="25AA28E4" w:rsidR="00A402C9" w:rsidRPr="00514E6A" w:rsidRDefault="00A402C9" w:rsidP="00D30FF8">
      <w:pPr>
        <w:pStyle w:val="a3"/>
        <w:jc w:val="both"/>
        <w:rPr>
          <w:rFonts w:asciiTheme="majorHAnsi" w:hAnsiTheme="majorHAnsi" w:cstheme="majorHAnsi"/>
          <w:sz w:val="16"/>
          <w:szCs w:val="16"/>
          <w:lang w:val="ro-MD"/>
        </w:rPr>
      </w:pPr>
      <w:r w:rsidRPr="006D7922">
        <w:rPr>
          <w:rStyle w:val="a5"/>
          <w:rFonts w:asciiTheme="majorHAnsi" w:hAnsiTheme="majorHAnsi" w:cstheme="majorHAnsi"/>
          <w:sz w:val="16"/>
          <w:szCs w:val="16"/>
        </w:rPr>
        <w:footnoteRef/>
      </w:r>
      <w:r w:rsidRPr="006D7922">
        <w:rPr>
          <w:rFonts w:asciiTheme="majorHAnsi" w:hAnsiTheme="majorHAnsi" w:cstheme="majorHAnsi"/>
          <w:sz w:val="16"/>
          <w:szCs w:val="16"/>
        </w:rPr>
        <w:t xml:space="preserve"> </w:t>
      </w:r>
      <w:r w:rsidRPr="006D7922">
        <w:rPr>
          <w:rFonts w:asciiTheme="majorHAnsi" w:hAnsiTheme="majorHAnsi" w:cstheme="majorHAnsi"/>
          <w:sz w:val="16"/>
          <w:szCs w:val="16"/>
          <w:lang w:val="ro-MD"/>
        </w:rPr>
        <w:t xml:space="preserve">Art.4 alin.(4) din Legea nr.27 din 12.03.2021 pentru modificarea unor acte normative; Hotărârea de Guvernului nr.162 din 08.09.2021 </w:t>
      </w:r>
      <w:r w:rsidRPr="006D7922">
        <w:rPr>
          <w:rStyle w:val="af"/>
          <w:rFonts w:asciiTheme="majorHAnsi" w:hAnsiTheme="majorHAnsi" w:cstheme="majorHAnsi"/>
          <w:b w:val="0"/>
          <w:color w:val="333333"/>
          <w:sz w:val="16"/>
          <w:szCs w:val="16"/>
          <w:lang w:val="ro-MD"/>
        </w:rPr>
        <w:t>cu privire la indexarea prestațiilor de asigurări</w:t>
      </w:r>
      <w:r w:rsidRPr="00514E6A">
        <w:rPr>
          <w:rFonts w:asciiTheme="majorHAnsi" w:hAnsiTheme="majorHAnsi" w:cstheme="majorHAnsi"/>
          <w:b/>
          <w:color w:val="333333"/>
          <w:sz w:val="16"/>
          <w:szCs w:val="16"/>
          <w:lang w:val="ro-MD"/>
        </w:rPr>
        <w:t xml:space="preserve"> </w:t>
      </w:r>
      <w:r w:rsidRPr="00514E6A">
        <w:rPr>
          <w:rStyle w:val="af"/>
          <w:rFonts w:asciiTheme="majorHAnsi" w:hAnsiTheme="majorHAnsi" w:cstheme="majorHAnsi"/>
          <w:b w:val="0"/>
          <w:color w:val="333333"/>
          <w:sz w:val="16"/>
          <w:szCs w:val="16"/>
          <w:lang w:val="ro-MD"/>
        </w:rPr>
        <w:t>sociale și a unor prestații sociale de stat.</w:t>
      </w:r>
    </w:p>
  </w:footnote>
  <w:footnote w:id="31">
    <w:p w14:paraId="497FC028" w14:textId="77777777" w:rsidR="00A402C9" w:rsidRPr="006D7922" w:rsidRDefault="00A402C9" w:rsidP="00D30FF8">
      <w:pPr>
        <w:pStyle w:val="a3"/>
        <w:jc w:val="both"/>
        <w:rPr>
          <w:rFonts w:asciiTheme="majorHAnsi" w:hAnsiTheme="majorHAnsi" w:cstheme="majorHAnsi"/>
          <w:sz w:val="16"/>
          <w:szCs w:val="16"/>
          <w:lang w:val="ro-MD"/>
        </w:rPr>
      </w:pPr>
      <w:r w:rsidRPr="006D7922">
        <w:rPr>
          <w:rStyle w:val="a5"/>
          <w:rFonts w:asciiTheme="majorHAnsi" w:hAnsiTheme="majorHAnsi" w:cstheme="majorHAnsi"/>
          <w:sz w:val="16"/>
          <w:szCs w:val="16"/>
          <w:lang w:val="ro-MD"/>
        </w:rPr>
        <w:footnoteRef/>
      </w:r>
      <w:r w:rsidRPr="006D7922">
        <w:rPr>
          <w:rFonts w:asciiTheme="majorHAnsi" w:hAnsiTheme="majorHAnsi" w:cstheme="majorHAnsi"/>
          <w:sz w:val="16"/>
          <w:szCs w:val="16"/>
          <w:lang w:val="ro-MD"/>
        </w:rPr>
        <w:t xml:space="preserve"> </w:t>
      </w:r>
      <w:r w:rsidRPr="006D7922">
        <w:rPr>
          <w:rFonts w:asciiTheme="majorHAnsi" w:eastAsia="Times New Roman" w:hAnsiTheme="majorHAnsi" w:cstheme="majorHAnsi"/>
          <w:sz w:val="16"/>
          <w:szCs w:val="16"/>
          <w:lang w:val="ro-MD"/>
        </w:rPr>
        <w:t xml:space="preserve">Art.33 din </w:t>
      </w:r>
      <w:r w:rsidRPr="006D7922">
        <w:rPr>
          <w:rFonts w:asciiTheme="majorHAnsi" w:hAnsiTheme="majorHAnsi" w:cstheme="majorHAnsi"/>
          <w:sz w:val="16"/>
          <w:szCs w:val="16"/>
          <w:lang w:val="ro-MD"/>
        </w:rPr>
        <w:t>Legea nr. 156-XIV din 14.10.1998.</w:t>
      </w:r>
    </w:p>
  </w:footnote>
  <w:footnote w:id="32">
    <w:p w14:paraId="0BCCD464" w14:textId="7114F001" w:rsidR="00A402C9" w:rsidRPr="00941A43" w:rsidRDefault="00A402C9">
      <w:pPr>
        <w:pStyle w:val="a3"/>
        <w:rPr>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w:t>
      </w:r>
      <w:r w:rsidRPr="00941A43">
        <w:rPr>
          <w:rFonts w:asciiTheme="majorHAnsi" w:eastAsia="Times New Roman" w:hAnsiTheme="majorHAnsi" w:cstheme="majorHAnsi"/>
          <w:color w:val="000000"/>
          <w:sz w:val="16"/>
          <w:szCs w:val="16"/>
          <w:lang w:val="ro-MD" w:eastAsia="ru-RU"/>
        </w:rPr>
        <w:t>Scrisoarea CNAS nr.II-03/10-1946 din 11.10.2021.</w:t>
      </w:r>
    </w:p>
  </w:footnote>
  <w:footnote w:id="33">
    <w:p w14:paraId="44FBA149" w14:textId="77777777" w:rsidR="00A402C9" w:rsidRPr="00906A56" w:rsidRDefault="00A402C9" w:rsidP="00153694">
      <w:pPr>
        <w:pStyle w:val="a3"/>
        <w:jc w:val="both"/>
        <w:rPr>
          <w:rFonts w:asciiTheme="majorHAnsi" w:hAnsiTheme="majorHAnsi" w:cstheme="majorHAnsi"/>
          <w:sz w:val="16"/>
          <w:szCs w:val="16"/>
          <w:lang w:val="ro-MD"/>
        </w:rPr>
      </w:pPr>
      <w:r w:rsidRPr="00906A56">
        <w:rPr>
          <w:rStyle w:val="a5"/>
          <w:rFonts w:asciiTheme="majorHAnsi" w:hAnsiTheme="majorHAnsi" w:cstheme="majorHAnsi"/>
          <w:sz w:val="16"/>
          <w:szCs w:val="16"/>
          <w:lang w:val="ro-MD"/>
        </w:rPr>
        <w:footnoteRef/>
      </w:r>
      <w:r w:rsidRPr="00906A56">
        <w:rPr>
          <w:rFonts w:asciiTheme="majorHAnsi" w:hAnsiTheme="majorHAnsi" w:cstheme="majorHAnsi"/>
          <w:sz w:val="16"/>
          <w:szCs w:val="16"/>
          <w:lang w:val="ro-MD"/>
        </w:rPr>
        <w:t xml:space="preserve"> Art. 37 din Legea nr. 156-XIV din 14.10.1998.</w:t>
      </w:r>
    </w:p>
  </w:footnote>
  <w:footnote w:id="34">
    <w:p w14:paraId="046756CC" w14:textId="5C5F3F4E" w:rsidR="00A402C9" w:rsidRPr="00906A56" w:rsidRDefault="00A402C9" w:rsidP="00153694">
      <w:pPr>
        <w:pStyle w:val="a3"/>
        <w:jc w:val="both"/>
        <w:rPr>
          <w:rFonts w:asciiTheme="majorHAnsi" w:hAnsiTheme="majorHAnsi" w:cstheme="majorHAnsi"/>
          <w:sz w:val="16"/>
          <w:szCs w:val="16"/>
          <w:lang w:val="ro-MD"/>
        </w:rPr>
      </w:pPr>
      <w:r w:rsidRPr="00906A56">
        <w:rPr>
          <w:rStyle w:val="a5"/>
          <w:rFonts w:asciiTheme="majorHAnsi" w:hAnsiTheme="majorHAnsi" w:cstheme="majorHAnsi"/>
          <w:sz w:val="16"/>
          <w:szCs w:val="16"/>
          <w:lang w:val="ro-MD"/>
        </w:rPr>
        <w:footnoteRef/>
      </w:r>
      <w:r w:rsidRPr="00906A56">
        <w:rPr>
          <w:rFonts w:asciiTheme="majorHAnsi" w:hAnsiTheme="majorHAnsi" w:cstheme="majorHAnsi"/>
          <w:sz w:val="16"/>
          <w:szCs w:val="16"/>
          <w:lang w:val="ro-MD"/>
        </w:rPr>
        <w:t xml:space="preserve"> </w:t>
      </w:r>
      <w:r>
        <w:rPr>
          <w:rFonts w:asciiTheme="majorHAnsi" w:hAnsiTheme="majorHAnsi" w:cstheme="majorHAnsi"/>
          <w:sz w:val="16"/>
          <w:szCs w:val="16"/>
          <w:lang w:val="ro-MD" w:eastAsia="ro-RO"/>
        </w:rPr>
        <w:t>C</w:t>
      </w:r>
      <w:r w:rsidRPr="00906A56">
        <w:rPr>
          <w:rFonts w:asciiTheme="majorHAnsi" w:hAnsiTheme="majorHAnsi" w:cstheme="majorHAnsi"/>
          <w:sz w:val="16"/>
          <w:szCs w:val="16"/>
          <w:lang w:val="ro-MD" w:eastAsia="ro-RO"/>
        </w:rPr>
        <w:t>api</w:t>
      </w:r>
      <w:r>
        <w:rPr>
          <w:rFonts w:asciiTheme="majorHAnsi" w:hAnsiTheme="majorHAnsi" w:cstheme="majorHAnsi"/>
          <w:sz w:val="16"/>
          <w:szCs w:val="16"/>
          <w:lang w:val="ro-MD" w:eastAsia="ro-RO"/>
        </w:rPr>
        <w:t>tolul III litera B din Concepția sistemului informaț</w:t>
      </w:r>
      <w:r w:rsidRPr="00906A56">
        <w:rPr>
          <w:rFonts w:asciiTheme="majorHAnsi" w:hAnsiTheme="majorHAnsi" w:cstheme="majorHAnsi"/>
          <w:sz w:val="16"/>
          <w:szCs w:val="16"/>
          <w:lang w:val="ro-MD" w:eastAsia="ro-RO"/>
        </w:rPr>
        <w:t>ional automatiz</w:t>
      </w:r>
      <w:r>
        <w:rPr>
          <w:rFonts w:asciiTheme="majorHAnsi" w:hAnsiTheme="majorHAnsi" w:cstheme="majorHAnsi"/>
          <w:sz w:val="16"/>
          <w:szCs w:val="16"/>
          <w:lang w:val="ro-MD" w:eastAsia="ro-RO"/>
        </w:rPr>
        <w:t>at „Registrul de stat al populației” ș</w:t>
      </w:r>
      <w:r w:rsidRPr="00906A56">
        <w:rPr>
          <w:rFonts w:asciiTheme="majorHAnsi" w:hAnsiTheme="majorHAnsi" w:cstheme="majorHAnsi"/>
          <w:sz w:val="16"/>
          <w:szCs w:val="16"/>
          <w:lang w:val="ro-MD" w:eastAsia="ro-RO"/>
        </w:rPr>
        <w:t>i capitolul III pct. 9 al Regulamentului cu privire la Registrul de stat al p</w:t>
      </w:r>
      <w:r>
        <w:rPr>
          <w:rFonts w:asciiTheme="majorHAnsi" w:hAnsiTheme="majorHAnsi" w:cstheme="majorHAnsi"/>
          <w:sz w:val="16"/>
          <w:szCs w:val="16"/>
          <w:lang w:val="ro-MD" w:eastAsia="ro-RO"/>
        </w:rPr>
        <w:t>opulației, aprobate prin Hotărâre</w:t>
      </w:r>
      <w:r w:rsidRPr="00906A56">
        <w:rPr>
          <w:rFonts w:asciiTheme="majorHAnsi" w:hAnsiTheme="majorHAnsi" w:cstheme="majorHAnsi"/>
          <w:sz w:val="16"/>
          <w:szCs w:val="16"/>
          <w:lang w:val="ro-MD" w:eastAsia="ro-RO"/>
        </w:rPr>
        <w:t>a Guvernului nr. 333 din 18.03.2002.</w:t>
      </w:r>
    </w:p>
  </w:footnote>
  <w:footnote w:id="35">
    <w:p w14:paraId="0B798B75" w14:textId="77777777" w:rsidR="00A402C9" w:rsidRPr="00906A56" w:rsidRDefault="00A402C9" w:rsidP="00153694">
      <w:pPr>
        <w:pStyle w:val="a3"/>
        <w:jc w:val="both"/>
        <w:rPr>
          <w:lang w:val="ro-MD"/>
        </w:rPr>
      </w:pPr>
      <w:r w:rsidRPr="00906A56">
        <w:rPr>
          <w:rStyle w:val="a5"/>
          <w:rFonts w:asciiTheme="majorHAnsi" w:hAnsiTheme="majorHAnsi" w:cstheme="majorHAnsi"/>
          <w:sz w:val="16"/>
          <w:szCs w:val="16"/>
          <w:lang w:val="ro-MD"/>
        </w:rPr>
        <w:footnoteRef/>
      </w:r>
      <w:r w:rsidRPr="00906A56">
        <w:rPr>
          <w:rFonts w:asciiTheme="majorHAnsi" w:hAnsiTheme="majorHAnsi" w:cstheme="majorHAnsi"/>
          <w:sz w:val="16"/>
          <w:szCs w:val="16"/>
          <w:lang w:val="ro-MD"/>
        </w:rPr>
        <w:t xml:space="preserve"> Acordul de colaborare privind modernizarea unor servicii publice prestate de Agenția Servicii Publice, semnat între Instituția Publică ,,Agenția de Guvernare Electronică" și Agenția Servicii Publice la data de 13 ianuarie 2020, Deciziile Prim-mi</w:t>
      </w:r>
      <w:r>
        <w:rPr>
          <w:rFonts w:asciiTheme="majorHAnsi" w:hAnsiTheme="majorHAnsi" w:cstheme="majorHAnsi"/>
          <w:sz w:val="16"/>
          <w:szCs w:val="16"/>
          <w:lang w:val="ro-MD"/>
        </w:rPr>
        <w:t>nistrului nr. 8 din 11.02.2020 ș</w:t>
      </w:r>
      <w:r w:rsidRPr="00906A56">
        <w:rPr>
          <w:rFonts w:asciiTheme="majorHAnsi" w:hAnsiTheme="majorHAnsi" w:cstheme="majorHAnsi"/>
          <w:sz w:val="16"/>
          <w:szCs w:val="16"/>
          <w:lang w:val="ro-MD"/>
        </w:rPr>
        <w:t>i nr. 28 din 07.09.2020.</w:t>
      </w:r>
    </w:p>
  </w:footnote>
  <w:footnote w:id="36">
    <w:p w14:paraId="50E7B596" w14:textId="77777777" w:rsidR="00A402C9" w:rsidRPr="00514E6A" w:rsidRDefault="00A402C9">
      <w:pPr>
        <w:pStyle w:val="a3"/>
        <w:rPr>
          <w:rFonts w:asciiTheme="majorHAnsi" w:hAnsiTheme="majorHAnsi" w:cstheme="majorHAnsi"/>
          <w:sz w:val="16"/>
          <w:szCs w:val="16"/>
          <w:lang w:val="ro-MD"/>
        </w:rPr>
      </w:pPr>
      <w:r w:rsidRPr="00514E6A">
        <w:rPr>
          <w:rStyle w:val="a5"/>
          <w:rFonts w:asciiTheme="majorHAnsi" w:hAnsiTheme="majorHAnsi" w:cstheme="majorHAnsi"/>
          <w:sz w:val="16"/>
          <w:szCs w:val="16"/>
          <w:lang w:val="ro-MD"/>
        </w:rPr>
        <w:footnoteRef/>
      </w:r>
      <w:r w:rsidRPr="00514E6A">
        <w:rPr>
          <w:rFonts w:asciiTheme="majorHAnsi" w:hAnsiTheme="majorHAnsi" w:cstheme="majorHAnsi"/>
          <w:sz w:val="16"/>
          <w:szCs w:val="16"/>
          <w:lang w:val="ro-MD"/>
        </w:rPr>
        <w:t xml:space="preserve"> Hotărârea  Guvernului nr. 1442 din 19.12.2006 pentru aprobarea Regulamentului privind modul de stabilire și plată a ajutorului de deces.</w:t>
      </w:r>
    </w:p>
  </w:footnote>
  <w:footnote w:id="37">
    <w:p w14:paraId="12AF624D" w14:textId="4D0C7D0F" w:rsidR="00A402C9" w:rsidRPr="00514E6A" w:rsidRDefault="00A402C9" w:rsidP="00535783">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Regulamentul cu privire la organizarea și funcționarea Casei Naționale de Asigurări Sociale, aprobat prin Hotărârea Guvernului nr. 230 din 10.04.2020</w:t>
      </w:r>
      <w:r>
        <w:rPr>
          <w:rFonts w:asciiTheme="majorHAnsi" w:hAnsiTheme="majorHAnsi" w:cstheme="majorHAnsi"/>
          <w:sz w:val="16"/>
          <w:szCs w:val="16"/>
          <w:lang w:val="ro-MD"/>
        </w:rPr>
        <w:t>.</w:t>
      </w:r>
    </w:p>
  </w:footnote>
  <w:footnote w:id="38">
    <w:p w14:paraId="2017CA55" w14:textId="7716DAD1" w:rsidR="00A402C9" w:rsidRPr="004C270C" w:rsidRDefault="00A402C9" w:rsidP="00CB1390">
      <w:pPr>
        <w:pStyle w:val="a3"/>
        <w:contextualSpacing/>
        <w:jc w:val="both"/>
        <w:rPr>
          <w:rFonts w:asciiTheme="majorHAnsi" w:hAnsiTheme="majorHAnsi" w:cstheme="majorHAnsi"/>
          <w:sz w:val="16"/>
          <w:szCs w:val="16"/>
          <w:lang w:val="ro-MD"/>
        </w:rPr>
      </w:pPr>
      <w:r w:rsidRPr="004C270C">
        <w:rPr>
          <w:rStyle w:val="a5"/>
          <w:rFonts w:asciiTheme="majorHAnsi" w:hAnsiTheme="majorHAnsi" w:cstheme="majorHAnsi"/>
          <w:sz w:val="16"/>
          <w:szCs w:val="16"/>
        </w:rPr>
        <w:footnoteRef/>
      </w:r>
      <w:r w:rsidRPr="004C270C">
        <w:rPr>
          <w:rFonts w:asciiTheme="majorHAnsi" w:hAnsiTheme="majorHAnsi" w:cstheme="majorHAnsi"/>
          <w:sz w:val="16"/>
          <w:szCs w:val="16"/>
        </w:rPr>
        <w:t xml:space="preserve"> </w:t>
      </w:r>
      <w:r w:rsidRPr="004C270C">
        <w:rPr>
          <w:rFonts w:asciiTheme="majorHAnsi" w:hAnsiTheme="majorHAnsi" w:cstheme="majorHAnsi"/>
          <w:sz w:val="16"/>
          <w:szCs w:val="16"/>
          <w:lang w:val="ro-MD"/>
        </w:rPr>
        <w:t>Hotărârea Guvernului nr. 314 din 22.05.2017 privind constituirea Agenției Servicii Publice</w:t>
      </w:r>
      <w:r>
        <w:rPr>
          <w:rFonts w:asciiTheme="majorHAnsi" w:hAnsiTheme="majorHAnsi" w:cstheme="majorHAnsi"/>
          <w:sz w:val="16"/>
          <w:szCs w:val="16"/>
          <w:lang w:val="ro-MD"/>
        </w:rPr>
        <w:t>.</w:t>
      </w:r>
    </w:p>
  </w:footnote>
  <w:footnote w:id="39">
    <w:p w14:paraId="574EA6D9" w14:textId="73268D9A" w:rsidR="00A402C9" w:rsidRPr="00617E4A" w:rsidRDefault="00A402C9" w:rsidP="00CB1390">
      <w:pPr>
        <w:pStyle w:val="4"/>
        <w:numPr>
          <w:ilvl w:val="0"/>
          <w:numId w:val="0"/>
        </w:numPr>
        <w:shd w:val="clear" w:color="auto" w:fill="FFFFFF"/>
        <w:spacing w:before="0"/>
        <w:ind w:left="438" w:hanging="438"/>
        <w:contextualSpacing/>
        <w:rPr>
          <w:rFonts w:asciiTheme="majorHAnsi" w:hAnsiTheme="majorHAnsi" w:cstheme="majorHAnsi"/>
          <w:i w:val="0"/>
          <w:color w:val="333333"/>
        </w:rPr>
      </w:pPr>
      <w:r w:rsidRPr="00617E4A">
        <w:rPr>
          <w:rStyle w:val="a5"/>
          <w:rFonts w:asciiTheme="majorHAnsi" w:hAnsiTheme="majorHAnsi" w:cstheme="majorHAnsi"/>
          <w:i w:val="0"/>
          <w:sz w:val="16"/>
          <w:szCs w:val="16"/>
        </w:rPr>
        <w:footnoteRef/>
      </w:r>
      <w:r w:rsidRPr="00617E4A">
        <w:rPr>
          <w:rFonts w:asciiTheme="majorHAnsi" w:hAnsiTheme="majorHAnsi" w:cstheme="majorHAnsi"/>
          <w:i w:val="0"/>
        </w:rPr>
        <w:t xml:space="preserve"> </w:t>
      </w:r>
      <w:r w:rsidRPr="004C270C">
        <w:rPr>
          <w:rFonts w:asciiTheme="majorHAnsi" w:eastAsiaTheme="minorHAnsi" w:hAnsiTheme="majorHAnsi" w:cstheme="majorHAnsi"/>
          <w:i w:val="0"/>
          <w:iCs w:val="0"/>
          <w:sz w:val="16"/>
          <w:szCs w:val="16"/>
          <w:lang w:val="ro-RO"/>
        </w:rPr>
        <w:t>Hotărârea Guvernului nr. 760 din 18.08.2010 cu privire la Instituția publică „Agenția de Guvernare Electronică”</w:t>
      </w:r>
      <w:r>
        <w:rPr>
          <w:rFonts w:asciiTheme="majorHAnsi" w:eastAsiaTheme="minorHAnsi" w:hAnsiTheme="majorHAnsi" w:cstheme="majorHAnsi"/>
          <w:i w:val="0"/>
          <w:iCs w:val="0"/>
          <w:sz w:val="16"/>
          <w:szCs w:val="16"/>
          <w:lang w:val="ro-RO"/>
        </w:rPr>
        <w:t>.</w:t>
      </w:r>
    </w:p>
  </w:footnote>
  <w:footnote w:id="40">
    <w:p w14:paraId="63803FD0" w14:textId="77777777" w:rsidR="00A402C9" w:rsidRPr="008F3612" w:rsidRDefault="00A402C9" w:rsidP="00227D72">
      <w:pPr>
        <w:pStyle w:val="a3"/>
        <w:contextualSpacing/>
        <w:jc w:val="both"/>
        <w:rPr>
          <w:rFonts w:asciiTheme="majorHAnsi" w:hAnsiTheme="majorHAnsi" w:cstheme="majorHAnsi"/>
          <w:sz w:val="16"/>
          <w:szCs w:val="16"/>
          <w:lang w:val="ro-RO"/>
        </w:rPr>
      </w:pPr>
      <w:r w:rsidRPr="008F3612">
        <w:rPr>
          <w:rStyle w:val="a5"/>
          <w:rFonts w:cstheme="majorHAnsi"/>
          <w:sz w:val="16"/>
          <w:szCs w:val="16"/>
        </w:rPr>
        <w:footnoteRef/>
      </w:r>
      <w:r w:rsidRPr="008F3612">
        <w:rPr>
          <w:rFonts w:asciiTheme="majorHAnsi" w:hAnsiTheme="majorHAnsi" w:cstheme="majorHAnsi"/>
          <w:sz w:val="16"/>
          <w:szCs w:val="16"/>
        </w:rPr>
        <w:t xml:space="preserve"> </w:t>
      </w:r>
      <w:r w:rsidRPr="008F3612">
        <w:rPr>
          <w:rFonts w:asciiTheme="majorHAnsi" w:hAnsiTheme="majorHAnsi" w:cstheme="majorHAnsi"/>
          <w:sz w:val="16"/>
          <w:szCs w:val="16"/>
          <w:lang w:val="ro-RO"/>
        </w:rPr>
        <w:t>Raportul  privind executarea bugetului asigurării sociale de stat la partea de cheltuieli a prestațiilor sociale la situația de 01.01.2022 (Formularul nr.7 CNAS, (în continuare formularul nr.7 CNAS).</w:t>
      </w:r>
    </w:p>
  </w:footnote>
  <w:footnote w:id="41">
    <w:p w14:paraId="4A1CECBF" w14:textId="77777777" w:rsidR="00A402C9" w:rsidRPr="00CB1390" w:rsidRDefault="00A402C9" w:rsidP="00227D72">
      <w:pPr>
        <w:pStyle w:val="a3"/>
        <w:contextualSpacing/>
        <w:rPr>
          <w:rFonts w:asciiTheme="majorHAnsi" w:hAnsiTheme="majorHAnsi" w:cstheme="majorHAnsi"/>
          <w:lang w:val="ro-RO"/>
        </w:rPr>
      </w:pPr>
      <w:r w:rsidRPr="00CB1390">
        <w:rPr>
          <w:rFonts w:asciiTheme="majorHAnsi" w:hAnsiTheme="majorHAnsi" w:cstheme="majorHAnsi"/>
          <w:sz w:val="16"/>
          <w:szCs w:val="16"/>
          <w:vertAlign w:val="superscript"/>
          <w:lang w:val="ro-RO"/>
        </w:rPr>
        <w:footnoteRef/>
      </w:r>
      <w:r w:rsidRPr="00CB1390">
        <w:rPr>
          <w:rFonts w:asciiTheme="majorHAnsi" w:hAnsiTheme="majorHAnsi" w:cstheme="majorHAnsi"/>
          <w:sz w:val="16"/>
          <w:szCs w:val="16"/>
          <w:lang w:val="ro-RO"/>
        </w:rPr>
        <w:t xml:space="preserve"> Anexa nr.2 „Lista funcțiilor personalului din aviația civilă ale cărui condiții de muncă se încadrează în condiții speciale” la  Legea nr. 489 din 08.07.1999 privind sistemul public de asigurări sociale.</w:t>
      </w:r>
    </w:p>
  </w:footnote>
  <w:footnote w:id="42">
    <w:p w14:paraId="52B34197" w14:textId="77777777" w:rsidR="00A402C9" w:rsidRPr="00CB1390" w:rsidRDefault="00A402C9" w:rsidP="00227D72">
      <w:pPr>
        <w:pStyle w:val="a3"/>
        <w:jc w:val="both"/>
        <w:rPr>
          <w:rFonts w:asciiTheme="majorHAnsi" w:hAnsiTheme="majorHAnsi" w:cstheme="majorHAnsi"/>
          <w:lang w:val="ro-RO"/>
        </w:rPr>
      </w:pPr>
      <w:r w:rsidRPr="00CB1390">
        <w:rPr>
          <w:rFonts w:asciiTheme="majorHAnsi" w:hAnsiTheme="majorHAnsi" w:cstheme="majorHAnsi"/>
          <w:sz w:val="16"/>
          <w:szCs w:val="16"/>
          <w:vertAlign w:val="superscript"/>
          <w:lang w:val="ro-RO"/>
        </w:rPr>
        <w:footnoteRef/>
      </w:r>
      <w:r w:rsidRPr="00CB1390">
        <w:rPr>
          <w:rFonts w:asciiTheme="majorHAnsi" w:hAnsiTheme="majorHAnsi" w:cstheme="majorHAnsi"/>
          <w:sz w:val="16"/>
          <w:szCs w:val="16"/>
          <w:lang w:val="ro-RO"/>
        </w:rPr>
        <w:t>Art.56 din  Legea nr. 156-XIV din 14.10.1998.</w:t>
      </w:r>
    </w:p>
  </w:footnote>
  <w:footnote w:id="43">
    <w:p w14:paraId="41E80E67" w14:textId="77777777" w:rsidR="00A402C9" w:rsidRPr="008F3612" w:rsidRDefault="00A402C9" w:rsidP="00227D72">
      <w:pPr>
        <w:pStyle w:val="a3"/>
        <w:jc w:val="both"/>
        <w:rPr>
          <w:rFonts w:asciiTheme="majorHAnsi" w:hAnsiTheme="majorHAnsi" w:cstheme="majorHAnsi"/>
          <w:sz w:val="16"/>
          <w:szCs w:val="16"/>
          <w:lang w:val="ro-MD"/>
        </w:rPr>
      </w:pPr>
      <w:r w:rsidRPr="00CB1390">
        <w:rPr>
          <w:rFonts w:asciiTheme="majorHAnsi" w:hAnsiTheme="majorHAnsi" w:cstheme="majorHAnsi"/>
          <w:sz w:val="16"/>
          <w:szCs w:val="16"/>
          <w:vertAlign w:val="superscript"/>
          <w:lang w:val="ro-MD"/>
        </w:rPr>
        <w:footnoteRef/>
      </w:r>
      <w:r w:rsidRPr="00CB1390">
        <w:rPr>
          <w:rFonts w:asciiTheme="majorHAnsi" w:hAnsiTheme="majorHAnsi" w:cstheme="majorHAnsi"/>
          <w:sz w:val="16"/>
          <w:szCs w:val="16"/>
          <w:lang w:val="ro-MD"/>
        </w:rPr>
        <w:t>Clasificatorul ocupațiilor din Republica Moldova, aprobat prin Ordinul MMPS nr. 22 din 03.03.2014; Clasificatorului</w:t>
      </w:r>
      <w:r w:rsidRPr="008F3612">
        <w:rPr>
          <w:rFonts w:asciiTheme="majorHAnsi" w:hAnsiTheme="majorHAnsi" w:cstheme="majorHAnsi"/>
          <w:sz w:val="16"/>
          <w:szCs w:val="16"/>
          <w:lang w:val="ro-MD"/>
        </w:rPr>
        <w:t xml:space="preserve"> Ocupațiilor din Republica Moldova (CORM 006-2021) aprobat prin  Ordinul Ministerului Muncii și Protecției Sociale nr. 11 din 12.11.2021</w:t>
      </w:r>
      <w:r>
        <w:rPr>
          <w:rFonts w:asciiTheme="majorHAnsi" w:hAnsiTheme="majorHAnsi" w:cstheme="majorHAnsi"/>
          <w:sz w:val="16"/>
          <w:szCs w:val="16"/>
          <w:lang w:val="ro-MD"/>
        </w:rPr>
        <w:t xml:space="preserve"> (în continuare CORM 006-2021)</w:t>
      </w:r>
      <w:r w:rsidRPr="008F3612">
        <w:rPr>
          <w:rFonts w:asciiTheme="majorHAnsi" w:hAnsiTheme="majorHAnsi" w:cstheme="majorHAnsi"/>
          <w:sz w:val="16"/>
          <w:szCs w:val="16"/>
          <w:lang w:val="ro-MD"/>
        </w:rPr>
        <w:t>.</w:t>
      </w:r>
    </w:p>
  </w:footnote>
  <w:footnote w:id="44">
    <w:p w14:paraId="7E7D695E" w14:textId="77777777" w:rsidR="00A402C9" w:rsidRPr="00BB5D3E" w:rsidRDefault="00A402C9" w:rsidP="00227D72">
      <w:pPr>
        <w:pStyle w:val="a3"/>
      </w:pPr>
      <w:r w:rsidRPr="00BB5D3E">
        <w:rPr>
          <w:rFonts w:asciiTheme="majorHAnsi" w:hAnsiTheme="majorHAnsi" w:cstheme="majorHAnsi"/>
          <w:sz w:val="16"/>
          <w:szCs w:val="16"/>
          <w:vertAlign w:val="superscript"/>
          <w:lang w:val="ro-RO"/>
        </w:rPr>
        <w:footnoteRef/>
      </w:r>
      <w:r w:rsidRPr="00BB5D3E">
        <w:rPr>
          <w:rFonts w:asciiTheme="majorHAnsi" w:hAnsiTheme="majorHAnsi" w:cstheme="majorHAnsi"/>
          <w:sz w:val="16"/>
          <w:szCs w:val="16"/>
          <w:lang w:val="ro-RO"/>
        </w:rPr>
        <w:t xml:space="preserve"> Art.56 din</w:t>
      </w:r>
      <w:r w:rsidRPr="008F3612">
        <w:rPr>
          <w:rFonts w:asciiTheme="majorHAnsi" w:hAnsiTheme="majorHAnsi" w:cstheme="majorHAnsi"/>
          <w:sz w:val="16"/>
          <w:szCs w:val="16"/>
          <w:lang w:val="ro-RO"/>
        </w:rPr>
        <w:t xml:space="preserve">  L</w:t>
      </w:r>
      <w:r>
        <w:rPr>
          <w:rFonts w:asciiTheme="majorHAnsi" w:hAnsiTheme="majorHAnsi" w:cstheme="majorHAnsi"/>
          <w:sz w:val="16"/>
          <w:szCs w:val="16"/>
          <w:lang w:val="ro-RO"/>
        </w:rPr>
        <w:t>egea nr. 156-XIV din 14.10.1998, Anexa nr. 2 din Legea 489</w:t>
      </w:r>
      <w:r w:rsidRPr="00BB5D3E">
        <w:rPr>
          <w:rFonts w:asciiTheme="majorHAnsi" w:hAnsiTheme="majorHAnsi" w:cstheme="majorHAnsi"/>
          <w:sz w:val="16"/>
          <w:szCs w:val="16"/>
          <w:lang w:val="ro-RO"/>
        </w:rPr>
        <w:t xml:space="preserve"> </w:t>
      </w:r>
      <w:r w:rsidRPr="008F3612">
        <w:rPr>
          <w:rFonts w:asciiTheme="majorHAnsi" w:hAnsiTheme="majorHAnsi" w:cstheme="majorHAnsi"/>
          <w:sz w:val="16"/>
          <w:szCs w:val="16"/>
          <w:lang w:val="ro-RO"/>
        </w:rPr>
        <w:t>din 08.07.1999</w:t>
      </w:r>
      <w:r>
        <w:rPr>
          <w:rFonts w:asciiTheme="majorHAnsi" w:hAnsiTheme="majorHAnsi" w:cstheme="majorHAnsi"/>
          <w:sz w:val="16"/>
          <w:szCs w:val="16"/>
          <w:lang w:val="ro-RO"/>
        </w:rPr>
        <w:t>.</w:t>
      </w:r>
    </w:p>
  </w:footnote>
  <w:footnote w:id="45">
    <w:p w14:paraId="2C404731" w14:textId="77777777" w:rsidR="00A402C9" w:rsidRPr="008F3612" w:rsidRDefault="00A402C9" w:rsidP="00227D72">
      <w:pPr>
        <w:pStyle w:val="a3"/>
        <w:rPr>
          <w:rFonts w:asciiTheme="majorHAnsi" w:hAnsiTheme="majorHAnsi" w:cstheme="majorHAnsi"/>
          <w:sz w:val="16"/>
          <w:szCs w:val="16"/>
          <w:lang w:val="ro-MD"/>
        </w:rPr>
      </w:pPr>
      <w:r w:rsidRPr="008F3612">
        <w:rPr>
          <w:rFonts w:asciiTheme="majorHAnsi" w:hAnsiTheme="majorHAnsi" w:cstheme="majorHAnsi"/>
          <w:sz w:val="16"/>
          <w:szCs w:val="16"/>
          <w:vertAlign w:val="superscript"/>
          <w:lang w:val="ro-MD"/>
        </w:rPr>
        <w:footnoteRef/>
      </w:r>
      <w:r w:rsidRPr="008F3612">
        <w:rPr>
          <w:rFonts w:asciiTheme="majorHAnsi" w:hAnsiTheme="majorHAnsi" w:cstheme="majorHAnsi"/>
          <w:sz w:val="16"/>
          <w:szCs w:val="16"/>
          <w:vertAlign w:val="superscript"/>
          <w:lang w:val="ro-MD"/>
        </w:rPr>
        <w:t xml:space="preserve"> </w:t>
      </w:r>
      <w:r w:rsidRPr="008F3612">
        <w:rPr>
          <w:rFonts w:asciiTheme="majorHAnsi" w:hAnsiTheme="majorHAnsi" w:cstheme="majorHAnsi"/>
          <w:sz w:val="16"/>
          <w:szCs w:val="16"/>
          <w:lang w:val="ro-MD"/>
        </w:rPr>
        <w:t>Anexa 1  „Categoriile de plătitori și de asigurați, tarifele și termenele de virare a contribuțiilor de asigurări sociale de stat obligatorii” a Legii nr.489 din 08.07.1999 privind sistemul public de asigurări sociale.</w:t>
      </w:r>
    </w:p>
  </w:footnote>
  <w:footnote w:id="46">
    <w:p w14:paraId="38F7E902" w14:textId="77777777" w:rsidR="00A402C9" w:rsidRPr="0037759D" w:rsidRDefault="00A402C9" w:rsidP="00227D72">
      <w:pPr>
        <w:pStyle w:val="a3"/>
        <w:rPr>
          <w:rFonts w:asciiTheme="majorHAnsi" w:hAnsiTheme="majorHAnsi" w:cstheme="majorHAnsi"/>
          <w:sz w:val="16"/>
          <w:szCs w:val="16"/>
          <w:lang w:val="ro-MD"/>
        </w:rPr>
      </w:pPr>
      <w:r w:rsidRPr="0037759D">
        <w:rPr>
          <w:rStyle w:val="a5"/>
          <w:rFonts w:cstheme="majorHAnsi"/>
          <w:sz w:val="16"/>
          <w:szCs w:val="16"/>
        </w:rPr>
        <w:footnoteRef/>
      </w:r>
      <w:r w:rsidRPr="0037759D">
        <w:rPr>
          <w:rFonts w:asciiTheme="majorHAnsi" w:hAnsiTheme="majorHAnsi" w:cstheme="majorHAnsi"/>
          <w:sz w:val="16"/>
          <w:szCs w:val="16"/>
          <w:lang w:val="ro-MD"/>
        </w:rPr>
        <w:t xml:space="preserve"> CORM 006-2021.</w:t>
      </w:r>
    </w:p>
  </w:footnote>
  <w:footnote w:id="47">
    <w:p w14:paraId="19B2D323" w14:textId="6AFBFE4E" w:rsidR="00A402C9" w:rsidRPr="0005789B" w:rsidRDefault="00A402C9" w:rsidP="00227D72">
      <w:pPr>
        <w:pStyle w:val="a3"/>
        <w:rPr>
          <w:rFonts w:asciiTheme="majorHAnsi" w:hAnsiTheme="majorHAnsi" w:cstheme="majorHAnsi"/>
          <w:sz w:val="16"/>
          <w:szCs w:val="16"/>
        </w:rPr>
      </w:pPr>
      <w:r w:rsidRPr="0005789B">
        <w:rPr>
          <w:rStyle w:val="a5"/>
          <w:rFonts w:cstheme="majorHAnsi"/>
          <w:sz w:val="16"/>
          <w:szCs w:val="16"/>
        </w:rPr>
        <w:footnoteRef/>
      </w:r>
      <w:r w:rsidRPr="0005789B">
        <w:rPr>
          <w:rFonts w:asciiTheme="majorHAnsi" w:hAnsiTheme="majorHAnsi" w:cstheme="majorHAnsi"/>
          <w:sz w:val="16"/>
          <w:szCs w:val="16"/>
        </w:rPr>
        <w:t xml:space="preserve"> Art.39 alin.6 din Legea nr. 156 din 14.10.1998</w:t>
      </w:r>
      <w:r>
        <w:rPr>
          <w:rFonts w:asciiTheme="majorHAnsi" w:hAnsiTheme="majorHAnsi" w:cstheme="majorHAnsi"/>
          <w:sz w:val="16"/>
          <w:szCs w:val="16"/>
        </w:rPr>
        <w:t>.</w:t>
      </w:r>
    </w:p>
  </w:footnote>
  <w:footnote w:id="48">
    <w:p w14:paraId="7C5A9E48" w14:textId="6CAC0105" w:rsidR="00A402C9" w:rsidRPr="008F3612" w:rsidRDefault="00A402C9" w:rsidP="00227D72">
      <w:pPr>
        <w:pStyle w:val="a3"/>
        <w:jc w:val="both"/>
        <w:rPr>
          <w:rFonts w:asciiTheme="majorHAnsi" w:hAnsiTheme="majorHAnsi" w:cstheme="majorHAnsi"/>
          <w:sz w:val="16"/>
          <w:szCs w:val="16"/>
          <w:lang w:val="ro-MD"/>
        </w:rPr>
      </w:pPr>
      <w:r w:rsidRPr="0005789B">
        <w:rPr>
          <w:rStyle w:val="a5"/>
          <w:rFonts w:cstheme="majorHAnsi"/>
          <w:sz w:val="16"/>
          <w:szCs w:val="16"/>
        </w:rPr>
        <w:footnoteRef/>
      </w:r>
      <w:r w:rsidRPr="0005789B">
        <w:rPr>
          <w:rFonts w:asciiTheme="majorHAnsi" w:hAnsiTheme="majorHAnsi" w:cstheme="majorHAnsi"/>
          <w:sz w:val="16"/>
          <w:szCs w:val="16"/>
          <w:lang w:val="ro-MD"/>
        </w:rPr>
        <w:t xml:space="preserve"> Hotărârea Guvernului nr. 527 din 06.08.1992 </w:t>
      </w:r>
      <w:r>
        <w:rPr>
          <w:rFonts w:asciiTheme="majorHAnsi" w:hAnsiTheme="majorHAnsi" w:cstheme="majorHAnsi"/>
          <w:sz w:val="16"/>
          <w:szCs w:val="16"/>
          <w:lang w:val="ro-MD"/>
        </w:rPr>
        <w:t>„C</w:t>
      </w:r>
      <w:r w:rsidRPr="0005789B">
        <w:rPr>
          <w:rFonts w:asciiTheme="majorHAnsi" w:hAnsiTheme="majorHAnsi" w:cstheme="majorHAnsi"/>
          <w:sz w:val="16"/>
          <w:szCs w:val="16"/>
          <w:lang w:val="ro-MD"/>
        </w:rPr>
        <w:t>u privire la aprobarea Listelor funcțiilor, care asigură personalului navigant și tehnic aeronautic dreptul la pensie pentru vechime în muncă, și a Modului de calculare a vechimii în muncă pentru stabilirea pensiei personalului navigant</w:t>
      </w:r>
      <w:r>
        <w:rPr>
          <w:rFonts w:asciiTheme="majorHAnsi" w:hAnsiTheme="majorHAnsi" w:cstheme="majorHAnsi"/>
          <w:sz w:val="16"/>
          <w:szCs w:val="16"/>
          <w:lang w:val="ro-MD"/>
        </w:rPr>
        <w:t>”</w:t>
      </w:r>
      <w:r w:rsidRPr="0005789B">
        <w:rPr>
          <w:rFonts w:asciiTheme="majorHAnsi" w:hAnsiTheme="majorHAnsi" w:cstheme="majorHAnsi"/>
          <w:sz w:val="16"/>
          <w:szCs w:val="16"/>
          <w:lang w:val="ro-MD"/>
        </w:rPr>
        <w:t>.</w:t>
      </w:r>
    </w:p>
  </w:footnote>
  <w:footnote w:id="49">
    <w:p w14:paraId="047D91AA" w14:textId="38C78EE7" w:rsidR="00A402C9" w:rsidRPr="00011B07" w:rsidRDefault="00A402C9" w:rsidP="00011EF9">
      <w:pPr>
        <w:pStyle w:val="a3"/>
        <w:jc w:val="both"/>
        <w:rPr>
          <w:rFonts w:asciiTheme="majorHAnsi" w:hAnsiTheme="majorHAnsi" w:cstheme="majorHAnsi"/>
          <w:sz w:val="16"/>
          <w:szCs w:val="16"/>
          <w:lang w:val="ro-MD"/>
        </w:rPr>
      </w:pPr>
      <w:r w:rsidRPr="00011B07">
        <w:rPr>
          <w:rStyle w:val="a5"/>
          <w:rFonts w:asciiTheme="majorHAnsi" w:hAnsiTheme="majorHAnsi" w:cstheme="majorHAnsi"/>
          <w:sz w:val="16"/>
          <w:szCs w:val="16"/>
          <w:lang w:val="ro-MD"/>
        </w:rPr>
        <w:footnoteRef/>
      </w:r>
      <w:r w:rsidRPr="00011B07">
        <w:rPr>
          <w:rFonts w:asciiTheme="majorHAnsi" w:hAnsiTheme="majorHAnsi" w:cstheme="majorHAnsi"/>
          <w:sz w:val="16"/>
          <w:szCs w:val="16"/>
          <w:lang w:val="ro-MD"/>
        </w:rPr>
        <w:t xml:space="preserve"> Art.14 din Legea nr. 289 din 22.07.2004.</w:t>
      </w:r>
    </w:p>
  </w:footnote>
  <w:footnote w:id="50">
    <w:p w14:paraId="6049DC54" w14:textId="5AC200DE" w:rsidR="00A402C9" w:rsidRPr="00011B07" w:rsidRDefault="00A402C9" w:rsidP="00011EF9">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Pct. 3 lit.d) din Ordinul MSMPS nr. 188 din 26.02.2020 </w:t>
      </w:r>
      <w:r>
        <w:rPr>
          <w:rFonts w:asciiTheme="majorHAnsi" w:hAnsiTheme="majorHAnsi" w:cstheme="majorHAnsi"/>
          <w:sz w:val="16"/>
          <w:szCs w:val="16"/>
          <w:lang w:val="ro-MD"/>
        </w:rPr>
        <w:t>„</w:t>
      </w:r>
      <w:r w:rsidRPr="00617E4A">
        <w:rPr>
          <w:rFonts w:asciiTheme="majorHAnsi" w:hAnsiTheme="majorHAnsi" w:cstheme="majorHAnsi"/>
          <w:sz w:val="16"/>
          <w:szCs w:val="16"/>
          <w:lang w:val="ro-MD"/>
        </w:rPr>
        <w:t>Cu privire la realizarea măsurilor de reducere a riscurilor de răsp</w:t>
      </w:r>
      <w:r>
        <w:rPr>
          <w:rFonts w:asciiTheme="majorHAnsi" w:hAnsiTheme="majorHAnsi" w:cstheme="majorHAnsi"/>
          <w:sz w:val="16"/>
          <w:szCs w:val="16"/>
          <w:lang w:val="ro-MD"/>
        </w:rPr>
        <w:t>â</w:t>
      </w:r>
      <w:r w:rsidRPr="00617E4A">
        <w:rPr>
          <w:rFonts w:asciiTheme="majorHAnsi" w:hAnsiTheme="majorHAnsi" w:cstheme="majorHAnsi"/>
          <w:sz w:val="16"/>
          <w:szCs w:val="16"/>
          <w:lang w:val="ro-MD"/>
        </w:rPr>
        <w:t>ndire a cazurilor de infecție cu Coronavirsul de tip nou</w:t>
      </w:r>
      <w:r>
        <w:rPr>
          <w:rFonts w:asciiTheme="majorHAnsi" w:hAnsiTheme="majorHAnsi" w:cstheme="majorHAnsi"/>
          <w:sz w:val="16"/>
          <w:szCs w:val="16"/>
          <w:lang w:val="ro-MD"/>
        </w:rPr>
        <w:t>”.</w:t>
      </w:r>
    </w:p>
  </w:footnote>
  <w:footnote w:id="51">
    <w:p w14:paraId="0C967DDA" w14:textId="5FA83364" w:rsidR="00A402C9" w:rsidRPr="00617E4A" w:rsidRDefault="00A402C9" w:rsidP="00011EF9">
      <w:pPr>
        <w:pStyle w:val="a3"/>
        <w:jc w:val="both"/>
        <w:rPr>
          <w:rFonts w:asciiTheme="majorHAnsi" w:hAnsiTheme="majorHAnsi" w:cstheme="majorHAnsi"/>
          <w:sz w:val="16"/>
          <w:szCs w:val="16"/>
          <w:lang w:val="ro-MD"/>
        </w:rPr>
      </w:pPr>
      <w:r w:rsidRPr="00617E4A">
        <w:rPr>
          <w:rFonts w:asciiTheme="majorHAnsi" w:hAnsiTheme="majorHAnsi" w:cstheme="majorHAnsi"/>
          <w:sz w:val="16"/>
          <w:szCs w:val="16"/>
          <w:vertAlign w:val="superscript"/>
          <w:lang w:val="ro-MD"/>
        </w:rPr>
        <w:footnoteRef/>
      </w:r>
      <w:r w:rsidRPr="00617E4A">
        <w:rPr>
          <w:rFonts w:asciiTheme="majorHAnsi" w:hAnsiTheme="majorHAnsi" w:cstheme="majorHAnsi"/>
          <w:sz w:val="16"/>
          <w:szCs w:val="16"/>
          <w:vertAlign w:val="superscript"/>
          <w:lang w:val="ro-MD"/>
        </w:rPr>
        <w:t xml:space="preserve"> </w:t>
      </w:r>
      <w:r w:rsidRPr="00617E4A">
        <w:rPr>
          <w:rFonts w:asciiTheme="majorHAnsi" w:hAnsiTheme="majorHAnsi" w:cstheme="majorHAnsi"/>
          <w:sz w:val="16"/>
          <w:szCs w:val="16"/>
          <w:lang w:val="ro-MD"/>
        </w:rPr>
        <w:t>Art. 4 alin</w:t>
      </w:r>
      <w:r>
        <w:rPr>
          <w:rFonts w:asciiTheme="majorHAnsi" w:hAnsiTheme="majorHAnsi" w:cstheme="majorHAnsi"/>
          <w:sz w:val="16"/>
          <w:szCs w:val="16"/>
          <w:lang w:val="ro-MD"/>
        </w:rPr>
        <w:t>.</w:t>
      </w:r>
      <w:r w:rsidRPr="00617E4A">
        <w:rPr>
          <w:rFonts w:asciiTheme="majorHAnsi" w:hAnsiTheme="majorHAnsi" w:cstheme="majorHAnsi"/>
          <w:sz w:val="16"/>
          <w:szCs w:val="16"/>
          <w:lang w:val="ro-MD"/>
        </w:rPr>
        <w:t xml:space="preserve"> (1) din Legea nr.289 din 22.07.2004</w:t>
      </w:r>
      <w:r>
        <w:rPr>
          <w:rFonts w:asciiTheme="majorHAnsi" w:hAnsiTheme="majorHAnsi" w:cstheme="majorHAnsi"/>
          <w:sz w:val="16"/>
          <w:szCs w:val="16"/>
          <w:lang w:val="ro-MD"/>
        </w:rPr>
        <w:t>.</w:t>
      </w:r>
    </w:p>
  </w:footnote>
  <w:footnote w:id="52">
    <w:p w14:paraId="0466C6ED" w14:textId="6E572D83" w:rsidR="00A402C9" w:rsidRPr="00617E4A" w:rsidRDefault="00A402C9" w:rsidP="000C01CB">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Art. 4 din Legea nr.289 din 22.07.2004</w:t>
      </w:r>
      <w:r>
        <w:rPr>
          <w:rFonts w:asciiTheme="majorHAnsi" w:hAnsiTheme="majorHAnsi" w:cstheme="majorHAnsi"/>
          <w:sz w:val="16"/>
          <w:szCs w:val="16"/>
          <w:lang w:val="ro-MD"/>
        </w:rPr>
        <w:t>.</w:t>
      </w:r>
    </w:p>
  </w:footnote>
  <w:footnote w:id="53">
    <w:p w14:paraId="75EA2472" w14:textId="5C4435C6" w:rsidR="00A402C9" w:rsidRPr="000C01CB" w:rsidRDefault="00A402C9" w:rsidP="00617E4A">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Art. 13 alin</w:t>
      </w:r>
      <w:r>
        <w:rPr>
          <w:rFonts w:asciiTheme="majorHAnsi" w:hAnsiTheme="majorHAnsi" w:cstheme="majorHAnsi"/>
          <w:sz w:val="16"/>
          <w:szCs w:val="16"/>
          <w:lang w:val="ro-MD"/>
        </w:rPr>
        <w:t>.</w:t>
      </w:r>
      <w:r w:rsidRPr="00617E4A">
        <w:rPr>
          <w:rFonts w:asciiTheme="majorHAnsi" w:hAnsiTheme="majorHAnsi" w:cstheme="majorHAnsi"/>
          <w:sz w:val="16"/>
          <w:szCs w:val="16"/>
          <w:lang w:val="ro-MD"/>
        </w:rPr>
        <w:t xml:space="preserve"> </w:t>
      </w:r>
      <w:r>
        <w:rPr>
          <w:rFonts w:asciiTheme="majorHAnsi" w:hAnsiTheme="majorHAnsi" w:cstheme="majorHAnsi"/>
          <w:sz w:val="16"/>
          <w:szCs w:val="16"/>
          <w:lang w:val="ro-MD"/>
        </w:rPr>
        <w:t>(</w:t>
      </w:r>
      <w:r w:rsidRPr="00617E4A">
        <w:rPr>
          <w:rFonts w:asciiTheme="majorHAnsi" w:hAnsiTheme="majorHAnsi" w:cstheme="majorHAnsi"/>
          <w:sz w:val="16"/>
          <w:szCs w:val="16"/>
          <w:lang w:val="ro-MD"/>
        </w:rPr>
        <w:t>2</w:t>
      </w:r>
      <w:r>
        <w:rPr>
          <w:rFonts w:asciiTheme="majorHAnsi" w:hAnsiTheme="majorHAnsi" w:cstheme="majorHAnsi"/>
          <w:sz w:val="16"/>
          <w:szCs w:val="16"/>
          <w:lang w:val="ro-MD"/>
        </w:rPr>
        <w:t>)</w:t>
      </w:r>
      <w:r w:rsidRPr="00617E4A">
        <w:rPr>
          <w:rFonts w:asciiTheme="majorHAnsi" w:hAnsiTheme="majorHAnsi" w:cstheme="majorHAnsi"/>
          <w:sz w:val="16"/>
          <w:szCs w:val="16"/>
          <w:lang w:val="ro-MD"/>
        </w:rPr>
        <w:t xml:space="preserve"> din Legea nr.289 din 22.07.2004</w:t>
      </w:r>
      <w:r>
        <w:rPr>
          <w:rFonts w:asciiTheme="majorHAnsi" w:hAnsiTheme="majorHAnsi" w:cstheme="majorHAnsi"/>
          <w:sz w:val="16"/>
          <w:szCs w:val="16"/>
          <w:lang w:val="ro-MD"/>
        </w:rPr>
        <w:t>.</w:t>
      </w:r>
      <w:r w:rsidRPr="00617E4A">
        <w:rPr>
          <w:rFonts w:asciiTheme="majorHAnsi" w:hAnsiTheme="majorHAnsi" w:cstheme="majorHAnsi"/>
          <w:sz w:val="16"/>
          <w:szCs w:val="16"/>
          <w:lang w:val="ro-MD"/>
        </w:rPr>
        <w:t xml:space="preserve"> </w:t>
      </w:r>
    </w:p>
  </w:footnote>
  <w:footnote w:id="54">
    <w:p w14:paraId="32852C04" w14:textId="3FCFC57F" w:rsidR="00A402C9" w:rsidRPr="000C01CB" w:rsidRDefault="00A402C9" w:rsidP="00617E4A">
      <w:pPr>
        <w:pStyle w:val="a3"/>
        <w:jc w:val="both"/>
        <w:rPr>
          <w:rFonts w:asciiTheme="majorHAnsi" w:hAnsiTheme="majorHAnsi" w:cstheme="majorHAnsi"/>
          <w:lang w:val="ro-MD"/>
        </w:rPr>
      </w:pPr>
      <w:r w:rsidRPr="00617E4A">
        <w:rPr>
          <w:rStyle w:val="a5"/>
          <w:rFonts w:asciiTheme="majorHAnsi" w:hAnsiTheme="majorHAnsi" w:cstheme="majorHAnsi"/>
          <w:sz w:val="16"/>
          <w:lang w:val="ro-MD"/>
        </w:rPr>
        <w:footnoteRef/>
      </w:r>
      <w:r w:rsidRPr="00617E4A">
        <w:rPr>
          <w:rFonts w:asciiTheme="majorHAnsi" w:hAnsiTheme="majorHAnsi" w:cstheme="majorHAnsi"/>
          <w:sz w:val="16"/>
          <w:lang w:val="ro-MD"/>
        </w:rPr>
        <w:t xml:space="preserve"> Pct. 2 din </w:t>
      </w:r>
      <w:r>
        <w:rPr>
          <w:rFonts w:asciiTheme="majorHAnsi" w:hAnsiTheme="majorHAnsi" w:cstheme="majorHAnsi"/>
          <w:sz w:val="16"/>
          <w:lang w:val="ro-MD"/>
        </w:rPr>
        <w:t>O</w:t>
      </w:r>
      <w:r w:rsidRPr="00617E4A">
        <w:rPr>
          <w:rFonts w:asciiTheme="majorHAnsi" w:hAnsiTheme="majorHAnsi" w:cstheme="majorHAnsi"/>
          <w:sz w:val="16"/>
          <w:lang w:val="ro-MD"/>
        </w:rPr>
        <w:t xml:space="preserve">rdinul comun al MS, CNAM și CNAS nr.953/220-A/115 din 28.08.2019 </w:t>
      </w:r>
      <w:r>
        <w:rPr>
          <w:rFonts w:asciiTheme="majorHAnsi" w:hAnsiTheme="majorHAnsi" w:cstheme="majorHAnsi"/>
          <w:sz w:val="16"/>
          <w:lang w:val="ro-MD"/>
        </w:rPr>
        <w:t>„</w:t>
      </w:r>
      <w:r w:rsidRPr="00617E4A">
        <w:rPr>
          <w:rFonts w:asciiTheme="majorHAnsi" w:hAnsiTheme="majorHAnsi" w:cstheme="majorHAnsi"/>
          <w:sz w:val="16"/>
          <w:lang w:val="ro-MD"/>
        </w:rPr>
        <w:t>Cu privire la utilizarea Portalului certificatelor de concediu medical</w:t>
      </w:r>
      <w:r>
        <w:rPr>
          <w:rFonts w:asciiTheme="majorHAnsi" w:hAnsiTheme="majorHAnsi" w:cstheme="majorHAnsi"/>
          <w:sz w:val="16"/>
          <w:lang w:val="ro-MD"/>
        </w:rPr>
        <w:t>”.</w:t>
      </w:r>
    </w:p>
  </w:footnote>
  <w:footnote w:id="55">
    <w:p w14:paraId="39F66002" w14:textId="77777777" w:rsidR="00A402C9" w:rsidRPr="00B10243" w:rsidRDefault="00A402C9" w:rsidP="00011EF9">
      <w:pPr>
        <w:pStyle w:val="a3"/>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 17 din Regulamentul cu privire la condițiile de stabilire, modul de calcul și de plată a indemnizațiilor pentru incapacitate temporară de muncă</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 xml:space="preserve">otărârea </w:t>
      </w:r>
      <w:r w:rsidRPr="00B10243">
        <w:rPr>
          <w:rFonts w:asciiTheme="majorHAnsi" w:hAnsiTheme="majorHAnsi" w:cstheme="majorHAnsi"/>
          <w:sz w:val="16"/>
          <w:szCs w:val="16"/>
          <w:lang w:val="ro-MD"/>
        </w:rPr>
        <w:t>G</w:t>
      </w:r>
      <w:r>
        <w:rPr>
          <w:rFonts w:asciiTheme="majorHAnsi" w:hAnsiTheme="majorHAnsi" w:cstheme="majorHAnsi"/>
          <w:sz w:val="16"/>
          <w:szCs w:val="16"/>
          <w:lang w:val="ro-MD"/>
        </w:rPr>
        <w:t>uvernului nr.</w:t>
      </w:r>
      <w:r w:rsidRPr="00B10243">
        <w:rPr>
          <w:rFonts w:asciiTheme="majorHAnsi" w:hAnsiTheme="majorHAnsi" w:cstheme="majorHAnsi"/>
          <w:sz w:val="16"/>
          <w:szCs w:val="16"/>
          <w:lang w:val="ro-MD"/>
        </w:rPr>
        <w:t xml:space="preserve"> 108 din 03.02.2005</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w:t>
      </w:r>
    </w:p>
  </w:footnote>
  <w:footnote w:id="56">
    <w:p w14:paraId="3BCDFC4D" w14:textId="7D15471A" w:rsidR="00A402C9" w:rsidRPr="00C12743" w:rsidRDefault="00A402C9" w:rsidP="00011EF9">
      <w:pPr>
        <w:pStyle w:val="a3"/>
        <w:rPr>
          <w:rFonts w:asciiTheme="majorHAnsi" w:hAnsiTheme="majorHAnsi" w:cstheme="majorHAnsi"/>
          <w:sz w:val="16"/>
          <w:szCs w:val="16"/>
          <w:lang w:val="ro-MD"/>
        </w:rPr>
      </w:pPr>
      <w:r w:rsidRPr="00C12743">
        <w:rPr>
          <w:rStyle w:val="a5"/>
          <w:rFonts w:asciiTheme="majorHAnsi" w:hAnsiTheme="majorHAnsi" w:cstheme="majorHAnsi"/>
          <w:sz w:val="16"/>
          <w:szCs w:val="16"/>
        </w:rPr>
        <w:footnoteRef/>
      </w:r>
      <w:r w:rsidRPr="00C12743">
        <w:rPr>
          <w:rFonts w:asciiTheme="majorHAnsi" w:hAnsiTheme="majorHAnsi" w:cstheme="majorHAnsi"/>
          <w:sz w:val="16"/>
          <w:szCs w:val="16"/>
        </w:rPr>
        <w:t xml:space="preserve"> </w:t>
      </w:r>
      <w:r w:rsidRPr="00C12743">
        <w:rPr>
          <w:rFonts w:asciiTheme="majorHAnsi" w:hAnsiTheme="majorHAnsi" w:cstheme="majorHAnsi"/>
          <w:sz w:val="16"/>
          <w:szCs w:val="16"/>
          <w:lang w:val="ro-MD"/>
        </w:rPr>
        <w:t>Circulara Ministerului Sănătății nr.06/895 din 18.02.2021</w:t>
      </w:r>
      <w:r>
        <w:rPr>
          <w:rFonts w:asciiTheme="majorHAnsi" w:hAnsiTheme="majorHAnsi" w:cstheme="majorHAnsi"/>
          <w:sz w:val="16"/>
          <w:szCs w:val="16"/>
          <w:lang w:val="ro-MD"/>
        </w:rPr>
        <w:t>.</w:t>
      </w:r>
    </w:p>
  </w:footnote>
  <w:footnote w:id="57">
    <w:p w14:paraId="723C4016" w14:textId="40D3B200" w:rsidR="00A402C9" w:rsidRPr="008F3612" w:rsidRDefault="00A402C9" w:rsidP="007B7642">
      <w:pPr>
        <w:pStyle w:val="a3"/>
        <w:jc w:val="both"/>
        <w:rPr>
          <w:rFonts w:asciiTheme="majorHAnsi" w:hAnsiTheme="majorHAnsi" w:cstheme="majorHAnsi"/>
          <w:sz w:val="16"/>
          <w:szCs w:val="16"/>
          <w:lang w:val="ro-MD"/>
        </w:rPr>
      </w:pPr>
      <w:r w:rsidRPr="008F3612">
        <w:rPr>
          <w:rStyle w:val="a5"/>
          <w:rFonts w:asciiTheme="majorHAnsi" w:hAnsiTheme="majorHAnsi" w:cstheme="majorHAnsi"/>
          <w:sz w:val="16"/>
          <w:szCs w:val="16"/>
          <w:lang w:val="ro-MD"/>
        </w:rPr>
        <w:footnoteRef/>
      </w:r>
      <w:r w:rsidRPr="008F3612">
        <w:rPr>
          <w:rFonts w:asciiTheme="majorHAnsi" w:hAnsiTheme="majorHAnsi" w:cstheme="majorHAnsi"/>
          <w:sz w:val="16"/>
          <w:szCs w:val="16"/>
          <w:lang w:val="ro-MD"/>
        </w:rPr>
        <w:t xml:space="preserve"> Formularul nr.7 CNAS</w:t>
      </w:r>
      <w:r>
        <w:rPr>
          <w:rFonts w:asciiTheme="majorHAnsi" w:hAnsiTheme="majorHAnsi" w:cstheme="majorHAnsi"/>
          <w:sz w:val="16"/>
          <w:szCs w:val="16"/>
          <w:lang w:val="ro-MD"/>
        </w:rPr>
        <w:t>.</w:t>
      </w:r>
    </w:p>
  </w:footnote>
  <w:footnote w:id="58">
    <w:p w14:paraId="0C7373EC" w14:textId="36BEBBC2" w:rsidR="00A402C9" w:rsidRPr="008F3612" w:rsidRDefault="00A402C9" w:rsidP="007B7642">
      <w:pPr>
        <w:pStyle w:val="a3"/>
        <w:jc w:val="both"/>
        <w:rPr>
          <w:rFonts w:asciiTheme="majorHAnsi" w:hAnsiTheme="majorHAnsi" w:cstheme="majorHAnsi"/>
          <w:sz w:val="16"/>
          <w:szCs w:val="16"/>
          <w:lang w:val="ro-MD"/>
        </w:rPr>
      </w:pPr>
      <w:r w:rsidRPr="008F3612">
        <w:rPr>
          <w:rStyle w:val="a5"/>
          <w:rFonts w:asciiTheme="majorHAnsi" w:hAnsiTheme="majorHAnsi" w:cstheme="majorHAnsi"/>
          <w:sz w:val="16"/>
          <w:szCs w:val="16"/>
          <w:lang w:val="ro-MD"/>
        </w:rPr>
        <w:footnoteRef/>
      </w:r>
      <w:r w:rsidRPr="008F3612">
        <w:rPr>
          <w:rFonts w:asciiTheme="majorHAnsi" w:hAnsiTheme="majorHAnsi" w:cstheme="majorHAnsi"/>
          <w:sz w:val="16"/>
          <w:szCs w:val="16"/>
          <w:lang w:val="ro-MD"/>
        </w:rPr>
        <w:t xml:space="preserve"> Art.44 </w:t>
      </w:r>
      <w:r>
        <w:rPr>
          <w:rFonts w:asciiTheme="majorHAnsi" w:hAnsiTheme="majorHAnsi" w:cstheme="majorHAnsi"/>
          <w:sz w:val="16"/>
          <w:szCs w:val="16"/>
          <w:lang w:val="ro-MD"/>
        </w:rPr>
        <w:t>alin.</w:t>
      </w:r>
      <w:r w:rsidRPr="008F3612">
        <w:rPr>
          <w:rFonts w:asciiTheme="majorHAnsi" w:hAnsiTheme="majorHAnsi" w:cstheme="majorHAnsi"/>
          <w:sz w:val="16"/>
          <w:szCs w:val="16"/>
          <w:lang w:val="ro-MD"/>
        </w:rPr>
        <w:t xml:space="preserve">(2) din Legea nr. 1544-XII din 23.06.1993 asigurării cu pensii a militarilor şi a persoanelor din corpul de comandă şi din trupele organelor afacerilor interne (în continuare </w:t>
      </w:r>
      <w:r>
        <w:rPr>
          <w:rFonts w:asciiTheme="majorHAnsi" w:hAnsiTheme="majorHAnsi" w:cstheme="majorHAnsi"/>
          <w:sz w:val="16"/>
          <w:szCs w:val="16"/>
          <w:lang w:val="ro-MD"/>
        </w:rPr>
        <w:t xml:space="preserve">– </w:t>
      </w:r>
      <w:r w:rsidRPr="008F3612">
        <w:rPr>
          <w:rFonts w:asciiTheme="majorHAnsi" w:hAnsiTheme="majorHAnsi" w:cstheme="majorHAnsi"/>
          <w:sz w:val="16"/>
          <w:szCs w:val="16"/>
          <w:lang w:val="ro-MD"/>
        </w:rPr>
        <w:t>Legea nr. 1544-XII din 23.06.1993); p</w:t>
      </w:r>
      <w:r>
        <w:rPr>
          <w:rFonts w:asciiTheme="majorHAnsi" w:hAnsiTheme="majorHAnsi" w:cstheme="majorHAnsi"/>
          <w:sz w:val="16"/>
          <w:szCs w:val="16"/>
          <w:lang w:val="ro-MD"/>
        </w:rPr>
        <w:t>ct</w:t>
      </w:r>
      <w:r w:rsidRPr="008F3612">
        <w:rPr>
          <w:rFonts w:asciiTheme="majorHAnsi" w:hAnsiTheme="majorHAnsi" w:cstheme="majorHAnsi"/>
          <w:sz w:val="16"/>
          <w:szCs w:val="16"/>
          <w:lang w:val="ro-MD"/>
        </w:rPr>
        <w:t xml:space="preserve">.3 din Hotărârea Guvernului nr.78 din 21.02.1994 cu privire la modul de calculare a vechimii în muncă, stabilire și plată a pensiilor și indemnizațiilor militarilor, persoanelor din corpul de comandă şi din trupele organelor afacerilor interne, colaboratorilor Centrului Național Anticorupție </w:t>
      </w:r>
      <w:r w:rsidRPr="000A687C">
        <w:rPr>
          <w:rFonts w:asciiTheme="majorHAnsi" w:hAnsiTheme="majorHAnsi" w:cstheme="majorHAnsi"/>
          <w:sz w:val="16"/>
          <w:szCs w:val="16"/>
          <w:lang w:val="ro-MD"/>
        </w:rPr>
        <w:t xml:space="preserve">și </w:t>
      </w:r>
      <w:r w:rsidRPr="00617E4A">
        <w:rPr>
          <w:rFonts w:asciiTheme="majorHAnsi" w:eastAsia="Times New Roman" w:hAnsiTheme="majorHAnsi" w:cstheme="majorHAnsi"/>
          <w:sz w:val="16"/>
          <w:szCs w:val="16"/>
          <w:lang w:val="ro-RO"/>
        </w:rPr>
        <w:t>funcționa</w:t>
      </w:r>
      <w:r w:rsidRPr="000A687C">
        <w:rPr>
          <w:rFonts w:asciiTheme="majorHAnsi" w:eastAsia="Times New Roman" w:hAnsiTheme="majorHAnsi" w:cstheme="majorHAnsi"/>
          <w:sz w:val="16"/>
          <w:szCs w:val="16"/>
          <w:lang w:val="ro-RO"/>
        </w:rPr>
        <w:t xml:space="preserve">rilor publici cu statut </w:t>
      </w:r>
      <w:r w:rsidRPr="00617E4A">
        <w:rPr>
          <w:rFonts w:asciiTheme="majorHAnsi" w:eastAsia="Times New Roman" w:hAnsiTheme="majorHAnsi" w:cstheme="majorHAnsi"/>
          <w:sz w:val="16"/>
          <w:szCs w:val="16"/>
          <w:lang w:val="ro-RO"/>
        </w:rPr>
        <w:t>special din cadrul sistemului administrației penitenciare</w:t>
      </w:r>
      <w:r w:rsidRPr="000A687C">
        <w:rPr>
          <w:rFonts w:asciiTheme="majorHAnsi" w:hAnsiTheme="majorHAnsi" w:cstheme="majorHAnsi"/>
          <w:sz w:val="16"/>
          <w:szCs w:val="16"/>
          <w:lang w:val="ro-MD"/>
        </w:rPr>
        <w:t xml:space="preserve"> (în continuare – Hotărârea Guvernului</w:t>
      </w:r>
      <w:r w:rsidRPr="008F3612">
        <w:rPr>
          <w:rFonts w:asciiTheme="majorHAnsi" w:hAnsiTheme="majorHAnsi" w:cstheme="majorHAnsi"/>
          <w:sz w:val="16"/>
          <w:szCs w:val="16"/>
          <w:lang w:val="ro-MD"/>
        </w:rPr>
        <w:t xml:space="preserve">  nr. 78 din 21.02.1994).</w:t>
      </w:r>
    </w:p>
  </w:footnote>
  <w:footnote w:id="59">
    <w:p w14:paraId="4432D5D0" w14:textId="77777777" w:rsidR="00A402C9" w:rsidRPr="008F3612" w:rsidRDefault="00A402C9" w:rsidP="007B7642">
      <w:pPr>
        <w:pStyle w:val="a3"/>
        <w:rPr>
          <w:rFonts w:asciiTheme="majorHAnsi" w:hAnsiTheme="majorHAnsi" w:cstheme="majorHAnsi"/>
          <w:sz w:val="16"/>
          <w:szCs w:val="16"/>
          <w:lang w:val="ro-MD"/>
        </w:rPr>
      </w:pPr>
      <w:r w:rsidRPr="008F3612">
        <w:rPr>
          <w:rStyle w:val="a5"/>
          <w:rFonts w:asciiTheme="majorHAnsi" w:hAnsiTheme="majorHAnsi" w:cstheme="majorHAnsi"/>
          <w:sz w:val="16"/>
          <w:szCs w:val="16"/>
          <w:lang w:val="ro-MD"/>
        </w:rPr>
        <w:footnoteRef/>
      </w:r>
      <w:r w:rsidRPr="008F3612">
        <w:rPr>
          <w:rFonts w:asciiTheme="majorHAnsi" w:hAnsiTheme="majorHAnsi" w:cstheme="majorHAnsi"/>
          <w:sz w:val="16"/>
          <w:szCs w:val="16"/>
          <w:lang w:val="ro-MD"/>
        </w:rPr>
        <w:t xml:space="preserve"> Art.14 (a) din Legea nr. 1544-XII din 23.06.1993.</w:t>
      </w:r>
    </w:p>
  </w:footnote>
  <w:footnote w:id="60">
    <w:p w14:paraId="6D41656D" w14:textId="4E35C6C9" w:rsidR="00A402C9" w:rsidRPr="004934C8" w:rsidRDefault="00A402C9" w:rsidP="007B7642">
      <w:pPr>
        <w:pStyle w:val="a3"/>
        <w:rPr>
          <w:rFonts w:asciiTheme="majorHAnsi" w:hAnsiTheme="majorHAnsi" w:cstheme="majorHAnsi"/>
          <w:sz w:val="16"/>
          <w:szCs w:val="16"/>
          <w:lang w:val="ro-MD"/>
        </w:rPr>
      </w:pPr>
      <w:r w:rsidRPr="00617E4A">
        <w:rPr>
          <w:rFonts w:asciiTheme="majorHAnsi" w:hAnsiTheme="majorHAnsi" w:cstheme="majorHAnsi"/>
          <w:sz w:val="16"/>
          <w:szCs w:val="16"/>
          <w:vertAlign w:val="superscript"/>
          <w:lang w:val="ro-MD"/>
        </w:rPr>
        <w:footnoteRef/>
      </w:r>
      <w:r w:rsidRPr="004934C8">
        <w:rPr>
          <w:rFonts w:asciiTheme="majorHAnsi" w:hAnsiTheme="majorHAnsi" w:cstheme="majorHAnsi"/>
          <w:sz w:val="16"/>
          <w:szCs w:val="16"/>
          <w:lang w:val="ro-MD"/>
        </w:rPr>
        <w:t xml:space="preserve"> Extras din </w:t>
      </w:r>
      <w:r>
        <w:rPr>
          <w:rFonts w:asciiTheme="majorHAnsi" w:hAnsiTheme="majorHAnsi" w:cstheme="majorHAnsi"/>
          <w:sz w:val="16"/>
          <w:szCs w:val="16"/>
          <w:lang w:val="ro-MD"/>
        </w:rPr>
        <w:t>O</w:t>
      </w:r>
      <w:r w:rsidRPr="004934C8">
        <w:rPr>
          <w:rFonts w:asciiTheme="majorHAnsi" w:hAnsiTheme="majorHAnsi" w:cstheme="majorHAnsi"/>
          <w:sz w:val="16"/>
          <w:szCs w:val="16"/>
          <w:lang w:val="ro-MD"/>
        </w:rPr>
        <w:t>rdinul MAI nr.463 ef. din 21.10.2021.</w:t>
      </w:r>
    </w:p>
  </w:footnote>
  <w:footnote w:id="61">
    <w:p w14:paraId="00DCF0C6" w14:textId="0017E78A" w:rsidR="00A402C9" w:rsidRPr="004934C8" w:rsidRDefault="00A402C9" w:rsidP="00617E4A">
      <w:pPr>
        <w:pStyle w:val="a3"/>
        <w:jc w:val="both"/>
        <w:rPr>
          <w:rFonts w:asciiTheme="majorHAnsi" w:hAnsiTheme="majorHAnsi" w:cstheme="majorHAnsi"/>
          <w:sz w:val="16"/>
          <w:szCs w:val="16"/>
          <w:lang w:val="ro-MD"/>
        </w:rPr>
      </w:pPr>
      <w:r w:rsidRPr="004934C8">
        <w:rPr>
          <w:rStyle w:val="a5"/>
          <w:rFonts w:asciiTheme="majorHAnsi" w:hAnsiTheme="majorHAnsi" w:cstheme="majorHAnsi"/>
          <w:sz w:val="16"/>
          <w:szCs w:val="16"/>
          <w:lang w:val="ro-MD"/>
        </w:rPr>
        <w:footnoteRef/>
      </w:r>
      <w:r w:rsidRPr="004934C8">
        <w:rPr>
          <w:rFonts w:asciiTheme="majorHAnsi" w:hAnsiTheme="majorHAnsi" w:cstheme="majorHAnsi"/>
          <w:sz w:val="16"/>
          <w:szCs w:val="16"/>
          <w:lang w:val="ro-MD"/>
        </w:rPr>
        <w:t xml:space="preserve"> Pct.4 din Hotărârea Guvernului nr. 78 din 21.02.1994.</w:t>
      </w:r>
    </w:p>
  </w:footnote>
  <w:footnote w:id="62">
    <w:p w14:paraId="370D9E3E" w14:textId="78A6F49F" w:rsidR="00A402C9" w:rsidRPr="000A687C" w:rsidRDefault="00A402C9" w:rsidP="001A3801">
      <w:pPr>
        <w:pStyle w:val="a3"/>
        <w:jc w:val="both"/>
        <w:rPr>
          <w:rFonts w:asciiTheme="majorHAnsi" w:hAnsiTheme="majorHAnsi" w:cstheme="majorHAnsi"/>
          <w:sz w:val="16"/>
          <w:szCs w:val="16"/>
          <w:lang w:val="ro-MD"/>
        </w:rPr>
      </w:pPr>
      <w:r w:rsidRPr="004934C8">
        <w:rPr>
          <w:rStyle w:val="a5"/>
          <w:rFonts w:asciiTheme="majorHAnsi" w:hAnsiTheme="majorHAnsi" w:cstheme="majorHAnsi"/>
          <w:sz w:val="16"/>
          <w:szCs w:val="16"/>
          <w:lang w:val="ro-MD"/>
        </w:rPr>
        <w:footnoteRef/>
      </w:r>
      <w:r w:rsidRPr="004934C8">
        <w:rPr>
          <w:rFonts w:asciiTheme="majorHAnsi" w:hAnsiTheme="majorHAnsi" w:cstheme="majorHAnsi"/>
          <w:sz w:val="16"/>
          <w:szCs w:val="16"/>
          <w:lang w:val="ro-MD"/>
        </w:rPr>
        <w:t xml:space="preserve"> Hotărârea Guvernului nr.826 din 18.11.2020 pentru modificarea Hotărârii Guvernului nr. 78</w:t>
      </w:r>
      <w:r>
        <w:rPr>
          <w:rFonts w:asciiTheme="majorHAnsi" w:hAnsiTheme="majorHAnsi" w:cstheme="majorHAnsi"/>
          <w:sz w:val="16"/>
          <w:szCs w:val="16"/>
          <w:lang w:val="ro-MD"/>
        </w:rPr>
        <w:t>/</w:t>
      </w:r>
      <w:r w:rsidRPr="004934C8">
        <w:rPr>
          <w:rFonts w:asciiTheme="majorHAnsi" w:hAnsiTheme="majorHAnsi" w:cstheme="majorHAnsi"/>
          <w:sz w:val="16"/>
          <w:szCs w:val="16"/>
          <w:lang w:val="ro-MD"/>
        </w:rPr>
        <w:t>1994</w:t>
      </w:r>
      <w:r>
        <w:rPr>
          <w:rFonts w:asciiTheme="majorHAnsi" w:hAnsiTheme="majorHAnsi" w:cstheme="majorHAnsi"/>
          <w:sz w:val="16"/>
          <w:szCs w:val="16"/>
          <w:lang w:val="ro-MD"/>
        </w:rPr>
        <w:t xml:space="preserve"> </w:t>
      </w:r>
      <w:r w:rsidRPr="008F3612">
        <w:rPr>
          <w:rFonts w:asciiTheme="majorHAnsi" w:hAnsiTheme="majorHAnsi" w:cstheme="majorHAnsi"/>
          <w:sz w:val="16"/>
          <w:szCs w:val="16"/>
          <w:lang w:val="ro-MD"/>
        </w:rPr>
        <w:t xml:space="preserve">cu privire la modul de calculare a vechimii în muncă, stabilire și plată a pensiilor și indemnizațiilor militarilor, persoanelor din corpul de comandă şi din trupele organelor afacerilor interne, colaboratorilor Centrului Național Anticorupție și </w:t>
      </w:r>
      <w:r w:rsidRPr="00617E4A">
        <w:rPr>
          <w:rFonts w:asciiTheme="majorHAnsi" w:eastAsia="Times New Roman" w:hAnsiTheme="majorHAnsi" w:cstheme="majorHAnsi"/>
          <w:sz w:val="16"/>
          <w:szCs w:val="16"/>
          <w:lang w:val="ro-RO"/>
        </w:rPr>
        <w:t>funcționarilor publici cu statut special din cadrul sistemului administrației penitenciare</w:t>
      </w:r>
      <w:r w:rsidRPr="000A687C">
        <w:rPr>
          <w:rFonts w:asciiTheme="majorHAnsi" w:hAnsiTheme="majorHAnsi" w:cstheme="majorHAnsi"/>
          <w:sz w:val="16"/>
          <w:szCs w:val="16"/>
          <w:lang w:val="ro-MD"/>
        </w:rPr>
        <w:t>.</w:t>
      </w:r>
    </w:p>
  </w:footnote>
  <w:footnote w:id="63">
    <w:p w14:paraId="207C80DA" w14:textId="38037D5C" w:rsidR="00A402C9" w:rsidRPr="004934C8" w:rsidRDefault="00A402C9" w:rsidP="00BE7CA8">
      <w:pPr>
        <w:pStyle w:val="a3"/>
        <w:jc w:val="both"/>
        <w:rPr>
          <w:rFonts w:asciiTheme="majorHAnsi" w:hAnsiTheme="majorHAnsi" w:cstheme="majorHAnsi"/>
          <w:sz w:val="16"/>
          <w:szCs w:val="16"/>
          <w:lang w:val="ro-MD"/>
        </w:rPr>
      </w:pPr>
      <w:r w:rsidRPr="004934C8">
        <w:rPr>
          <w:rStyle w:val="a5"/>
          <w:rFonts w:asciiTheme="majorHAnsi" w:hAnsiTheme="majorHAnsi" w:cstheme="majorHAnsi"/>
          <w:sz w:val="16"/>
          <w:szCs w:val="16"/>
          <w:lang w:val="ro-MD"/>
        </w:rPr>
        <w:footnoteRef/>
      </w:r>
      <w:r w:rsidRPr="004934C8">
        <w:rPr>
          <w:rFonts w:asciiTheme="majorHAnsi" w:hAnsiTheme="majorHAnsi" w:cstheme="majorHAnsi"/>
          <w:lang w:val="ro-MD"/>
        </w:rPr>
        <w:t xml:space="preserve"> </w:t>
      </w:r>
      <w:r w:rsidRPr="004934C8">
        <w:rPr>
          <w:rFonts w:asciiTheme="majorHAnsi" w:hAnsiTheme="majorHAnsi" w:cstheme="majorHAnsi"/>
          <w:sz w:val="16"/>
          <w:szCs w:val="16"/>
          <w:lang w:val="ro-MD"/>
        </w:rPr>
        <w:t>Raportul privind îndeplinirea planului de contingente, beneficiarii plăților și mărimea acestora din bugetul asigurărilor sociale de stat la situația din 01.01.2022 (Formularul CNAS nr.5).</w:t>
      </w:r>
    </w:p>
  </w:footnote>
  <w:footnote w:id="64">
    <w:p w14:paraId="6367DF58" w14:textId="201964E1" w:rsidR="00A402C9" w:rsidRPr="004934C8" w:rsidRDefault="00A402C9" w:rsidP="00BE7CA8">
      <w:pPr>
        <w:pStyle w:val="a3"/>
        <w:rPr>
          <w:rFonts w:asciiTheme="majorHAnsi" w:hAnsiTheme="majorHAnsi" w:cstheme="majorHAnsi"/>
          <w:sz w:val="16"/>
          <w:szCs w:val="16"/>
          <w:lang w:val="ro-MD"/>
        </w:rPr>
      </w:pPr>
      <w:r w:rsidRPr="004934C8">
        <w:rPr>
          <w:rStyle w:val="a5"/>
          <w:rFonts w:asciiTheme="majorHAnsi" w:hAnsiTheme="majorHAnsi" w:cstheme="majorHAnsi"/>
          <w:sz w:val="16"/>
          <w:szCs w:val="16"/>
          <w:lang w:val="ro-MD"/>
        </w:rPr>
        <w:footnoteRef/>
      </w:r>
      <w:r w:rsidRPr="004934C8">
        <w:rPr>
          <w:rFonts w:asciiTheme="majorHAnsi" w:hAnsiTheme="majorHAnsi" w:cstheme="majorHAnsi"/>
          <w:sz w:val="16"/>
          <w:szCs w:val="16"/>
          <w:lang w:val="ro-MD"/>
        </w:rPr>
        <w:t xml:space="preserve"> Legea </w:t>
      </w:r>
      <w:r>
        <w:rPr>
          <w:rFonts w:asciiTheme="majorHAnsi" w:hAnsiTheme="majorHAnsi" w:cstheme="majorHAnsi"/>
          <w:sz w:val="16"/>
          <w:szCs w:val="16"/>
          <w:lang w:val="ro-MD"/>
        </w:rPr>
        <w:t>nr.</w:t>
      </w:r>
      <w:r w:rsidRPr="004934C8">
        <w:rPr>
          <w:rFonts w:asciiTheme="majorHAnsi" w:hAnsiTheme="majorHAnsi" w:cstheme="majorHAnsi"/>
          <w:sz w:val="16"/>
          <w:szCs w:val="16"/>
          <w:lang w:val="ro-MD"/>
        </w:rPr>
        <w:t>1544</w:t>
      </w:r>
      <w:r>
        <w:rPr>
          <w:rFonts w:asciiTheme="majorHAnsi" w:hAnsiTheme="majorHAnsi" w:cstheme="majorHAnsi"/>
          <w:sz w:val="16"/>
          <w:szCs w:val="16"/>
          <w:lang w:val="ro-MD"/>
        </w:rPr>
        <w:t>-XII</w:t>
      </w:r>
      <w:r w:rsidRPr="004934C8">
        <w:rPr>
          <w:rFonts w:asciiTheme="majorHAnsi" w:hAnsiTheme="majorHAnsi" w:cstheme="majorHAnsi"/>
          <w:sz w:val="16"/>
          <w:szCs w:val="16"/>
          <w:lang w:val="ro-MD"/>
        </w:rPr>
        <w:t xml:space="preserve"> din 23.06.1993.</w:t>
      </w:r>
    </w:p>
  </w:footnote>
  <w:footnote w:id="65">
    <w:p w14:paraId="22F01CFF" w14:textId="3838C0CF" w:rsidR="00A402C9" w:rsidRPr="003C0BC5" w:rsidRDefault="00A402C9" w:rsidP="00276A33">
      <w:pPr>
        <w:spacing w:after="0"/>
        <w:jc w:val="both"/>
        <w:rPr>
          <w:rFonts w:asciiTheme="majorHAnsi" w:hAnsiTheme="majorHAnsi" w:cstheme="majorHAnsi"/>
          <w:sz w:val="24"/>
          <w:szCs w:val="24"/>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lang w:val="ro-MD"/>
        </w:rPr>
        <w:t xml:space="preserve"> </w:t>
      </w:r>
      <w:r w:rsidRPr="003C0BC5">
        <w:rPr>
          <w:rFonts w:asciiTheme="majorHAnsi" w:hAnsiTheme="majorHAnsi" w:cstheme="majorHAnsi"/>
          <w:sz w:val="16"/>
          <w:szCs w:val="16"/>
          <w:lang w:val="ro-MD"/>
        </w:rPr>
        <w:t>Legea nr.270 din 23.11.2018 privind sistemul unitar de salarizare în sectorul bugetar.</w:t>
      </w:r>
    </w:p>
  </w:footnote>
  <w:footnote w:id="66">
    <w:p w14:paraId="709516EF" w14:textId="58E6FEF4" w:rsidR="00A402C9" w:rsidRPr="00617E4A" w:rsidRDefault="00A402C9" w:rsidP="00987351">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Art.2 lit.(1</w:t>
      </w:r>
      <w:r w:rsidRPr="00617E4A">
        <w:rPr>
          <w:rFonts w:asciiTheme="majorHAnsi" w:hAnsiTheme="majorHAnsi" w:cstheme="majorHAnsi"/>
          <w:sz w:val="16"/>
          <w:szCs w:val="16"/>
          <w:vertAlign w:val="superscript"/>
          <w:lang w:val="ro-MD"/>
        </w:rPr>
        <w:t>1</w:t>
      </w:r>
      <w:r w:rsidRPr="00617E4A">
        <w:rPr>
          <w:rFonts w:asciiTheme="majorHAnsi" w:hAnsiTheme="majorHAnsi" w:cstheme="majorHAnsi"/>
          <w:sz w:val="16"/>
          <w:szCs w:val="16"/>
          <w:lang w:val="ro-MD"/>
        </w:rPr>
        <w:t xml:space="preserve">), (3), (4), (5) din Legea nr. 121 din 03.05.2001 cu privire la protecția socială suplimentară a unor categorii de populație (în continuare </w:t>
      </w:r>
      <w:r>
        <w:rPr>
          <w:rFonts w:asciiTheme="majorHAnsi" w:hAnsiTheme="majorHAnsi" w:cstheme="majorHAnsi"/>
          <w:sz w:val="16"/>
          <w:szCs w:val="16"/>
          <w:lang w:val="ro-MD"/>
        </w:rPr>
        <w:t>–</w:t>
      </w:r>
      <w:r w:rsidRPr="00617E4A">
        <w:rPr>
          <w:rFonts w:asciiTheme="majorHAnsi" w:hAnsiTheme="majorHAnsi" w:cstheme="majorHAnsi"/>
          <w:sz w:val="16"/>
          <w:szCs w:val="16"/>
          <w:lang w:val="ro-MD"/>
        </w:rPr>
        <w:t>Legea nr. 121 din 03.05.2001).</w:t>
      </w:r>
    </w:p>
  </w:footnote>
  <w:footnote w:id="67">
    <w:p w14:paraId="229DC6C9" w14:textId="386E8DF4" w:rsidR="00A402C9" w:rsidRPr="00617E4A" w:rsidRDefault="00A402C9" w:rsidP="00987351">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Legea  nr.909 din 30.01.1992 privind protecția socială a cetățenilor care au avut de suferit de pe urma catastrofei de la Cernobîl.</w:t>
      </w:r>
    </w:p>
  </w:footnote>
  <w:footnote w:id="68">
    <w:p w14:paraId="19DFDF85" w14:textId="1D677A0B" w:rsidR="00A402C9" w:rsidRPr="00617E4A" w:rsidRDefault="00A402C9" w:rsidP="00617E4A">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Legea nr.1123 din 30.07.1992 cu privire la distincțiile de stat ale Republicii Moldova.</w:t>
      </w:r>
    </w:p>
  </w:footnote>
  <w:footnote w:id="69">
    <w:p w14:paraId="3C8EA445" w14:textId="74498410" w:rsidR="00A402C9" w:rsidRPr="00EA7642" w:rsidRDefault="00A402C9" w:rsidP="00617E4A">
      <w:pPr>
        <w:pStyle w:val="a3"/>
        <w:jc w:val="both"/>
        <w:rPr>
          <w:rFonts w:asciiTheme="majorHAnsi" w:hAnsiTheme="majorHAnsi" w:cstheme="majorHAnsi"/>
          <w:sz w:val="16"/>
          <w:szCs w:val="16"/>
          <w:lang w:val="ro-MD"/>
        </w:rPr>
      </w:pPr>
      <w:r w:rsidRPr="00EA7642">
        <w:rPr>
          <w:rStyle w:val="a5"/>
          <w:rFonts w:asciiTheme="majorHAnsi" w:hAnsiTheme="majorHAnsi" w:cstheme="majorHAnsi"/>
          <w:sz w:val="16"/>
          <w:szCs w:val="16"/>
          <w:lang w:val="ro-MD"/>
        </w:rPr>
        <w:footnoteRef/>
      </w:r>
      <w:r w:rsidRPr="00EA7642">
        <w:rPr>
          <w:rFonts w:asciiTheme="majorHAnsi" w:hAnsiTheme="majorHAnsi" w:cstheme="majorHAnsi"/>
          <w:sz w:val="16"/>
          <w:szCs w:val="16"/>
          <w:lang w:val="ro-MD"/>
        </w:rPr>
        <w:t xml:space="preserve"> Hotărârea </w:t>
      </w:r>
      <w:r>
        <w:rPr>
          <w:rFonts w:asciiTheme="majorHAnsi" w:hAnsiTheme="majorHAnsi" w:cstheme="majorHAnsi"/>
          <w:sz w:val="16"/>
          <w:szCs w:val="16"/>
          <w:lang w:val="ro-MD"/>
        </w:rPr>
        <w:t>P</w:t>
      </w:r>
      <w:r w:rsidRPr="00EA7642">
        <w:rPr>
          <w:rFonts w:asciiTheme="majorHAnsi" w:hAnsiTheme="majorHAnsi" w:cstheme="majorHAnsi"/>
          <w:sz w:val="16"/>
          <w:szCs w:val="16"/>
          <w:lang w:val="ro-MD"/>
        </w:rPr>
        <w:t>arlamentului nr.53 din 13.07.1995 cu privire la drepturile cetățenilor Republicii Moldova decorați cu distincții de stat ale fostei URSS.</w:t>
      </w:r>
    </w:p>
  </w:footnote>
  <w:footnote w:id="70">
    <w:p w14:paraId="4740B253" w14:textId="77777777" w:rsidR="00A402C9" w:rsidRPr="00617E4A" w:rsidRDefault="00A402C9" w:rsidP="00617E4A">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Legea nr.190 din 08.05.2003 cu privire la veterani.</w:t>
      </w:r>
    </w:p>
  </w:footnote>
  <w:footnote w:id="71">
    <w:p w14:paraId="1805EA07" w14:textId="77777777" w:rsidR="00A402C9" w:rsidRPr="00617E4A" w:rsidRDefault="00A402C9" w:rsidP="00617E4A">
      <w:pPr>
        <w:pStyle w:val="a3"/>
        <w:jc w:val="both"/>
        <w:rPr>
          <w:rFonts w:asciiTheme="majorHAnsi" w:hAnsiTheme="majorHAnsi" w:cstheme="majorHAnsi"/>
          <w:sz w:val="16"/>
          <w:szCs w:val="16"/>
          <w:lang w:val="ro-MD"/>
        </w:rPr>
      </w:pPr>
      <w:r w:rsidRPr="00EA7642">
        <w:rPr>
          <w:rStyle w:val="a5"/>
          <w:rFonts w:asciiTheme="majorHAnsi" w:hAnsiTheme="majorHAnsi" w:cstheme="majorHAnsi"/>
          <w:sz w:val="16"/>
          <w:szCs w:val="16"/>
          <w:lang w:val="ro-MD"/>
        </w:rPr>
        <w:footnoteRef/>
      </w:r>
      <w:r w:rsidRPr="00EA7642">
        <w:rPr>
          <w:rFonts w:asciiTheme="majorHAnsi" w:hAnsiTheme="majorHAnsi" w:cstheme="majorHAnsi"/>
          <w:sz w:val="16"/>
          <w:szCs w:val="16"/>
          <w:lang w:val="ro-MD"/>
        </w:rPr>
        <w:t xml:space="preserve"> Legea nr</w:t>
      </w:r>
      <w:r w:rsidRPr="00617E4A">
        <w:rPr>
          <w:rFonts w:asciiTheme="majorHAnsi" w:hAnsiTheme="majorHAnsi" w:cstheme="majorHAnsi"/>
          <w:sz w:val="16"/>
          <w:szCs w:val="16"/>
          <w:lang w:val="ro-MD"/>
        </w:rPr>
        <w:t>. 121 din 03.05.2001.</w:t>
      </w:r>
    </w:p>
  </w:footnote>
  <w:footnote w:id="72">
    <w:p w14:paraId="3D1A95F6" w14:textId="5CF5CDE9" w:rsidR="00A402C9" w:rsidRPr="00617E4A" w:rsidRDefault="00A402C9" w:rsidP="00617E4A">
      <w:pPr>
        <w:pStyle w:val="a3"/>
        <w:jc w:val="both"/>
        <w:rPr>
          <w:sz w:val="16"/>
          <w:szCs w:val="16"/>
          <w:lang w:val="ro-MD"/>
        </w:rPr>
      </w:pPr>
      <w:r w:rsidRPr="00617E4A">
        <w:rPr>
          <w:rFonts w:asciiTheme="majorHAnsi" w:hAnsiTheme="majorHAnsi" w:cstheme="majorHAnsi"/>
          <w:sz w:val="16"/>
          <w:szCs w:val="16"/>
          <w:vertAlign w:val="superscript"/>
          <w:lang w:val="ro-MD"/>
        </w:rPr>
        <w:footnoteRef/>
      </w:r>
      <w:r w:rsidRPr="00617E4A">
        <w:rPr>
          <w:rFonts w:asciiTheme="majorHAnsi" w:hAnsiTheme="majorHAnsi" w:cstheme="majorHAnsi"/>
          <w:sz w:val="16"/>
          <w:szCs w:val="16"/>
          <w:lang w:val="ro-MD"/>
        </w:rPr>
        <w:t xml:space="preserve"> Scrisoarea nr.5156 din 20.10.2021 și Scrisoarea nr.6599 din 24.12.2021</w:t>
      </w:r>
      <w:r>
        <w:rPr>
          <w:rFonts w:asciiTheme="majorHAnsi" w:hAnsiTheme="majorHAnsi" w:cstheme="majorHAnsi"/>
          <w:sz w:val="16"/>
          <w:szCs w:val="16"/>
          <w:lang w:val="ro-MD"/>
        </w:rPr>
        <w:t>.</w:t>
      </w:r>
      <w:r w:rsidRPr="00617E4A">
        <w:rPr>
          <w:sz w:val="16"/>
          <w:szCs w:val="16"/>
          <w:lang w:val="ro-MD"/>
        </w:rPr>
        <w:t xml:space="preserve"> </w:t>
      </w:r>
    </w:p>
  </w:footnote>
  <w:footnote w:id="73">
    <w:p w14:paraId="35EFDA26" w14:textId="100A22CF" w:rsidR="00A402C9" w:rsidRPr="00CF5CC8" w:rsidRDefault="00A402C9" w:rsidP="005278A8">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w:t>
      </w:r>
      <w:r w:rsidRPr="00CF5CC8">
        <w:rPr>
          <w:rFonts w:asciiTheme="majorHAnsi" w:hAnsiTheme="majorHAnsi" w:cstheme="majorHAnsi"/>
          <w:sz w:val="16"/>
          <w:szCs w:val="16"/>
          <w:lang w:val="ro-MD"/>
        </w:rPr>
        <w:t xml:space="preserve">Hotărârea Guvernului </w:t>
      </w:r>
      <w:r>
        <w:rPr>
          <w:rFonts w:asciiTheme="majorHAnsi" w:hAnsiTheme="majorHAnsi" w:cstheme="majorHAnsi"/>
          <w:sz w:val="16"/>
          <w:szCs w:val="16"/>
          <w:lang w:val="ro-MD"/>
        </w:rPr>
        <w:t>n</w:t>
      </w:r>
      <w:r w:rsidRPr="00CF5CC8">
        <w:rPr>
          <w:rFonts w:asciiTheme="majorHAnsi" w:hAnsiTheme="majorHAnsi" w:cstheme="majorHAnsi"/>
          <w:sz w:val="16"/>
          <w:szCs w:val="16"/>
          <w:lang w:val="ro-MD"/>
        </w:rPr>
        <w:t>r. 672 din 10.09.2020 privind modificarea unor hotărâri ale Guvernului</w:t>
      </w:r>
      <w:r>
        <w:rPr>
          <w:rFonts w:asciiTheme="majorHAnsi" w:hAnsiTheme="majorHAnsi" w:cstheme="majorHAnsi"/>
          <w:sz w:val="16"/>
          <w:szCs w:val="16"/>
          <w:lang w:val="ro-MD"/>
        </w:rPr>
        <w:t>;</w:t>
      </w:r>
      <w:r w:rsidRPr="00CF5CC8">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CF5CC8">
        <w:rPr>
          <w:rFonts w:asciiTheme="majorHAnsi" w:hAnsiTheme="majorHAnsi" w:cstheme="majorHAnsi"/>
          <w:sz w:val="16"/>
          <w:szCs w:val="16"/>
          <w:lang w:val="ro-MD"/>
        </w:rPr>
        <w:t>ct. 3</w:t>
      </w:r>
      <w:r w:rsidRPr="00CF5CC8">
        <w:rPr>
          <w:rFonts w:asciiTheme="majorHAnsi" w:hAnsiTheme="majorHAnsi" w:cstheme="majorHAnsi"/>
          <w:sz w:val="16"/>
          <w:szCs w:val="16"/>
          <w:vertAlign w:val="superscript"/>
          <w:lang w:val="ro-MD"/>
        </w:rPr>
        <w:t xml:space="preserve">4 </w:t>
      </w:r>
      <w:r w:rsidRPr="00CF5CC8">
        <w:rPr>
          <w:rFonts w:asciiTheme="majorHAnsi" w:hAnsiTheme="majorHAnsi" w:cstheme="majorHAnsi"/>
          <w:sz w:val="16"/>
          <w:szCs w:val="16"/>
          <w:lang w:val="ro-MD"/>
        </w:rPr>
        <w:t xml:space="preserve">din Hotărârea Guvernului </w:t>
      </w:r>
      <w:r>
        <w:rPr>
          <w:rFonts w:asciiTheme="majorHAnsi" w:hAnsiTheme="majorHAnsi" w:cstheme="majorHAnsi"/>
          <w:sz w:val="16"/>
          <w:szCs w:val="16"/>
          <w:lang w:val="ro-MD"/>
        </w:rPr>
        <w:t>n</w:t>
      </w:r>
      <w:r w:rsidRPr="00CF5CC8">
        <w:rPr>
          <w:rFonts w:asciiTheme="majorHAnsi" w:hAnsiTheme="majorHAnsi" w:cstheme="majorHAnsi"/>
          <w:sz w:val="16"/>
          <w:szCs w:val="16"/>
          <w:lang w:val="ro-MD"/>
        </w:rPr>
        <w:t>r. 19 din 17.03.2010 pentru aprobarea Regulamentului privind condițiile, modul de asigurare, evidență și distribuire a biletelor de tratament sanatorial acordate veteranilor.</w:t>
      </w:r>
    </w:p>
    <w:p w14:paraId="4D90A1D8" w14:textId="77777777" w:rsidR="00A402C9" w:rsidRPr="00E17CB4" w:rsidRDefault="00A402C9" w:rsidP="005278A8">
      <w:pPr>
        <w:pStyle w:val="a3"/>
        <w:jc w:val="both"/>
        <w:rPr>
          <w:rFonts w:asciiTheme="majorHAnsi" w:hAnsiTheme="majorHAnsi" w:cstheme="majorHAnsi"/>
          <w:sz w:val="16"/>
          <w:szCs w:val="16"/>
          <w:lang w:val="ro-MD"/>
        </w:rPr>
      </w:pPr>
    </w:p>
  </w:footnote>
  <w:footnote w:id="74">
    <w:p w14:paraId="409DC498" w14:textId="77777777" w:rsidR="00A402C9" w:rsidRPr="00E17CB4" w:rsidRDefault="00A402C9" w:rsidP="00E17CB4">
      <w:pPr>
        <w:pStyle w:val="a3"/>
        <w:jc w:val="both"/>
        <w:rPr>
          <w:rFonts w:asciiTheme="majorHAnsi" w:hAnsiTheme="majorHAnsi" w:cstheme="majorHAnsi"/>
          <w:sz w:val="16"/>
          <w:szCs w:val="16"/>
          <w:lang w:val="ro-MD"/>
        </w:rPr>
      </w:pPr>
      <w:r w:rsidRPr="00E17CB4">
        <w:rPr>
          <w:rStyle w:val="a5"/>
          <w:rFonts w:asciiTheme="majorHAnsi" w:hAnsiTheme="majorHAnsi" w:cstheme="majorHAnsi"/>
          <w:sz w:val="16"/>
          <w:szCs w:val="16"/>
          <w:lang w:val="ro-MD"/>
        </w:rPr>
        <w:footnoteRef/>
      </w:r>
      <w:r w:rsidRPr="00E17CB4">
        <w:rPr>
          <w:rFonts w:asciiTheme="majorHAnsi" w:hAnsiTheme="majorHAnsi" w:cstheme="majorHAnsi"/>
          <w:sz w:val="16"/>
          <w:szCs w:val="16"/>
          <w:lang w:val="ro-MD"/>
        </w:rPr>
        <w:t xml:space="preserve"> </w:t>
      </w:r>
      <w:r w:rsidRPr="00E17CB4">
        <w:rPr>
          <w:rFonts w:asciiTheme="majorHAnsi" w:hAnsiTheme="majorHAnsi" w:cstheme="majorHAnsi"/>
          <w:color w:val="000000"/>
          <w:sz w:val="16"/>
          <w:szCs w:val="16"/>
          <w:shd w:val="clear" w:color="auto" w:fill="FFFFFF"/>
          <w:lang w:val="ro-MD"/>
        </w:rPr>
        <w:t>Contract de prestare a serviciilor de distribuire a prestațiilor sociale prin Serviciul Guvernamental de Plăți Electronice nr. 3009-287 din 29.12.2020.</w:t>
      </w:r>
    </w:p>
  </w:footnote>
  <w:footnote w:id="75">
    <w:p w14:paraId="7F8BCEFC" w14:textId="77777777" w:rsidR="00A402C9" w:rsidRPr="00E17CB4" w:rsidRDefault="00A402C9" w:rsidP="00E17CB4">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E17CB4">
        <w:rPr>
          <w:rFonts w:asciiTheme="majorHAnsi" w:hAnsiTheme="majorHAnsi" w:cstheme="majorHAnsi"/>
          <w:sz w:val="16"/>
          <w:szCs w:val="16"/>
          <w:lang w:val="ro-MD"/>
        </w:rPr>
        <w:t xml:space="preserve"> </w:t>
      </w:r>
      <w:r w:rsidRPr="00E17CB4">
        <w:rPr>
          <w:rFonts w:asciiTheme="majorHAnsi" w:eastAsia="Times New Roman" w:hAnsiTheme="majorHAnsi" w:cstheme="majorHAnsi"/>
          <w:sz w:val="16"/>
          <w:szCs w:val="16"/>
          <w:lang w:val="ro-MD"/>
        </w:rPr>
        <w:t>Art.1 din Legea nr.489-XIV din 08.07.1999.</w:t>
      </w:r>
    </w:p>
  </w:footnote>
  <w:footnote w:id="76">
    <w:p w14:paraId="31909C99" w14:textId="77777777" w:rsidR="00A402C9" w:rsidRPr="00E17CB4" w:rsidRDefault="00A402C9" w:rsidP="00617E4A">
      <w:pPr>
        <w:pStyle w:val="a3"/>
        <w:jc w:val="both"/>
        <w:rPr>
          <w:rFonts w:asciiTheme="majorHAnsi" w:eastAsia="Times New Roman"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w:t>
      </w:r>
      <w:r w:rsidRPr="00E17CB4">
        <w:rPr>
          <w:rFonts w:asciiTheme="majorHAnsi" w:eastAsia="Times New Roman" w:hAnsiTheme="majorHAnsi" w:cstheme="majorHAnsi"/>
          <w:sz w:val="16"/>
          <w:szCs w:val="16"/>
          <w:lang w:val="ro-MD"/>
        </w:rPr>
        <w:t>Art.10 din Legea nr.489-XIV din 08.07.1999.</w:t>
      </w:r>
    </w:p>
  </w:footnote>
  <w:footnote w:id="77">
    <w:p w14:paraId="13D46796" w14:textId="77777777" w:rsidR="00A402C9" w:rsidRPr="00617E4A" w:rsidRDefault="00A402C9" w:rsidP="00617E4A">
      <w:pPr>
        <w:pStyle w:val="a3"/>
        <w:jc w:val="both"/>
        <w:rPr>
          <w:rFonts w:asciiTheme="majorHAnsi" w:hAnsiTheme="majorHAnsi" w:cstheme="majorHAnsi"/>
          <w:sz w:val="16"/>
          <w:szCs w:val="16"/>
          <w:lang w:val="ro-MD"/>
        </w:rPr>
      </w:pPr>
      <w:r w:rsidRPr="00617E4A">
        <w:rPr>
          <w:rStyle w:val="a5"/>
          <w:rFonts w:asciiTheme="majorHAnsi" w:hAnsiTheme="majorHAnsi" w:cstheme="majorHAnsi"/>
          <w:sz w:val="16"/>
          <w:szCs w:val="16"/>
          <w:lang w:val="ro-MD"/>
        </w:rPr>
        <w:footnoteRef/>
      </w:r>
      <w:r w:rsidRPr="00617E4A">
        <w:rPr>
          <w:rFonts w:asciiTheme="majorHAnsi" w:hAnsiTheme="majorHAnsi" w:cstheme="majorHAnsi"/>
          <w:sz w:val="16"/>
          <w:szCs w:val="16"/>
          <w:lang w:val="ro-MD"/>
        </w:rPr>
        <w:t xml:space="preserve"> </w:t>
      </w:r>
      <w:r w:rsidRPr="00E17CB4">
        <w:rPr>
          <w:rFonts w:asciiTheme="majorHAnsi" w:eastAsia="Times New Roman" w:hAnsiTheme="majorHAnsi" w:cstheme="majorHAnsi"/>
          <w:sz w:val="16"/>
          <w:szCs w:val="16"/>
          <w:lang w:val="ro-MD"/>
        </w:rPr>
        <w:t>Art.22 din Legea nr.181 din 25.07.2014.</w:t>
      </w:r>
    </w:p>
  </w:footnote>
  <w:footnote w:id="78">
    <w:p w14:paraId="497F15E3" w14:textId="77777777" w:rsidR="00A402C9" w:rsidRPr="00617E4A" w:rsidRDefault="00A402C9" w:rsidP="001F113B">
      <w:pPr>
        <w:pStyle w:val="a3"/>
        <w:rPr>
          <w:rFonts w:asciiTheme="majorHAnsi" w:hAnsiTheme="majorHAnsi" w:cstheme="majorHAnsi"/>
          <w:sz w:val="16"/>
          <w:szCs w:val="16"/>
          <w:lang w:val="ro-MD"/>
        </w:rPr>
      </w:pPr>
      <w:r w:rsidRPr="00617E4A">
        <w:rPr>
          <w:rFonts w:asciiTheme="majorHAnsi" w:hAnsiTheme="majorHAnsi" w:cstheme="majorHAnsi"/>
          <w:sz w:val="16"/>
          <w:szCs w:val="16"/>
          <w:vertAlign w:val="superscript"/>
          <w:lang w:val="ro-MD"/>
        </w:rPr>
        <w:footnoteRef/>
      </w:r>
      <w:r w:rsidRPr="00617E4A">
        <w:rPr>
          <w:rFonts w:asciiTheme="majorHAnsi" w:hAnsiTheme="majorHAnsi" w:cstheme="majorHAnsi"/>
          <w:sz w:val="16"/>
          <w:szCs w:val="16"/>
          <w:lang w:val="ro-MD"/>
        </w:rPr>
        <w:t xml:space="preserve"> Legea nr.181 din 25.07.2014.</w:t>
      </w:r>
    </w:p>
  </w:footnote>
  <w:footnote w:id="79">
    <w:p w14:paraId="56969C57" w14:textId="77777777" w:rsidR="00A402C9" w:rsidRPr="001D2280" w:rsidRDefault="00A402C9" w:rsidP="00CE6602">
      <w:pPr>
        <w:pStyle w:val="a3"/>
        <w:jc w:val="both"/>
        <w:rPr>
          <w:rFonts w:asciiTheme="majorHAnsi" w:hAnsiTheme="majorHAnsi" w:cstheme="majorHAnsi"/>
          <w:sz w:val="16"/>
          <w:szCs w:val="16"/>
          <w:lang w:val="ro-MD"/>
        </w:rPr>
      </w:pPr>
      <w:r w:rsidRPr="00812372">
        <w:rPr>
          <w:rStyle w:val="a5"/>
          <w:rFonts w:asciiTheme="majorHAnsi" w:hAnsiTheme="majorHAnsi" w:cstheme="majorHAnsi"/>
          <w:sz w:val="16"/>
          <w:szCs w:val="16"/>
          <w:lang w:val="ro-MD"/>
        </w:rPr>
        <w:footnoteRef/>
      </w:r>
      <w:r w:rsidRPr="00812372">
        <w:rPr>
          <w:rFonts w:asciiTheme="majorHAnsi" w:hAnsiTheme="majorHAnsi" w:cstheme="majorHAnsi"/>
          <w:sz w:val="16"/>
          <w:szCs w:val="16"/>
          <w:lang w:val="ro-MD"/>
        </w:rPr>
        <w:t xml:space="preserve"> Legea nr. 27 din 12.03.2021 pentru modificarea Legii nr.255 din 16.12.2020 (în continuare – Legea nr. 27 din 12.03.2021); Legea nr. 136 din 14.10.2021 pentru modificarea Legii nr. 255 din 16.12.2020 (în continuare Legea nr. 136 din 14.10.2021); Legea nr. 191 din 25.11.2021 pentru modificarea Legii nr. 255 din 16.12.2020 (în continuare </w:t>
      </w:r>
      <w:r w:rsidRPr="001D2280">
        <w:rPr>
          <w:rFonts w:asciiTheme="majorHAnsi" w:hAnsiTheme="majorHAnsi" w:cstheme="majorHAnsi"/>
          <w:sz w:val="16"/>
          <w:szCs w:val="16"/>
          <w:lang w:val="ro-MD"/>
        </w:rPr>
        <w:t>Legea nr. 191 din 25.11.2021).</w:t>
      </w:r>
    </w:p>
  </w:footnote>
  <w:footnote w:id="80">
    <w:p w14:paraId="5C6A5CAC" w14:textId="77777777" w:rsidR="00A402C9" w:rsidRPr="00B10243" w:rsidRDefault="00A402C9" w:rsidP="00F9109E">
      <w:pPr>
        <w:pStyle w:val="a8"/>
        <w:jc w:val="both"/>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Art.19 din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w:t>
      </w:r>
    </w:p>
  </w:footnote>
  <w:footnote w:id="81">
    <w:p w14:paraId="777211B7" w14:textId="77777777" w:rsidR="00A402C9" w:rsidRPr="00B10243" w:rsidRDefault="00A402C9" w:rsidP="00F9109E">
      <w:pPr>
        <w:pStyle w:val="a3"/>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Art.22 din Legea nr.229</w:t>
      </w:r>
      <w:r w:rsidRPr="00B10243">
        <w:rPr>
          <w:rFonts w:asciiTheme="majorHAnsi" w:eastAsia="Times New Roman" w:hAnsiTheme="majorHAnsi" w:cstheme="majorHAnsi"/>
          <w:bCs/>
          <w:sz w:val="16"/>
          <w:szCs w:val="16"/>
          <w:lang w:val="ro-MD"/>
        </w:rPr>
        <w:t xml:space="preserve"> din 23.09.2010.</w:t>
      </w:r>
    </w:p>
  </w:footnote>
  <w:footnote w:id="82">
    <w:p w14:paraId="6E1E9483" w14:textId="77777777" w:rsidR="00A402C9" w:rsidRPr="00B10243" w:rsidRDefault="00A402C9" w:rsidP="00F9109E">
      <w:pPr>
        <w:pStyle w:val="a8"/>
        <w:jc w:val="both"/>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 xml:space="preserve">; </w:t>
      </w:r>
      <w:r w:rsidRPr="00B10243">
        <w:rPr>
          <w:rFonts w:asciiTheme="majorHAnsi" w:hAnsiTheme="majorHAnsi" w:cstheme="majorHAnsi"/>
          <w:sz w:val="16"/>
          <w:szCs w:val="16"/>
          <w:lang w:val="ro-MD"/>
        </w:rPr>
        <w:t>Legea nr.</w:t>
      </w:r>
      <w:r w:rsidRPr="00B10243">
        <w:rPr>
          <w:rFonts w:asciiTheme="majorHAnsi" w:eastAsia="Times New Roman" w:hAnsiTheme="majorHAnsi" w:cstheme="majorHAnsi"/>
          <w:sz w:val="16"/>
          <w:szCs w:val="16"/>
          <w:lang w:val="ro-MD"/>
        </w:rPr>
        <w:t>113-XVI din 27.04.2007</w:t>
      </w:r>
      <w:r w:rsidRPr="00B10243">
        <w:rPr>
          <w:rFonts w:asciiTheme="majorHAnsi" w:hAnsiTheme="majorHAnsi" w:cstheme="majorHAnsi"/>
          <w:sz w:val="16"/>
          <w:szCs w:val="16"/>
          <w:lang w:val="ro-MD" w:eastAsia="ro-RO"/>
        </w:rPr>
        <w:t>.</w:t>
      </w:r>
    </w:p>
  </w:footnote>
  <w:footnote w:id="83">
    <w:p w14:paraId="26344952" w14:textId="77777777" w:rsidR="00A402C9" w:rsidRPr="00B10243" w:rsidRDefault="00A402C9" w:rsidP="00F9109E">
      <w:pPr>
        <w:pStyle w:val="a8"/>
        <w:jc w:val="both"/>
        <w:rPr>
          <w:rFonts w:asciiTheme="majorHAnsi" w:hAnsiTheme="majorHAnsi" w:cstheme="majorHAnsi"/>
          <w:sz w:val="16"/>
          <w:szCs w:val="16"/>
          <w:lang w:val="ro-MD"/>
        </w:rPr>
      </w:pPr>
      <w:r w:rsidRPr="00B10243">
        <w:rPr>
          <w:rStyle w:val="a5"/>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Art.22 din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w:t>
      </w:r>
    </w:p>
  </w:footnote>
  <w:footnote w:id="84">
    <w:p w14:paraId="3EED9FA3" w14:textId="77777777" w:rsidR="00A402C9" w:rsidRPr="00B10243" w:rsidRDefault="00A402C9" w:rsidP="00F9109E">
      <w:pPr>
        <w:pStyle w:val="a3"/>
        <w:jc w:val="both"/>
        <w:rPr>
          <w:rFonts w:asciiTheme="majorHAnsi" w:hAnsiTheme="majorHAnsi" w:cstheme="majorHAnsi"/>
          <w:lang w:val="ro-MD"/>
        </w:rPr>
      </w:pPr>
      <w:r w:rsidRPr="00B10243">
        <w:rPr>
          <w:rStyle w:val="a5"/>
          <w:rFonts w:asciiTheme="majorHAnsi" w:hAnsiTheme="majorHAnsi" w:cstheme="majorHAnsi"/>
          <w:sz w:val="16"/>
          <w:lang w:val="ro-MD"/>
        </w:rPr>
        <w:footnoteRef/>
      </w:r>
      <w:r w:rsidRPr="00B10243">
        <w:rPr>
          <w:rFonts w:asciiTheme="majorHAnsi" w:hAnsiTheme="majorHAnsi" w:cstheme="majorHAnsi"/>
          <w:sz w:val="16"/>
          <w:lang w:val="ro-MD"/>
        </w:rPr>
        <w:t xml:space="preserve"> </w:t>
      </w:r>
      <w:r w:rsidRPr="00B10243">
        <w:rPr>
          <w:rFonts w:asciiTheme="majorHAnsi" w:hAnsiTheme="majorHAnsi" w:cstheme="majorHAnsi"/>
          <w:sz w:val="16"/>
          <w:szCs w:val="16"/>
          <w:lang w:val="ro-MD"/>
        </w:rPr>
        <w:t xml:space="preserve">Legea nr.113-XVI din 27.04.2007; Ordinul ministrului </w:t>
      </w:r>
      <w:r>
        <w:rPr>
          <w:rFonts w:asciiTheme="majorHAnsi" w:hAnsiTheme="majorHAnsi" w:cstheme="majorHAnsi"/>
          <w:sz w:val="16"/>
          <w:szCs w:val="16"/>
          <w:lang w:val="ro-MD"/>
        </w:rPr>
        <w:t>F</w:t>
      </w:r>
      <w:r w:rsidRPr="00B10243">
        <w:rPr>
          <w:rFonts w:asciiTheme="majorHAnsi" w:hAnsiTheme="majorHAnsi" w:cstheme="majorHAnsi"/>
          <w:sz w:val="16"/>
          <w:szCs w:val="16"/>
          <w:lang w:val="ro-MD"/>
        </w:rPr>
        <w:t xml:space="preserve">inanțelor nr.118 din 06.08.2013 „Privind aprobarea Standardelor Naționale de Contabilitate”; Ordinul ministrului </w:t>
      </w:r>
      <w:r>
        <w:rPr>
          <w:rFonts w:asciiTheme="majorHAnsi" w:hAnsiTheme="majorHAnsi" w:cstheme="majorHAnsi"/>
          <w:sz w:val="16"/>
          <w:szCs w:val="16"/>
          <w:lang w:val="ro-MD"/>
        </w:rPr>
        <w:t>F</w:t>
      </w:r>
      <w:r w:rsidRPr="00B10243">
        <w:rPr>
          <w:rFonts w:asciiTheme="majorHAnsi" w:hAnsiTheme="majorHAnsi" w:cstheme="majorHAnsi"/>
          <w:sz w:val="16"/>
          <w:szCs w:val="16"/>
          <w:lang w:val="ro-MD"/>
        </w:rPr>
        <w:t xml:space="preserve">inanțelor </w:t>
      </w:r>
      <w:r w:rsidRPr="00B10243">
        <w:rPr>
          <w:rFonts w:asciiTheme="majorHAnsi" w:hAnsiTheme="majorHAnsi" w:cstheme="majorHAnsi"/>
          <w:noProof/>
          <w:sz w:val="16"/>
          <w:szCs w:val="16"/>
          <w:lang w:val="ro-MD"/>
        </w:rPr>
        <w:t>nr.38 din 17.02.2017.</w:t>
      </w:r>
    </w:p>
  </w:footnote>
  <w:footnote w:id="85">
    <w:p w14:paraId="3D1209AE" w14:textId="77777777" w:rsidR="00A402C9" w:rsidRPr="00B10243" w:rsidRDefault="00A402C9" w:rsidP="00F9109E">
      <w:pPr>
        <w:pStyle w:val="a3"/>
        <w:jc w:val="both"/>
        <w:rPr>
          <w:rFonts w:asciiTheme="majorHAnsi" w:hAnsiTheme="majorHAnsi" w:cstheme="majorHAnsi"/>
          <w:lang w:val="ro-MD"/>
        </w:rPr>
      </w:pPr>
      <w:r w:rsidRPr="00B10243">
        <w:rPr>
          <w:rStyle w:val="a5"/>
          <w:rFonts w:asciiTheme="majorHAnsi" w:hAnsiTheme="majorHAnsi" w:cstheme="majorHAnsi"/>
          <w:sz w:val="16"/>
          <w:lang w:val="ro-MD"/>
        </w:rPr>
        <w:footnoteRef/>
      </w:r>
      <w:r w:rsidRPr="00B10243">
        <w:rPr>
          <w:rFonts w:asciiTheme="majorHAnsi" w:hAnsiTheme="majorHAnsi" w:cstheme="majorHAnsi"/>
          <w:lang w:val="ro-MD"/>
        </w:rPr>
        <w:t xml:space="preserve"> </w:t>
      </w:r>
      <w:r w:rsidRPr="00B10243">
        <w:rPr>
          <w:rFonts w:asciiTheme="majorHAnsi" w:hAnsiTheme="majorHAnsi" w:cstheme="majorHAnsi"/>
          <w:sz w:val="16"/>
          <w:szCs w:val="16"/>
          <w:lang w:val="ro-MD"/>
        </w:rPr>
        <w:t>Art. 13 alin.(2) lit. e) din Legea nr.113-XVI din 27.04.2007.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A91"/>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7020"/>
    <w:multiLevelType w:val="hybridMultilevel"/>
    <w:tmpl w:val="3918CB6E"/>
    <w:lvl w:ilvl="0" w:tplc="18666C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A049E"/>
    <w:multiLevelType w:val="hybridMultilevel"/>
    <w:tmpl w:val="30B61826"/>
    <w:lvl w:ilvl="0" w:tplc="62BE77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396"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3783A"/>
    <w:multiLevelType w:val="hybridMultilevel"/>
    <w:tmpl w:val="146C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218D"/>
    <w:multiLevelType w:val="hybridMultilevel"/>
    <w:tmpl w:val="C5480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4D65"/>
    <w:multiLevelType w:val="hybridMultilevel"/>
    <w:tmpl w:val="5BB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22E"/>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769CF"/>
    <w:multiLevelType w:val="hybridMultilevel"/>
    <w:tmpl w:val="C8503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74AC4"/>
    <w:multiLevelType w:val="hybridMultilevel"/>
    <w:tmpl w:val="18DC3156"/>
    <w:lvl w:ilvl="0" w:tplc="9E8E1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30937F8"/>
    <w:multiLevelType w:val="multilevel"/>
    <w:tmpl w:val="40B85BF2"/>
    <w:lvl w:ilvl="0">
      <w:start w:val="1"/>
      <w:numFmt w:val="upperRoman"/>
      <w:lvlText w:val="%1."/>
      <w:lvlJc w:val="left"/>
      <w:pPr>
        <w:ind w:left="1080" w:hanging="720"/>
      </w:pPr>
      <w:rPr>
        <w:rFonts w:hint="default"/>
        <w:b/>
      </w:rPr>
    </w:lvl>
    <w:lvl w:ilvl="1">
      <w:start w:val="1"/>
      <w:numFmt w:val="decimal"/>
      <w:isLgl/>
      <w:lvlText w:val="%1.%2."/>
      <w:lvlJc w:val="left"/>
      <w:pPr>
        <w:ind w:left="39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668F5"/>
    <w:multiLevelType w:val="hybridMultilevel"/>
    <w:tmpl w:val="094C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33FA1"/>
    <w:multiLevelType w:val="hybridMultilevel"/>
    <w:tmpl w:val="D0668888"/>
    <w:lvl w:ilvl="0" w:tplc="6F3820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21B83"/>
    <w:multiLevelType w:val="hybridMultilevel"/>
    <w:tmpl w:val="378C69DA"/>
    <w:lvl w:ilvl="0" w:tplc="84BE006A">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A60AB"/>
    <w:multiLevelType w:val="hybridMultilevel"/>
    <w:tmpl w:val="5FF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2390E"/>
    <w:multiLevelType w:val="hybridMultilevel"/>
    <w:tmpl w:val="96360E5A"/>
    <w:lvl w:ilvl="0" w:tplc="05781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24CA0"/>
    <w:multiLevelType w:val="hybridMultilevel"/>
    <w:tmpl w:val="CD861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18B6"/>
    <w:multiLevelType w:val="hybridMultilevel"/>
    <w:tmpl w:val="8D405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F46AC"/>
    <w:multiLevelType w:val="multilevel"/>
    <w:tmpl w:val="9648BED2"/>
    <w:lvl w:ilvl="0">
      <w:start w:val="5"/>
      <w:numFmt w:val="decimal"/>
      <w:lvlText w:val="%1"/>
      <w:lvlJc w:val="left"/>
      <w:pPr>
        <w:ind w:left="502"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0" w:hanging="720"/>
      </w:pPr>
      <w:rPr>
        <w:rFonts w:hint="default"/>
      </w:rPr>
    </w:lvl>
    <w:lvl w:ilvl="3">
      <w:start w:val="1"/>
      <w:numFmt w:val="decimal"/>
      <w:lvlText w:val="%1.%2.%3.%4"/>
      <w:lvlJc w:val="left"/>
      <w:pPr>
        <w:ind w:left="-416" w:hanging="720"/>
      </w:pPr>
      <w:rPr>
        <w:rFonts w:hint="default"/>
      </w:rPr>
    </w:lvl>
    <w:lvl w:ilvl="4">
      <w:start w:val="1"/>
      <w:numFmt w:val="decimal"/>
      <w:lvlText w:val="%1.%2.%3.%4.%5"/>
      <w:lvlJc w:val="left"/>
      <w:pPr>
        <w:ind w:left="-482" w:hanging="1080"/>
      </w:pPr>
      <w:rPr>
        <w:rFonts w:hint="default"/>
      </w:rPr>
    </w:lvl>
    <w:lvl w:ilvl="5">
      <w:start w:val="1"/>
      <w:numFmt w:val="decimal"/>
      <w:lvlText w:val="%1.%2.%3.%4.%5.%6"/>
      <w:lvlJc w:val="left"/>
      <w:pPr>
        <w:ind w:left="-908" w:hanging="1080"/>
      </w:pPr>
      <w:rPr>
        <w:rFonts w:hint="default"/>
      </w:rPr>
    </w:lvl>
    <w:lvl w:ilvl="6">
      <w:start w:val="1"/>
      <w:numFmt w:val="decimal"/>
      <w:lvlText w:val="%1.%2.%3.%4.%5.%6.%7"/>
      <w:lvlJc w:val="left"/>
      <w:pPr>
        <w:ind w:left="-974" w:hanging="1440"/>
      </w:pPr>
      <w:rPr>
        <w:rFonts w:hint="default"/>
      </w:rPr>
    </w:lvl>
    <w:lvl w:ilvl="7">
      <w:start w:val="1"/>
      <w:numFmt w:val="decimal"/>
      <w:lvlText w:val="%1.%2.%3.%4.%5.%6.%7.%8"/>
      <w:lvlJc w:val="left"/>
      <w:pPr>
        <w:ind w:left="-1400" w:hanging="1440"/>
      </w:pPr>
      <w:rPr>
        <w:rFonts w:hint="default"/>
      </w:rPr>
    </w:lvl>
    <w:lvl w:ilvl="8">
      <w:start w:val="1"/>
      <w:numFmt w:val="decimal"/>
      <w:lvlText w:val="%1.%2.%3.%4.%5.%6.%7.%8.%9"/>
      <w:lvlJc w:val="left"/>
      <w:pPr>
        <w:ind w:left="-1466" w:hanging="1800"/>
      </w:pPr>
      <w:rPr>
        <w:rFonts w:hint="default"/>
      </w:rPr>
    </w:lvl>
  </w:abstractNum>
  <w:abstractNum w:abstractNumId="20" w15:restartNumberingAfterBreak="0">
    <w:nsid w:val="3A6610AC"/>
    <w:multiLevelType w:val="multilevel"/>
    <w:tmpl w:val="9648BED2"/>
    <w:lvl w:ilvl="0">
      <w:start w:val="5"/>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1" w15:restartNumberingAfterBreak="0">
    <w:nsid w:val="3FDB6A25"/>
    <w:multiLevelType w:val="hybridMultilevel"/>
    <w:tmpl w:val="9C969508"/>
    <w:lvl w:ilvl="0" w:tplc="0C543F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20C7C84"/>
    <w:multiLevelType w:val="hybridMultilevel"/>
    <w:tmpl w:val="388C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F15C8"/>
    <w:multiLevelType w:val="hybridMultilevel"/>
    <w:tmpl w:val="9926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96D7C"/>
    <w:multiLevelType w:val="multilevel"/>
    <w:tmpl w:val="6D7C95A6"/>
    <w:lvl w:ilvl="0">
      <w:start w:val="1"/>
      <w:numFmt w:val="upperRoman"/>
      <w:pStyle w:val="1"/>
      <w:lvlText w:val="%1."/>
      <w:lvlJc w:val="left"/>
      <w:pPr>
        <w:ind w:left="5606"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pStyle w:val="4"/>
      <w:lvlText w:val="%1.%2.%3.%4"/>
      <w:lvlJc w:val="left"/>
      <w:pPr>
        <w:ind w:left="438" w:hanging="864"/>
      </w:pPr>
      <w:rPr>
        <w:rFonts w:hint="default"/>
      </w:rPr>
    </w:lvl>
    <w:lvl w:ilvl="4">
      <w:start w:val="1"/>
      <w:numFmt w:val="decimal"/>
      <w:pStyle w:val="5"/>
      <w:lvlText w:val="%1.%2.%3.%4.%5"/>
      <w:lvlJc w:val="left"/>
      <w:pPr>
        <w:ind w:left="582" w:hanging="1008"/>
      </w:pPr>
      <w:rPr>
        <w:rFonts w:hint="default"/>
      </w:rPr>
    </w:lvl>
    <w:lvl w:ilvl="5">
      <w:start w:val="1"/>
      <w:numFmt w:val="decimal"/>
      <w:pStyle w:val="6"/>
      <w:lvlText w:val="%1.%2.%3.%4.%5.%6"/>
      <w:lvlJc w:val="left"/>
      <w:pPr>
        <w:ind w:left="726" w:hanging="1152"/>
      </w:pPr>
      <w:rPr>
        <w:rFonts w:hint="default"/>
      </w:rPr>
    </w:lvl>
    <w:lvl w:ilvl="6">
      <w:start w:val="1"/>
      <w:numFmt w:val="decimal"/>
      <w:pStyle w:val="7"/>
      <w:lvlText w:val="%1.%2.%3.%4.%5.%6.%7"/>
      <w:lvlJc w:val="left"/>
      <w:pPr>
        <w:ind w:left="870" w:hanging="1296"/>
      </w:pPr>
      <w:rPr>
        <w:rFonts w:hint="default"/>
      </w:rPr>
    </w:lvl>
    <w:lvl w:ilvl="7">
      <w:start w:val="1"/>
      <w:numFmt w:val="decimal"/>
      <w:pStyle w:val="8"/>
      <w:lvlText w:val="%1.%2.%3.%4.%5.%6.%7.%8"/>
      <w:lvlJc w:val="left"/>
      <w:pPr>
        <w:ind w:left="1014" w:hanging="1440"/>
      </w:pPr>
      <w:rPr>
        <w:rFonts w:hint="default"/>
      </w:rPr>
    </w:lvl>
    <w:lvl w:ilvl="8">
      <w:start w:val="1"/>
      <w:numFmt w:val="decimal"/>
      <w:pStyle w:val="9"/>
      <w:lvlText w:val="%1.%2.%3.%4.%5.%6.%7.%8.%9"/>
      <w:lvlJc w:val="left"/>
      <w:pPr>
        <w:ind w:left="1158" w:hanging="1584"/>
      </w:pPr>
      <w:rPr>
        <w:rFonts w:hint="default"/>
      </w:rPr>
    </w:lvl>
  </w:abstractNum>
  <w:abstractNum w:abstractNumId="25" w15:restartNumberingAfterBreak="0">
    <w:nsid w:val="48024AD8"/>
    <w:multiLevelType w:val="hybridMultilevel"/>
    <w:tmpl w:val="90DCB672"/>
    <w:lvl w:ilvl="0" w:tplc="04090001">
      <w:start w:val="1"/>
      <w:numFmt w:val="bullet"/>
      <w:lvlText w:val=""/>
      <w:lvlJc w:val="left"/>
      <w:pPr>
        <w:ind w:left="720" w:hanging="360"/>
      </w:pPr>
      <w:rPr>
        <w:rFonts w:ascii="Symbol" w:hAnsi="Symbol" w:hint="default"/>
      </w:rPr>
    </w:lvl>
    <w:lvl w:ilvl="1" w:tplc="CD7C9898">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6C03"/>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B07FF"/>
    <w:multiLevelType w:val="hybridMultilevel"/>
    <w:tmpl w:val="3642D536"/>
    <w:lvl w:ilvl="0" w:tplc="D7F6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5014D"/>
    <w:multiLevelType w:val="hybridMultilevel"/>
    <w:tmpl w:val="50BA4A2A"/>
    <w:lvl w:ilvl="0" w:tplc="77127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7D9B"/>
    <w:multiLevelType w:val="multilevel"/>
    <w:tmpl w:val="0C3EEC9E"/>
    <w:lvl w:ilvl="0">
      <w:start w:val="5"/>
      <w:numFmt w:val="decimal"/>
      <w:lvlText w:val="%1."/>
      <w:lvlJc w:val="left"/>
      <w:pPr>
        <w:ind w:left="360" w:hanging="360"/>
      </w:pPr>
      <w:rPr>
        <w:rFonts w:cstheme="majorBidi" w:hint="default"/>
        <w:sz w:val="24"/>
      </w:rPr>
    </w:lvl>
    <w:lvl w:ilvl="1">
      <w:start w:val="1"/>
      <w:numFmt w:val="decimal"/>
      <w:lvlText w:val="%1.%2."/>
      <w:lvlJc w:val="left"/>
      <w:pPr>
        <w:ind w:left="862" w:hanging="720"/>
      </w:pPr>
      <w:rPr>
        <w:rFonts w:cstheme="majorBidi" w:hint="default"/>
        <w:sz w:val="24"/>
      </w:rPr>
    </w:lvl>
    <w:lvl w:ilvl="2">
      <w:start w:val="1"/>
      <w:numFmt w:val="decimal"/>
      <w:lvlText w:val="%1.%2.%3."/>
      <w:lvlJc w:val="left"/>
      <w:pPr>
        <w:ind w:left="1004" w:hanging="720"/>
      </w:pPr>
      <w:rPr>
        <w:rFonts w:cstheme="majorBidi" w:hint="default"/>
        <w:sz w:val="24"/>
      </w:rPr>
    </w:lvl>
    <w:lvl w:ilvl="3">
      <w:start w:val="1"/>
      <w:numFmt w:val="decimal"/>
      <w:lvlText w:val="%1.%2.%3.%4."/>
      <w:lvlJc w:val="left"/>
      <w:pPr>
        <w:ind w:left="1506" w:hanging="1080"/>
      </w:pPr>
      <w:rPr>
        <w:rFonts w:cstheme="majorBidi" w:hint="default"/>
        <w:sz w:val="24"/>
      </w:rPr>
    </w:lvl>
    <w:lvl w:ilvl="4">
      <w:start w:val="1"/>
      <w:numFmt w:val="decimal"/>
      <w:lvlText w:val="%1.%2.%3.%4.%5."/>
      <w:lvlJc w:val="left"/>
      <w:pPr>
        <w:ind w:left="1648" w:hanging="1080"/>
      </w:pPr>
      <w:rPr>
        <w:rFonts w:cstheme="majorBidi" w:hint="default"/>
        <w:sz w:val="24"/>
      </w:rPr>
    </w:lvl>
    <w:lvl w:ilvl="5">
      <w:start w:val="1"/>
      <w:numFmt w:val="decimal"/>
      <w:lvlText w:val="%1.%2.%3.%4.%5.%6."/>
      <w:lvlJc w:val="left"/>
      <w:pPr>
        <w:ind w:left="2150" w:hanging="1440"/>
      </w:pPr>
      <w:rPr>
        <w:rFonts w:cstheme="majorBidi" w:hint="default"/>
        <w:sz w:val="24"/>
      </w:rPr>
    </w:lvl>
    <w:lvl w:ilvl="6">
      <w:start w:val="1"/>
      <w:numFmt w:val="decimal"/>
      <w:lvlText w:val="%1.%2.%3.%4.%5.%6.%7."/>
      <w:lvlJc w:val="left"/>
      <w:pPr>
        <w:ind w:left="2652" w:hanging="1800"/>
      </w:pPr>
      <w:rPr>
        <w:rFonts w:cstheme="majorBidi" w:hint="default"/>
        <w:sz w:val="24"/>
      </w:rPr>
    </w:lvl>
    <w:lvl w:ilvl="7">
      <w:start w:val="1"/>
      <w:numFmt w:val="decimal"/>
      <w:lvlText w:val="%1.%2.%3.%4.%5.%6.%7.%8."/>
      <w:lvlJc w:val="left"/>
      <w:pPr>
        <w:ind w:left="2794" w:hanging="1800"/>
      </w:pPr>
      <w:rPr>
        <w:rFonts w:cstheme="majorBidi" w:hint="default"/>
        <w:sz w:val="24"/>
      </w:rPr>
    </w:lvl>
    <w:lvl w:ilvl="8">
      <w:start w:val="1"/>
      <w:numFmt w:val="decimal"/>
      <w:lvlText w:val="%1.%2.%3.%4.%5.%6.%7.%8.%9."/>
      <w:lvlJc w:val="left"/>
      <w:pPr>
        <w:ind w:left="3296" w:hanging="2160"/>
      </w:pPr>
      <w:rPr>
        <w:rFonts w:cstheme="majorBidi" w:hint="default"/>
        <w:sz w:val="24"/>
      </w:rPr>
    </w:lvl>
  </w:abstractNum>
  <w:abstractNum w:abstractNumId="30" w15:restartNumberingAfterBreak="0">
    <w:nsid w:val="56943F67"/>
    <w:multiLevelType w:val="multilevel"/>
    <w:tmpl w:val="45A0801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80F1B"/>
    <w:multiLevelType w:val="hybridMultilevel"/>
    <w:tmpl w:val="73E0C60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22674"/>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DF0335"/>
    <w:multiLevelType w:val="multilevel"/>
    <w:tmpl w:val="671E5EA2"/>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i w:val="0"/>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A5E3F"/>
    <w:multiLevelType w:val="hybridMultilevel"/>
    <w:tmpl w:val="1E88BC2E"/>
    <w:lvl w:ilvl="0" w:tplc="4ECC54E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63256"/>
    <w:multiLevelType w:val="hybridMultilevel"/>
    <w:tmpl w:val="7C62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7198A"/>
    <w:multiLevelType w:val="hybridMultilevel"/>
    <w:tmpl w:val="D0668888"/>
    <w:lvl w:ilvl="0" w:tplc="6F3820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C634E"/>
    <w:multiLevelType w:val="hybridMultilevel"/>
    <w:tmpl w:val="F67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2727"/>
    <w:multiLevelType w:val="hybridMultilevel"/>
    <w:tmpl w:val="6A1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26D2E"/>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F0585"/>
    <w:multiLevelType w:val="hybridMultilevel"/>
    <w:tmpl w:val="7260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F390A"/>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10BA0"/>
    <w:multiLevelType w:val="hybridMultilevel"/>
    <w:tmpl w:val="49E2E46C"/>
    <w:lvl w:ilvl="0" w:tplc="951A9ED8">
      <w:start w:val="5"/>
      <w:numFmt w:val="bullet"/>
      <w:lvlText w:val=""/>
      <w:lvlJc w:val="left"/>
      <w:pPr>
        <w:ind w:left="720" w:hanging="360"/>
      </w:pPr>
      <w:rPr>
        <w:rFonts w:ascii="Symbol" w:eastAsiaTheme="majorEastAsia"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669D9"/>
    <w:multiLevelType w:val="hybridMultilevel"/>
    <w:tmpl w:val="5B543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D6189"/>
    <w:multiLevelType w:val="hybridMultilevel"/>
    <w:tmpl w:val="FA205376"/>
    <w:lvl w:ilvl="0" w:tplc="E782037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num>
  <w:num w:numId="3">
    <w:abstractNumId w:val="32"/>
  </w:num>
  <w:num w:numId="4">
    <w:abstractNumId w:val="11"/>
  </w:num>
  <w:num w:numId="5">
    <w:abstractNumId w:val="33"/>
  </w:num>
  <w:num w:numId="6">
    <w:abstractNumId w:val="15"/>
  </w:num>
  <w:num w:numId="7">
    <w:abstractNumId w:val="20"/>
  </w:num>
  <w:num w:numId="8">
    <w:abstractNumId w:val="19"/>
  </w:num>
  <w:num w:numId="9">
    <w:abstractNumId w:val="42"/>
  </w:num>
  <w:num w:numId="10">
    <w:abstractNumId w:val="29"/>
  </w:num>
  <w:num w:numId="11">
    <w:abstractNumId w:val="23"/>
  </w:num>
  <w:num w:numId="12">
    <w:abstractNumId w:val="3"/>
  </w:num>
  <w:num w:numId="13">
    <w:abstractNumId w:val="5"/>
  </w:num>
  <w:num w:numId="14">
    <w:abstractNumId w:val="8"/>
  </w:num>
  <w:num w:numId="15">
    <w:abstractNumId w:val="10"/>
  </w:num>
  <w:num w:numId="16">
    <w:abstractNumId w:val="18"/>
  </w:num>
  <w:num w:numId="17">
    <w:abstractNumId w:val="38"/>
  </w:num>
  <w:num w:numId="18">
    <w:abstractNumId w:val="4"/>
  </w:num>
  <w:num w:numId="19">
    <w:abstractNumId w:val="34"/>
  </w:num>
  <w:num w:numId="20">
    <w:abstractNumId w:val="25"/>
  </w:num>
  <w:num w:numId="21">
    <w:abstractNumId w:val="22"/>
  </w:num>
  <w:num w:numId="22">
    <w:abstractNumId w:val="6"/>
  </w:num>
  <w:num w:numId="23">
    <w:abstractNumId w:val="43"/>
  </w:num>
  <w:num w:numId="24">
    <w:abstractNumId w:val="28"/>
  </w:num>
  <w:num w:numId="25">
    <w:abstractNumId w:val="16"/>
  </w:num>
  <w:num w:numId="26">
    <w:abstractNumId w:val="1"/>
  </w:num>
  <w:num w:numId="27">
    <w:abstractNumId w:val="17"/>
  </w:num>
  <w:num w:numId="28">
    <w:abstractNumId w:val="37"/>
  </w:num>
  <w:num w:numId="29">
    <w:abstractNumId w:val="44"/>
  </w:num>
  <w:num w:numId="30">
    <w:abstractNumId w:val="40"/>
  </w:num>
  <w:num w:numId="31">
    <w:abstractNumId w:val="9"/>
  </w:num>
  <w:num w:numId="32">
    <w:abstractNumId w:val="21"/>
  </w:num>
  <w:num w:numId="33">
    <w:abstractNumId w:val="12"/>
  </w:num>
  <w:num w:numId="34">
    <w:abstractNumId w:val="35"/>
  </w:num>
  <w:num w:numId="35">
    <w:abstractNumId w:val="13"/>
  </w:num>
  <w:num w:numId="36">
    <w:abstractNumId w:val="27"/>
  </w:num>
  <w:num w:numId="37">
    <w:abstractNumId w:val="36"/>
  </w:num>
  <w:num w:numId="38">
    <w:abstractNumId w:val="41"/>
  </w:num>
  <w:num w:numId="39">
    <w:abstractNumId w:val="31"/>
  </w:num>
  <w:num w:numId="40">
    <w:abstractNumId w:val="2"/>
  </w:num>
  <w:num w:numId="41">
    <w:abstractNumId w:val="26"/>
  </w:num>
  <w:num w:numId="42">
    <w:abstractNumId w:val="7"/>
  </w:num>
  <w:num w:numId="43">
    <w:abstractNumId w:val="39"/>
  </w:num>
  <w:num w:numId="44">
    <w:abstractNumId w:val="0"/>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002967"/>
    <w:rsid w:val="00004C4B"/>
    <w:rsid w:val="00007224"/>
    <w:rsid w:val="00010189"/>
    <w:rsid w:val="00011B07"/>
    <w:rsid w:val="00011EF9"/>
    <w:rsid w:val="00016F14"/>
    <w:rsid w:val="000202E7"/>
    <w:rsid w:val="00021F2B"/>
    <w:rsid w:val="00025B87"/>
    <w:rsid w:val="000269C8"/>
    <w:rsid w:val="0003120D"/>
    <w:rsid w:val="000322B0"/>
    <w:rsid w:val="00035ED1"/>
    <w:rsid w:val="00036355"/>
    <w:rsid w:val="00044CF8"/>
    <w:rsid w:val="00045716"/>
    <w:rsid w:val="00045E55"/>
    <w:rsid w:val="00046B6A"/>
    <w:rsid w:val="000501BC"/>
    <w:rsid w:val="00054E59"/>
    <w:rsid w:val="0005509F"/>
    <w:rsid w:val="0007117C"/>
    <w:rsid w:val="00072147"/>
    <w:rsid w:val="00073D63"/>
    <w:rsid w:val="00075020"/>
    <w:rsid w:val="0008487D"/>
    <w:rsid w:val="000943C3"/>
    <w:rsid w:val="000A2191"/>
    <w:rsid w:val="000A2BD2"/>
    <w:rsid w:val="000A58E9"/>
    <w:rsid w:val="000A67BF"/>
    <w:rsid w:val="000A687C"/>
    <w:rsid w:val="000A7357"/>
    <w:rsid w:val="000B15A4"/>
    <w:rsid w:val="000B4A03"/>
    <w:rsid w:val="000B4A9B"/>
    <w:rsid w:val="000B645A"/>
    <w:rsid w:val="000B64C3"/>
    <w:rsid w:val="000C01CB"/>
    <w:rsid w:val="000C59C7"/>
    <w:rsid w:val="000D08CB"/>
    <w:rsid w:val="000D3AC7"/>
    <w:rsid w:val="000D4EA9"/>
    <w:rsid w:val="000E5E4C"/>
    <w:rsid w:val="000F2CC4"/>
    <w:rsid w:val="00104DE9"/>
    <w:rsid w:val="00115AA0"/>
    <w:rsid w:val="0011670C"/>
    <w:rsid w:val="0012160B"/>
    <w:rsid w:val="0012409A"/>
    <w:rsid w:val="001251E5"/>
    <w:rsid w:val="0013005B"/>
    <w:rsid w:val="00136935"/>
    <w:rsid w:val="00136F64"/>
    <w:rsid w:val="00142826"/>
    <w:rsid w:val="00143ECE"/>
    <w:rsid w:val="00152FDB"/>
    <w:rsid w:val="00153405"/>
    <w:rsid w:val="00153694"/>
    <w:rsid w:val="00155159"/>
    <w:rsid w:val="001556C2"/>
    <w:rsid w:val="00157A91"/>
    <w:rsid w:val="00160C57"/>
    <w:rsid w:val="00165463"/>
    <w:rsid w:val="00166E72"/>
    <w:rsid w:val="00170430"/>
    <w:rsid w:val="0017066D"/>
    <w:rsid w:val="00180DDD"/>
    <w:rsid w:val="00181E2B"/>
    <w:rsid w:val="001820C5"/>
    <w:rsid w:val="001830E7"/>
    <w:rsid w:val="00184168"/>
    <w:rsid w:val="00184FBE"/>
    <w:rsid w:val="001919E5"/>
    <w:rsid w:val="0019289E"/>
    <w:rsid w:val="001A0115"/>
    <w:rsid w:val="001A1B66"/>
    <w:rsid w:val="001A3801"/>
    <w:rsid w:val="001B7D60"/>
    <w:rsid w:val="001C5284"/>
    <w:rsid w:val="001C7155"/>
    <w:rsid w:val="001C7701"/>
    <w:rsid w:val="001D114D"/>
    <w:rsid w:val="001D2280"/>
    <w:rsid w:val="001D7A3A"/>
    <w:rsid w:val="001E0956"/>
    <w:rsid w:val="001E45B4"/>
    <w:rsid w:val="001E4C86"/>
    <w:rsid w:val="001F113B"/>
    <w:rsid w:val="001F7B17"/>
    <w:rsid w:val="00205FDE"/>
    <w:rsid w:val="002172F0"/>
    <w:rsid w:val="0022011B"/>
    <w:rsid w:val="00220CC8"/>
    <w:rsid w:val="00227D72"/>
    <w:rsid w:val="00232CA4"/>
    <w:rsid w:val="0023316D"/>
    <w:rsid w:val="00235B65"/>
    <w:rsid w:val="00240E5A"/>
    <w:rsid w:val="00241E04"/>
    <w:rsid w:val="002431C2"/>
    <w:rsid w:val="0024423C"/>
    <w:rsid w:val="00244B17"/>
    <w:rsid w:val="00246B21"/>
    <w:rsid w:val="00254B91"/>
    <w:rsid w:val="00255384"/>
    <w:rsid w:val="00255C7A"/>
    <w:rsid w:val="0026078C"/>
    <w:rsid w:val="002645CD"/>
    <w:rsid w:val="002742D9"/>
    <w:rsid w:val="0027651F"/>
    <w:rsid w:val="00276A33"/>
    <w:rsid w:val="00286CBF"/>
    <w:rsid w:val="00290F61"/>
    <w:rsid w:val="002A0CF0"/>
    <w:rsid w:val="002B176F"/>
    <w:rsid w:val="002B42D1"/>
    <w:rsid w:val="002B5842"/>
    <w:rsid w:val="002C3835"/>
    <w:rsid w:val="002C5215"/>
    <w:rsid w:val="002D4E5D"/>
    <w:rsid w:val="002E538D"/>
    <w:rsid w:val="002E6004"/>
    <w:rsid w:val="002E6027"/>
    <w:rsid w:val="002F48DF"/>
    <w:rsid w:val="002F4DB1"/>
    <w:rsid w:val="002F5E0F"/>
    <w:rsid w:val="00301BA5"/>
    <w:rsid w:val="00302BD3"/>
    <w:rsid w:val="00311E1F"/>
    <w:rsid w:val="00315428"/>
    <w:rsid w:val="003215FF"/>
    <w:rsid w:val="003235A9"/>
    <w:rsid w:val="00323C42"/>
    <w:rsid w:val="00323D9E"/>
    <w:rsid w:val="003312A8"/>
    <w:rsid w:val="00331A03"/>
    <w:rsid w:val="00334697"/>
    <w:rsid w:val="00342285"/>
    <w:rsid w:val="003424BC"/>
    <w:rsid w:val="00356494"/>
    <w:rsid w:val="00361E98"/>
    <w:rsid w:val="00362056"/>
    <w:rsid w:val="00367C59"/>
    <w:rsid w:val="00371983"/>
    <w:rsid w:val="0037217C"/>
    <w:rsid w:val="00374340"/>
    <w:rsid w:val="00376110"/>
    <w:rsid w:val="003772C0"/>
    <w:rsid w:val="0038217F"/>
    <w:rsid w:val="003839E7"/>
    <w:rsid w:val="003842FA"/>
    <w:rsid w:val="00390909"/>
    <w:rsid w:val="00391D42"/>
    <w:rsid w:val="00393165"/>
    <w:rsid w:val="00395389"/>
    <w:rsid w:val="003953D8"/>
    <w:rsid w:val="00395916"/>
    <w:rsid w:val="00396F30"/>
    <w:rsid w:val="00397AAD"/>
    <w:rsid w:val="003A16CA"/>
    <w:rsid w:val="003A7CDE"/>
    <w:rsid w:val="003B42BE"/>
    <w:rsid w:val="003B45E7"/>
    <w:rsid w:val="003C0BC5"/>
    <w:rsid w:val="003C1B8A"/>
    <w:rsid w:val="003C2BFD"/>
    <w:rsid w:val="003D3FFF"/>
    <w:rsid w:val="003E13EF"/>
    <w:rsid w:val="003E340B"/>
    <w:rsid w:val="003E3D9F"/>
    <w:rsid w:val="003E5245"/>
    <w:rsid w:val="003E58D9"/>
    <w:rsid w:val="003E7B5C"/>
    <w:rsid w:val="003F0F6C"/>
    <w:rsid w:val="003F3073"/>
    <w:rsid w:val="003F51AF"/>
    <w:rsid w:val="003F736D"/>
    <w:rsid w:val="003F7860"/>
    <w:rsid w:val="00406A29"/>
    <w:rsid w:val="00407360"/>
    <w:rsid w:val="004102C5"/>
    <w:rsid w:val="004136C9"/>
    <w:rsid w:val="004149E7"/>
    <w:rsid w:val="00414BBD"/>
    <w:rsid w:val="00416E06"/>
    <w:rsid w:val="0042463C"/>
    <w:rsid w:val="00424C42"/>
    <w:rsid w:val="00426C1F"/>
    <w:rsid w:val="004308CC"/>
    <w:rsid w:val="00431FDB"/>
    <w:rsid w:val="004403B7"/>
    <w:rsid w:val="004428A8"/>
    <w:rsid w:val="00446B99"/>
    <w:rsid w:val="00447B00"/>
    <w:rsid w:val="004524F0"/>
    <w:rsid w:val="00453B65"/>
    <w:rsid w:val="00462491"/>
    <w:rsid w:val="00467182"/>
    <w:rsid w:val="004764B4"/>
    <w:rsid w:val="00481212"/>
    <w:rsid w:val="004819E2"/>
    <w:rsid w:val="004825E0"/>
    <w:rsid w:val="004836FF"/>
    <w:rsid w:val="004934C8"/>
    <w:rsid w:val="004A35A3"/>
    <w:rsid w:val="004B008D"/>
    <w:rsid w:val="004B068F"/>
    <w:rsid w:val="004C1199"/>
    <w:rsid w:val="004C1630"/>
    <w:rsid w:val="004C270C"/>
    <w:rsid w:val="004C48E9"/>
    <w:rsid w:val="004C5F9F"/>
    <w:rsid w:val="004D11F3"/>
    <w:rsid w:val="004D2B9E"/>
    <w:rsid w:val="004D53FC"/>
    <w:rsid w:val="004D7171"/>
    <w:rsid w:val="004E0678"/>
    <w:rsid w:val="004E25A7"/>
    <w:rsid w:val="004E51FB"/>
    <w:rsid w:val="004E794E"/>
    <w:rsid w:val="00500BB5"/>
    <w:rsid w:val="00502141"/>
    <w:rsid w:val="00504112"/>
    <w:rsid w:val="00512A68"/>
    <w:rsid w:val="00514E6A"/>
    <w:rsid w:val="00515C61"/>
    <w:rsid w:val="00515EA5"/>
    <w:rsid w:val="00521BA8"/>
    <w:rsid w:val="00525005"/>
    <w:rsid w:val="00525630"/>
    <w:rsid w:val="00526CA8"/>
    <w:rsid w:val="005278A8"/>
    <w:rsid w:val="0053055F"/>
    <w:rsid w:val="00531BF7"/>
    <w:rsid w:val="0053231B"/>
    <w:rsid w:val="00535783"/>
    <w:rsid w:val="0054619C"/>
    <w:rsid w:val="005502DD"/>
    <w:rsid w:val="00551FB2"/>
    <w:rsid w:val="00553CE7"/>
    <w:rsid w:val="00556D26"/>
    <w:rsid w:val="00561466"/>
    <w:rsid w:val="0056175F"/>
    <w:rsid w:val="00566235"/>
    <w:rsid w:val="0058778D"/>
    <w:rsid w:val="00590DF4"/>
    <w:rsid w:val="00593612"/>
    <w:rsid w:val="005A0BE1"/>
    <w:rsid w:val="005A143B"/>
    <w:rsid w:val="005A3FCA"/>
    <w:rsid w:val="005A7FC1"/>
    <w:rsid w:val="005B3A77"/>
    <w:rsid w:val="005C2D79"/>
    <w:rsid w:val="005D118D"/>
    <w:rsid w:val="005D2C2B"/>
    <w:rsid w:val="005D770F"/>
    <w:rsid w:val="005D7B84"/>
    <w:rsid w:val="005F3B9D"/>
    <w:rsid w:val="005F45F2"/>
    <w:rsid w:val="005F6C7B"/>
    <w:rsid w:val="006005CB"/>
    <w:rsid w:val="00601BDD"/>
    <w:rsid w:val="00602D8C"/>
    <w:rsid w:val="00607CB2"/>
    <w:rsid w:val="00614DB2"/>
    <w:rsid w:val="00617E4A"/>
    <w:rsid w:val="006302F3"/>
    <w:rsid w:val="00632E44"/>
    <w:rsid w:val="00646246"/>
    <w:rsid w:val="00663ADA"/>
    <w:rsid w:val="00664147"/>
    <w:rsid w:val="006679A6"/>
    <w:rsid w:val="00670FD9"/>
    <w:rsid w:val="00671428"/>
    <w:rsid w:val="00675372"/>
    <w:rsid w:val="00677666"/>
    <w:rsid w:val="00680151"/>
    <w:rsid w:val="00684268"/>
    <w:rsid w:val="006868F5"/>
    <w:rsid w:val="00696CB2"/>
    <w:rsid w:val="00697015"/>
    <w:rsid w:val="006A3810"/>
    <w:rsid w:val="006B0446"/>
    <w:rsid w:val="006B146F"/>
    <w:rsid w:val="006B205A"/>
    <w:rsid w:val="006B33C9"/>
    <w:rsid w:val="006C4AA5"/>
    <w:rsid w:val="006D05E9"/>
    <w:rsid w:val="006D4285"/>
    <w:rsid w:val="006D4780"/>
    <w:rsid w:val="006D5028"/>
    <w:rsid w:val="006D5E91"/>
    <w:rsid w:val="006D5F3F"/>
    <w:rsid w:val="006D6971"/>
    <w:rsid w:val="006D7922"/>
    <w:rsid w:val="006E36B0"/>
    <w:rsid w:val="006E7940"/>
    <w:rsid w:val="006F0096"/>
    <w:rsid w:val="006F0332"/>
    <w:rsid w:val="006F38C4"/>
    <w:rsid w:val="006F7195"/>
    <w:rsid w:val="007013C7"/>
    <w:rsid w:val="00703B21"/>
    <w:rsid w:val="00711BBF"/>
    <w:rsid w:val="007133DD"/>
    <w:rsid w:val="00714A35"/>
    <w:rsid w:val="00717950"/>
    <w:rsid w:val="00721B8F"/>
    <w:rsid w:val="00722644"/>
    <w:rsid w:val="00722F62"/>
    <w:rsid w:val="007256B4"/>
    <w:rsid w:val="00727708"/>
    <w:rsid w:val="00727A3B"/>
    <w:rsid w:val="0073024A"/>
    <w:rsid w:val="00732E24"/>
    <w:rsid w:val="00737B55"/>
    <w:rsid w:val="00740CF4"/>
    <w:rsid w:val="0074433C"/>
    <w:rsid w:val="00750677"/>
    <w:rsid w:val="00753CBE"/>
    <w:rsid w:val="007613BD"/>
    <w:rsid w:val="0077517F"/>
    <w:rsid w:val="007771AE"/>
    <w:rsid w:val="00782C67"/>
    <w:rsid w:val="00784F7C"/>
    <w:rsid w:val="0078669F"/>
    <w:rsid w:val="007911D4"/>
    <w:rsid w:val="00792CF6"/>
    <w:rsid w:val="00794BDD"/>
    <w:rsid w:val="007A77CA"/>
    <w:rsid w:val="007A78F2"/>
    <w:rsid w:val="007B2622"/>
    <w:rsid w:val="007B51CB"/>
    <w:rsid w:val="007B7642"/>
    <w:rsid w:val="007C496F"/>
    <w:rsid w:val="007C4F7D"/>
    <w:rsid w:val="007C55EC"/>
    <w:rsid w:val="007C62EA"/>
    <w:rsid w:val="007D4C32"/>
    <w:rsid w:val="007D5DA3"/>
    <w:rsid w:val="007D7239"/>
    <w:rsid w:val="007D7247"/>
    <w:rsid w:val="007E011F"/>
    <w:rsid w:val="007E19CC"/>
    <w:rsid w:val="007E3CA1"/>
    <w:rsid w:val="007E7362"/>
    <w:rsid w:val="007F338C"/>
    <w:rsid w:val="007F4BEE"/>
    <w:rsid w:val="008009AA"/>
    <w:rsid w:val="008014A3"/>
    <w:rsid w:val="00812372"/>
    <w:rsid w:val="0081253A"/>
    <w:rsid w:val="00814A01"/>
    <w:rsid w:val="0081673F"/>
    <w:rsid w:val="00817114"/>
    <w:rsid w:val="00822015"/>
    <w:rsid w:val="00822C3C"/>
    <w:rsid w:val="008362B9"/>
    <w:rsid w:val="0083780C"/>
    <w:rsid w:val="008427C8"/>
    <w:rsid w:val="008431E0"/>
    <w:rsid w:val="008454DB"/>
    <w:rsid w:val="0085337E"/>
    <w:rsid w:val="0085352B"/>
    <w:rsid w:val="00855127"/>
    <w:rsid w:val="00857792"/>
    <w:rsid w:val="008618AC"/>
    <w:rsid w:val="00864330"/>
    <w:rsid w:val="00866B53"/>
    <w:rsid w:val="0087092D"/>
    <w:rsid w:val="00871817"/>
    <w:rsid w:val="00873226"/>
    <w:rsid w:val="008735DE"/>
    <w:rsid w:val="00876DAB"/>
    <w:rsid w:val="008803A4"/>
    <w:rsid w:val="0089196C"/>
    <w:rsid w:val="0089343C"/>
    <w:rsid w:val="00895753"/>
    <w:rsid w:val="008967EB"/>
    <w:rsid w:val="00897588"/>
    <w:rsid w:val="008A3C26"/>
    <w:rsid w:val="008B108E"/>
    <w:rsid w:val="008B27D2"/>
    <w:rsid w:val="008B3B27"/>
    <w:rsid w:val="008B54EA"/>
    <w:rsid w:val="008B5906"/>
    <w:rsid w:val="008B7CD2"/>
    <w:rsid w:val="008C1355"/>
    <w:rsid w:val="008C38EB"/>
    <w:rsid w:val="008C4C8E"/>
    <w:rsid w:val="008D0C4F"/>
    <w:rsid w:val="008D25C8"/>
    <w:rsid w:val="008D692F"/>
    <w:rsid w:val="008F0132"/>
    <w:rsid w:val="008F3612"/>
    <w:rsid w:val="009011D3"/>
    <w:rsid w:val="00901B5B"/>
    <w:rsid w:val="009040C7"/>
    <w:rsid w:val="00906A56"/>
    <w:rsid w:val="00913159"/>
    <w:rsid w:val="00914758"/>
    <w:rsid w:val="009216A1"/>
    <w:rsid w:val="00921C5D"/>
    <w:rsid w:val="00923C6D"/>
    <w:rsid w:val="00933172"/>
    <w:rsid w:val="009351E2"/>
    <w:rsid w:val="00941295"/>
    <w:rsid w:val="00941A43"/>
    <w:rsid w:val="009434E7"/>
    <w:rsid w:val="00944238"/>
    <w:rsid w:val="00954124"/>
    <w:rsid w:val="0095623A"/>
    <w:rsid w:val="00962592"/>
    <w:rsid w:val="009734D8"/>
    <w:rsid w:val="00973AFD"/>
    <w:rsid w:val="0097546D"/>
    <w:rsid w:val="009766E3"/>
    <w:rsid w:val="00983329"/>
    <w:rsid w:val="00987351"/>
    <w:rsid w:val="009923F5"/>
    <w:rsid w:val="00993AE1"/>
    <w:rsid w:val="009A66FB"/>
    <w:rsid w:val="009B355A"/>
    <w:rsid w:val="009C122B"/>
    <w:rsid w:val="009C3E9B"/>
    <w:rsid w:val="009D1D53"/>
    <w:rsid w:val="009D4055"/>
    <w:rsid w:val="009D4057"/>
    <w:rsid w:val="009D4B22"/>
    <w:rsid w:val="009D5BB1"/>
    <w:rsid w:val="009E1FA0"/>
    <w:rsid w:val="009E223F"/>
    <w:rsid w:val="009E29F2"/>
    <w:rsid w:val="009E50A5"/>
    <w:rsid w:val="009F3AEA"/>
    <w:rsid w:val="00A137D6"/>
    <w:rsid w:val="00A21521"/>
    <w:rsid w:val="00A24C46"/>
    <w:rsid w:val="00A24C87"/>
    <w:rsid w:val="00A26DFD"/>
    <w:rsid w:val="00A27F84"/>
    <w:rsid w:val="00A304B2"/>
    <w:rsid w:val="00A40000"/>
    <w:rsid w:val="00A402C9"/>
    <w:rsid w:val="00A42D52"/>
    <w:rsid w:val="00A466D9"/>
    <w:rsid w:val="00A501ED"/>
    <w:rsid w:val="00A53E85"/>
    <w:rsid w:val="00A62AA2"/>
    <w:rsid w:val="00A742E9"/>
    <w:rsid w:val="00A744BB"/>
    <w:rsid w:val="00A838C1"/>
    <w:rsid w:val="00A876E6"/>
    <w:rsid w:val="00A9341A"/>
    <w:rsid w:val="00A938EF"/>
    <w:rsid w:val="00A93CC4"/>
    <w:rsid w:val="00A9686D"/>
    <w:rsid w:val="00A97B24"/>
    <w:rsid w:val="00AA01FC"/>
    <w:rsid w:val="00AA0215"/>
    <w:rsid w:val="00AB03FB"/>
    <w:rsid w:val="00AB56C8"/>
    <w:rsid w:val="00AC6724"/>
    <w:rsid w:val="00AD014F"/>
    <w:rsid w:val="00AD042F"/>
    <w:rsid w:val="00AD7434"/>
    <w:rsid w:val="00AE4DDB"/>
    <w:rsid w:val="00AE67A8"/>
    <w:rsid w:val="00AF1C6B"/>
    <w:rsid w:val="00B04791"/>
    <w:rsid w:val="00B050E3"/>
    <w:rsid w:val="00B11F43"/>
    <w:rsid w:val="00B1468E"/>
    <w:rsid w:val="00B14AEE"/>
    <w:rsid w:val="00B17ED6"/>
    <w:rsid w:val="00B21A26"/>
    <w:rsid w:val="00B21B23"/>
    <w:rsid w:val="00B2348F"/>
    <w:rsid w:val="00B24374"/>
    <w:rsid w:val="00B263EC"/>
    <w:rsid w:val="00B30B96"/>
    <w:rsid w:val="00B34A5B"/>
    <w:rsid w:val="00B360D4"/>
    <w:rsid w:val="00B43E4D"/>
    <w:rsid w:val="00B516F2"/>
    <w:rsid w:val="00B54B71"/>
    <w:rsid w:val="00B61DF4"/>
    <w:rsid w:val="00B6239C"/>
    <w:rsid w:val="00B6255F"/>
    <w:rsid w:val="00B62DF9"/>
    <w:rsid w:val="00B63012"/>
    <w:rsid w:val="00B70F12"/>
    <w:rsid w:val="00B72665"/>
    <w:rsid w:val="00B73807"/>
    <w:rsid w:val="00B7562C"/>
    <w:rsid w:val="00B75D57"/>
    <w:rsid w:val="00B80FC2"/>
    <w:rsid w:val="00B83DB7"/>
    <w:rsid w:val="00B85592"/>
    <w:rsid w:val="00B861AC"/>
    <w:rsid w:val="00B925FE"/>
    <w:rsid w:val="00B9300C"/>
    <w:rsid w:val="00B94212"/>
    <w:rsid w:val="00B94C80"/>
    <w:rsid w:val="00B9582F"/>
    <w:rsid w:val="00B96086"/>
    <w:rsid w:val="00BA29E5"/>
    <w:rsid w:val="00BA514A"/>
    <w:rsid w:val="00BB0111"/>
    <w:rsid w:val="00BB2575"/>
    <w:rsid w:val="00BB2EE9"/>
    <w:rsid w:val="00BB557B"/>
    <w:rsid w:val="00BB565F"/>
    <w:rsid w:val="00BB5682"/>
    <w:rsid w:val="00BB6F7C"/>
    <w:rsid w:val="00BC59E7"/>
    <w:rsid w:val="00BD004A"/>
    <w:rsid w:val="00BD0264"/>
    <w:rsid w:val="00BD2386"/>
    <w:rsid w:val="00BD7D68"/>
    <w:rsid w:val="00BE2C83"/>
    <w:rsid w:val="00BE6D4E"/>
    <w:rsid w:val="00BE7CA8"/>
    <w:rsid w:val="00BF122F"/>
    <w:rsid w:val="00BF23D9"/>
    <w:rsid w:val="00BF3C58"/>
    <w:rsid w:val="00BF49C3"/>
    <w:rsid w:val="00BF6F5C"/>
    <w:rsid w:val="00BF7B04"/>
    <w:rsid w:val="00C00BBC"/>
    <w:rsid w:val="00C03D36"/>
    <w:rsid w:val="00C04D60"/>
    <w:rsid w:val="00C0704A"/>
    <w:rsid w:val="00C12743"/>
    <w:rsid w:val="00C13672"/>
    <w:rsid w:val="00C138C9"/>
    <w:rsid w:val="00C21ED6"/>
    <w:rsid w:val="00C24D73"/>
    <w:rsid w:val="00C27089"/>
    <w:rsid w:val="00C273E8"/>
    <w:rsid w:val="00C33874"/>
    <w:rsid w:val="00C35CDA"/>
    <w:rsid w:val="00C366B9"/>
    <w:rsid w:val="00C367AB"/>
    <w:rsid w:val="00C44EDB"/>
    <w:rsid w:val="00C45ABC"/>
    <w:rsid w:val="00C45E37"/>
    <w:rsid w:val="00C51718"/>
    <w:rsid w:val="00C523F7"/>
    <w:rsid w:val="00C5725F"/>
    <w:rsid w:val="00C5751A"/>
    <w:rsid w:val="00C61FFF"/>
    <w:rsid w:val="00C74FFB"/>
    <w:rsid w:val="00C7722B"/>
    <w:rsid w:val="00C83A35"/>
    <w:rsid w:val="00C83C1F"/>
    <w:rsid w:val="00C93885"/>
    <w:rsid w:val="00CA158F"/>
    <w:rsid w:val="00CA7E11"/>
    <w:rsid w:val="00CB0994"/>
    <w:rsid w:val="00CB0E9B"/>
    <w:rsid w:val="00CB1390"/>
    <w:rsid w:val="00CB3995"/>
    <w:rsid w:val="00CB5ABF"/>
    <w:rsid w:val="00CB7C38"/>
    <w:rsid w:val="00CC15B3"/>
    <w:rsid w:val="00CC5F40"/>
    <w:rsid w:val="00CD172F"/>
    <w:rsid w:val="00CD1F4E"/>
    <w:rsid w:val="00CD2A08"/>
    <w:rsid w:val="00CE3B7F"/>
    <w:rsid w:val="00CE6602"/>
    <w:rsid w:val="00CE703D"/>
    <w:rsid w:val="00CF1EDA"/>
    <w:rsid w:val="00CF2727"/>
    <w:rsid w:val="00CF4F86"/>
    <w:rsid w:val="00CF5CC8"/>
    <w:rsid w:val="00CF64BE"/>
    <w:rsid w:val="00CF6892"/>
    <w:rsid w:val="00D01939"/>
    <w:rsid w:val="00D01BCF"/>
    <w:rsid w:val="00D04FA4"/>
    <w:rsid w:val="00D21915"/>
    <w:rsid w:val="00D2265E"/>
    <w:rsid w:val="00D27D66"/>
    <w:rsid w:val="00D30FF8"/>
    <w:rsid w:val="00D32B9E"/>
    <w:rsid w:val="00D341FE"/>
    <w:rsid w:val="00D35194"/>
    <w:rsid w:val="00D36C3C"/>
    <w:rsid w:val="00D36CC5"/>
    <w:rsid w:val="00D36F24"/>
    <w:rsid w:val="00D41213"/>
    <w:rsid w:val="00D420DA"/>
    <w:rsid w:val="00D43F46"/>
    <w:rsid w:val="00D470AF"/>
    <w:rsid w:val="00D4724B"/>
    <w:rsid w:val="00D516CB"/>
    <w:rsid w:val="00D662BD"/>
    <w:rsid w:val="00D77CF0"/>
    <w:rsid w:val="00D80D78"/>
    <w:rsid w:val="00D861BA"/>
    <w:rsid w:val="00D90A74"/>
    <w:rsid w:val="00D91126"/>
    <w:rsid w:val="00DA0904"/>
    <w:rsid w:val="00DA3442"/>
    <w:rsid w:val="00DA4B42"/>
    <w:rsid w:val="00DA66AD"/>
    <w:rsid w:val="00DB08FD"/>
    <w:rsid w:val="00DB4D34"/>
    <w:rsid w:val="00DB54E9"/>
    <w:rsid w:val="00DB6B8E"/>
    <w:rsid w:val="00DC4BB4"/>
    <w:rsid w:val="00DD463B"/>
    <w:rsid w:val="00DD79D4"/>
    <w:rsid w:val="00DE0308"/>
    <w:rsid w:val="00DE0571"/>
    <w:rsid w:val="00DE11F2"/>
    <w:rsid w:val="00DE3A62"/>
    <w:rsid w:val="00DE6713"/>
    <w:rsid w:val="00DE6CF0"/>
    <w:rsid w:val="00DF1F14"/>
    <w:rsid w:val="00DF73E9"/>
    <w:rsid w:val="00DF7436"/>
    <w:rsid w:val="00DF74D8"/>
    <w:rsid w:val="00E036CA"/>
    <w:rsid w:val="00E0707F"/>
    <w:rsid w:val="00E07694"/>
    <w:rsid w:val="00E13753"/>
    <w:rsid w:val="00E17CB4"/>
    <w:rsid w:val="00E318A2"/>
    <w:rsid w:val="00E32085"/>
    <w:rsid w:val="00E35E2B"/>
    <w:rsid w:val="00E36669"/>
    <w:rsid w:val="00E3689E"/>
    <w:rsid w:val="00E4281A"/>
    <w:rsid w:val="00E44D56"/>
    <w:rsid w:val="00E51996"/>
    <w:rsid w:val="00E54DF8"/>
    <w:rsid w:val="00E60BAF"/>
    <w:rsid w:val="00E71BF1"/>
    <w:rsid w:val="00E7491A"/>
    <w:rsid w:val="00E74FB3"/>
    <w:rsid w:val="00E773DB"/>
    <w:rsid w:val="00E82CC1"/>
    <w:rsid w:val="00E847A6"/>
    <w:rsid w:val="00E95BC8"/>
    <w:rsid w:val="00E97DC7"/>
    <w:rsid w:val="00EA35C9"/>
    <w:rsid w:val="00EA5359"/>
    <w:rsid w:val="00EA5FC8"/>
    <w:rsid w:val="00EA7642"/>
    <w:rsid w:val="00EB188D"/>
    <w:rsid w:val="00EB2832"/>
    <w:rsid w:val="00EB38E0"/>
    <w:rsid w:val="00EC3591"/>
    <w:rsid w:val="00EC43F0"/>
    <w:rsid w:val="00ED0F29"/>
    <w:rsid w:val="00ED3A72"/>
    <w:rsid w:val="00ED691E"/>
    <w:rsid w:val="00EE080F"/>
    <w:rsid w:val="00EE1EC5"/>
    <w:rsid w:val="00EE4E5A"/>
    <w:rsid w:val="00EE52B0"/>
    <w:rsid w:val="00EE6CAD"/>
    <w:rsid w:val="00EF0247"/>
    <w:rsid w:val="00EF53D8"/>
    <w:rsid w:val="00EF6159"/>
    <w:rsid w:val="00EF6195"/>
    <w:rsid w:val="00EF6323"/>
    <w:rsid w:val="00F02B96"/>
    <w:rsid w:val="00F034E7"/>
    <w:rsid w:val="00F12F22"/>
    <w:rsid w:val="00F13DFF"/>
    <w:rsid w:val="00F15070"/>
    <w:rsid w:val="00F15D10"/>
    <w:rsid w:val="00F169BE"/>
    <w:rsid w:val="00F20623"/>
    <w:rsid w:val="00F23787"/>
    <w:rsid w:val="00F24882"/>
    <w:rsid w:val="00F3195F"/>
    <w:rsid w:val="00F32CAA"/>
    <w:rsid w:val="00F3559C"/>
    <w:rsid w:val="00F40B40"/>
    <w:rsid w:val="00F44A34"/>
    <w:rsid w:val="00F50730"/>
    <w:rsid w:val="00F52231"/>
    <w:rsid w:val="00F5387A"/>
    <w:rsid w:val="00F54A26"/>
    <w:rsid w:val="00F54B01"/>
    <w:rsid w:val="00F5726D"/>
    <w:rsid w:val="00F747F0"/>
    <w:rsid w:val="00F7643A"/>
    <w:rsid w:val="00F77379"/>
    <w:rsid w:val="00F811F8"/>
    <w:rsid w:val="00F832E9"/>
    <w:rsid w:val="00F83900"/>
    <w:rsid w:val="00F84AE5"/>
    <w:rsid w:val="00F87A91"/>
    <w:rsid w:val="00F9109E"/>
    <w:rsid w:val="00F94289"/>
    <w:rsid w:val="00F95C8F"/>
    <w:rsid w:val="00F97F7D"/>
    <w:rsid w:val="00FA1B2A"/>
    <w:rsid w:val="00FA4451"/>
    <w:rsid w:val="00FA56F9"/>
    <w:rsid w:val="00FA7524"/>
    <w:rsid w:val="00FC1141"/>
    <w:rsid w:val="00FC1761"/>
    <w:rsid w:val="00FC252E"/>
    <w:rsid w:val="00FC38E1"/>
    <w:rsid w:val="00FC5C2B"/>
    <w:rsid w:val="00FC77D1"/>
    <w:rsid w:val="00FD5670"/>
    <w:rsid w:val="00FD5F15"/>
    <w:rsid w:val="00FE5781"/>
    <w:rsid w:val="00FE6977"/>
    <w:rsid w:val="00FE6B4B"/>
    <w:rsid w:val="00FF1AF1"/>
    <w:rsid w:val="00FF428A"/>
    <w:rsid w:val="00FF5C33"/>
    <w:rsid w:val="00FF656F"/>
    <w:rsid w:val="00FF673A"/>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0CCA"/>
  <w15:chartTrackingRefBased/>
  <w15:docId w15:val="{94B86C34-818A-4432-88E6-3AAA9E7E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E2"/>
  </w:style>
  <w:style w:type="paragraph" w:styleId="1">
    <w:name w:val="heading 1"/>
    <w:aliases w:val="Capitole"/>
    <w:basedOn w:val="a"/>
    <w:next w:val="a"/>
    <w:link w:val="10"/>
    <w:uiPriority w:val="9"/>
    <w:qFormat/>
    <w:rsid w:val="009351E2"/>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2">
    <w:name w:val="heading 2"/>
    <w:aliases w:val="Subcapitole"/>
    <w:basedOn w:val="a"/>
    <w:next w:val="a"/>
    <w:link w:val="20"/>
    <w:uiPriority w:val="9"/>
    <w:unhideWhenUsed/>
    <w:qFormat/>
    <w:rsid w:val="00F1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autoRedefine/>
    <w:uiPriority w:val="9"/>
    <w:unhideWhenUsed/>
    <w:qFormat/>
    <w:rsid w:val="009351E2"/>
    <w:pPr>
      <w:keepNext/>
      <w:keepLines/>
      <w:numPr>
        <w:ilvl w:val="3"/>
        <w:numId w:val="1"/>
      </w:numPr>
      <w:spacing w:before="40" w:after="0" w:line="276" w:lineRule="auto"/>
      <w:jc w:val="both"/>
      <w:outlineLvl w:val="3"/>
    </w:pPr>
    <w:rPr>
      <w:rFonts w:ascii="Times New Roman" w:eastAsiaTheme="majorEastAsia" w:hAnsi="Times New Roman" w:cstheme="majorBidi"/>
      <w:i/>
      <w:iCs/>
      <w:sz w:val="28"/>
      <w:lang w:val="ro-MD"/>
    </w:rPr>
  </w:style>
  <w:style w:type="paragraph" w:styleId="5">
    <w:name w:val="heading 5"/>
    <w:basedOn w:val="a"/>
    <w:next w:val="a"/>
    <w:link w:val="50"/>
    <w:uiPriority w:val="9"/>
    <w:semiHidden/>
    <w:unhideWhenUsed/>
    <w:qFormat/>
    <w:rsid w:val="009351E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6">
    <w:name w:val="heading 6"/>
    <w:basedOn w:val="a"/>
    <w:next w:val="a"/>
    <w:link w:val="60"/>
    <w:uiPriority w:val="9"/>
    <w:semiHidden/>
    <w:unhideWhenUsed/>
    <w:qFormat/>
    <w:rsid w:val="009351E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7">
    <w:name w:val="heading 7"/>
    <w:basedOn w:val="a"/>
    <w:next w:val="a"/>
    <w:link w:val="70"/>
    <w:uiPriority w:val="9"/>
    <w:semiHidden/>
    <w:unhideWhenUsed/>
    <w:qFormat/>
    <w:rsid w:val="009351E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8">
    <w:name w:val="heading 8"/>
    <w:basedOn w:val="a"/>
    <w:next w:val="a"/>
    <w:link w:val="80"/>
    <w:uiPriority w:val="9"/>
    <w:semiHidden/>
    <w:unhideWhenUsed/>
    <w:qFormat/>
    <w:rsid w:val="009351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9">
    <w:name w:val="heading 9"/>
    <w:basedOn w:val="a"/>
    <w:next w:val="a"/>
    <w:link w:val="90"/>
    <w:uiPriority w:val="9"/>
    <w:semiHidden/>
    <w:unhideWhenUsed/>
    <w:qFormat/>
    <w:rsid w:val="009351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uiPriority w:val="9"/>
    <w:rsid w:val="009351E2"/>
    <w:rPr>
      <w:rFonts w:ascii="Times New Roman" w:eastAsiaTheme="majorEastAsia" w:hAnsi="Times New Roman" w:cstheme="majorBidi"/>
      <w:b/>
      <w:sz w:val="32"/>
      <w:szCs w:val="32"/>
      <w:lang w:val="ro-MD"/>
    </w:rPr>
  </w:style>
  <w:style w:type="character" w:customStyle="1" w:styleId="40">
    <w:name w:val="Заголовок 4 Знак"/>
    <w:basedOn w:val="a0"/>
    <w:link w:val="4"/>
    <w:uiPriority w:val="9"/>
    <w:rsid w:val="009351E2"/>
    <w:rPr>
      <w:rFonts w:ascii="Times New Roman" w:eastAsiaTheme="majorEastAsia" w:hAnsi="Times New Roman" w:cstheme="majorBidi"/>
      <w:i/>
      <w:iCs/>
      <w:sz w:val="28"/>
      <w:lang w:val="ro-MD"/>
    </w:rPr>
  </w:style>
  <w:style w:type="character" w:customStyle="1" w:styleId="50">
    <w:name w:val="Заголовок 5 Знак"/>
    <w:basedOn w:val="a0"/>
    <w:link w:val="5"/>
    <w:uiPriority w:val="9"/>
    <w:semiHidden/>
    <w:rsid w:val="009351E2"/>
    <w:rPr>
      <w:rFonts w:asciiTheme="majorHAnsi" w:eastAsiaTheme="majorEastAsia" w:hAnsiTheme="majorHAnsi" w:cstheme="majorBidi"/>
      <w:color w:val="2E74B5" w:themeColor="accent1" w:themeShade="BF"/>
      <w:sz w:val="28"/>
      <w:lang w:val="ro-MD"/>
    </w:rPr>
  </w:style>
  <w:style w:type="character" w:customStyle="1" w:styleId="60">
    <w:name w:val="Заголовок 6 Знак"/>
    <w:basedOn w:val="a0"/>
    <w:link w:val="6"/>
    <w:uiPriority w:val="9"/>
    <w:semiHidden/>
    <w:rsid w:val="009351E2"/>
    <w:rPr>
      <w:rFonts w:asciiTheme="majorHAnsi" w:eastAsiaTheme="majorEastAsia" w:hAnsiTheme="majorHAnsi" w:cstheme="majorBidi"/>
      <w:color w:val="1F4D78" w:themeColor="accent1" w:themeShade="7F"/>
      <w:sz w:val="28"/>
      <w:lang w:val="ro-MD"/>
    </w:rPr>
  </w:style>
  <w:style w:type="character" w:customStyle="1" w:styleId="70">
    <w:name w:val="Заголовок 7 Знак"/>
    <w:basedOn w:val="a0"/>
    <w:link w:val="7"/>
    <w:uiPriority w:val="9"/>
    <w:semiHidden/>
    <w:rsid w:val="009351E2"/>
    <w:rPr>
      <w:rFonts w:asciiTheme="majorHAnsi" w:eastAsiaTheme="majorEastAsia" w:hAnsiTheme="majorHAnsi" w:cstheme="majorBidi"/>
      <w:i/>
      <w:iCs/>
      <w:color w:val="1F4D78" w:themeColor="accent1" w:themeShade="7F"/>
      <w:sz w:val="28"/>
      <w:lang w:val="ro-MD"/>
    </w:rPr>
  </w:style>
  <w:style w:type="character" w:customStyle="1" w:styleId="80">
    <w:name w:val="Заголовок 8 Знак"/>
    <w:basedOn w:val="a0"/>
    <w:link w:val="8"/>
    <w:uiPriority w:val="9"/>
    <w:semiHidden/>
    <w:rsid w:val="009351E2"/>
    <w:rPr>
      <w:rFonts w:asciiTheme="majorHAnsi" w:eastAsiaTheme="majorEastAsia" w:hAnsiTheme="majorHAnsi" w:cstheme="majorBidi"/>
      <w:color w:val="272727" w:themeColor="text1" w:themeTint="D8"/>
      <w:sz w:val="21"/>
      <w:szCs w:val="21"/>
      <w:lang w:val="ro-MD"/>
    </w:rPr>
  </w:style>
  <w:style w:type="character" w:customStyle="1" w:styleId="90">
    <w:name w:val="Заголовок 9 Знак"/>
    <w:basedOn w:val="a0"/>
    <w:link w:val="9"/>
    <w:uiPriority w:val="9"/>
    <w:semiHidden/>
    <w:rsid w:val="009351E2"/>
    <w:rPr>
      <w:rFonts w:asciiTheme="majorHAnsi" w:eastAsiaTheme="majorEastAsia" w:hAnsiTheme="majorHAnsi" w:cstheme="majorBidi"/>
      <w:i/>
      <w:iCs/>
      <w:color w:val="272727" w:themeColor="text1" w:themeTint="D8"/>
      <w:sz w:val="21"/>
      <w:szCs w:val="21"/>
      <w:lang w:val="ro-MD"/>
    </w:rPr>
  </w:style>
  <w:style w:type="paragraph" w:styleId="a3">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a"/>
    <w:link w:val="a4"/>
    <w:uiPriority w:val="99"/>
    <w:unhideWhenUsed/>
    <w:qFormat/>
    <w:rsid w:val="009351E2"/>
    <w:pPr>
      <w:spacing w:after="0" w:line="240" w:lineRule="auto"/>
    </w:pPr>
    <w:rPr>
      <w:sz w:val="20"/>
      <w:szCs w:val="20"/>
    </w:rPr>
  </w:style>
  <w:style w:type="character" w:customStyle="1" w:styleId="a4">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a0"/>
    <w:link w:val="a3"/>
    <w:uiPriority w:val="99"/>
    <w:rsid w:val="009351E2"/>
    <w:rPr>
      <w:sz w:val="20"/>
      <w:szCs w:val="20"/>
    </w:rPr>
  </w:style>
  <w:style w:type="character" w:styleId="a5">
    <w:name w:val="footnote reference"/>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unhideWhenUsed/>
    <w:rsid w:val="009351E2"/>
    <w:rPr>
      <w:vertAlign w:val="superscript"/>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7"/>
    <w:uiPriority w:val="99"/>
    <w:unhideWhenUsed/>
    <w:qFormat/>
    <w:rsid w:val="009351E2"/>
    <w:pPr>
      <w:spacing w:after="0" w:line="240" w:lineRule="auto"/>
      <w:ind w:firstLine="567"/>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6"/>
    <w:uiPriority w:val="99"/>
    <w:rsid w:val="009351E2"/>
    <w:rPr>
      <w:rFonts w:ascii="Times New Roman" w:eastAsia="Times New Roman"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351E2"/>
    <w:pPr>
      <w:spacing w:line="240" w:lineRule="exact"/>
    </w:pPr>
    <w:rPr>
      <w:vertAlign w:val="superscript"/>
    </w:rPr>
  </w:style>
  <w:style w:type="paragraph" w:styleId="a8">
    <w:name w:val="No Spacing"/>
    <w:aliases w:val="Subsol,referinta"/>
    <w:uiPriority w:val="1"/>
    <w:qFormat/>
    <w:rsid w:val="009351E2"/>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LegturInternet">
    <w:name w:val="Legătură Internet"/>
    <w:basedOn w:val="a0"/>
    <w:rsid w:val="009351E2"/>
    <w:rPr>
      <w:color w:val="0563C1"/>
      <w:u w:val="single"/>
    </w:rPr>
  </w:style>
  <w:style w:type="table" w:styleId="-1">
    <w:name w:val="Grid Table 1 Light"/>
    <w:basedOn w:val="a1"/>
    <w:uiPriority w:val="46"/>
    <w:rsid w:val="009351E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a"/>
    <w:uiPriority w:val="34"/>
    <w:qFormat/>
    <w:rsid w:val="00504112"/>
    <w:pPr>
      <w:ind w:left="720"/>
      <w:contextualSpacing/>
    </w:pPr>
  </w:style>
  <w:style w:type="character" w:customStyle="1" w:styleId="aa">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9"/>
    <w:uiPriority w:val="34"/>
    <w:locked/>
    <w:rsid w:val="00504112"/>
  </w:style>
  <w:style w:type="paragraph" w:styleId="ab">
    <w:name w:val="header"/>
    <w:basedOn w:val="a"/>
    <w:link w:val="ac"/>
    <w:uiPriority w:val="99"/>
    <w:unhideWhenUsed/>
    <w:rsid w:val="00D861BA"/>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61BA"/>
  </w:style>
  <w:style w:type="paragraph" w:styleId="ad">
    <w:name w:val="footer"/>
    <w:basedOn w:val="a"/>
    <w:link w:val="ae"/>
    <w:uiPriority w:val="99"/>
    <w:unhideWhenUsed/>
    <w:rsid w:val="00D861BA"/>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61BA"/>
  </w:style>
  <w:style w:type="character" w:customStyle="1" w:styleId="20">
    <w:name w:val="Заголовок 2 Знак"/>
    <w:aliases w:val="Subcapitole Знак"/>
    <w:basedOn w:val="a0"/>
    <w:link w:val="2"/>
    <w:uiPriority w:val="9"/>
    <w:rsid w:val="00F13DFF"/>
    <w:rPr>
      <w:rFonts w:asciiTheme="majorHAnsi" w:eastAsiaTheme="majorEastAsia" w:hAnsiTheme="majorHAnsi" w:cstheme="majorBidi"/>
      <w:color w:val="2E74B5" w:themeColor="accent1" w:themeShade="BF"/>
      <w:sz w:val="26"/>
      <w:szCs w:val="26"/>
    </w:rPr>
  </w:style>
  <w:style w:type="character" w:styleId="af">
    <w:name w:val="Strong"/>
    <w:basedOn w:val="a0"/>
    <w:uiPriority w:val="22"/>
    <w:qFormat/>
    <w:rsid w:val="00F77379"/>
    <w:rPr>
      <w:b/>
      <w:bCs/>
    </w:rPr>
  </w:style>
  <w:style w:type="paragraph" w:customStyle="1" w:styleId="Default">
    <w:name w:val="Default"/>
    <w:rsid w:val="00F773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C5751A"/>
    <w:pPr>
      <w:spacing w:after="0" w:line="240" w:lineRule="auto"/>
      <w:jc w:val="center"/>
    </w:pPr>
    <w:rPr>
      <w:rFonts w:ascii="Times New Roman" w:eastAsia="Times New Roman" w:hAnsi="Times New Roman" w:cs="Times New Roman"/>
      <w:b/>
      <w:bCs/>
      <w:sz w:val="24"/>
      <w:szCs w:val="24"/>
      <w:lang w:val="ro-MD" w:eastAsia="ro-RO"/>
    </w:rPr>
  </w:style>
  <w:style w:type="table" w:styleId="af0">
    <w:name w:val="Table Grid"/>
    <w:basedOn w:val="a1"/>
    <w:uiPriority w:val="3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9109E"/>
    <w:rPr>
      <w:color w:val="0563C1" w:themeColor="hyperlink"/>
      <w:u w:val="single"/>
    </w:rPr>
  </w:style>
  <w:style w:type="paragraph" w:styleId="af2">
    <w:name w:val="annotation text"/>
    <w:basedOn w:val="a"/>
    <w:link w:val="af3"/>
    <w:uiPriority w:val="99"/>
    <w:unhideWhenUsed/>
    <w:rsid w:val="00F9109E"/>
    <w:pPr>
      <w:spacing w:line="240" w:lineRule="auto"/>
    </w:pPr>
    <w:rPr>
      <w:sz w:val="20"/>
      <w:szCs w:val="20"/>
    </w:rPr>
  </w:style>
  <w:style w:type="character" w:customStyle="1" w:styleId="af3">
    <w:name w:val="Текст примечания Знак"/>
    <w:basedOn w:val="a0"/>
    <w:link w:val="af2"/>
    <w:uiPriority w:val="99"/>
    <w:rsid w:val="00F9109E"/>
    <w:rPr>
      <w:sz w:val="20"/>
      <w:szCs w:val="20"/>
    </w:rPr>
  </w:style>
  <w:style w:type="numbering" w:customStyle="1" w:styleId="NoList1">
    <w:name w:val="No List1"/>
    <w:next w:val="a2"/>
    <w:uiPriority w:val="99"/>
    <w:semiHidden/>
    <w:unhideWhenUsed/>
    <w:rsid w:val="00CD2A08"/>
  </w:style>
  <w:style w:type="character" w:customStyle="1" w:styleId="21">
    <w:name w:val="Основной текст (2)_"/>
    <w:basedOn w:val="a0"/>
    <w:link w:val="22"/>
    <w:rsid w:val="00CD2A08"/>
    <w:rPr>
      <w:rFonts w:ascii="Book Antiqua" w:eastAsia="Book Antiqua" w:hAnsi="Book Antiqua" w:cs="Book Antiqua"/>
      <w:sz w:val="18"/>
      <w:szCs w:val="18"/>
      <w:shd w:val="clear" w:color="auto" w:fill="FFFFFF"/>
    </w:rPr>
  </w:style>
  <w:style w:type="paragraph" w:customStyle="1" w:styleId="22">
    <w:name w:val="Основной текст (2)"/>
    <w:basedOn w:val="a"/>
    <w:link w:val="21"/>
    <w:rsid w:val="00CD2A08"/>
    <w:pPr>
      <w:widowControl w:val="0"/>
      <w:shd w:val="clear" w:color="auto" w:fill="FFFFFF"/>
      <w:spacing w:before="720" w:after="260" w:line="245" w:lineRule="exact"/>
    </w:pPr>
    <w:rPr>
      <w:rFonts w:ascii="Book Antiqua" w:eastAsia="Book Antiqua" w:hAnsi="Book Antiqua" w:cs="Book Antiqua"/>
      <w:sz w:val="18"/>
      <w:szCs w:val="18"/>
    </w:rPr>
  </w:style>
  <w:style w:type="character" w:customStyle="1" w:styleId="3">
    <w:name w:val="Основной текст (3)_"/>
    <w:basedOn w:val="a0"/>
    <w:link w:val="30"/>
    <w:rsid w:val="00CD2A0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D2A08"/>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styleId="af4">
    <w:name w:val="endnote text"/>
    <w:basedOn w:val="a"/>
    <w:link w:val="af5"/>
    <w:uiPriority w:val="99"/>
    <w:semiHidden/>
    <w:unhideWhenUsed/>
    <w:rsid w:val="00B6239C"/>
    <w:pPr>
      <w:spacing w:after="0" w:line="240" w:lineRule="auto"/>
    </w:pPr>
    <w:rPr>
      <w:sz w:val="20"/>
      <w:szCs w:val="20"/>
    </w:rPr>
  </w:style>
  <w:style w:type="character" w:customStyle="1" w:styleId="af5">
    <w:name w:val="Текст концевой сноски Знак"/>
    <w:basedOn w:val="a0"/>
    <w:link w:val="af4"/>
    <w:uiPriority w:val="99"/>
    <w:semiHidden/>
    <w:rsid w:val="00B6239C"/>
    <w:rPr>
      <w:sz w:val="20"/>
      <w:szCs w:val="20"/>
    </w:rPr>
  </w:style>
  <w:style w:type="character" w:styleId="af6">
    <w:name w:val="endnote reference"/>
    <w:basedOn w:val="a0"/>
    <w:uiPriority w:val="99"/>
    <w:semiHidden/>
    <w:unhideWhenUsed/>
    <w:rsid w:val="00B6239C"/>
    <w:rPr>
      <w:vertAlign w:val="superscript"/>
    </w:rPr>
  </w:style>
  <w:style w:type="paragraph" w:customStyle="1" w:styleId="Normal1">
    <w:name w:val="Normal1"/>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E44D56"/>
  </w:style>
  <w:style w:type="paragraph" w:customStyle="1" w:styleId="list0020paragraph">
    <w:name w:val="list_0020paragraph"/>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E44D56"/>
  </w:style>
  <w:style w:type="paragraph" w:styleId="31">
    <w:name w:val="Body Text 3"/>
    <w:basedOn w:val="a"/>
    <w:link w:val="32"/>
    <w:uiPriority w:val="99"/>
    <w:unhideWhenUsed/>
    <w:rsid w:val="00C74FFB"/>
    <w:pPr>
      <w:spacing w:after="120"/>
    </w:pPr>
    <w:rPr>
      <w:sz w:val="16"/>
      <w:szCs w:val="16"/>
      <w:lang w:val="ru-RU"/>
    </w:rPr>
  </w:style>
  <w:style w:type="character" w:customStyle="1" w:styleId="32">
    <w:name w:val="Основной текст 3 Знак"/>
    <w:basedOn w:val="a0"/>
    <w:link w:val="31"/>
    <w:uiPriority w:val="99"/>
    <w:rsid w:val="00C74FFB"/>
    <w:rPr>
      <w:sz w:val="16"/>
      <w:szCs w:val="16"/>
      <w:lang w:val="ru-RU"/>
    </w:rPr>
  </w:style>
  <w:style w:type="character" w:styleId="af7">
    <w:name w:val="annotation reference"/>
    <w:basedOn w:val="a0"/>
    <w:uiPriority w:val="99"/>
    <w:semiHidden/>
    <w:unhideWhenUsed/>
    <w:rsid w:val="00D41213"/>
    <w:rPr>
      <w:sz w:val="16"/>
      <w:szCs w:val="16"/>
    </w:rPr>
  </w:style>
  <w:style w:type="paragraph" w:styleId="af8">
    <w:name w:val="annotation subject"/>
    <w:basedOn w:val="af2"/>
    <w:next w:val="af2"/>
    <w:link w:val="af9"/>
    <w:uiPriority w:val="99"/>
    <w:semiHidden/>
    <w:unhideWhenUsed/>
    <w:rsid w:val="00D41213"/>
    <w:rPr>
      <w:b/>
      <w:bCs/>
    </w:rPr>
  </w:style>
  <w:style w:type="character" w:customStyle="1" w:styleId="af9">
    <w:name w:val="Тема примечания Знак"/>
    <w:basedOn w:val="af3"/>
    <w:link w:val="af8"/>
    <w:uiPriority w:val="99"/>
    <w:semiHidden/>
    <w:rsid w:val="00D41213"/>
    <w:rPr>
      <w:b/>
      <w:bCs/>
      <w:sz w:val="20"/>
      <w:szCs w:val="20"/>
    </w:rPr>
  </w:style>
  <w:style w:type="paragraph" w:styleId="afa">
    <w:name w:val="Balloon Text"/>
    <w:basedOn w:val="a"/>
    <w:link w:val="afb"/>
    <w:uiPriority w:val="99"/>
    <w:semiHidden/>
    <w:unhideWhenUsed/>
    <w:rsid w:val="00D4121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D41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2744">
      <w:bodyDiv w:val="1"/>
      <w:marLeft w:val="0"/>
      <w:marRight w:val="0"/>
      <w:marTop w:val="0"/>
      <w:marBottom w:val="0"/>
      <w:divBdr>
        <w:top w:val="none" w:sz="0" w:space="0" w:color="auto"/>
        <w:left w:val="none" w:sz="0" w:space="0" w:color="auto"/>
        <w:bottom w:val="none" w:sz="0" w:space="0" w:color="auto"/>
        <w:right w:val="none" w:sz="0" w:space="0" w:color="auto"/>
      </w:divBdr>
    </w:div>
    <w:div w:id="645474720">
      <w:bodyDiv w:val="1"/>
      <w:marLeft w:val="0"/>
      <w:marRight w:val="0"/>
      <w:marTop w:val="0"/>
      <w:marBottom w:val="0"/>
      <w:divBdr>
        <w:top w:val="none" w:sz="0" w:space="0" w:color="auto"/>
        <w:left w:val="none" w:sz="0" w:space="0" w:color="auto"/>
        <w:bottom w:val="none" w:sz="0" w:space="0" w:color="auto"/>
        <w:right w:val="none" w:sz="0" w:space="0" w:color="auto"/>
      </w:divBdr>
    </w:div>
    <w:div w:id="766000210">
      <w:bodyDiv w:val="1"/>
      <w:marLeft w:val="0"/>
      <w:marRight w:val="0"/>
      <w:marTop w:val="0"/>
      <w:marBottom w:val="0"/>
      <w:divBdr>
        <w:top w:val="none" w:sz="0" w:space="0" w:color="auto"/>
        <w:left w:val="none" w:sz="0" w:space="0" w:color="auto"/>
        <w:bottom w:val="none" w:sz="0" w:space="0" w:color="auto"/>
        <w:right w:val="none" w:sz="0" w:space="0" w:color="auto"/>
      </w:divBdr>
    </w:div>
    <w:div w:id="837768195">
      <w:bodyDiv w:val="1"/>
      <w:marLeft w:val="0"/>
      <w:marRight w:val="0"/>
      <w:marTop w:val="0"/>
      <w:marBottom w:val="0"/>
      <w:divBdr>
        <w:top w:val="none" w:sz="0" w:space="0" w:color="auto"/>
        <w:left w:val="none" w:sz="0" w:space="0" w:color="auto"/>
        <w:bottom w:val="none" w:sz="0" w:space="0" w:color="auto"/>
        <w:right w:val="none" w:sz="0" w:space="0" w:color="auto"/>
      </w:divBdr>
    </w:div>
    <w:div w:id="940995140">
      <w:bodyDiv w:val="1"/>
      <w:marLeft w:val="0"/>
      <w:marRight w:val="0"/>
      <w:marTop w:val="0"/>
      <w:marBottom w:val="0"/>
      <w:divBdr>
        <w:top w:val="none" w:sz="0" w:space="0" w:color="auto"/>
        <w:left w:val="none" w:sz="0" w:space="0" w:color="auto"/>
        <w:bottom w:val="none" w:sz="0" w:space="0" w:color="auto"/>
        <w:right w:val="none" w:sz="0" w:space="0" w:color="auto"/>
      </w:divBdr>
    </w:div>
    <w:div w:id="1044871604">
      <w:bodyDiv w:val="1"/>
      <w:marLeft w:val="0"/>
      <w:marRight w:val="0"/>
      <w:marTop w:val="0"/>
      <w:marBottom w:val="0"/>
      <w:divBdr>
        <w:top w:val="none" w:sz="0" w:space="0" w:color="auto"/>
        <w:left w:val="none" w:sz="0" w:space="0" w:color="auto"/>
        <w:bottom w:val="none" w:sz="0" w:space="0" w:color="auto"/>
        <w:right w:val="none" w:sz="0" w:space="0" w:color="auto"/>
      </w:divBdr>
    </w:div>
    <w:div w:id="1227761000">
      <w:bodyDiv w:val="1"/>
      <w:marLeft w:val="0"/>
      <w:marRight w:val="0"/>
      <w:marTop w:val="0"/>
      <w:marBottom w:val="0"/>
      <w:divBdr>
        <w:top w:val="none" w:sz="0" w:space="0" w:color="auto"/>
        <w:left w:val="none" w:sz="0" w:space="0" w:color="auto"/>
        <w:bottom w:val="none" w:sz="0" w:space="0" w:color="auto"/>
        <w:right w:val="none" w:sz="0" w:space="0" w:color="auto"/>
      </w:divBdr>
    </w:div>
    <w:div w:id="1271082973">
      <w:bodyDiv w:val="1"/>
      <w:marLeft w:val="0"/>
      <w:marRight w:val="0"/>
      <w:marTop w:val="0"/>
      <w:marBottom w:val="0"/>
      <w:divBdr>
        <w:top w:val="none" w:sz="0" w:space="0" w:color="auto"/>
        <w:left w:val="none" w:sz="0" w:space="0" w:color="auto"/>
        <w:bottom w:val="none" w:sz="0" w:space="0" w:color="auto"/>
        <w:right w:val="none" w:sz="0" w:space="0" w:color="auto"/>
      </w:divBdr>
    </w:div>
    <w:div w:id="1271401061">
      <w:bodyDiv w:val="1"/>
      <w:marLeft w:val="0"/>
      <w:marRight w:val="0"/>
      <w:marTop w:val="0"/>
      <w:marBottom w:val="0"/>
      <w:divBdr>
        <w:top w:val="none" w:sz="0" w:space="0" w:color="auto"/>
        <w:left w:val="none" w:sz="0" w:space="0" w:color="auto"/>
        <w:bottom w:val="none" w:sz="0" w:space="0" w:color="auto"/>
        <w:right w:val="none" w:sz="0" w:space="0" w:color="auto"/>
      </w:divBdr>
    </w:div>
    <w:div w:id="1863276329">
      <w:bodyDiv w:val="1"/>
      <w:marLeft w:val="0"/>
      <w:marRight w:val="0"/>
      <w:marTop w:val="0"/>
      <w:marBottom w:val="0"/>
      <w:divBdr>
        <w:top w:val="none" w:sz="0" w:space="0" w:color="auto"/>
        <w:left w:val="none" w:sz="0" w:space="0" w:color="auto"/>
        <w:bottom w:val="none" w:sz="0" w:space="0" w:color="auto"/>
        <w:right w:val="none" w:sz="0" w:space="0" w:color="auto"/>
      </w:divBdr>
    </w:div>
    <w:div w:id="1930960504">
      <w:bodyDiv w:val="1"/>
      <w:marLeft w:val="0"/>
      <w:marRight w:val="0"/>
      <w:marTop w:val="0"/>
      <w:marBottom w:val="0"/>
      <w:divBdr>
        <w:top w:val="none" w:sz="0" w:space="0" w:color="auto"/>
        <w:left w:val="none" w:sz="0" w:space="0" w:color="auto"/>
        <w:bottom w:val="none" w:sz="0" w:space="0" w:color="auto"/>
        <w:right w:val="none" w:sz="0" w:space="0" w:color="auto"/>
      </w:divBdr>
    </w:div>
    <w:div w:id="20502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chart" Target="charts/chart5.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www.ccrm.md/ro/deci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QuickStyle" Target="diagrams/quickStyle3.xml"/><Relationship Id="rId32" Type="http://schemas.openxmlformats.org/officeDocument/2006/relationships/chart" Target="charts/chart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yperlink" Target="http://www.statistica.md" TargetMode="External"/><Relationship Id="rId36" Type="http://schemas.openxmlformats.org/officeDocument/2006/relationships/chart" Target="charts/chart8.xml"/><Relationship Id="rId10" Type="http://schemas.openxmlformats.org/officeDocument/2006/relationships/hyperlink" Target="mailto:ccrm@ccrm.md" TargetMode="External"/><Relationship Id="rId19" Type="http://schemas.openxmlformats.org/officeDocument/2006/relationships/diagramQuickStyle" Target="diagrams/quickStyle2.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chart" Target="charts/chart2.xml"/><Relationship Id="rId30" Type="http://schemas.openxmlformats.org/officeDocument/2006/relationships/footer" Target="footer1.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D:\ccrm\Misiuni%20de%20audit\CNAS%202021\executare\rogaciov\transferu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a_miron\Desktop\anexe%20ra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a_miron\Desktop\anexe%20rapor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20" b="1" i="0" u="none" strike="noStrike" kern="1200" spc="0" baseline="0">
                <a:solidFill>
                  <a:schemeClr val="dk1"/>
                </a:solidFill>
                <a:latin typeface="+mj-lt"/>
                <a:ea typeface="+mn-ea"/>
                <a:cs typeface="+mn-cs"/>
              </a:defRPr>
            </a:pPr>
            <a:r>
              <a:rPr lang="ro-MD"/>
              <a:t>Suma</a:t>
            </a:r>
            <a:r>
              <a:rPr lang="en-US"/>
              <a:t> transferurilor </a:t>
            </a:r>
            <a:r>
              <a:rPr lang="ro-MD"/>
              <a:t>cu destinație generală, mi</a:t>
            </a:r>
            <a:r>
              <a:rPr lang="en-US"/>
              <a:t>l</a:t>
            </a:r>
            <a:r>
              <a:rPr lang="ro-MD"/>
              <a:t>. lei</a:t>
            </a:r>
            <a:endParaRPr lang="en-US"/>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dk1"/>
              </a:solidFill>
              <a:latin typeface="+mj-lt"/>
              <a:ea typeface="+mn-ea"/>
              <a:cs typeface="+mn-cs"/>
            </a:defRPr>
          </a:pPr>
          <a:endParaRPr lang="ru-RU"/>
        </a:p>
      </c:txPr>
    </c:title>
    <c:autoTitleDeleted val="0"/>
    <c:plotArea>
      <c:layout/>
      <c:barChart>
        <c:barDir val="col"/>
        <c:grouping val="clustered"/>
        <c:varyColors val="0"/>
        <c:ser>
          <c:idx val="0"/>
          <c:order val="0"/>
          <c:tx>
            <c:strRef>
              <c:f>Sheet2!$G$5</c:f>
              <c:strCache>
                <c:ptCount val="1"/>
                <c:pt idx="0">
                  <c:v>Dinamica transferurilor de la bugetul de stat pentru acoperirea
Dinamica transferurilor de la bugetul de stat pentru acoperirea deficitului bugetului asigurărilor sociale de stat în anii 2017-2021</c:v>
                </c:pt>
              </c:strCache>
            </c:strRef>
          </c:tx>
          <c:spPr>
            <a:solidFill>
              <a:schemeClr val="accent3"/>
            </a:solidFill>
            <a:ln>
              <a:noFill/>
            </a:ln>
            <a:effectLst>
              <a:outerShdw blurRad="50800" dist="38100" dir="2700000" algn="tl" rotWithShape="0">
                <a:prstClr val="black">
                  <a:alpha val="40000"/>
                </a:prstClr>
              </a:outerShdw>
            </a:effectLst>
          </c:spPr>
          <c:invertIfNegative val="0"/>
          <c:dLbls>
            <c:dLbl>
              <c:idx val="3"/>
              <c:tx>
                <c:rich>
                  <a:bodyPr/>
                  <a:lstStyle/>
                  <a:p>
                    <a:fld id="{2E49391F-971C-43D2-896B-B081D0093B3B}" type="VALUE">
                      <a:rPr lang="en-US"/>
                      <a:pPr/>
                      <a:t>[ЗНАЧЕНИЕ]</a:t>
                    </a:fld>
                    <a:r>
                      <a:rPr lang="en-US"/>
                      <a:t>,0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C8-4014-8DB8-6F95B40FC21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Sheet2!$F$6:$F$9</c:f>
              <c:numCache>
                <c:formatCode>General</c:formatCode>
                <c:ptCount val="4"/>
                <c:pt idx="0">
                  <c:v>2018</c:v>
                </c:pt>
                <c:pt idx="1">
                  <c:v>2019</c:v>
                </c:pt>
                <c:pt idx="2">
                  <c:v>2020</c:v>
                </c:pt>
                <c:pt idx="3">
                  <c:v>2021</c:v>
                </c:pt>
              </c:numCache>
            </c:numRef>
          </c:cat>
          <c:val>
            <c:numRef>
              <c:f>Sheet2!$G$6:$G$9</c:f>
              <c:numCache>
                <c:formatCode>General</c:formatCode>
                <c:ptCount val="4"/>
                <c:pt idx="0">
                  <c:v>1113.9000000000001</c:v>
                </c:pt>
                <c:pt idx="1">
                  <c:v>1987.7</c:v>
                </c:pt>
                <c:pt idx="2">
                  <c:v>2554.6</c:v>
                </c:pt>
                <c:pt idx="3">
                  <c:v>2840</c:v>
                </c:pt>
              </c:numCache>
            </c:numRef>
          </c:val>
          <c:extLst xmlns:c16r2="http://schemas.microsoft.com/office/drawing/2015/06/chart">
            <c:ext xmlns:c16="http://schemas.microsoft.com/office/drawing/2014/chart" uri="{C3380CC4-5D6E-409C-BE32-E72D297353CC}">
              <c16:uniqueId val="{00000000-F36E-4AED-95A0-843595E992D9}"/>
            </c:ext>
          </c:extLst>
        </c:ser>
        <c:dLbls>
          <c:showLegendKey val="0"/>
          <c:showVal val="0"/>
          <c:showCatName val="0"/>
          <c:showSerName val="0"/>
          <c:showPercent val="0"/>
          <c:showBubbleSize val="0"/>
        </c:dLbls>
        <c:gapWidth val="219"/>
        <c:overlap val="-27"/>
        <c:axId val="252150592"/>
        <c:axId val="252149808"/>
      </c:barChart>
      <c:catAx>
        <c:axId val="25215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dk1"/>
                </a:solidFill>
                <a:latin typeface="+mj-lt"/>
                <a:ea typeface="+mn-ea"/>
                <a:cs typeface="+mn-cs"/>
              </a:defRPr>
            </a:pPr>
            <a:endParaRPr lang="ru-RU"/>
          </a:p>
        </c:txPr>
        <c:crossAx val="252149808"/>
        <c:crosses val="autoZero"/>
        <c:auto val="1"/>
        <c:lblAlgn val="ctr"/>
        <c:lblOffset val="100"/>
        <c:noMultiLvlLbl val="0"/>
      </c:catAx>
      <c:valAx>
        <c:axId val="252149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solidFill>
                <a:latin typeface="+mj-lt"/>
                <a:ea typeface="+mn-ea"/>
                <a:cs typeface="+mn-cs"/>
              </a:defRPr>
            </a:pPr>
            <a:endParaRPr lang="ru-RU"/>
          </a:p>
        </c:txPr>
        <c:crossAx val="252150592"/>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sz="1100" b="1">
          <a:solidFill>
            <a:schemeClr val="dk1"/>
          </a:solidFill>
          <a:latin typeface="+mj-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68815436531972"/>
          <c:w val="0.60991070469295938"/>
          <c:h val="0.79751258551695881"/>
        </c:manualLayout>
      </c:layout>
      <c:pie3DChart>
        <c:varyColors val="1"/>
        <c:ser>
          <c:idx val="0"/>
          <c:order val="0"/>
          <c:tx>
            <c:strRef>
              <c:f>Лист1!$B$1</c:f>
              <c:strCache>
                <c:ptCount val="1"/>
                <c:pt idx="0">
                  <c:v>Column1</c:v>
                </c:pt>
              </c:strCache>
            </c:strRef>
          </c:tx>
          <c:explosion val="10"/>
          <c:dPt>
            <c:idx val="0"/>
            <c:bubble3D val="0"/>
            <c:explosion val="11"/>
            <c:spPr>
              <a:gradFill>
                <a:gsLst>
                  <a:gs pos="100000">
                    <a:schemeClr val="accent3">
                      <a:shade val="44000"/>
                      <a:lumMod val="60000"/>
                      <a:lumOff val="40000"/>
                    </a:schemeClr>
                  </a:gs>
                  <a:gs pos="0">
                    <a:schemeClr val="accent3">
                      <a:shade val="4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E7F4-4652-B553-96C029C0B1F9}"/>
              </c:ext>
            </c:extLst>
          </c:dPt>
          <c:dPt>
            <c:idx val="1"/>
            <c:bubble3D val="0"/>
            <c:spPr>
              <a:gradFill>
                <a:gsLst>
                  <a:gs pos="100000">
                    <a:schemeClr val="accent3">
                      <a:shade val="58000"/>
                      <a:lumMod val="60000"/>
                      <a:lumOff val="40000"/>
                    </a:schemeClr>
                  </a:gs>
                  <a:gs pos="0">
                    <a:schemeClr val="accent3">
                      <a:shade val="5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E7F4-4652-B553-96C029C0B1F9}"/>
              </c:ext>
            </c:extLst>
          </c:dPt>
          <c:dPt>
            <c:idx val="2"/>
            <c:bubble3D val="0"/>
            <c:spPr>
              <a:gradFill>
                <a:gsLst>
                  <a:gs pos="100000">
                    <a:schemeClr val="accent3">
                      <a:shade val="72000"/>
                      <a:lumMod val="60000"/>
                      <a:lumOff val="40000"/>
                    </a:schemeClr>
                  </a:gs>
                  <a:gs pos="0">
                    <a:schemeClr val="accent3">
                      <a:shade val="7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4-E7F4-4652-B553-96C029C0B1F9}"/>
              </c:ext>
            </c:extLst>
          </c:dPt>
          <c:dPt>
            <c:idx val="3"/>
            <c:bubble3D val="0"/>
            <c:spPr>
              <a:gradFill>
                <a:gsLst>
                  <a:gs pos="100000">
                    <a:schemeClr val="accent3">
                      <a:shade val="86000"/>
                      <a:lumMod val="60000"/>
                      <a:lumOff val="40000"/>
                    </a:schemeClr>
                  </a:gs>
                  <a:gs pos="0">
                    <a:schemeClr val="accent3">
                      <a:shade val="8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E7F4-4652-B553-96C029C0B1F9}"/>
              </c:ext>
            </c:extLst>
          </c:dPt>
          <c:dPt>
            <c:idx val="4"/>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6-E7F4-4652-B553-96C029C0B1F9}"/>
              </c:ext>
            </c:extLst>
          </c:dPt>
          <c:dPt>
            <c:idx val="5"/>
            <c:bubble3D val="0"/>
            <c:spPr>
              <a:gradFill>
                <a:gsLst>
                  <a:gs pos="100000">
                    <a:schemeClr val="accent3">
                      <a:tint val="86000"/>
                      <a:lumMod val="60000"/>
                      <a:lumOff val="40000"/>
                    </a:schemeClr>
                  </a:gs>
                  <a:gs pos="0">
                    <a:schemeClr val="accent3">
                      <a:tint val="8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E7F4-4652-B553-96C029C0B1F9}"/>
              </c:ext>
            </c:extLst>
          </c:dPt>
          <c:dPt>
            <c:idx val="6"/>
            <c:bubble3D val="0"/>
            <c:spPr>
              <a:gradFill>
                <a:gsLst>
                  <a:gs pos="100000">
                    <a:schemeClr val="accent3">
                      <a:tint val="72000"/>
                      <a:lumMod val="60000"/>
                      <a:lumOff val="40000"/>
                    </a:schemeClr>
                  </a:gs>
                  <a:gs pos="0">
                    <a:schemeClr val="accent3">
                      <a:tint val="7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8-E7F4-4652-B553-96C029C0B1F9}"/>
              </c:ext>
            </c:extLst>
          </c:dPt>
          <c:dPt>
            <c:idx val="7"/>
            <c:bubble3D val="0"/>
            <c:spPr>
              <a:gradFill>
                <a:gsLst>
                  <a:gs pos="100000">
                    <a:schemeClr val="accent3">
                      <a:tint val="58000"/>
                      <a:lumMod val="60000"/>
                      <a:lumOff val="40000"/>
                    </a:schemeClr>
                  </a:gs>
                  <a:gs pos="0">
                    <a:schemeClr val="accent3">
                      <a:tint val="5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E7F4-4652-B553-96C029C0B1F9}"/>
              </c:ext>
            </c:extLst>
          </c:dPt>
          <c:dPt>
            <c:idx val="8"/>
            <c:bubble3D val="0"/>
            <c:spPr>
              <a:gradFill>
                <a:gsLst>
                  <a:gs pos="100000">
                    <a:schemeClr val="accent3">
                      <a:tint val="44000"/>
                      <a:lumMod val="60000"/>
                      <a:lumOff val="40000"/>
                    </a:schemeClr>
                  </a:gs>
                  <a:gs pos="0">
                    <a:schemeClr val="accent3">
                      <a:tint val="4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A-E7F4-4652-B553-96C029C0B1F9}"/>
              </c:ext>
            </c:extLst>
          </c:dPt>
          <c:dLbls>
            <c:dLbl>
              <c:idx val="0"/>
              <c:layout>
                <c:manualLayout>
                  <c:x val="-7.6289341677753655E-2"/>
                  <c:y val="0.21936789673866017"/>
                </c:manualLayout>
              </c:layout>
              <c:tx>
                <c:rich>
                  <a:bodyPr/>
                  <a:lstStyle/>
                  <a:p>
                    <a:r>
                      <a:rPr lang="en-US"/>
                      <a:t>60,9%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7F4-4652-B553-96C029C0B1F9}"/>
                </c:ext>
                <c:ext xmlns:c15="http://schemas.microsoft.com/office/drawing/2012/chart" uri="{CE6537A1-D6FC-4f65-9D91-7224C49458BB}"/>
              </c:extLst>
            </c:dLbl>
            <c:dLbl>
              <c:idx val="1"/>
              <c:layout>
                <c:manualLayout>
                  <c:x val="8.5497488511274977E-3"/>
                  <c:y val="0.12437107568911746"/>
                </c:manualLayout>
              </c:layout>
              <c:tx>
                <c:rich>
                  <a:bodyPr/>
                  <a:lstStyle/>
                  <a:p>
                    <a:r>
                      <a:rPr lang="en-US"/>
                      <a:t>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7F4-4652-B553-96C029C0B1F9}"/>
                </c:ext>
                <c:ext xmlns:c15="http://schemas.microsoft.com/office/drawing/2012/chart" uri="{CE6537A1-D6FC-4f65-9D91-7224C49458BB}"/>
              </c:extLst>
            </c:dLbl>
            <c:dLbl>
              <c:idx val="2"/>
              <c:layout>
                <c:manualLayout>
                  <c:x val="-3.8523881440149454E-3"/>
                  <c:y val="5.5598526772781987E-2"/>
                </c:manualLayout>
              </c:layout>
              <c:tx>
                <c:rich>
                  <a:bodyPr/>
                  <a:lstStyle/>
                  <a:p>
                    <a:r>
                      <a:rPr lang="en-U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7F4-4652-B553-96C029C0B1F9}"/>
                </c:ext>
                <c:ext xmlns:c15="http://schemas.microsoft.com/office/drawing/2012/chart" uri="{CE6537A1-D6FC-4f65-9D91-7224C49458BB}"/>
              </c:extLst>
            </c:dLbl>
            <c:dLbl>
              <c:idx val="3"/>
              <c:layout>
                <c:manualLayout>
                  <c:x val="-2.1889994350998952E-2"/>
                  <c:y val="-4.796076911790717E-2"/>
                </c:manualLayout>
              </c:layout>
              <c:tx>
                <c:rich>
                  <a:bodyPr/>
                  <a:lstStyle/>
                  <a:p>
                    <a:r>
                      <a:rPr lang="en-US"/>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7F4-4652-B553-96C029C0B1F9}"/>
                </c:ext>
                <c:ext xmlns:c15="http://schemas.microsoft.com/office/drawing/2012/chart" uri="{CE6537A1-D6FC-4f65-9D91-7224C49458BB}"/>
              </c:extLst>
            </c:dLbl>
            <c:dLbl>
              <c:idx val="4"/>
              <c:layout>
                <c:manualLayout>
                  <c:x val="-4.4571456461497943E-3"/>
                  <c:y val="-6.1661481278050947E-2"/>
                </c:manualLayout>
              </c:layout>
              <c:tx>
                <c:rich>
                  <a:bodyPr/>
                  <a:lstStyle/>
                  <a:p>
                    <a:r>
                      <a:rPr lang="en-US"/>
                      <a:t>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7F4-4652-B553-96C029C0B1F9}"/>
                </c:ext>
                <c:ext xmlns:c15="http://schemas.microsoft.com/office/drawing/2012/chart" uri="{CE6537A1-D6FC-4f65-9D91-7224C49458BB}"/>
              </c:extLst>
            </c:dLbl>
            <c:dLbl>
              <c:idx val="5"/>
              <c:layout>
                <c:manualLayout>
                  <c:x val="0"/>
                  <c:y val="-0.12162739690983443"/>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7F4-4652-B553-96C029C0B1F9}"/>
                </c:ext>
                <c:ext xmlns:c15="http://schemas.microsoft.com/office/drawing/2012/chart" uri="{CE6537A1-D6FC-4f65-9D91-7224C49458BB}"/>
              </c:extLst>
            </c:dLbl>
            <c:dLbl>
              <c:idx val="6"/>
              <c:layout>
                <c:manualLayout>
                  <c:x val="3.9827378825084528E-4"/>
                  <c:y val="-7.8188637791513568E-2"/>
                </c:manualLayout>
              </c:layout>
              <c:tx>
                <c:rich>
                  <a:bodyPr/>
                  <a:lstStyle/>
                  <a:p>
                    <a:r>
                      <a:rPr lang="en-US"/>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7F4-4652-B553-96C029C0B1F9}"/>
                </c:ext>
                <c:ext xmlns:c15="http://schemas.microsoft.com/office/drawing/2012/chart" uri="{CE6537A1-D6FC-4f65-9D91-7224C49458BB}"/>
              </c:extLst>
            </c:dLbl>
            <c:dLbl>
              <c:idx val="7"/>
              <c:layout>
                <c:manualLayout>
                  <c:x val="5.3925523401757901E-2"/>
                  <c:y val="-7.1182531949392613E-2"/>
                </c:manualLayout>
              </c:layout>
              <c:tx>
                <c:rich>
                  <a:bodyPr/>
                  <a:lstStyle/>
                  <a:p>
                    <a:r>
                      <a:rPr lang="en-US"/>
                      <a:t>10,3%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7F4-4652-B553-96C029C0B1F9}"/>
                </c:ext>
                <c:ext xmlns:c15="http://schemas.microsoft.com/office/drawing/2012/chart" uri="{CE6537A1-D6FC-4f65-9D91-7224C49458BB}"/>
              </c:extLst>
            </c:dLbl>
            <c:dLbl>
              <c:idx val="8"/>
              <c:layout>
                <c:manualLayout>
                  <c:x val="3.6977630209802097E-2"/>
                  <c:y val="-2.3622799658403904E-2"/>
                </c:manualLayout>
              </c:layout>
              <c:tx>
                <c:rich>
                  <a:bodyPr/>
                  <a:lstStyle/>
                  <a:p>
                    <a:r>
                      <a:rPr lang="en-US"/>
                      <a:t>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7F4-4652-B553-96C029C0B1F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Salariu de funcție 81715.9 mii lei (60.9%)</c:v>
                </c:pt>
                <c:pt idx="1">
                  <c:v>Diferența de salariu 257.5 mii lei (0.2%)</c:v>
                </c:pt>
                <c:pt idx="2">
                  <c:v>Spor lunar pentru grad profesional 2795.7 mii lei (2,1%)</c:v>
                </c:pt>
                <c:pt idx="3">
                  <c:v>Spor pentru munca suplimentară 460.5 mii lei (0.3%)</c:v>
                </c:pt>
                <c:pt idx="4">
                  <c:v>Spor de performanță 11608.7 mii lei (8.7%)</c:v>
                </c:pt>
                <c:pt idx="5">
                  <c:v>Premiu anual 3852.5 mii lei (2.9%)</c:v>
                </c:pt>
                <c:pt idx="6">
                  <c:v>Premiu unic 6611.1 mii lei (4.9%)</c:v>
                </c:pt>
                <c:pt idx="7">
                  <c:v>Concediile 13845,7 mii lei (10.3%)</c:v>
                </c:pt>
                <c:pt idx="8">
                  <c:v>Supliment pentru cumularea funcțiilor 12927.6 mii lei (9.6%)</c:v>
                </c:pt>
              </c:strCache>
            </c:strRef>
          </c:cat>
          <c:val>
            <c:numRef>
              <c:f>Лист1!$B$2:$B$10</c:f>
              <c:numCache>
                <c:formatCode>0.00%</c:formatCode>
                <c:ptCount val="9"/>
                <c:pt idx="0">
                  <c:v>0.60899999999999999</c:v>
                </c:pt>
                <c:pt idx="1">
                  <c:v>2E-3</c:v>
                </c:pt>
                <c:pt idx="2">
                  <c:v>2.1000000000000001E-2</c:v>
                </c:pt>
                <c:pt idx="3">
                  <c:v>3.0000000000000001E-3</c:v>
                </c:pt>
                <c:pt idx="4">
                  <c:v>8.6999999999999994E-2</c:v>
                </c:pt>
                <c:pt idx="5">
                  <c:v>2.9000000000000001E-2</c:v>
                </c:pt>
                <c:pt idx="6">
                  <c:v>4.9000000000000002E-2</c:v>
                </c:pt>
                <c:pt idx="7">
                  <c:v>0.10299999999999999</c:v>
                </c:pt>
                <c:pt idx="8">
                  <c:v>9.6000000000000002E-2</c:v>
                </c:pt>
              </c:numCache>
            </c:numRef>
          </c:val>
          <c:extLst xmlns:c16r2="http://schemas.microsoft.com/office/drawing/2015/06/chart">
            <c:ext xmlns:c16="http://schemas.microsoft.com/office/drawing/2014/chart" uri="{C3380CC4-5D6E-409C-BE32-E72D297353CC}">
              <c16:uniqueId val="{0000000B-E7F4-4652-B553-96C029C0B1F9}"/>
            </c:ext>
          </c:extLst>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112292980921305E-4"/>
          <c:y val="0.11007285593725563"/>
          <c:w val="0.78982410093475153"/>
          <c:h val="0.67707631678783498"/>
        </c:manualLayout>
      </c:layout>
      <c:pie3DChart>
        <c:varyColors val="1"/>
        <c:ser>
          <c:idx val="0"/>
          <c:order val="0"/>
          <c:dPt>
            <c:idx val="0"/>
            <c:bubble3D val="0"/>
            <c:explosion val="11"/>
            <c:spPr>
              <a:solidFill>
                <a:schemeClr val="accent3">
                  <a:shade val="53000"/>
                  <a:alpha val="90000"/>
                </a:schemeClr>
              </a:solidFill>
              <a:ln w="19050">
                <a:solidFill>
                  <a:schemeClr val="accent3">
                    <a:shade val="53000"/>
                    <a:lumMod val="75000"/>
                  </a:schemeClr>
                </a:solidFill>
              </a:ln>
              <a:effectLst>
                <a:innerShdw blurRad="114300">
                  <a:schemeClr val="accent3">
                    <a:shade val="53000"/>
                    <a:lumMod val="75000"/>
                  </a:schemeClr>
                </a:innerShdw>
              </a:effectLst>
              <a:scene3d>
                <a:camera prst="orthographicFront"/>
                <a:lightRig rig="threePt" dir="t"/>
              </a:scene3d>
              <a:sp3d contourW="19050" prstMaterial="flat">
                <a:contourClr>
                  <a:schemeClr val="accent3">
                    <a:shade val="53000"/>
                    <a:lumMod val="75000"/>
                  </a:schemeClr>
                </a:contourClr>
              </a:sp3d>
            </c:spPr>
            <c:extLst xmlns:c16r2="http://schemas.microsoft.com/office/drawing/2015/06/chart">
              <c:ext xmlns:c16="http://schemas.microsoft.com/office/drawing/2014/chart" uri="{C3380CC4-5D6E-409C-BE32-E72D297353CC}">
                <c16:uniqueId val="{00000001-C19A-48C7-BDD3-7547C4393E5B}"/>
              </c:ext>
            </c:extLst>
          </c:dPt>
          <c:dPt>
            <c:idx val="1"/>
            <c:bubble3D val="0"/>
            <c:spPr>
              <a:solidFill>
                <a:schemeClr val="accent3">
                  <a:shade val="76000"/>
                  <a:alpha val="90000"/>
                </a:schemeClr>
              </a:solidFill>
              <a:ln w="19050">
                <a:solidFill>
                  <a:schemeClr val="accent3">
                    <a:shade val="76000"/>
                    <a:lumMod val="75000"/>
                  </a:schemeClr>
                </a:solidFill>
              </a:ln>
              <a:effectLst>
                <a:innerShdw blurRad="114300">
                  <a:schemeClr val="accent3">
                    <a:shade val="76000"/>
                    <a:lumMod val="75000"/>
                  </a:schemeClr>
                </a:innerShdw>
              </a:effectLst>
              <a:scene3d>
                <a:camera prst="orthographicFront"/>
                <a:lightRig rig="threePt" dir="t"/>
              </a:scene3d>
              <a:sp3d contourW="19050" prstMaterial="flat">
                <a:contourClr>
                  <a:schemeClr val="accent3">
                    <a:shade val="76000"/>
                    <a:lumMod val="75000"/>
                  </a:schemeClr>
                </a:contourClr>
              </a:sp3d>
            </c:spPr>
            <c:extLst xmlns:c16r2="http://schemas.microsoft.com/office/drawing/2015/06/chart">
              <c:ext xmlns:c16="http://schemas.microsoft.com/office/drawing/2014/chart" uri="{C3380CC4-5D6E-409C-BE32-E72D297353CC}">
                <c16:uniqueId val="{00000003-C19A-48C7-BDD3-7547C4393E5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C19A-48C7-BDD3-7547C4393E5B}"/>
              </c:ext>
            </c:extLst>
          </c:dPt>
          <c:dPt>
            <c:idx val="3"/>
            <c:bubble3D val="0"/>
            <c:spPr>
              <a:solidFill>
                <a:schemeClr val="accent3">
                  <a:tint val="77000"/>
                  <a:alpha val="90000"/>
                </a:schemeClr>
              </a:solidFill>
              <a:ln w="19050">
                <a:solidFill>
                  <a:schemeClr val="accent3">
                    <a:tint val="77000"/>
                    <a:lumMod val="75000"/>
                  </a:schemeClr>
                </a:solidFill>
              </a:ln>
              <a:effectLst>
                <a:innerShdw blurRad="114300">
                  <a:schemeClr val="accent3">
                    <a:tint val="77000"/>
                    <a:lumMod val="75000"/>
                  </a:schemeClr>
                </a:innerShdw>
              </a:effectLst>
              <a:scene3d>
                <a:camera prst="orthographicFront"/>
                <a:lightRig rig="threePt" dir="t"/>
              </a:scene3d>
              <a:sp3d contourW="19050" prstMaterial="flat">
                <a:contourClr>
                  <a:schemeClr val="accent3">
                    <a:tint val="77000"/>
                    <a:lumMod val="75000"/>
                  </a:schemeClr>
                </a:contourClr>
              </a:sp3d>
            </c:spPr>
            <c:extLst xmlns:c16r2="http://schemas.microsoft.com/office/drawing/2015/06/chart">
              <c:ext xmlns:c16="http://schemas.microsoft.com/office/drawing/2014/chart" uri="{C3380CC4-5D6E-409C-BE32-E72D297353CC}">
                <c16:uniqueId val="{00000007-C19A-48C7-BDD3-7547C4393E5B}"/>
              </c:ext>
            </c:extLst>
          </c:dPt>
          <c:dPt>
            <c:idx val="4"/>
            <c:bubble3D val="0"/>
            <c:explosion val="10"/>
            <c:spPr>
              <a:solidFill>
                <a:schemeClr val="accent3">
                  <a:tint val="54000"/>
                  <a:alpha val="90000"/>
                </a:schemeClr>
              </a:solidFill>
              <a:ln w="19050">
                <a:solidFill>
                  <a:schemeClr val="accent3">
                    <a:tint val="54000"/>
                    <a:lumMod val="75000"/>
                  </a:schemeClr>
                </a:solidFill>
              </a:ln>
              <a:effectLst>
                <a:innerShdw blurRad="114300">
                  <a:schemeClr val="accent3">
                    <a:tint val="54000"/>
                    <a:lumMod val="75000"/>
                  </a:schemeClr>
                </a:innerShdw>
              </a:effectLst>
              <a:scene3d>
                <a:camera prst="orthographicFront"/>
                <a:lightRig rig="threePt" dir="t"/>
              </a:scene3d>
              <a:sp3d contourW="19050" prstMaterial="flat">
                <a:contourClr>
                  <a:schemeClr val="accent3">
                    <a:tint val="54000"/>
                    <a:lumMod val="75000"/>
                  </a:schemeClr>
                </a:contourClr>
              </a:sp3d>
            </c:spPr>
            <c:extLst xmlns:c16r2="http://schemas.microsoft.com/office/drawing/2015/06/chart">
              <c:ext xmlns:c16="http://schemas.microsoft.com/office/drawing/2014/chart" uri="{C3380CC4-5D6E-409C-BE32-E72D297353CC}">
                <c16:uniqueId val="{00000009-C19A-48C7-BDD3-7547C4393E5B}"/>
              </c:ext>
            </c:extLst>
          </c:dPt>
          <c:dLbls>
            <c:dLbl>
              <c:idx val="0"/>
              <c:layout>
                <c:manualLayout>
                  <c:x val="-5.1135334061890025E-2"/>
                  <c:y val="-0.35761037566431308"/>
                </c:manualLayout>
              </c:layout>
              <c:spPr>
                <a:solidFill>
                  <a:schemeClr val="lt1">
                    <a:alpha val="90000"/>
                  </a:schemeClr>
                </a:solidFill>
                <a:ln w="12700" cap="flat" cmpd="sng" algn="ctr">
                  <a:solidFill>
                    <a:schemeClr val="accent3">
                      <a:shade val="53000"/>
                    </a:schemeClr>
                  </a:solidFill>
                  <a:round/>
                </a:ln>
                <a:effectLst>
                  <a:outerShdw blurRad="50800" dist="38100" dir="2700000" algn="tl" rotWithShape="0">
                    <a:schemeClr val="accent3">
                      <a:shade val="53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hade val="53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19A-48C7-BDD3-7547C4393E5B}"/>
                </c:ext>
                <c:ext xmlns:c15="http://schemas.microsoft.com/office/drawing/2012/chart" uri="{CE6537A1-D6FC-4f65-9D91-7224C49458BB}"/>
              </c:extLst>
            </c:dLbl>
            <c:dLbl>
              <c:idx val="1"/>
              <c:layout>
                <c:manualLayout>
                  <c:x val="2.6908180071797037E-2"/>
                  <c:y val="6.5347553998649874E-2"/>
                </c:manualLayout>
              </c:layout>
              <c:spPr>
                <a:solidFill>
                  <a:schemeClr val="lt1">
                    <a:alpha val="90000"/>
                  </a:schemeClr>
                </a:solidFill>
                <a:ln w="12700" cap="flat" cmpd="sng" algn="ctr">
                  <a:solidFill>
                    <a:schemeClr val="accent3">
                      <a:shade val="76000"/>
                    </a:schemeClr>
                  </a:solidFill>
                  <a:round/>
                </a:ln>
                <a:effectLst>
                  <a:outerShdw blurRad="50800" dist="38100" dir="2700000" algn="tl" rotWithShape="0">
                    <a:schemeClr val="accent3">
                      <a:shade val="76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hade val="76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19A-48C7-BDD3-7547C4393E5B}"/>
                </c:ext>
                <c:ext xmlns:c15="http://schemas.microsoft.com/office/drawing/2012/chart" uri="{CE6537A1-D6FC-4f65-9D91-7224C49458BB}"/>
              </c:extLst>
            </c:dLbl>
            <c:dLbl>
              <c:idx val="2"/>
              <c:layout>
                <c:manualLayout>
                  <c:x val="-0.12417422466319823"/>
                  <c:y val="-0.13597129802667418"/>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19A-48C7-BDD3-7547C4393E5B}"/>
                </c:ext>
                <c:ext xmlns:c15="http://schemas.microsoft.com/office/drawing/2012/chart" uri="{CE6537A1-D6FC-4f65-9D91-7224C49458BB}"/>
              </c:extLst>
            </c:dLbl>
            <c:dLbl>
              <c:idx val="3"/>
              <c:layout>
                <c:manualLayout>
                  <c:x val="-0.10244128736576967"/>
                  <c:y val="2.4337511435698143E-2"/>
                </c:manualLayout>
              </c:layout>
              <c:spPr>
                <a:solidFill>
                  <a:schemeClr val="lt1">
                    <a:alpha val="90000"/>
                  </a:schemeClr>
                </a:solidFill>
                <a:ln w="12700" cap="flat" cmpd="sng" algn="ctr">
                  <a:solidFill>
                    <a:schemeClr val="accent3">
                      <a:tint val="77000"/>
                    </a:schemeClr>
                  </a:solidFill>
                  <a:round/>
                </a:ln>
                <a:effectLst>
                  <a:outerShdw blurRad="50800" dist="38100" dir="2700000" algn="tl" rotWithShape="0">
                    <a:schemeClr val="accent3">
                      <a:tint val="77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tint val="77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19A-48C7-BDD3-7547C4393E5B}"/>
                </c:ext>
                <c:ext xmlns:c15="http://schemas.microsoft.com/office/drawing/2012/chart" uri="{CE6537A1-D6FC-4f65-9D91-7224C49458BB}"/>
              </c:extLst>
            </c:dLbl>
            <c:dLbl>
              <c:idx val="4"/>
              <c:layout>
                <c:manualLayout>
                  <c:x val="-4.7664571288019604E-2"/>
                  <c:y val="-0.1165018101635012"/>
                </c:manualLayout>
              </c:layout>
              <c:spPr>
                <a:solidFill>
                  <a:schemeClr val="lt1">
                    <a:alpha val="90000"/>
                  </a:schemeClr>
                </a:solidFill>
                <a:ln w="12700" cap="flat" cmpd="sng" algn="ctr">
                  <a:solidFill>
                    <a:schemeClr val="accent3">
                      <a:tint val="54000"/>
                    </a:schemeClr>
                  </a:solidFill>
                  <a:round/>
                </a:ln>
                <a:effectLst>
                  <a:outerShdw blurRad="50800" dist="38100" dir="2700000" algn="tl" rotWithShape="0">
                    <a:schemeClr val="accent3">
                      <a:tint val="54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tint val="54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19A-48C7-BDD3-7547C4393E5B}"/>
                </c:ext>
                <c:ext xmlns:c15="http://schemas.microsoft.com/office/drawing/2012/chart" uri="{CE6537A1-D6FC-4f65-9D91-7224C49458BB}"/>
              </c:extLst>
            </c:dLbl>
            <c:spPr>
              <a:solidFill>
                <a:sysClr val="window" lastClr="FFFFFF">
                  <a:alpha val="90000"/>
                </a:sysClr>
              </a:solidFill>
              <a:ln w="12700" cap="flat" cmpd="sng" algn="ctr">
                <a:solidFill>
                  <a:srgbClr val="A5A5A5"/>
                </a:solidFill>
                <a:round/>
              </a:ln>
              <a:effectLst>
                <a:outerShdw blurRad="50800" dist="38100" dir="2700000" algn="tl" rotWithShape="0">
                  <a:srgbClr val="A5A5A5">
                    <a:lumMod val="75000"/>
                    <a:alpha val="40000"/>
                  </a:srgb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'struct venit'!$B$5:$B$9</c:f>
              <c:strCache>
                <c:ptCount val="5"/>
                <c:pt idx="0">
                  <c:v>CONTRIBUŢII DE ASIGURĂRI SOCIALE DE STAT OBLIGATORII (16223.88 mil.lei)</c:v>
                </c:pt>
                <c:pt idx="1">
                  <c:v>VENITURI DIN PROPRIETATE (2.42 mil.lei)</c:v>
                </c:pt>
                <c:pt idx="2">
                  <c:v>AMENZI ŞI SANCŢIUNI (2.06 mil.lei)</c:v>
                </c:pt>
                <c:pt idx="3">
                  <c:v>ALTE VENITURI ŞI VENITURI NEIDENTIFICATE (293.75 mil.lei)</c:v>
                </c:pt>
                <c:pt idx="4">
                  <c:v>TRANSFERURI PRIMITE ÎN CADRUL BUGETULUI PUBLIC NAŢIONAL               (10724.68 mil.lei)</c:v>
                </c:pt>
              </c:strCache>
            </c:strRef>
          </c:cat>
          <c:val>
            <c:numRef>
              <c:f>'struct venit'!$C$5:$C$9</c:f>
              <c:numCache>
                <c:formatCode>0.00%</c:formatCode>
                <c:ptCount val="5"/>
                <c:pt idx="0">
                  <c:v>0.59499999999999997</c:v>
                </c:pt>
                <c:pt idx="1">
                  <c:v>1E-4</c:v>
                </c:pt>
                <c:pt idx="2">
                  <c:v>1E-4</c:v>
                </c:pt>
                <c:pt idx="3">
                  <c:v>1.0800000000000001E-2</c:v>
                </c:pt>
                <c:pt idx="4">
                  <c:v>0.39400000000000002</c:v>
                </c:pt>
              </c:numCache>
            </c:numRef>
          </c:val>
          <c:extLst xmlns:c16r2="http://schemas.microsoft.com/office/drawing/2015/06/chart">
            <c:ext xmlns:c16="http://schemas.microsoft.com/office/drawing/2014/chart" uri="{C3380CC4-5D6E-409C-BE32-E72D297353CC}">
              <c16:uniqueId val="{0000000A-C19A-48C7-BDD3-7547C4393E5B}"/>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151813763493083"/>
          <c:y val="0.20514430482684204"/>
          <c:w val="0.34848183450752868"/>
          <c:h val="0.612799641355654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367809529964705"/>
          <c:y val="3.6429872495446269E-2"/>
          <c:w val="0.83069034975279255"/>
          <c:h val="0.7920823831447299"/>
        </c:manualLayout>
      </c:layout>
      <c:barChart>
        <c:barDir val="col"/>
        <c:grouping val="clustered"/>
        <c:varyColors val="0"/>
        <c:ser>
          <c:idx val="0"/>
          <c:order val="0"/>
          <c:tx>
            <c:strRef>
              <c:f>'venituri prop+transf'!$B$5</c:f>
              <c:strCache>
                <c:ptCount val="1"/>
                <c:pt idx="0">
                  <c:v>Venituri proprii BASS</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'venituri prop+transf'!$C$4:$F$4</c:f>
              <c:strCache>
                <c:ptCount val="4"/>
                <c:pt idx="0">
                  <c:v>Anul 2018</c:v>
                </c:pt>
                <c:pt idx="1">
                  <c:v>Anul 2019</c:v>
                </c:pt>
                <c:pt idx="2">
                  <c:v>Anul 2020</c:v>
                </c:pt>
                <c:pt idx="3">
                  <c:v>Anul 2021</c:v>
                </c:pt>
              </c:strCache>
            </c:strRef>
          </c:cat>
          <c:val>
            <c:numRef>
              <c:f>'venituri prop+transf'!$C$5:$F$5</c:f>
              <c:numCache>
                <c:formatCode>General</c:formatCode>
                <c:ptCount val="4"/>
                <c:pt idx="0">
                  <c:v>13037.9</c:v>
                </c:pt>
                <c:pt idx="1">
                  <c:v>13635.7</c:v>
                </c:pt>
                <c:pt idx="2">
                  <c:v>14295.4</c:v>
                </c:pt>
                <c:pt idx="3">
                  <c:v>16223.9</c:v>
                </c:pt>
              </c:numCache>
            </c:numRef>
          </c:val>
          <c:extLst xmlns:c16r2="http://schemas.microsoft.com/office/drawing/2015/06/chart">
            <c:ext xmlns:c16="http://schemas.microsoft.com/office/drawing/2014/chart" uri="{C3380CC4-5D6E-409C-BE32-E72D297353CC}">
              <c16:uniqueId val="{00000000-4D21-4B8E-8193-9C5E5748305B}"/>
            </c:ext>
          </c:extLst>
        </c:ser>
        <c:ser>
          <c:idx val="1"/>
          <c:order val="1"/>
          <c:tx>
            <c:strRef>
              <c:f>'venituri prop+transf'!$B$6</c:f>
              <c:strCache>
                <c:ptCount val="1"/>
                <c:pt idx="0">
                  <c:v>Transferuri primite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'venituri prop+transf'!$C$4:$F$4</c:f>
              <c:strCache>
                <c:ptCount val="4"/>
                <c:pt idx="0">
                  <c:v>Anul 2018</c:v>
                </c:pt>
                <c:pt idx="1">
                  <c:v>Anul 2019</c:v>
                </c:pt>
                <c:pt idx="2">
                  <c:v>Anul 2020</c:v>
                </c:pt>
                <c:pt idx="3">
                  <c:v>Anul 2021</c:v>
                </c:pt>
              </c:strCache>
            </c:strRef>
          </c:cat>
          <c:val>
            <c:numRef>
              <c:f>'venituri prop+transf'!$C$6:$F$6</c:f>
              <c:numCache>
                <c:formatCode>General</c:formatCode>
                <c:ptCount val="4"/>
                <c:pt idx="0">
                  <c:v>6670.2</c:v>
                </c:pt>
                <c:pt idx="1">
                  <c:v>7957</c:v>
                </c:pt>
                <c:pt idx="2">
                  <c:v>9769.4</c:v>
                </c:pt>
                <c:pt idx="3">
                  <c:v>10724.7</c:v>
                </c:pt>
              </c:numCache>
            </c:numRef>
          </c:val>
          <c:extLst xmlns:c16r2="http://schemas.microsoft.com/office/drawing/2015/06/chart">
            <c:ext xmlns:c16="http://schemas.microsoft.com/office/drawing/2014/chart" uri="{C3380CC4-5D6E-409C-BE32-E72D297353CC}">
              <c16:uniqueId val="{00000001-4D21-4B8E-8193-9C5E5748305B}"/>
            </c:ext>
          </c:extLst>
        </c:ser>
        <c:ser>
          <c:idx val="2"/>
          <c:order val="2"/>
          <c:tx>
            <c:strRef>
              <c:f>'venituri prop+transf'!$B$7</c:f>
              <c:strCache>
                <c:ptCount val="1"/>
                <c:pt idx="0">
                  <c:v>Venituri totale</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'venituri prop+transf'!$C$4:$F$4</c:f>
              <c:strCache>
                <c:ptCount val="4"/>
                <c:pt idx="0">
                  <c:v>Anul 2018</c:v>
                </c:pt>
                <c:pt idx="1">
                  <c:v>Anul 2019</c:v>
                </c:pt>
                <c:pt idx="2">
                  <c:v>Anul 2020</c:v>
                </c:pt>
                <c:pt idx="3">
                  <c:v>Anul 2021</c:v>
                </c:pt>
              </c:strCache>
            </c:strRef>
          </c:cat>
          <c:val>
            <c:numRef>
              <c:f>'venituri prop+transf'!$C$7:$F$7</c:f>
              <c:numCache>
                <c:formatCode>General</c:formatCode>
                <c:ptCount val="4"/>
                <c:pt idx="0">
                  <c:v>19790.3</c:v>
                </c:pt>
                <c:pt idx="1">
                  <c:v>21748.3</c:v>
                </c:pt>
                <c:pt idx="2">
                  <c:v>24285.5</c:v>
                </c:pt>
                <c:pt idx="3">
                  <c:v>27246.799999999999</c:v>
                </c:pt>
              </c:numCache>
            </c:numRef>
          </c:val>
          <c:extLst xmlns:c16r2="http://schemas.microsoft.com/office/drawing/2015/06/chart">
            <c:ext xmlns:c16="http://schemas.microsoft.com/office/drawing/2014/chart" uri="{C3380CC4-5D6E-409C-BE32-E72D297353CC}">
              <c16:uniqueId val="{00000002-4D21-4B8E-8193-9C5E5748305B}"/>
            </c:ext>
          </c:extLst>
        </c:ser>
        <c:dLbls>
          <c:dLblPos val="inEnd"/>
          <c:showLegendKey val="0"/>
          <c:showVal val="1"/>
          <c:showCatName val="0"/>
          <c:showSerName val="0"/>
          <c:showPercent val="0"/>
          <c:showBubbleSize val="0"/>
        </c:dLbls>
        <c:gapWidth val="267"/>
        <c:overlap val="-43"/>
        <c:axId val="247388488"/>
        <c:axId val="244929648"/>
      </c:barChart>
      <c:catAx>
        <c:axId val="2473884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244929648"/>
        <c:crosses val="autoZero"/>
        <c:auto val="1"/>
        <c:lblAlgn val="ctr"/>
        <c:lblOffset val="100"/>
        <c:noMultiLvlLbl val="0"/>
      </c:catAx>
      <c:valAx>
        <c:axId val="2449296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4738848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'pond contr și transf'!$B$7</c:f>
              <c:strCache>
                <c:ptCount val="1"/>
                <c:pt idx="0">
                  <c:v>Ponderea contribuțiilor și primelor de asigurări obligatorii în total venituri</c:v>
                </c:pt>
              </c:strCache>
            </c:strRef>
          </c:tx>
          <c:spPr>
            <a:solidFill>
              <a:schemeClr val="accent3">
                <a:shade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'pond contr și transf'!$C$7:$E$7</c:f>
              <c:numCache>
                <c:formatCode>0.00%</c:formatCode>
                <c:ptCount val="3"/>
                <c:pt idx="0">
                  <c:v>0.62697629935144517</c:v>
                </c:pt>
                <c:pt idx="1">
                  <c:v>0.58863809961067382</c:v>
                </c:pt>
                <c:pt idx="2">
                  <c:v>0.59544130789430705</c:v>
                </c:pt>
              </c:numCache>
            </c:numRef>
          </c:val>
          <c:extLst xmlns:c16r2="http://schemas.microsoft.com/office/drawing/2015/06/chart">
            <c:ext xmlns:c16="http://schemas.microsoft.com/office/drawing/2014/chart" uri="{C3380CC4-5D6E-409C-BE32-E72D297353CC}">
              <c16:uniqueId val="{00000000-F84B-441C-BE11-40C202F27A0D}"/>
            </c:ext>
          </c:extLst>
        </c:ser>
        <c:ser>
          <c:idx val="1"/>
          <c:order val="1"/>
          <c:tx>
            <c:strRef>
              <c:f>'pond contr și transf'!$B$8</c:f>
              <c:strCache>
                <c:ptCount val="1"/>
                <c:pt idx="0">
                  <c:v>Ponderea transferurilor în total venituri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'pond contr și transf'!$C$8:$E$8</c:f>
              <c:numCache>
                <c:formatCode>0.00%</c:formatCode>
                <c:ptCount val="3"/>
                <c:pt idx="0">
                  <c:v>0.36586683587490548</c:v>
                </c:pt>
                <c:pt idx="1">
                  <c:v>0.40227213301737041</c:v>
                </c:pt>
                <c:pt idx="2">
                  <c:v>0.39361247263445137</c:v>
                </c:pt>
              </c:numCache>
            </c:numRef>
          </c:val>
          <c:extLst xmlns:c16r2="http://schemas.microsoft.com/office/drawing/2015/06/chart">
            <c:ext xmlns:c16="http://schemas.microsoft.com/office/drawing/2014/chart" uri="{C3380CC4-5D6E-409C-BE32-E72D297353CC}">
              <c16:uniqueId val="{00000001-F84B-441C-BE11-40C202F27A0D}"/>
            </c:ext>
          </c:extLst>
        </c:ser>
        <c:ser>
          <c:idx val="2"/>
          <c:order val="2"/>
          <c:tx>
            <c:strRef>
              <c:f>'pond contr și transf'!$B$9</c:f>
              <c:strCache>
                <c:ptCount val="1"/>
                <c:pt idx="0">
                  <c:v>Total venituri</c:v>
                </c:pt>
              </c:strCache>
            </c:strRef>
          </c:tx>
          <c:spPr>
            <a:solidFill>
              <a:schemeClr val="accent3">
                <a:tint val="65000"/>
              </a:schemeClr>
            </a:solidFill>
            <a:ln>
              <a:noFill/>
            </a:ln>
            <a:effectLst/>
            <a:sp3d/>
          </c:spPr>
          <c:invertIfNegative val="0"/>
          <c:dLbls>
            <c:dLbl>
              <c:idx val="0"/>
              <c:layout>
                <c:manualLayout>
                  <c:x val="0.17441860465116263"/>
                  <c:y val="-1.371726266183972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4B-441C-BE11-40C202F27A0D}"/>
                </c:ext>
                <c:ext xmlns:c15="http://schemas.microsoft.com/office/drawing/2012/chart" uri="{CE6537A1-D6FC-4f65-9D91-7224C49458BB}"/>
              </c:extLst>
            </c:dLbl>
            <c:dLbl>
              <c:idx val="1"/>
              <c:layout>
                <c:manualLayout>
                  <c:x val="0.1744186046511628"/>
                  <c:y val="-6.85863133091986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4B-441C-BE11-40C202F27A0D}"/>
                </c:ext>
                <c:ext xmlns:c15="http://schemas.microsoft.com/office/drawing/2012/chart" uri="{CE6537A1-D6FC-4f65-9D91-7224C49458BB}"/>
              </c:extLst>
            </c:dLbl>
            <c:dLbl>
              <c:idx val="2"/>
              <c:layout>
                <c:manualLayout>
                  <c:x val="0.1744186046511628"/>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4B-441C-BE11-40C202F27A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'pond contr și transf'!$C$9:$E$9</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5-F84B-441C-BE11-40C202F27A0D}"/>
            </c:ext>
          </c:extLst>
        </c:ser>
        <c:dLbls>
          <c:showLegendKey val="0"/>
          <c:showVal val="1"/>
          <c:showCatName val="0"/>
          <c:showSerName val="0"/>
          <c:showPercent val="0"/>
          <c:showBubbleSize val="0"/>
        </c:dLbls>
        <c:gapWidth val="150"/>
        <c:shape val="box"/>
        <c:axId val="253255840"/>
        <c:axId val="253256232"/>
        <c:axId val="0"/>
      </c:bar3DChart>
      <c:catAx>
        <c:axId val="253255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2019       2020         2021</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256232"/>
        <c:crosses val="autoZero"/>
        <c:auto val="1"/>
        <c:lblAlgn val="ctr"/>
        <c:lblOffset val="100"/>
        <c:noMultiLvlLbl val="0"/>
      </c:catAx>
      <c:valAx>
        <c:axId val="253256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25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ln>
              <a:effectLst/>
            </c:spPr>
            <c:trendlineType val="linear"/>
            <c:dispRSqr val="0"/>
            <c:dispEq val="0"/>
          </c:trendline>
          <c:trendline>
            <c:spPr>
              <a:ln w="19050" cap="rnd">
                <a:solidFill>
                  <a:schemeClr val="accent3"/>
                </a:solidFill>
              </a:ln>
              <a:effectLst/>
            </c:spPr>
            <c:trendlineType val="linear"/>
            <c:dispRSqr val="0"/>
            <c:dispEq val="0"/>
          </c:trendline>
          <c:cat>
            <c:numRef>
              <c:f>'din chelt ef'!$B$5:$B$8</c:f>
              <c:numCache>
                <c:formatCode>General</c:formatCode>
                <c:ptCount val="4"/>
                <c:pt idx="0">
                  <c:v>2018</c:v>
                </c:pt>
                <c:pt idx="1">
                  <c:v>2019</c:v>
                </c:pt>
                <c:pt idx="2">
                  <c:v>2020</c:v>
                </c:pt>
                <c:pt idx="3">
                  <c:v>2021</c:v>
                </c:pt>
              </c:numCache>
            </c:numRef>
          </c:cat>
          <c:val>
            <c:numRef>
              <c:f>'din chelt ef'!$C$5:$C$8</c:f>
              <c:numCache>
                <c:formatCode>General</c:formatCode>
                <c:ptCount val="4"/>
                <c:pt idx="0" formatCode="0.0">
                  <c:v>19473</c:v>
                </c:pt>
                <c:pt idx="1">
                  <c:v>21681.8</c:v>
                </c:pt>
                <c:pt idx="2">
                  <c:v>24300.6</c:v>
                </c:pt>
                <c:pt idx="3">
                  <c:v>27149.3</c:v>
                </c:pt>
              </c:numCache>
            </c:numRef>
          </c:val>
          <c:extLst xmlns:c16r2="http://schemas.microsoft.com/office/drawing/2015/06/chart">
            <c:ext xmlns:c16="http://schemas.microsoft.com/office/drawing/2014/chart" uri="{C3380CC4-5D6E-409C-BE32-E72D297353CC}">
              <c16:uniqueId val="{00000000-6F9B-4321-B7B2-1C8615FD356D}"/>
            </c:ext>
          </c:extLst>
        </c:ser>
        <c:dLbls>
          <c:showLegendKey val="0"/>
          <c:showVal val="0"/>
          <c:showCatName val="0"/>
          <c:showSerName val="0"/>
          <c:showPercent val="0"/>
          <c:showBubbleSize val="0"/>
        </c:dLbls>
        <c:gapWidth val="100"/>
        <c:overlap val="-24"/>
        <c:axId val="253257016"/>
        <c:axId val="253257408"/>
      </c:barChart>
      <c:catAx>
        <c:axId val="2532570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RO"/>
                  <a:t>anul</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257408"/>
        <c:crosses val="autoZero"/>
        <c:auto val="1"/>
        <c:lblAlgn val="ctr"/>
        <c:lblOffset val="100"/>
        <c:noMultiLvlLbl val="0"/>
      </c:catAx>
      <c:valAx>
        <c:axId val="25325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RO"/>
                  <a:t>mil.lei</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3257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20312155637034E-2"/>
          <c:y val="6.2499898635224656E-2"/>
          <c:w val="0.62464353215390056"/>
          <c:h val="0.89973834372660166"/>
        </c:manualLayout>
      </c:layout>
      <c:pie3DChart>
        <c:varyColors val="1"/>
        <c:ser>
          <c:idx val="0"/>
          <c:order val="0"/>
          <c:dPt>
            <c:idx val="0"/>
            <c:bubble3D val="0"/>
            <c:explosion val="16"/>
            <c:spPr>
              <a:solidFill>
                <a:schemeClr val="accent3">
                  <a:shade val="42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825-4FD7-B50E-0E47253AA46A}"/>
              </c:ext>
            </c:extLst>
          </c:dPt>
          <c:dPt>
            <c:idx val="1"/>
            <c:bubble3D val="0"/>
            <c:explosion val="9"/>
            <c:spPr>
              <a:solidFill>
                <a:schemeClr val="accent3">
                  <a:shade val="5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825-4FD7-B50E-0E47253AA46A}"/>
              </c:ext>
            </c:extLst>
          </c:dPt>
          <c:dPt>
            <c:idx val="2"/>
            <c:bubble3D val="0"/>
            <c:explosion val="20"/>
            <c:spPr>
              <a:solidFill>
                <a:schemeClr val="accent3">
                  <a:shade val="68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825-4FD7-B50E-0E47253AA46A}"/>
              </c:ext>
            </c:extLst>
          </c:dPt>
          <c:dPt>
            <c:idx val="3"/>
            <c:bubble3D val="0"/>
            <c:explosion val="6"/>
            <c:spPr>
              <a:solidFill>
                <a:schemeClr val="accent3">
                  <a:shade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825-4FD7-B50E-0E47253AA46A}"/>
              </c:ext>
            </c:extLst>
          </c:dPt>
          <c:dPt>
            <c:idx val="4"/>
            <c:bubble3D val="0"/>
            <c:explosion val="7"/>
            <c:spPr>
              <a:solidFill>
                <a:schemeClr val="accent3">
                  <a:shade val="9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825-4FD7-B50E-0E47253AA46A}"/>
              </c:ext>
            </c:extLst>
          </c:dPt>
          <c:dPt>
            <c:idx val="5"/>
            <c:bubble3D val="0"/>
            <c:spPr>
              <a:solidFill>
                <a:schemeClr val="accent3">
                  <a:tint val="94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825-4FD7-B50E-0E47253AA46A}"/>
              </c:ext>
            </c:extLst>
          </c:dPt>
          <c:dPt>
            <c:idx val="6"/>
            <c:bubble3D val="0"/>
            <c:explosion val="8"/>
            <c:spPr>
              <a:solidFill>
                <a:schemeClr val="accent3">
                  <a:tint val="81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9825-4FD7-B50E-0E47253AA46A}"/>
              </c:ext>
            </c:extLst>
          </c:dPt>
          <c:dPt>
            <c:idx val="7"/>
            <c:bubble3D val="0"/>
            <c:explosion val="8"/>
            <c:spPr>
              <a:solidFill>
                <a:schemeClr val="accent3">
                  <a:tint val="69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9825-4FD7-B50E-0E47253AA46A}"/>
              </c:ext>
            </c:extLst>
          </c:dPt>
          <c:dPt>
            <c:idx val="8"/>
            <c:bubble3D val="0"/>
            <c:explosion val="9"/>
            <c:spPr>
              <a:solidFill>
                <a:schemeClr val="accent3">
                  <a:tint val="5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9825-4FD7-B50E-0E47253AA46A}"/>
              </c:ext>
            </c:extLst>
          </c:dPt>
          <c:dPt>
            <c:idx val="9"/>
            <c:bubble3D val="0"/>
            <c:explosion val="15"/>
            <c:spPr>
              <a:solidFill>
                <a:schemeClr val="accent3">
                  <a:tint val="4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9825-4FD7-B50E-0E47253AA46A}"/>
              </c:ext>
            </c:extLst>
          </c:dPt>
          <c:dLbls>
            <c:dLbl>
              <c:idx val="0"/>
              <c:layout>
                <c:manualLayout>
                  <c:x val="8.0449867430693305E-3"/>
                  <c:y val="-4.015991306956867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9825-4FD7-B50E-0E47253AA46A}"/>
                </c:ext>
                <c:ext xmlns:c15="http://schemas.microsoft.com/office/drawing/2012/chart" uri="{CE6537A1-D6FC-4f65-9D91-7224C49458BB}"/>
              </c:extLst>
            </c:dLbl>
            <c:dLbl>
              <c:idx val="1"/>
              <c:layout>
                <c:manualLayout>
                  <c:x val="8.8080950759017711E-3"/>
                  <c:y val="2.830104527356325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9825-4FD7-B50E-0E47253AA46A}"/>
                </c:ext>
                <c:ext xmlns:c15="http://schemas.microsoft.com/office/drawing/2012/chart" uri="{CE6537A1-D6FC-4f65-9D91-7224C49458BB}"/>
              </c:extLst>
            </c:dLbl>
            <c:dLbl>
              <c:idx val="2"/>
              <c:layout>
                <c:manualLayout>
                  <c:x val="-4.5936016108673441E-2"/>
                  <c:y val="9.291852164205530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825-4FD7-B50E-0E47253AA46A}"/>
                </c:ext>
                <c:ext xmlns:c15="http://schemas.microsoft.com/office/drawing/2012/chart" uri="{CE6537A1-D6FC-4f65-9D91-7224C49458BB}"/>
              </c:extLst>
            </c:dLbl>
            <c:dLbl>
              <c:idx val="3"/>
              <c:layout>
                <c:manualLayout>
                  <c:x val="1.2933020776983029E-3"/>
                  <c:y val="4.436641609294203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825-4FD7-B50E-0E47253AA46A}"/>
                </c:ext>
                <c:ext xmlns:c15="http://schemas.microsoft.com/office/drawing/2012/chart" uri="{CE6537A1-D6FC-4f65-9D91-7224C49458BB}"/>
              </c:extLst>
            </c:dLbl>
            <c:dLbl>
              <c:idx val="4"/>
              <c:layout>
                <c:manualLayout>
                  <c:x val="1.1088904917419674E-3"/>
                  <c:y val="-9.427789085581604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9825-4FD7-B50E-0E47253AA46A}"/>
                </c:ext>
                <c:ext xmlns:c15="http://schemas.microsoft.com/office/drawing/2012/chart" uri="{CE6537A1-D6FC-4f65-9D91-7224C49458BB}"/>
              </c:extLst>
            </c:dLbl>
            <c:dLbl>
              <c:idx val="5"/>
              <c:layout>
                <c:manualLayout>
                  <c:x val="8.4546325793245312E-3"/>
                  <c:y val="-4.39168971025892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9825-4FD7-B50E-0E47253AA46A}"/>
                </c:ext>
                <c:ext xmlns:c15="http://schemas.microsoft.com/office/drawing/2012/chart" uri="{CE6537A1-D6FC-4f65-9D91-7224C49458BB}"/>
              </c:extLst>
            </c:dLbl>
            <c:dLbl>
              <c:idx val="6"/>
              <c:layout>
                <c:manualLayout>
                  <c:x val="2.5215800792076564E-2"/>
                  <c:y val="-5.7903073650294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9825-4FD7-B50E-0E47253AA46A}"/>
                </c:ext>
                <c:ext xmlns:c15="http://schemas.microsoft.com/office/drawing/2012/chart" uri="{CE6537A1-D6FC-4f65-9D91-7224C49458BB}"/>
              </c:extLst>
            </c:dLbl>
            <c:dLbl>
              <c:idx val="7"/>
              <c:layout>
                <c:manualLayout>
                  <c:x val="8.9118631163470977E-3"/>
                  <c:y val="-7.312022402966879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9825-4FD7-B50E-0E47253AA46A}"/>
                </c:ext>
                <c:ext xmlns:c15="http://schemas.microsoft.com/office/drawing/2012/chart" uri="{CE6537A1-D6FC-4f65-9D91-7224C49458BB}"/>
              </c:extLst>
            </c:dLbl>
            <c:dLbl>
              <c:idx val="8"/>
              <c:layout>
                <c:manualLayout>
                  <c:x val="5.6706771386401131E-3"/>
                  <c:y val="-4.237263853861727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9825-4FD7-B50E-0E47253AA46A}"/>
                </c:ext>
                <c:ext xmlns:c15="http://schemas.microsoft.com/office/drawing/2012/chart" uri="{CE6537A1-D6FC-4f65-9D91-7224C49458BB}"/>
              </c:extLst>
            </c:dLbl>
            <c:dLbl>
              <c:idx val="9"/>
              <c:layout>
                <c:manualLayout>
                  <c:x val="-7.3939946437992965E-4"/>
                  <c:y val="-5.989901365315947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9825-4FD7-B50E-0E47253AA46A}"/>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'[anexe raport.xlsx]ponder chelt'!$B$6:$B$15</c:f>
              <c:strCache>
                <c:ptCount val="10"/>
                <c:pt idx="0">
                  <c:v>Administrarea sistemului public de asigurări sociale (223.5 mil.lei)</c:v>
                </c:pt>
                <c:pt idx="1">
                  <c:v>Protecţia în caz de incapacitate temporară de muncă (983.3 mil.lei)</c:v>
                </c:pt>
                <c:pt idx="2">
                  <c:v>Protecţia persoanelor în etate (16 798.0 mil.lei)</c:v>
                </c:pt>
                <c:pt idx="3">
                  <c:v>Protecţia în legătură cu pierderea întreţinătorului (373.2 mil.lei)</c:v>
                </c:pt>
                <c:pt idx="4">
                  <c:v>Protecţia familiei şi copilului (2 818.1 mil.lei)</c:v>
                </c:pt>
                <c:pt idx="5">
                  <c:v>Protecţia şomerilor (48.5 mil.lei)</c:v>
                </c:pt>
                <c:pt idx="6">
                  <c:v>Protecţia socială a persoanelor cu dizabilităţi (3 110.2 mil.lei)</c:v>
                </c:pt>
                <c:pt idx="7">
                  <c:v>Susţinerea suplimentară a unor categorii de populaţie (1 121.9 mil.lei)</c:v>
                </c:pt>
                <c:pt idx="8">
                  <c:v>Protecţia socială în cazuri excepţionale (1 241.2 mil.lei)</c:v>
                </c:pt>
                <c:pt idx="9">
                  <c:v>Protecţia socială a unor categorii de cetăţeni (468.8 mil.lei)</c:v>
                </c:pt>
              </c:strCache>
            </c:strRef>
          </c:cat>
          <c:val>
            <c:numRef>
              <c:f>'[anexe raport.xlsx]ponder chelt'!$C$6:$C$15</c:f>
              <c:numCache>
                <c:formatCode>0.0</c:formatCode>
                <c:ptCount val="10"/>
                <c:pt idx="0">
                  <c:v>223533.80000000005</c:v>
                </c:pt>
                <c:pt idx="1">
                  <c:v>983266.1</c:v>
                </c:pt>
                <c:pt idx="2">
                  <c:v>16798023.899999999</c:v>
                </c:pt>
                <c:pt idx="3">
                  <c:v>373251.69999999995</c:v>
                </c:pt>
                <c:pt idx="4">
                  <c:v>2818154.8</c:v>
                </c:pt>
                <c:pt idx="5">
                  <c:v>48502.399999999994</c:v>
                </c:pt>
                <c:pt idx="6">
                  <c:v>3110219.1</c:v>
                </c:pt>
                <c:pt idx="7">
                  <c:v>1121921.8</c:v>
                </c:pt>
                <c:pt idx="8">
                  <c:v>1241179.7</c:v>
                </c:pt>
                <c:pt idx="9">
                  <c:v>468782.00000000006</c:v>
                </c:pt>
              </c:numCache>
            </c:numRef>
          </c:val>
          <c:extLst xmlns:c16r2="http://schemas.microsoft.com/office/drawing/2015/06/chart">
            <c:ext xmlns:c16="http://schemas.microsoft.com/office/drawing/2014/chart" uri="{C3380CC4-5D6E-409C-BE32-E72D297353CC}">
              <c16:uniqueId val="{00000014-9825-4FD7-B50E-0E47253AA46A}"/>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382801386467914"/>
          <c:y val="1.3705598849577375E-2"/>
          <c:w val="0.35405156537753224"/>
          <c:h val="0.97599568245810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59924245996197"/>
          <c:y val="5.0701776394290091E-2"/>
          <c:w val="0.5275304965117702"/>
          <c:h val="0.94929822360570992"/>
        </c:manualLayout>
      </c:layout>
      <c:pie3DChart>
        <c:varyColors val="1"/>
        <c:ser>
          <c:idx val="0"/>
          <c:order val="0"/>
          <c:explosion val="17"/>
          <c:dPt>
            <c:idx val="0"/>
            <c:bubble3D val="0"/>
            <c:spPr>
              <a:gradFill>
                <a:gsLst>
                  <a:gs pos="100000">
                    <a:schemeClr val="accent3">
                      <a:shade val="38000"/>
                      <a:lumMod val="60000"/>
                      <a:lumOff val="40000"/>
                    </a:schemeClr>
                  </a:gs>
                  <a:gs pos="0">
                    <a:schemeClr val="accent3">
                      <a:shade val="3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B09F-42CD-B0A4-3E0405B36237}"/>
              </c:ext>
            </c:extLst>
          </c:dPt>
          <c:dPt>
            <c:idx val="1"/>
            <c:bubble3D val="0"/>
            <c:explosion val="12"/>
            <c:spPr>
              <a:gradFill>
                <a:gsLst>
                  <a:gs pos="100000">
                    <a:schemeClr val="accent3">
                      <a:shade val="47000"/>
                      <a:lumMod val="60000"/>
                      <a:lumOff val="40000"/>
                    </a:schemeClr>
                  </a:gs>
                  <a:gs pos="0">
                    <a:schemeClr val="accent3">
                      <a:shade val="4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B09F-42CD-B0A4-3E0405B36237}"/>
              </c:ext>
            </c:extLst>
          </c:dPt>
          <c:dPt>
            <c:idx val="2"/>
            <c:bubble3D val="0"/>
            <c:spPr>
              <a:gradFill>
                <a:gsLst>
                  <a:gs pos="100000">
                    <a:schemeClr val="accent3">
                      <a:shade val="56000"/>
                      <a:lumMod val="60000"/>
                      <a:lumOff val="40000"/>
                    </a:schemeClr>
                  </a:gs>
                  <a:gs pos="0">
                    <a:schemeClr val="accent3">
                      <a:shade val="5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B09F-42CD-B0A4-3E0405B36237}"/>
              </c:ext>
            </c:extLst>
          </c:dPt>
          <c:dPt>
            <c:idx val="3"/>
            <c:bubble3D val="0"/>
            <c:spPr>
              <a:gradFill>
                <a:gsLst>
                  <a:gs pos="100000">
                    <a:schemeClr val="accent3">
                      <a:shade val="65000"/>
                      <a:lumMod val="60000"/>
                      <a:lumOff val="40000"/>
                    </a:schemeClr>
                  </a:gs>
                  <a:gs pos="0">
                    <a:schemeClr val="accent3">
                      <a:shade val="65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B09F-42CD-B0A4-3E0405B36237}"/>
              </c:ext>
            </c:extLst>
          </c:dPt>
          <c:dPt>
            <c:idx val="4"/>
            <c:bubble3D val="0"/>
            <c:spPr>
              <a:gradFill>
                <a:gsLst>
                  <a:gs pos="100000">
                    <a:schemeClr val="accent3">
                      <a:shade val="73000"/>
                      <a:lumMod val="60000"/>
                      <a:lumOff val="40000"/>
                    </a:schemeClr>
                  </a:gs>
                  <a:gs pos="0">
                    <a:schemeClr val="accent3">
                      <a:shade val="7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B09F-42CD-B0A4-3E0405B36237}"/>
              </c:ext>
            </c:extLst>
          </c:dPt>
          <c:dPt>
            <c:idx val="5"/>
            <c:bubble3D val="0"/>
            <c:spPr>
              <a:gradFill>
                <a:gsLst>
                  <a:gs pos="100000">
                    <a:schemeClr val="accent3">
                      <a:shade val="82000"/>
                      <a:lumMod val="60000"/>
                      <a:lumOff val="40000"/>
                    </a:schemeClr>
                  </a:gs>
                  <a:gs pos="0">
                    <a:schemeClr val="accent3">
                      <a:shade val="8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B09F-42CD-B0A4-3E0405B36237}"/>
              </c:ext>
            </c:extLst>
          </c:dPt>
          <c:dPt>
            <c:idx val="6"/>
            <c:bubble3D val="0"/>
            <c:spPr>
              <a:gradFill>
                <a:gsLst>
                  <a:gs pos="100000">
                    <a:schemeClr val="accent3">
                      <a:shade val="91000"/>
                      <a:lumMod val="60000"/>
                      <a:lumOff val="40000"/>
                    </a:schemeClr>
                  </a:gs>
                  <a:gs pos="0">
                    <a:schemeClr val="accent3">
                      <a:shade val="91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B09F-42CD-B0A4-3E0405B36237}"/>
              </c:ext>
            </c:extLst>
          </c:dPt>
          <c:dPt>
            <c:idx val="7"/>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F-B09F-42CD-B0A4-3E0405B36237}"/>
              </c:ext>
            </c:extLst>
          </c:dPt>
          <c:dPt>
            <c:idx val="8"/>
            <c:bubble3D val="0"/>
            <c:spPr>
              <a:gradFill>
                <a:gsLst>
                  <a:gs pos="100000">
                    <a:schemeClr val="accent3">
                      <a:tint val="92000"/>
                      <a:lumMod val="60000"/>
                      <a:lumOff val="40000"/>
                    </a:schemeClr>
                  </a:gs>
                  <a:gs pos="0">
                    <a:schemeClr val="accent3">
                      <a:tint val="9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1-B09F-42CD-B0A4-3E0405B36237}"/>
              </c:ext>
            </c:extLst>
          </c:dPt>
          <c:dPt>
            <c:idx val="9"/>
            <c:bubble3D val="0"/>
            <c:spPr>
              <a:gradFill>
                <a:gsLst>
                  <a:gs pos="100000">
                    <a:schemeClr val="accent3">
                      <a:tint val="83000"/>
                      <a:lumMod val="60000"/>
                      <a:lumOff val="40000"/>
                    </a:schemeClr>
                  </a:gs>
                  <a:gs pos="0">
                    <a:schemeClr val="accent3">
                      <a:tint val="8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3-B09F-42CD-B0A4-3E0405B36237}"/>
              </c:ext>
            </c:extLst>
          </c:dPt>
          <c:dPt>
            <c:idx val="10"/>
            <c:bubble3D val="0"/>
            <c:spPr>
              <a:gradFill>
                <a:gsLst>
                  <a:gs pos="100000">
                    <a:schemeClr val="accent3">
                      <a:tint val="74000"/>
                      <a:lumMod val="60000"/>
                      <a:lumOff val="40000"/>
                    </a:schemeClr>
                  </a:gs>
                  <a:gs pos="0">
                    <a:schemeClr val="accent3">
                      <a:tint val="7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5-B09F-42CD-B0A4-3E0405B36237}"/>
              </c:ext>
            </c:extLst>
          </c:dPt>
          <c:dPt>
            <c:idx val="11"/>
            <c:bubble3D val="0"/>
            <c:spPr>
              <a:gradFill>
                <a:gsLst>
                  <a:gs pos="100000">
                    <a:schemeClr val="accent3">
                      <a:tint val="65000"/>
                      <a:lumMod val="60000"/>
                      <a:lumOff val="40000"/>
                    </a:schemeClr>
                  </a:gs>
                  <a:gs pos="0">
                    <a:schemeClr val="accent3">
                      <a:tint val="65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7-B09F-42CD-B0A4-3E0405B36237}"/>
              </c:ext>
            </c:extLst>
          </c:dPt>
          <c:dPt>
            <c:idx val="12"/>
            <c:bubble3D val="0"/>
            <c:spPr>
              <a:gradFill>
                <a:gsLst>
                  <a:gs pos="100000">
                    <a:schemeClr val="accent3">
                      <a:tint val="57000"/>
                      <a:lumMod val="60000"/>
                      <a:lumOff val="40000"/>
                    </a:schemeClr>
                  </a:gs>
                  <a:gs pos="0">
                    <a:schemeClr val="accent3">
                      <a:tint val="5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9-B09F-42CD-B0A4-3E0405B36237}"/>
              </c:ext>
            </c:extLst>
          </c:dPt>
          <c:dPt>
            <c:idx val="13"/>
            <c:bubble3D val="0"/>
            <c:spPr>
              <a:gradFill>
                <a:gsLst>
                  <a:gs pos="100000">
                    <a:schemeClr val="accent3">
                      <a:tint val="48000"/>
                      <a:lumMod val="60000"/>
                      <a:lumOff val="40000"/>
                    </a:schemeClr>
                  </a:gs>
                  <a:gs pos="0">
                    <a:schemeClr val="accent3">
                      <a:tint val="4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B-B09F-42CD-B0A4-3E0405B36237}"/>
              </c:ext>
            </c:extLst>
          </c:dPt>
          <c:dPt>
            <c:idx val="14"/>
            <c:bubble3D val="0"/>
            <c:spPr>
              <a:gradFill>
                <a:gsLst>
                  <a:gs pos="100000">
                    <a:schemeClr val="accent3">
                      <a:tint val="39000"/>
                      <a:lumMod val="60000"/>
                      <a:lumOff val="40000"/>
                    </a:schemeClr>
                  </a:gs>
                  <a:gs pos="0">
                    <a:schemeClr val="accent3">
                      <a:tint val="39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D-B09F-42CD-B0A4-3E0405B36237}"/>
              </c:ext>
            </c:extLst>
          </c:dPt>
          <c:dLbls>
            <c:dLbl>
              <c:idx val="0"/>
              <c:layout>
                <c:manualLayout>
                  <c:x val="2.9617236217334132E-2"/>
                  <c:y val="-1.510066428802737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09F-42CD-B0A4-3E0405B36237}"/>
                </c:ext>
                <c:ext xmlns:c15="http://schemas.microsoft.com/office/drawing/2012/chart" uri="{CE6537A1-D6FC-4f65-9D91-7224C49458BB}"/>
              </c:extLst>
            </c:dLbl>
            <c:dLbl>
              <c:idx val="1"/>
              <c:layout>
                <c:manualLayout>
                  <c:x val="-0.11223356436732834"/>
                  <c:y val="-0.21587424522754328"/>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B09F-42CD-B0A4-3E0405B36237}"/>
                </c:ext>
                <c:ext xmlns:c15="http://schemas.microsoft.com/office/drawing/2012/chart" uri="{CE6537A1-D6FC-4f65-9D91-7224C49458BB}"/>
              </c:extLst>
            </c:dLbl>
            <c:dLbl>
              <c:idx val="2"/>
              <c:layout>
                <c:manualLayout>
                  <c:x val="-4.1003254425799406E-2"/>
                  <c:y val="3.196751202690993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B09F-42CD-B0A4-3E0405B3623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B09F-42CD-B0A4-3E0405B36237}"/>
                </c:ext>
                <c:ext xmlns:c15="http://schemas.microsoft.com/office/drawing/2012/chart" uri="{CE6537A1-D6FC-4f65-9D91-7224C49458BB}"/>
              </c:extLst>
            </c:dLbl>
            <c:dLbl>
              <c:idx val="7"/>
              <c:layout>
                <c:manualLayout>
                  <c:x val="-1.4172443769359441E-2"/>
                  <c:y val="-0.1396081371636622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B09F-42CD-B0A4-3E0405B36237}"/>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B09F-42CD-B0A4-3E0405B36237}"/>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9-B09F-42CD-B0A4-3E0405B36237}"/>
                </c:ext>
                <c:ext xmlns:c15="http://schemas.microsoft.com/office/drawing/2012/chart" uri="{CE6537A1-D6FC-4f65-9D91-7224C49458BB}"/>
              </c:extLst>
            </c:dLbl>
            <c:dLbl>
              <c:idx val="13"/>
              <c:layout>
                <c:manualLayout>
                  <c:x val="5.2544226610972154E-2"/>
                  <c:y val="-6.790295618383013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B-B09F-42CD-B0A4-3E0405B36237}"/>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'struct pensii'!$B$6:$B$20</c:f>
              <c:strCache>
                <c:ptCount val="14"/>
                <c:pt idx="0">
                  <c:v>Asigurarea dreptului la pensie anticipată pentru limită de vârstă (43.4 mil.lei)</c:v>
                </c:pt>
                <c:pt idx="1">
                  <c:v>Asigurarea dreptului la pensie de dizabilitate (2020.7 mil.lei)</c:v>
                </c:pt>
                <c:pt idx="2">
                  <c:v>Asigurarea dreptului la pensie de urmaş (222.9 mil.lei)</c:v>
                </c:pt>
                <c:pt idx="3">
                  <c:v>Asigurarea dreptului la pensie pentru vechime în muncă (0.5 mil.lei)</c:v>
                </c:pt>
                <c:pt idx="4">
                  <c:v>Asigurarea dreptului la pensie unor categorii de angajaţi din aviaţia civilă (62.0 mil.lei)</c:v>
                </c:pt>
                <c:pt idx="5">
                  <c:v>Asigurarea dreptului la pensie  pentru deputați (12.7 mil.lei)</c:v>
                </c:pt>
                <c:pt idx="6">
                  <c:v>Asigurarea dreptului la pensie  pentru membrii Guvernului (3.2 mil.lei)</c:v>
                </c:pt>
                <c:pt idx="7">
                  <c:v>Asigurarea dreptului la pensie  pentru funcţionari publici ( 173.2 mil.lei)</c:v>
                </c:pt>
                <c:pt idx="8">
                  <c:v>Asigurarea dreptului la pensie  pentru aleşii locali (17.5 mil.lei)</c:v>
                </c:pt>
                <c:pt idx="9">
                  <c:v>Asigurarea dreptului la pensie  pentru colaboratorii vamali (0.2 mil.lei)</c:v>
                </c:pt>
                <c:pt idx="10">
                  <c:v>Asigurarea dreptului la pensie  pentru procurori (24.1 mil.lei)</c:v>
                </c:pt>
                <c:pt idx="11">
                  <c:v>Asigurarea dreptului la pensie  pentru judecători (42.2 mil.lei)</c:v>
                </c:pt>
                <c:pt idx="12">
                  <c:v>Asigurarea dreptului la pensie unor categorii de angajaţi din domeniul culturii (0.3 mil.lei)</c:v>
                </c:pt>
                <c:pt idx="13">
                  <c:v>Asigurarea dreptului la pensie persoanelor care se află la întreținerea deplină a statului (7.0 mil.lei)</c:v>
                </c:pt>
              </c:strCache>
            </c:strRef>
          </c:cat>
          <c:val>
            <c:numRef>
              <c:f>'struct pensii'!$C$6:$C$20</c:f>
              <c:numCache>
                <c:formatCode>#,##0.0</c:formatCode>
                <c:ptCount val="15"/>
                <c:pt idx="0">
                  <c:v>43437.4</c:v>
                </c:pt>
                <c:pt idx="1">
                  <c:v>2020786.6</c:v>
                </c:pt>
                <c:pt idx="2">
                  <c:v>222936.4</c:v>
                </c:pt>
                <c:pt idx="3" formatCode="0.0">
                  <c:v>578.29999999999995</c:v>
                </c:pt>
                <c:pt idx="4">
                  <c:v>62053.3</c:v>
                </c:pt>
                <c:pt idx="5">
                  <c:v>12775.9</c:v>
                </c:pt>
                <c:pt idx="6">
                  <c:v>3200.3</c:v>
                </c:pt>
                <c:pt idx="7">
                  <c:v>173225.60000000001</c:v>
                </c:pt>
                <c:pt idx="8">
                  <c:v>17537.900000000001</c:v>
                </c:pt>
                <c:pt idx="9" formatCode="0.0">
                  <c:v>207.2</c:v>
                </c:pt>
                <c:pt idx="10">
                  <c:v>24102.3</c:v>
                </c:pt>
                <c:pt idx="11">
                  <c:v>42289.5</c:v>
                </c:pt>
                <c:pt idx="12" formatCode="0.0">
                  <c:v>367</c:v>
                </c:pt>
                <c:pt idx="13" formatCode="0.0">
                  <c:v>7027.5</c:v>
                </c:pt>
              </c:numCache>
            </c:numRef>
          </c:val>
          <c:extLst xmlns:c16r2="http://schemas.microsoft.com/office/drawing/2015/06/chart">
            <c:ext xmlns:c16="http://schemas.microsoft.com/office/drawing/2014/chart" uri="{C3380CC4-5D6E-409C-BE32-E72D297353CC}">
              <c16:uniqueId val="{0000001E-B09F-42CD-B0A4-3E0405B36237}"/>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873133883374179"/>
          <c:y val="4.1029777724616585E-2"/>
          <c:w val="0.33931170620412188"/>
          <c:h val="0.9179404445507667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F02E0-76EE-47F7-A635-4F57A0142FA3}" type="doc">
      <dgm:prSet loTypeId="urn:microsoft.com/office/officeart/2005/8/layout/hProcess9" loCatId="process" qsTypeId="urn:microsoft.com/office/officeart/2005/8/quickstyle/simple1" qsCatId="simple" csTypeId="urn:microsoft.com/office/officeart/2005/8/colors/accent3_1" csCatId="accent3" phldr="1"/>
      <dgm:spPr/>
      <dgm:t>
        <a:bodyPr/>
        <a:lstStyle/>
        <a:p>
          <a:endParaRPr lang="en-US"/>
        </a:p>
      </dgm:t>
    </dgm:pt>
    <dgm:pt modelId="{8E0EF99A-2473-4B5D-BD91-DD84005FD1FF}">
      <dgm:prSet phldrT="[Text]" custT="1"/>
      <dgm:spPr/>
      <dgm:t>
        <a:bodyPr/>
        <a:lstStyle/>
        <a:p>
          <a:r>
            <a:rPr lang="ro-MD" sz="1400" b="1">
              <a:latin typeface="+mj-lt"/>
            </a:rPr>
            <a:t>Structurile teritoriale de asistență socială</a:t>
          </a:r>
          <a:endParaRPr lang="en-US" sz="1400" b="1">
            <a:latin typeface="+mj-lt"/>
          </a:endParaRPr>
        </a:p>
        <a:p>
          <a:r>
            <a:rPr lang="ro-MD" sz="1200">
              <a:latin typeface="+mj-lt"/>
            </a:rPr>
            <a:t>acordă d</a:t>
          </a:r>
          <a:r>
            <a:rPr lang="ro-RO" sz="1200">
              <a:latin typeface="+mj-lt"/>
            </a:rPr>
            <a:t>reptul la ajutor social și/sau ajutor pentru perioada rece a anului </a:t>
          </a:r>
        </a:p>
      </dgm:t>
    </dgm:pt>
    <dgm:pt modelId="{C4CEA0B5-B711-4A57-BD93-AE53849F0542}" type="parTrans" cxnId="{9C64D775-86E8-429D-9BE6-FE84EEB20F10}">
      <dgm:prSet/>
      <dgm:spPr/>
      <dgm:t>
        <a:bodyPr/>
        <a:lstStyle/>
        <a:p>
          <a:endParaRPr lang="en-US"/>
        </a:p>
      </dgm:t>
    </dgm:pt>
    <dgm:pt modelId="{23BCBEB6-34BE-46AC-81D7-58CCCCEBEF54}" type="sibTrans" cxnId="{9C64D775-86E8-429D-9BE6-FE84EEB20F10}">
      <dgm:prSet/>
      <dgm:spPr/>
      <dgm:t>
        <a:bodyPr/>
        <a:lstStyle/>
        <a:p>
          <a:endParaRPr lang="en-US"/>
        </a:p>
      </dgm:t>
    </dgm:pt>
    <dgm:pt modelId="{CEDAA22D-A23D-438B-9443-118BE8A010F1}">
      <dgm:prSet phldrT="[Text]" custT="1"/>
      <dgm:spPr/>
      <dgm:t>
        <a:bodyPr/>
        <a:lstStyle/>
        <a:p>
          <a:pPr algn="ctr"/>
          <a:r>
            <a:rPr lang="ro-MD" sz="1400" b="1">
              <a:latin typeface="+mj-lt"/>
            </a:rPr>
            <a:t>CNAS</a:t>
          </a:r>
        </a:p>
        <a:p>
          <a:pPr algn="ctr"/>
          <a:r>
            <a:rPr lang="ro-RO" sz="1200">
              <a:latin typeface="+mj-lt"/>
            </a:rPr>
            <a:t>asigură plata prin intermediul MPay</a:t>
          </a:r>
          <a:endParaRPr lang="en-US" sz="1200" b="1">
            <a:latin typeface="+mj-lt"/>
          </a:endParaRPr>
        </a:p>
      </dgm:t>
    </dgm:pt>
    <dgm:pt modelId="{AA27FD9C-BCB9-4371-A99C-047758E7BADB}" type="parTrans" cxnId="{ECDC6197-9970-4B0F-9911-3EA49406FCC3}">
      <dgm:prSet/>
      <dgm:spPr/>
      <dgm:t>
        <a:bodyPr/>
        <a:lstStyle/>
        <a:p>
          <a:endParaRPr lang="en-US"/>
        </a:p>
      </dgm:t>
    </dgm:pt>
    <dgm:pt modelId="{72EEFE4E-D9F6-4E94-8568-67CCEB2B47A8}" type="sibTrans" cxnId="{ECDC6197-9970-4B0F-9911-3EA49406FCC3}">
      <dgm:prSet/>
      <dgm:spPr/>
      <dgm:t>
        <a:bodyPr/>
        <a:lstStyle/>
        <a:p>
          <a:endParaRPr lang="en-US"/>
        </a:p>
      </dgm:t>
    </dgm:pt>
    <dgm:pt modelId="{4986671B-4879-4970-AB1B-04B5DB644FD6}">
      <dgm:prSet custT="1"/>
      <dgm:spPr/>
      <dgm:t>
        <a:bodyPr/>
        <a:lstStyle/>
        <a:p>
          <a:r>
            <a:rPr lang="ro-MD" sz="1400" b="1">
              <a:latin typeface="+mj-lt"/>
            </a:rPr>
            <a:t>Inspecția Socială</a:t>
          </a:r>
        </a:p>
        <a:p>
          <a:r>
            <a:rPr lang="ro-RO" sz="1200">
              <a:latin typeface="+mj-lt"/>
            </a:rPr>
            <a:t>efectuează verificarea modului de aplicare corectă şi unitară a cadrului regulamentar </a:t>
          </a:r>
          <a:endParaRPr lang="en-US" sz="1400" b="1">
            <a:latin typeface="+mj-lt"/>
          </a:endParaRPr>
        </a:p>
      </dgm:t>
    </dgm:pt>
    <dgm:pt modelId="{5E12C7D8-F9ED-4482-B123-516E8B57ACEE}" type="parTrans" cxnId="{CE7583C5-F5C1-4475-BF00-D67055D9DCAD}">
      <dgm:prSet/>
      <dgm:spPr/>
      <dgm:t>
        <a:bodyPr/>
        <a:lstStyle/>
        <a:p>
          <a:endParaRPr lang="en-US"/>
        </a:p>
      </dgm:t>
    </dgm:pt>
    <dgm:pt modelId="{F53EF8BC-EACF-42FB-84A6-D59B8AFF0965}" type="sibTrans" cxnId="{CE7583C5-F5C1-4475-BF00-D67055D9DCAD}">
      <dgm:prSet/>
      <dgm:spPr/>
      <dgm:t>
        <a:bodyPr/>
        <a:lstStyle/>
        <a:p>
          <a:endParaRPr lang="en-US"/>
        </a:p>
      </dgm:t>
    </dgm:pt>
    <dgm:pt modelId="{95E8945C-1D76-492D-A2D8-17B4BB54173C}">
      <dgm:prSet phldrT="[Text]" custT="1"/>
      <dgm:spPr/>
      <dgm:t>
        <a:bodyPr/>
        <a:lstStyle/>
        <a:p>
          <a:r>
            <a:rPr lang="ro-RO" sz="1200" b="1">
              <a:latin typeface="+mj-lt"/>
            </a:rPr>
            <a:t>MMPS</a:t>
          </a:r>
          <a:r>
            <a:rPr lang="ro-RO" sz="1200">
              <a:latin typeface="+mj-lt"/>
            </a:rPr>
            <a:t>          asigură elaborarea politicililor și monitorizarea realizării acestora</a:t>
          </a:r>
        </a:p>
      </dgm:t>
    </dgm:pt>
    <dgm:pt modelId="{56A7895D-8B0E-417B-B005-3FEDF830BD4D}" type="parTrans" cxnId="{5247A5F8-B06F-418C-B794-948E1E3E33CB}">
      <dgm:prSet/>
      <dgm:spPr/>
      <dgm:t>
        <a:bodyPr/>
        <a:lstStyle/>
        <a:p>
          <a:endParaRPr lang="en-US"/>
        </a:p>
      </dgm:t>
    </dgm:pt>
    <dgm:pt modelId="{B9A4D7C8-69D6-4EFB-AE48-4461CF445BAD}" type="sibTrans" cxnId="{5247A5F8-B06F-418C-B794-948E1E3E33CB}">
      <dgm:prSet/>
      <dgm:spPr/>
      <dgm:t>
        <a:bodyPr/>
        <a:lstStyle/>
        <a:p>
          <a:endParaRPr lang="en-US"/>
        </a:p>
      </dgm:t>
    </dgm:pt>
    <dgm:pt modelId="{5E1C7092-7233-46C2-A587-AF2740ED5290}" type="pres">
      <dgm:prSet presAssocID="{9B9F02E0-76EE-47F7-A635-4F57A0142FA3}" presName="CompostProcess" presStyleCnt="0">
        <dgm:presLayoutVars>
          <dgm:dir/>
          <dgm:resizeHandles val="exact"/>
        </dgm:presLayoutVars>
      </dgm:prSet>
      <dgm:spPr/>
      <dgm:t>
        <a:bodyPr/>
        <a:lstStyle/>
        <a:p>
          <a:endParaRPr lang="en-US"/>
        </a:p>
      </dgm:t>
    </dgm:pt>
    <dgm:pt modelId="{025B96B0-74AE-4A4F-8E07-C7A1F11D8EB3}" type="pres">
      <dgm:prSet presAssocID="{9B9F02E0-76EE-47F7-A635-4F57A0142FA3}" presName="arrow" presStyleLbl="bgShp" presStyleIdx="0" presStyleCnt="1"/>
      <dgm:spPr/>
      <dgm:t>
        <a:bodyPr/>
        <a:lstStyle/>
        <a:p>
          <a:endParaRPr lang="en-US"/>
        </a:p>
      </dgm:t>
    </dgm:pt>
    <dgm:pt modelId="{448D1C18-C05D-4DC6-B0C9-45A0E8232910}" type="pres">
      <dgm:prSet presAssocID="{9B9F02E0-76EE-47F7-A635-4F57A0142FA3}" presName="linearProcess" presStyleCnt="0"/>
      <dgm:spPr/>
      <dgm:t>
        <a:bodyPr/>
        <a:lstStyle/>
        <a:p>
          <a:endParaRPr lang="en-US"/>
        </a:p>
      </dgm:t>
    </dgm:pt>
    <dgm:pt modelId="{FC7FD5B4-65C8-4444-B883-20281CF05B6D}" type="pres">
      <dgm:prSet presAssocID="{95E8945C-1D76-492D-A2D8-17B4BB54173C}" presName="textNode" presStyleLbl="node1" presStyleIdx="0" presStyleCnt="4">
        <dgm:presLayoutVars>
          <dgm:bulletEnabled val="1"/>
        </dgm:presLayoutVars>
      </dgm:prSet>
      <dgm:spPr/>
      <dgm:t>
        <a:bodyPr/>
        <a:lstStyle/>
        <a:p>
          <a:endParaRPr lang="en-US"/>
        </a:p>
      </dgm:t>
    </dgm:pt>
    <dgm:pt modelId="{F831AEBC-70FD-4EB7-A617-460D6C71493A}" type="pres">
      <dgm:prSet presAssocID="{B9A4D7C8-69D6-4EFB-AE48-4461CF445BAD}" presName="sibTrans" presStyleCnt="0"/>
      <dgm:spPr/>
      <dgm:t>
        <a:bodyPr/>
        <a:lstStyle/>
        <a:p>
          <a:endParaRPr lang="en-US"/>
        </a:p>
      </dgm:t>
    </dgm:pt>
    <dgm:pt modelId="{33051E1F-2923-4017-A226-FE281D600CBB}" type="pres">
      <dgm:prSet presAssocID="{8E0EF99A-2473-4B5D-BD91-DD84005FD1FF}" presName="textNode" presStyleLbl="node1" presStyleIdx="1" presStyleCnt="4" custScaleX="109257" custScaleY="109147">
        <dgm:presLayoutVars>
          <dgm:bulletEnabled val="1"/>
        </dgm:presLayoutVars>
      </dgm:prSet>
      <dgm:spPr/>
      <dgm:t>
        <a:bodyPr/>
        <a:lstStyle/>
        <a:p>
          <a:endParaRPr lang="en-US"/>
        </a:p>
      </dgm:t>
    </dgm:pt>
    <dgm:pt modelId="{0F62C566-5779-4117-AD10-C083DD1E55C1}" type="pres">
      <dgm:prSet presAssocID="{23BCBEB6-34BE-46AC-81D7-58CCCCEBEF54}" presName="sibTrans" presStyleCnt="0"/>
      <dgm:spPr/>
      <dgm:t>
        <a:bodyPr/>
        <a:lstStyle/>
        <a:p>
          <a:endParaRPr lang="en-US"/>
        </a:p>
      </dgm:t>
    </dgm:pt>
    <dgm:pt modelId="{F14D24E1-969B-4C1A-9E6B-DD6DCD225138}" type="pres">
      <dgm:prSet presAssocID="{4986671B-4879-4970-AB1B-04B5DB644FD6}" presName="textNode" presStyleLbl="node1" presStyleIdx="2" presStyleCnt="4" custScaleX="105323" custScaleY="109147">
        <dgm:presLayoutVars>
          <dgm:bulletEnabled val="1"/>
        </dgm:presLayoutVars>
      </dgm:prSet>
      <dgm:spPr/>
      <dgm:t>
        <a:bodyPr/>
        <a:lstStyle/>
        <a:p>
          <a:endParaRPr lang="en-US"/>
        </a:p>
      </dgm:t>
    </dgm:pt>
    <dgm:pt modelId="{F573D52D-F088-4186-9B03-DD3EB0ED3465}" type="pres">
      <dgm:prSet presAssocID="{F53EF8BC-EACF-42FB-84A6-D59B8AFF0965}" presName="sibTrans" presStyleCnt="0"/>
      <dgm:spPr/>
      <dgm:t>
        <a:bodyPr/>
        <a:lstStyle/>
        <a:p>
          <a:endParaRPr lang="en-US"/>
        </a:p>
      </dgm:t>
    </dgm:pt>
    <dgm:pt modelId="{E206B99D-12F2-4047-BF6F-60023A79E230}" type="pres">
      <dgm:prSet presAssocID="{CEDAA22D-A23D-438B-9443-118BE8A010F1}" presName="textNode" presStyleLbl="node1" presStyleIdx="3" presStyleCnt="4" custScaleX="105323" custScaleY="109147" custLinFactNeighborX="-13468">
        <dgm:presLayoutVars>
          <dgm:bulletEnabled val="1"/>
        </dgm:presLayoutVars>
      </dgm:prSet>
      <dgm:spPr/>
      <dgm:t>
        <a:bodyPr/>
        <a:lstStyle/>
        <a:p>
          <a:endParaRPr lang="en-US"/>
        </a:p>
      </dgm:t>
    </dgm:pt>
  </dgm:ptLst>
  <dgm:cxnLst>
    <dgm:cxn modelId="{CE7583C5-F5C1-4475-BF00-D67055D9DCAD}" srcId="{9B9F02E0-76EE-47F7-A635-4F57A0142FA3}" destId="{4986671B-4879-4970-AB1B-04B5DB644FD6}" srcOrd="2" destOrd="0" parTransId="{5E12C7D8-F9ED-4482-B123-516E8B57ACEE}" sibTransId="{F53EF8BC-EACF-42FB-84A6-D59B8AFF0965}"/>
    <dgm:cxn modelId="{3C59ED60-1064-4936-9ABE-131E4DC07377}" type="presOf" srcId="{95E8945C-1D76-492D-A2D8-17B4BB54173C}" destId="{FC7FD5B4-65C8-4444-B883-20281CF05B6D}" srcOrd="0" destOrd="0" presId="urn:microsoft.com/office/officeart/2005/8/layout/hProcess9"/>
    <dgm:cxn modelId="{308D7472-06F7-44BA-ADDA-E2D41B07B66C}" type="presOf" srcId="{9B9F02E0-76EE-47F7-A635-4F57A0142FA3}" destId="{5E1C7092-7233-46C2-A587-AF2740ED5290}" srcOrd="0" destOrd="0" presId="urn:microsoft.com/office/officeart/2005/8/layout/hProcess9"/>
    <dgm:cxn modelId="{5B330FBF-47AF-4D8E-BDBD-D78C689540BF}" type="presOf" srcId="{4986671B-4879-4970-AB1B-04B5DB644FD6}" destId="{F14D24E1-969B-4C1A-9E6B-DD6DCD225138}" srcOrd="0" destOrd="0" presId="urn:microsoft.com/office/officeart/2005/8/layout/hProcess9"/>
    <dgm:cxn modelId="{9C64D775-86E8-429D-9BE6-FE84EEB20F10}" srcId="{9B9F02E0-76EE-47F7-A635-4F57A0142FA3}" destId="{8E0EF99A-2473-4B5D-BD91-DD84005FD1FF}" srcOrd="1" destOrd="0" parTransId="{C4CEA0B5-B711-4A57-BD93-AE53849F0542}" sibTransId="{23BCBEB6-34BE-46AC-81D7-58CCCCEBEF54}"/>
    <dgm:cxn modelId="{8D2BCC88-F67E-430F-A16F-0E528E60681E}" type="presOf" srcId="{8E0EF99A-2473-4B5D-BD91-DD84005FD1FF}" destId="{33051E1F-2923-4017-A226-FE281D600CBB}" srcOrd="0" destOrd="0" presId="urn:microsoft.com/office/officeart/2005/8/layout/hProcess9"/>
    <dgm:cxn modelId="{5247A5F8-B06F-418C-B794-948E1E3E33CB}" srcId="{9B9F02E0-76EE-47F7-A635-4F57A0142FA3}" destId="{95E8945C-1D76-492D-A2D8-17B4BB54173C}" srcOrd="0" destOrd="0" parTransId="{56A7895D-8B0E-417B-B005-3FEDF830BD4D}" sibTransId="{B9A4D7C8-69D6-4EFB-AE48-4461CF445BAD}"/>
    <dgm:cxn modelId="{ECDC6197-9970-4B0F-9911-3EA49406FCC3}" srcId="{9B9F02E0-76EE-47F7-A635-4F57A0142FA3}" destId="{CEDAA22D-A23D-438B-9443-118BE8A010F1}" srcOrd="3" destOrd="0" parTransId="{AA27FD9C-BCB9-4371-A99C-047758E7BADB}" sibTransId="{72EEFE4E-D9F6-4E94-8568-67CCEB2B47A8}"/>
    <dgm:cxn modelId="{F4A6EC99-0075-43DE-BED3-6BE76FEAB8EC}" type="presOf" srcId="{CEDAA22D-A23D-438B-9443-118BE8A010F1}" destId="{E206B99D-12F2-4047-BF6F-60023A79E230}" srcOrd="0" destOrd="0" presId="urn:microsoft.com/office/officeart/2005/8/layout/hProcess9"/>
    <dgm:cxn modelId="{80411F8E-5723-4821-AD9F-E90B00C115F2}" type="presParOf" srcId="{5E1C7092-7233-46C2-A587-AF2740ED5290}" destId="{025B96B0-74AE-4A4F-8E07-C7A1F11D8EB3}" srcOrd="0" destOrd="0" presId="urn:microsoft.com/office/officeart/2005/8/layout/hProcess9"/>
    <dgm:cxn modelId="{4DB20DEF-1CDB-4344-994E-9A9742EDBDC8}" type="presParOf" srcId="{5E1C7092-7233-46C2-A587-AF2740ED5290}" destId="{448D1C18-C05D-4DC6-B0C9-45A0E8232910}" srcOrd="1" destOrd="0" presId="urn:microsoft.com/office/officeart/2005/8/layout/hProcess9"/>
    <dgm:cxn modelId="{DA10908B-7E3A-4C19-B4E2-39CFABE458E4}" type="presParOf" srcId="{448D1C18-C05D-4DC6-B0C9-45A0E8232910}" destId="{FC7FD5B4-65C8-4444-B883-20281CF05B6D}" srcOrd="0" destOrd="0" presId="urn:microsoft.com/office/officeart/2005/8/layout/hProcess9"/>
    <dgm:cxn modelId="{804A7668-9D9B-4709-9B1B-8D7A82C6ECB0}" type="presParOf" srcId="{448D1C18-C05D-4DC6-B0C9-45A0E8232910}" destId="{F831AEBC-70FD-4EB7-A617-460D6C71493A}" srcOrd="1" destOrd="0" presId="urn:microsoft.com/office/officeart/2005/8/layout/hProcess9"/>
    <dgm:cxn modelId="{12B652DC-04E0-491E-863B-B4DD0EB29DA8}" type="presParOf" srcId="{448D1C18-C05D-4DC6-B0C9-45A0E8232910}" destId="{33051E1F-2923-4017-A226-FE281D600CBB}" srcOrd="2" destOrd="0" presId="urn:microsoft.com/office/officeart/2005/8/layout/hProcess9"/>
    <dgm:cxn modelId="{F8A8D3CC-3ED9-4F4C-B117-9B2779A6EDE1}" type="presParOf" srcId="{448D1C18-C05D-4DC6-B0C9-45A0E8232910}" destId="{0F62C566-5779-4117-AD10-C083DD1E55C1}" srcOrd="3" destOrd="0" presId="urn:microsoft.com/office/officeart/2005/8/layout/hProcess9"/>
    <dgm:cxn modelId="{A5805F4A-C269-46B4-94FD-DB0A09E17680}" type="presParOf" srcId="{448D1C18-C05D-4DC6-B0C9-45A0E8232910}" destId="{F14D24E1-969B-4C1A-9E6B-DD6DCD225138}" srcOrd="4" destOrd="0" presId="urn:microsoft.com/office/officeart/2005/8/layout/hProcess9"/>
    <dgm:cxn modelId="{5ADEB422-F9EA-4D57-A482-AA3F7C20E885}" type="presParOf" srcId="{448D1C18-C05D-4DC6-B0C9-45A0E8232910}" destId="{F573D52D-F088-4186-9B03-DD3EB0ED3465}" srcOrd="5" destOrd="0" presId="urn:microsoft.com/office/officeart/2005/8/layout/hProcess9"/>
    <dgm:cxn modelId="{3B8C401F-075C-495B-B305-0D934D1E0206}" type="presParOf" srcId="{448D1C18-C05D-4DC6-B0C9-45A0E8232910}" destId="{E206B99D-12F2-4047-BF6F-60023A79E230}"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05E09F-D018-4FE5-9B44-B4453C291D21}" type="doc">
      <dgm:prSet loTypeId="urn:microsoft.com/office/officeart/2005/8/layout/process4" loCatId="process" qsTypeId="urn:microsoft.com/office/officeart/2005/8/quickstyle/simple1" qsCatId="simple" csTypeId="urn:microsoft.com/office/officeart/2005/8/colors/accent3_2" csCatId="accent3" phldr="1"/>
      <dgm:spPr/>
      <dgm:t>
        <a:bodyPr/>
        <a:lstStyle/>
        <a:p>
          <a:endParaRPr lang="en-US"/>
        </a:p>
      </dgm:t>
    </dgm:pt>
    <dgm:pt modelId="{E5D740C3-F51A-4C8F-8EC2-885DC92A4152}">
      <dgm:prSet phldrT="[Text]" custT="1"/>
      <dgm:spPr>
        <a:xfrm rot="10800000">
          <a:off x="0" y="1145"/>
          <a:ext cx="6469380" cy="929524"/>
        </a:xfrm>
      </dgm:spPr>
      <dgm:t>
        <a:bodyPr/>
        <a:lstStyle/>
        <a:p>
          <a:r>
            <a:rPr lang="ro-MD" sz="1200">
              <a:latin typeface="Calibri Light" panose="020F0302020204030204"/>
              <a:ea typeface="+mn-ea"/>
              <a:cs typeface="+mn-cs"/>
            </a:rPr>
            <a:t>Evaluarea termenelor de înregistrare a informațiilor constatate de audit</a:t>
          </a:r>
          <a:endParaRPr lang="en-US" sz="1200">
            <a:latin typeface="Calibri Light" panose="020F0302020204030204"/>
            <a:ea typeface="+mn-ea"/>
            <a:cs typeface="+mn-cs"/>
          </a:endParaRPr>
        </a:p>
      </dgm:t>
    </dgm:pt>
    <dgm:pt modelId="{A68725FA-E5D4-4414-936B-69F01F208536}" type="parTrans" cxnId="{BBA7D3F9-05CF-4367-8ACC-BAA1EB8510C3}">
      <dgm:prSet/>
      <dgm:spPr/>
      <dgm:t>
        <a:bodyPr/>
        <a:lstStyle/>
        <a:p>
          <a:endParaRPr lang="en-US" sz="1200">
            <a:solidFill>
              <a:schemeClr val="tx1"/>
            </a:solidFill>
            <a:latin typeface="+mj-lt"/>
          </a:endParaRPr>
        </a:p>
      </dgm:t>
    </dgm:pt>
    <dgm:pt modelId="{E65FF44A-A1EA-4D02-8A0B-F04DE8BABFAE}" type="sibTrans" cxnId="{BBA7D3F9-05CF-4367-8ACC-BAA1EB8510C3}">
      <dgm:prSet custT="1"/>
      <dgm:spPr/>
      <dgm:t>
        <a:bodyPr/>
        <a:lstStyle/>
        <a:p>
          <a:endParaRPr lang="en-US" sz="1200">
            <a:solidFill>
              <a:schemeClr val="tx1"/>
            </a:solidFill>
            <a:latin typeface="+mj-lt"/>
          </a:endParaRPr>
        </a:p>
      </dgm:t>
    </dgm:pt>
    <dgm:pt modelId="{969A3349-9218-4069-95DD-467971110FEC}">
      <dgm:prSet phldrT="[Text]" custT="1"/>
      <dgm:spPr>
        <a:xfrm>
          <a:off x="0" y="1247867"/>
          <a:ext cx="3234689" cy="277927"/>
        </a:xfrm>
      </dgm:spPr>
      <dgm:t>
        <a:bodyPr/>
        <a:lstStyle/>
        <a:p>
          <a:r>
            <a:rPr lang="ro-MD" sz="1200">
              <a:latin typeface="Calibri Light" panose="020F0302020204030204"/>
              <a:ea typeface="+mn-ea"/>
              <a:cs typeface="+mn-cs"/>
            </a:rPr>
            <a:t>Registrul de stat al populației</a:t>
          </a:r>
          <a:endParaRPr lang="en-US" sz="1200">
            <a:latin typeface="Calibri Light" panose="020F0302020204030204"/>
            <a:ea typeface="+mn-ea"/>
            <a:cs typeface="+mn-cs"/>
          </a:endParaRPr>
        </a:p>
      </dgm:t>
    </dgm:pt>
    <dgm:pt modelId="{ABEAA278-D505-4ED5-935C-0D85EF6D3345}" type="parTrans" cxnId="{5B525224-6170-4023-96F9-27922F820C9B}">
      <dgm:prSet/>
      <dgm:spPr/>
      <dgm:t>
        <a:bodyPr/>
        <a:lstStyle/>
        <a:p>
          <a:endParaRPr lang="en-US" sz="1200">
            <a:solidFill>
              <a:schemeClr val="tx1"/>
            </a:solidFill>
            <a:latin typeface="+mj-lt"/>
          </a:endParaRPr>
        </a:p>
      </dgm:t>
    </dgm:pt>
    <dgm:pt modelId="{33DA13E1-28A2-4580-8FBF-AE4D4C125014}" type="sibTrans" cxnId="{5B525224-6170-4023-96F9-27922F820C9B}">
      <dgm:prSet/>
      <dgm:spPr/>
      <dgm:t>
        <a:bodyPr/>
        <a:lstStyle/>
        <a:p>
          <a:endParaRPr lang="en-US" sz="1200">
            <a:solidFill>
              <a:schemeClr val="tx1"/>
            </a:solidFill>
            <a:latin typeface="+mj-lt"/>
          </a:endParaRPr>
        </a:p>
      </dgm:t>
    </dgm:pt>
    <dgm:pt modelId="{B4B77B85-AB8D-4173-B8F4-B69742252F24}">
      <dgm:prSet phldrT="[Text]" custT="1"/>
      <dgm:spPr>
        <a:xfrm rot="10800000">
          <a:off x="0" y="1842063"/>
          <a:ext cx="6469380" cy="929524"/>
        </a:xfrm>
      </dgm:spPr>
      <dgm:t>
        <a:bodyPr/>
        <a:lstStyle/>
        <a:p>
          <a:r>
            <a:rPr lang="ro-MD" sz="1200">
              <a:latin typeface="Calibri Light" panose="020F0302020204030204"/>
              <a:ea typeface="+mn-ea"/>
              <a:cs typeface="+mn-cs"/>
            </a:rPr>
            <a:t>AGE</a:t>
          </a:r>
          <a:endParaRPr lang="en-US" sz="1200">
            <a:latin typeface="Calibri Light" panose="020F0302020204030204"/>
            <a:ea typeface="+mn-ea"/>
            <a:cs typeface="+mn-cs"/>
          </a:endParaRPr>
        </a:p>
      </dgm:t>
    </dgm:pt>
    <dgm:pt modelId="{0006B9EE-880F-4756-8A25-1CFEC1A61611}" type="parTrans" cxnId="{C5D3C766-6BC9-4709-8ADC-14B3E70ED0BC}">
      <dgm:prSet/>
      <dgm:spPr/>
      <dgm:t>
        <a:bodyPr/>
        <a:lstStyle/>
        <a:p>
          <a:endParaRPr lang="en-US" sz="1200">
            <a:solidFill>
              <a:schemeClr val="tx1"/>
            </a:solidFill>
            <a:latin typeface="+mj-lt"/>
          </a:endParaRPr>
        </a:p>
      </dgm:t>
    </dgm:pt>
    <dgm:pt modelId="{8BDFDB83-9BEC-4CE6-BDFB-2B6FAE338503}" type="sibTrans" cxnId="{C5D3C766-6BC9-4709-8ADC-14B3E70ED0BC}">
      <dgm:prSet custT="1"/>
      <dgm:spPr/>
      <dgm:t>
        <a:bodyPr/>
        <a:lstStyle/>
        <a:p>
          <a:endParaRPr lang="en-US" sz="1200">
            <a:solidFill>
              <a:schemeClr val="tx1"/>
            </a:solidFill>
            <a:latin typeface="+mj-lt"/>
          </a:endParaRPr>
        </a:p>
      </dgm:t>
    </dgm:pt>
    <dgm:pt modelId="{667BA58C-DE6F-4C81-8424-C97E77874876}">
      <dgm:prSet phldrT="[Text]" custT="1"/>
      <dgm:spPr>
        <a:xfrm>
          <a:off x="0" y="2115218"/>
          <a:ext cx="3234689" cy="384143"/>
        </a:xfrm>
      </dgm:spPr>
      <dgm:t>
        <a:bodyPr/>
        <a:lstStyle/>
        <a:p>
          <a:r>
            <a:rPr lang="ro-MD" sz="1200">
              <a:latin typeface="Calibri Light" panose="020F0302020204030204"/>
              <a:ea typeface="+mn-ea"/>
              <a:cs typeface="+mn-cs"/>
            </a:rPr>
            <a:t>Asigură legătura între SI al ASP și CNAS </a:t>
          </a:r>
        </a:p>
        <a:p>
          <a:r>
            <a:rPr lang="ro-MD" sz="1200">
              <a:latin typeface="Calibri Light" panose="020F0302020204030204"/>
              <a:ea typeface="+mn-ea"/>
              <a:cs typeface="+mn-cs"/>
            </a:rPr>
            <a:t>(M-Conect)</a:t>
          </a:r>
          <a:endParaRPr lang="en-US" sz="1200">
            <a:latin typeface="Calibri Light" panose="020F0302020204030204"/>
            <a:ea typeface="+mn-ea"/>
            <a:cs typeface="+mn-cs"/>
          </a:endParaRPr>
        </a:p>
      </dgm:t>
    </dgm:pt>
    <dgm:pt modelId="{A7E262BB-7B79-4C65-A62E-FEB3D52310D1}" type="parTrans" cxnId="{3A6C6C39-0295-4561-B176-BFC1B4A3F2D1}">
      <dgm:prSet/>
      <dgm:spPr/>
      <dgm:t>
        <a:bodyPr/>
        <a:lstStyle/>
        <a:p>
          <a:endParaRPr lang="en-US" sz="1200">
            <a:solidFill>
              <a:schemeClr val="tx1"/>
            </a:solidFill>
            <a:latin typeface="+mj-lt"/>
          </a:endParaRPr>
        </a:p>
      </dgm:t>
    </dgm:pt>
    <dgm:pt modelId="{CCF8DCA1-3D70-46FE-BFCD-38E1A15639B6}" type="sibTrans" cxnId="{3A6C6C39-0295-4561-B176-BFC1B4A3F2D1}">
      <dgm:prSet/>
      <dgm:spPr/>
      <dgm:t>
        <a:bodyPr/>
        <a:lstStyle/>
        <a:p>
          <a:endParaRPr lang="en-US" sz="1200">
            <a:solidFill>
              <a:schemeClr val="tx1"/>
            </a:solidFill>
            <a:latin typeface="+mj-lt"/>
          </a:endParaRPr>
        </a:p>
      </dgm:t>
    </dgm:pt>
    <dgm:pt modelId="{E36EEBC4-05F7-4981-8C22-C5411FF46672}">
      <dgm:prSet phldrT="[Text]" custT="1"/>
      <dgm:spPr>
        <a:xfrm>
          <a:off x="0" y="2762522"/>
          <a:ext cx="6469380" cy="604372"/>
        </a:xfrm>
      </dgm:spPr>
      <dgm:t>
        <a:bodyPr/>
        <a:lstStyle/>
        <a:p>
          <a:r>
            <a:rPr lang="ro-MD" sz="1200">
              <a:latin typeface="Calibri Light" panose="020F0302020204030204"/>
              <a:ea typeface="+mn-ea"/>
              <a:cs typeface="+mn-cs"/>
            </a:rPr>
            <a:t>CNAS</a:t>
          </a:r>
          <a:endParaRPr lang="en-US" sz="1200">
            <a:latin typeface="Calibri Light" panose="020F0302020204030204"/>
            <a:ea typeface="+mn-ea"/>
            <a:cs typeface="+mn-cs"/>
          </a:endParaRPr>
        </a:p>
      </dgm:t>
    </dgm:pt>
    <dgm:pt modelId="{22349E75-DBFB-4EEC-ABD8-42D1D0C89911}" type="parTrans" cxnId="{1F21E38C-1155-435D-A120-C358AEA33E58}">
      <dgm:prSet/>
      <dgm:spPr/>
      <dgm:t>
        <a:bodyPr/>
        <a:lstStyle/>
        <a:p>
          <a:endParaRPr lang="en-US" sz="1200">
            <a:solidFill>
              <a:schemeClr val="tx1"/>
            </a:solidFill>
            <a:latin typeface="+mj-lt"/>
          </a:endParaRPr>
        </a:p>
      </dgm:t>
    </dgm:pt>
    <dgm:pt modelId="{5A60EC33-0ACB-4D37-874E-9864D56927BD}" type="sibTrans" cxnId="{1F21E38C-1155-435D-A120-C358AEA33E58}">
      <dgm:prSet/>
      <dgm:spPr/>
      <dgm:t>
        <a:bodyPr/>
        <a:lstStyle/>
        <a:p>
          <a:endParaRPr lang="en-US" sz="1200">
            <a:solidFill>
              <a:schemeClr val="tx1"/>
            </a:solidFill>
            <a:latin typeface="+mj-lt"/>
          </a:endParaRPr>
        </a:p>
      </dgm:t>
    </dgm:pt>
    <dgm:pt modelId="{1258D239-8349-4184-ACEF-F9072367F413}">
      <dgm:prSet phldrT="[Text]" custT="1"/>
      <dgm:spPr>
        <a:xfrm>
          <a:off x="0" y="3076796"/>
          <a:ext cx="3234689" cy="278011"/>
        </a:xfrm>
      </dgm:spPr>
      <dgm:t>
        <a:bodyPr/>
        <a:lstStyle/>
        <a:p>
          <a:r>
            <a:rPr lang="ro-MD" sz="1200">
              <a:latin typeface="Calibri Light" panose="020F0302020204030204"/>
              <a:ea typeface="+mn-ea"/>
              <a:cs typeface="+mn-cs"/>
            </a:rPr>
            <a:t>Recepționarea informației despre deces în SI „Protecție Socială”</a:t>
          </a:r>
          <a:endParaRPr lang="en-US" sz="1200">
            <a:latin typeface="Calibri Light" panose="020F0302020204030204"/>
            <a:ea typeface="+mn-ea"/>
            <a:cs typeface="+mn-cs"/>
          </a:endParaRPr>
        </a:p>
      </dgm:t>
    </dgm:pt>
    <dgm:pt modelId="{1EAD3B7C-97EB-46AB-8B7D-B516F8D9BCB4}" type="parTrans" cxnId="{3BDACD31-E9C9-48C6-8EBA-E9A10FC00B5E}">
      <dgm:prSet/>
      <dgm:spPr/>
      <dgm:t>
        <a:bodyPr/>
        <a:lstStyle/>
        <a:p>
          <a:endParaRPr lang="en-US" sz="1200">
            <a:solidFill>
              <a:schemeClr val="tx1"/>
            </a:solidFill>
            <a:latin typeface="+mj-lt"/>
          </a:endParaRPr>
        </a:p>
      </dgm:t>
    </dgm:pt>
    <dgm:pt modelId="{7E998A40-4F7F-4EE4-A2C4-9F71A027FC17}" type="sibTrans" cxnId="{3BDACD31-E9C9-48C6-8EBA-E9A10FC00B5E}">
      <dgm:prSet/>
      <dgm:spPr/>
      <dgm:t>
        <a:bodyPr/>
        <a:lstStyle/>
        <a:p>
          <a:endParaRPr lang="en-US" sz="1200">
            <a:solidFill>
              <a:schemeClr val="tx1"/>
            </a:solidFill>
            <a:latin typeface="+mj-lt"/>
          </a:endParaRPr>
        </a:p>
      </dgm:t>
    </dgm:pt>
    <dgm:pt modelId="{8A428986-8F71-4303-B61D-6A5A86FAB420}">
      <dgm:prSet phldrT="[Text]" custT="1"/>
      <dgm:spPr>
        <a:xfrm>
          <a:off x="3234690" y="1247867"/>
          <a:ext cx="3234689" cy="277927"/>
        </a:xfrm>
      </dgm:spPr>
      <dgm:t>
        <a:bodyPr/>
        <a:lstStyle/>
        <a:p>
          <a:r>
            <a:rPr lang="ro-MD" sz="1200">
              <a:latin typeface="Calibri Light" panose="020F0302020204030204"/>
              <a:ea typeface="+mn-ea"/>
              <a:cs typeface="+mn-cs"/>
            </a:rPr>
            <a:t>până la 109 zile</a:t>
          </a:r>
          <a:endParaRPr lang="en-US" sz="1200">
            <a:latin typeface="Calibri Light" panose="020F0302020204030204"/>
            <a:ea typeface="+mn-ea"/>
            <a:cs typeface="+mn-cs"/>
          </a:endParaRPr>
        </a:p>
      </dgm:t>
    </dgm:pt>
    <dgm:pt modelId="{EFF23EC3-6331-4A1D-A1EE-A576A1CF7612}" type="parTrans" cxnId="{0E98DB2E-4865-4FB4-A286-9D067995C342}">
      <dgm:prSet/>
      <dgm:spPr/>
      <dgm:t>
        <a:bodyPr/>
        <a:lstStyle/>
        <a:p>
          <a:endParaRPr lang="en-US" sz="1200">
            <a:solidFill>
              <a:schemeClr val="tx1"/>
            </a:solidFill>
            <a:latin typeface="+mj-lt"/>
          </a:endParaRPr>
        </a:p>
      </dgm:t>
    </dgm:pt>
    <dgm:pt modelId="{C68851C6-4A23-4A8A-823B-71D379F307DF}" type="sibTrans" cxnId="{0E98DB2E-4865-4FB4-A286-9D067995C342}">
      <dgm:prSet/>
      <dgm:spPr/>
      <dgm:t>
        <a:bodyPr/>
        <a:lstStyle/>
        <a:p>
          <a:endParaRPr lang="en-US" sz="1200">
            <a:solidFill>
              <a:schemeClr val="tx1"/>
            </a:solidFill>
            <a:latin typeface="+mj-lt"/>
          </a:endParaRPr>
        </a:p>
      </dgm:t>
    </dgm:pt>
    <dgm:pt modelId="{D9A37964-48F5-4061-B7D9-2B8828364928}">
      <dgm:prSet phldrT="[Text]" custT="1"/>
      <dgm:spPr>
        <a:xfrm rot="10800000">
          <a:off x="0" y="921604"/>
          <a:ext cx="6469380" cy="929524"/>
        </a:xfrm>
      </dgm:spPr>
      <dgm:t>
        <a:bodyPr/>
        <a:lstStyle/>
        <a:p>
          <a:r>
            <a:rPr lang="ro-MD" sz="1200">
              <a:latin typeface="Calibri Light" panose="020F0302020204030204"/>
              <a:ea typeface="+mn-ea"/>
              <a:cs typeface="+mn-cs"/>
            </a:rPr>
            <a:t>Introducerea de căre ASP</a:t>
          </a:r>
          <a:endParaRPr lang="en-US" sz="1200">
            <a:latin typeface="Calibri Light" panose="020F0302020204030204"/>
            <a:ea typeface="+mn-ea"/>
            <a:cs typeface="+mn-cs"/>
          </a:endParaRPr>
        </a:p>
      </dgm:t>
    </dgm:pt>
    <dgm:pt modelId="{8E66F4FE-5EC6-429C-875E-8517553B50E5}" type="parTrans" cxnId="{36C697AB-6BF7-4988-A1A7-AB46631110A1}">
      <dgm:prSet/>
      <dgm:spPr/>
      <dgm:t>
        <a:bodyPr/>
        <a:lstStyle/>
        <a:p>
          <a:endParaRPr lang="en-US" sz="1200">
            <a:solidFill>
              <a:schemeClr val="tx1"/>
            </a:solidFill>
            <a:latin typeface="+mj-lt"/>
          </a:endParaRPr>
        </a:p>
      </dgm:t>
    </dgm:pt>
    <dgm:pt modelId="{67C62706-EDAD-4250-AA21-260B6C60C6CC}" type="sibTrans" cxnId="{36C697AB-6BF7-4988-A1A7-AB46631110A1}">
      <dgm:prSet custT="1"/>
      <dgm:spPr/>
      <dgm:t>
        <a:bodyPr/>
        <a:lstStyle/>
        <a:p>
          <a:endParaRPr lang="en-US" sz="1200">
            <a:solidFill>
              <a:schemeClr val="tx1"/>
            </a:solidFill>
            <a:latin typeface="+mj-lt"/>
          </a:endParaRPr>
        </a:p>
      </dgm:t>
    </dgm:pt>
    <dgm:pt modelId="{0F2621C4-EDC6-44D5-B438-A1E17F1E69D2}">
      <dgm:prSet phldrT="[Text]" custT="1"/>
      <dgm:spPr>
        <a:xfrm>
          <a:off x="3234690" y="2115218"/>
          <a:ext cx="3234689" cy="384143"/>
        </a:xfrm>
      </dgm:spPr>
      <dgm:t>
        <a:bodyPr/>
        <a:lstStyle/>
        <a:p>
          <a:r>
            <a:rPr lang="ro-MD" sz="1200">
              <a:latin typeface="Calibri Light" panose="020F0302020204030204"/>
              <a:ea typeface="+mn-ea"/>
              <a:cs typeface="+mn-cs"/>
            </a:rPr>
            <a:t>Zilnic pentru decesele introduse în sistem</a:t>
          </a:r>
          <a:endParaRPr lang="en-US" sz="1200">
            <a:latin typeface="Calibri Light" panose="020F0302020204030204"/>
            <a:ea typeface="+mn-ea"/>
            <a:cs typeface="+mn-cs"/>
          </a:endParaRPr>
        </a:p>
      </dgm:t>
    </dgm:pt>
    <dgm:pt modelId="{4F0F5C99-81A1-46F3-B913-113D6109CA93}" type="parTrans" cxnId="{58995482-3BC1-4B7A-9F97-0CE5C6244054}">
      <dgm:prSet/>
      <dgm:spPr/>
      <dgm:t>
        <a:bodyPr/>
        <a:lstStyle/>
        <a:p>
          <a:endParaRPr lang="en-US" sz="1200">
            <a:solidFill>
              <a:schemeClr val="tx1"/>
            </a:solidFill>
            <a:latin typeface="+mj-lt"/>
          </a:endParaRPr>
        </a:p>
      </dgm:t>
    </dgm:pt>
    <dgm:pt modelId="{52905E2B-07CE-44F5-8FC7-1082B9B12B42}" type="sibTrans" cxnId="{58995482-3BC1-4B7A-9F97-0CE5C6244054}">
      <dgm:prSet/>
      <dgm:spPr/>
      <dgm:t>
        <a:bodyPr/>
        <a:lstStyle/>
        <a:p>
          <a:endParaRPr lang="en-US" sz="1200">
            <a:solidFill>
              <a:schemeClr val="tx1"/>
            </a:solidFill>
            <a:latin typeface="+mj-lt"/>
          </a:endParaRPr>
        </a:p>
      </dgm:t>
    </dgm:pt>
    <dgm:pt modelId="{238BA144-B0A2-4F9C-B3B9-F52AD48C42A3}">
      <dgm:prSet phldrT="[Text]" custT="1"/>
      <dgm:spPr>
        <a:xfrm>
          <a:off x="3234690" y="3076796"/>
          <a:ext cx="3234689" cy="278011"/>
        </a:xfrm>
      </dgm:spPr>
      <dgm:t>
        <a:bodyPr/>
        <a:lstStyle/>
        <a:p>
          <a:r>
            <a:rPr lang="ro-MD" sz="1200">
              <a:latin typeface="Calibri Light" panose="020F0302020204030204"/>
              <a:ea typeface="+mn-ea"/>
              <a:cs typeface="+mn-cs"/>
            </a:rPr>
            <a:t>până la 139 zile</a:t>
          </a:r>
          <a:endParaRPr lang="en-US" sz="1200">
            <a:latin typeface="Calibri Light" panose="020F0302020204030204"/>
            <a:ea typeface="+mn-ea"/>
            <a:cs typeface="+mn-cs"/>
          </a:endParaRPr>
        </a:p>
      </dgm:t>
    </dgm:pt>
    <dgm:pt modelId="{578C8A2E-7D6C-496B-8EE3-92FD6934E7EB}" type="parTrans" cxnId="{DB602EE2-0D44-486E-BA7E-D50613E98316}">
      <dgm:prSet/>
      <dgm:spPr/>
      <dgm:t>
        <a:bodyPr/>
        <a:lstStyle/>
        <a:p>
          <a:endParaRPr lang="en-US" sz="1200">
            <a:solidFill>
              <a:schemeClr val="tx1"/>
            </a:solidFill>
            <a:latin typeface="+mj-lt"/>
          </a:endParaRPr>
        </a:p>
      </dgm:t>
    </dgm:pt>
    <dgm:pt modelId="{8E1A3DFC-030C-49CB-8265-A664B0A1218F}" type="sibTrans" cxnId="{DB602EE2-0D44-486E-BA7E-D50613E98316}">
      <dgm:prSet/>
      <dgm:spPr/>
      <dgm:t>
        <a:bodyPr/>
        <a:lstStyle/>
        <a:p>
          <a:endParaRPr lang="en-US" sz="1200">
            <a:solidFill>
              <a:schemeClr val="tx1"/>
            </a:solidFill>
            <a:latin typeface="+mj-lt"/>
          </a:endParaRPr>
        </a:p>
      </dgm:t>
    </dgm:pt>
    <dgm:pt modelId="{DAFC80F2-896F-465A-AC32-3FEB7DC5767F}">
      <dgm:prSet custT="1"/>
      <dgm:spPr>
        <a:xfrm>
          <a:off x="0" y="327408"/>
          <a:ext cx="6469380" cy="277927"/>
        </a:xfrm>
      </dgm:spPr>
      <dgm:t>
        <a:bodyPr/>
        <a:lstStyle/>
        <a:p>
          <a:r>
            <a:rPr lang="ro-MD" sz="1200">
              <a:latin typeface="Calibri Light" panose="020F0302020204030204"/>
              <a:ea typeface="+mn-ea"/>
              <a:cs typeface="+mn-cs"/>
            </a:rPr>
            <a:t>Decesul beneficiarului</a:t>
          </a:r>
          <a:endParaRPr lang="en-US" sz="1200">
            <a:latin typeface="Calibri" panose="020F0502020204030204"/>
            <a:ea typeface="+mn-ea"/>
            <a:cs typeface="+mn-cs"/>
          </a:endParaRPr>
        </a:p>
      </dgm:t>
    </dgm:pt>
    <dgm:pt modelId="{55AD50B9-F9A3-4792-8E90-4A0D81E69D2D}" type="parTrans" cxnId="{0196A853-B817-4132-AEBF-E2F2FE45DAA6}">
      <dgm:prSet/>
      <dgm:spPr/>
      <dgm:t>
        <a:bodyPr/>
        <a:lstStyle/>
        <a:p>
          <a:endParaRPr lang="en-US" sz="1200">
            <a:solidFill>
              <a:schemeClr val="tx1"/>
            </a:solidFill>
          </a:endParaRPr>
        </a:p>
      </dgm:t>
    </dgm:pt>
    <dgm:pt modelId="{902BD209-406B-4301-ADE3-795F0078C750}" type="sibTrans" cxnId="{0196A853-B817-4132-AEBF-E2F2FE45DAA6}">
      <dgm:prSet/>
      <dgm:spPr/>
      <dgm:t>
        <a:bodyPr/>
        <a:lstStyle/>
        <a:p>
          <a:endParaRPr lang="en-US" sz="1200">
            <a:solidFill>
              <a:schemeClr val="tx1"/>
            </a:solidFill>
          </a:endParaRPr>
        </a:p>
      </dgm:t>
    </dgm:pt>
    <dgm:pt modelId="{B62B29F6-6DAE-4ECA-B7EB-C8B10F02BB73}" type="pres">
      <dgm:prSet presAssocID="{8F05E09F-D018-4FE5-9B44-B4453C291D21}" presName="Name0" presStyleCnt="0">
        <dgm:presLayoutVars>
          <dgm:dir/>
          <dgm:animLvl val="lvl"/>
          <dgm:resizeHandles val="exact"/>
        </dgm:presLayoutVars>
      </dgm:prSet>
      <dgm:spPr/>
      <dgm:t>
        <a:bodyPr/>
        <a:lstStyle/>
        <a:p>
          <a:endParaRPr lang="en-US"/>
        </a:p>
      </dgm:t>
    </dgm:pt>
    <dgm:pt modelId="{7A2B2CD6-0FDF-4ED1-8B70-B51EBA05ABC3}" type="pres">
      <dgm:prSet presAssocID="{E36EEBC4-05F7-4981-8C22-C5411FF46672}" presName="boxAndChildren" presStyleCnt="0"/>
      <dgm:spPr/>
      <dgm:t>
        <a:bodyPr/>
        <a:lstStyle/>
        <a:p>
          <a:endParaRPr lang="en-US"/>
        </a:p>
      </dgm:t>
    </dgm:pt>
    <dgm:pt modelId="{79F2FAE2-A45D-4EF2-8F60-941D13E11197}" type="pres">
      <dgm:prSet presAssocID="{E36EEBC4-05F7-4981-8C22-C5411FF46672}" presName="parentTextBox" presStyleLbl="node1" presStyleIdx="0" presStyleCnt="4"/>
      <dgm:spPr>
        <a:prstGeom prst="rect">
          <a:avLst/>
        </a:prstGeom>
      </dgm:spPr>
      <dgm:t>
        <a:bodyPr/>
        <a:lstStyle/>
        <a:p>
          <a:endParaRPr lang="en-US"/>
        </a:p>
      </dgm:t>
    </dgm:pt>
    <dgm:pt modelId="{43CB29BE-4D53-417A-AD02-F1FCC052E860}" type="pres">
      <dgm:prSet presAssocID="{E36EEBC4-05F7-4981-8C22-C5411FF46672}" presName="entireBox" presStyleLbl="node1" presStyleIdx="0" presStyleCnt="4"/>
      <dgm:spPr/>
      <dgm:t>
        <a:bodyPr/>
        <a:lstStyle/>
        <a:p>
          <a:endParaRPr lang="en-US"/>
        </a:p>
      </dgm:t>
    </dgm:pt>
    <dgm:pt modelId="{AEB1C61D-2EEE-4E76-85EA-6A9BCC17027C}" type="pres">
      <dgm:prSet presAssocID="{E36EEBC4-05F7-4981-8C22-C5411FF46672}" presName="descendantBox" presStyleCnt="0"/>
      <dgm:spPr/>
      <dgm:t>
        <a:bodyPr/>
        <a:lstStyle/>
        <a:p>
          <a:endParaRPr lang="en-US"/>
        </a:p>
      </dgm:t>
    </dgm:pt>
    <dgm:pt modelId="{CC6081A0-D201-4FE6-BFF3-34C5F1D7D9F6}" type="pres">
      <dgm:prSet presAssocID="{1258D239-8349-4184-ACEF-F9072367F413}" presName="childTextBox" presStyleLbl="fgAccFollowNode1" presStyleIdx="0" presStyleCnt="7">
        <dgm:presLayoutVars>
          <dgm:bulletEnabled val="1"/>
        </dgm:presLayoutVars>
      </dgm:prSet>
      <dgm:spPr>
        <a:prstGeom prst="rect">
          <a:avLst/>
        </a:prstGeom>
      </dgm:spPr>
      <dgm:t>
        <a:bodyPr/>
        <a:lstStyle/>
        <a:p>
          <a:endParaRPr lang="en-US"/>
        </a:p>
      </dgm:t>
    </dgm:pt>
    <dgm:pt modelId="{213CCA8C-1DD8-43C6-8018-22BE261B0E56}" type="pres">
      <dgm:prSet presAssocID="{238BA144-B0A2-4F9C-B3B9-F52AD48C42A3}" presName="childTextBox" presStyleLbl="fgAccFollowNode1" presStyleIdx="1" presStyleCnt="7">
        <dgm:presLayoutVars>
          <dgm:bulletEnabled val="1"/>
        </dgm:presLayoutVars>
      </dgm:prSet>
      <dgm:spPr>
        <a:prstGeom prst="rect">
          <a:avLst/>
        </a:prstGeom>
      </dgm:spPr>
      <dgm:t>
        <a:bodyPr/>
        <a:lstStyle/>
        <a:p>
          <a:endParaRPr lang="en-US"/>
        </a:p>
      </dgm:t>
    </dgm:pt>
    <dgm:pt modelId="{2902CBE6-2ED1-49C1-B25C-AD18BAF44342}" type="pres">
      <dgm:prSet presAssocID="{8BDFDB83-9BEC-4CE6-BDFB-2B6FAE338503}" presName="sp" presStyleCnt="0"/>
      <dgm:spPr/>
      <dgm:t>
        <a:bodyPr/>
        <a:lstStyle/>
        <a:p>
          <a:endParaRPr lang="en-US"/>
        </a:p>
      </dgm:t>
    </dgm:pt>
    <dgm:pt modelId="{B8596B25-61FF-43F7-92FC-4A66A0BC3F38}" type="pres">
      <dgm:prSet presAssocID="{B4B77B85-AB8D-4173-B8F4-B69742252F24}" presName="arrowAndChildren" presStyleCnt="0"/>
      <dgm:spPr/>
      <dgm:t>
        <a:bodyPr/>
        <a:lstStyle/>
        <a:p>
          <a:endParaRPr lang="en-US"/>
        </a:p>
      </dgm:t>
    </dgm:pt>
    <dgm:pt modelId="{6FBC3E95-C9FE-4BE0-AD95-F982F5900E34}" type="pres">
      <dgm:prSet presAssocID="{B4B77B85-AB8D-4173-B8F4-B69742252F24}" presName="parentTextArrow" presStyleLbl="node1" presStyleIdx="0" presStyleCnt="4"/>
      <dgm:spPr>
        <a:prstGeom prst="upArrowCallout">
          <a:avLst/>
        </a:prstGeom>
      </dgm:spPr>
      <dgm:t>
        <a:bodyPr/>
        <a:lstStyle/>
        <a:p>
          <a:endParaRPr lang="en-US"/>
        </a:p>
      </dgm:t>
    </dgm:pt>
    <dgm:pt modelId="{8C6CE277-25EF-4BB3-BFC4-19F282143301}" type="pres">
      <dgm:prSet presAssocID="{B4B77B85-AB8D-4173-B8F4-B69742252F24}" presName="arrow" presStyleLbl="node1" presStyleIdx="1" presStyleCnt="4"/>
      <dgm:spPr/>
      <dgm:t>
        <a:bodyPr/>
        <a:lstStyle/>
        <a:p>
          <a:endParaRPr lang="en-US"/>
        </a:p>
      </dgm:t>
    </dgm:pt>
    <dgm:pt modelId="{282E1D2F-8D61-4E1E-8B98-5020F7D51F7C}" type="pres">
      <dgm:prSet presAssocID="{B4B77B85-AB8D-4173-B8F4-B69742252F24}" presName="descendantArrow" presStyleCnt="0"/>
      <dgm:spPr/>
      <dgm:t>
        <a:bodyPr/>
        <a:lstStyle/>
        <a:p>
          <a:endParaRPr lang="en-US"/>
        </a:p>
      </dgm:t>
    </dgm:pt>
    <dgm:pt modelId="{20E34D21-591E-4614-995F-0ADE79E299C9}" type="pres">
      <dgm:prSet presAssocID="{667BA58C-DE6F-4C81-8424-C97E77874876}" presName="childTextArrow" presStyleLbl="fgAccFollowNode1" presStyleIdx="2" presStyleCnt="7" custScaleY="138217">
        <dgm:presLayoutVars>
          <dgm:bulletEnabled val="1"/>
        </dgm:presLayoutVars>
      </dgm:prSet>
      <dgm:spPr>
        <a:prstGeom prst="rect">
          <a:avLst/>
        </a:prstGeom>
      </dgm:spPr>
      <dgm:t>
        <a:bodyPr/>
        <a:lstStyle/>
        <a:p>
          <a:endParaRPr lang="en-US"/>
        </a:p>
      </dgm:t>
    </dgm:pt>
    <dgm:pt modelId="{28DB0BDC-D2F7-41F2-B4DA-5D5B1343498F}" type="pres">
      <dgm:prSet presAssocID="{0F2621C4-EDC6-44D5-B438-A1E17F1E69D2}" presName="childTextArrow" presStyleLbl="fgAccFollowNode1" presStyleIdx="3" presStyleCnt="7" custScaleY="138217">
        <dgm:presLayoutVars>
          <dgm:bulletEnabled val="1"/>
        </dgm:presLayoutVars>
      </dgm:prSet>
      <dgm:spPr>
        <a:prstGeom prst="rect">
          <a:avLst/>
        </a:prstGeom>
      </dgm:spPr>
      <dgm:t>
        <a:bodyPr/>
        <a:lstStyle/>
        <a:p>
          <a:endParaRPr lang="en-US"/>
        </a:p>
      </dgm:t>
    </dgm:pt>
    <dgm:pt modelId="{693ED221-AD77-43DF-8D86-DBBC8A31F04C}" type="pres">
      <dgm:prSet presAssocID="{67C62706-EDAD-4250-AA21-260B6C60C6CC}" presName="sp" presStyleCnt="0"/>
      <dgm:spPr/>
      <dgm:t>
        <a:bodyPr/>
        <a:lstStyle/>
        <a:p>
          <a:endParaRPr lang="en-US"/>
        </a:p>
      </dgm:t>
    </dgm:pt>
    <dgm:pt modelId="{6E70B460-C524-4FC3-9BF4-0BB79A762B35}" type="pres">
      <dgm:prSet presAssocID="{D9A37964-48F5-4061-B7D9-2B8828364928}" presName="arrowAndChildren" presStyleCnt="0"/>
      <dgm:spPr/>
      <dgm:t>
        <a:bodyPr/>
        <a:lstStyle/>
        <a:p>
          <a:endParaRPr lang="en-US"/>
        </a:p>
      </dgm:t>
    </dgm:pt>
    <dgm:pt modelId="{CC2BA1ED-9E36-4516-B237-F64D72BF6D6F}" type="pres">
      <dgm:prSet presAssocID="{D9A37964-48F5-4061-B7D9-2B8828364928}" presName="parentTextArrow" presStyleLbl="node1" presStyleIdx="1" presStyleCnt="4"/>
      <dgm:spPr>
        <a:prstGeom prst="upArrowCallout">
          <a:avLst/>
        </a:prstGeom>
      </dgm:spPr>
      <dgm:t>
        <a:bodyPr/>
        <a:lstStyle/>
        <a:p>
          <a:endParaRPr lang="en-US"/>
        </a:p>
      </dgm:t>
    </dgm:pt>
    <dgm:pt modelId="{DBA0CE2F-48B5-48BA-B731-4408BD9E1F81}" type="pres">
      <dgm:prSet presAssocID="{D9A37964-48F5-4061-B7D9-2B8828364928}" presName="arrow" presStyleLbl="node1" presStyleIdx="2" presStyleCnt="4"/>
      <dgm:spPr/>
      <dgm:t>
        <a:bodyPr/>
        <a:lstStyle/>
        <a:p>
          <a:endParaRPr lang="en-US"/>
        </a:p>
      </dgm:t>
    </dgm:pt>
    <dgm:pt modelId="{EC911995-BF89-4FA4-A023-98A27EFBFEC4}" type="pres">
      <dgm:prSet presAssocID="{D9A37964-48F5-4061-B7D9-2B8828364928}" presName="descendantArrow" presStyleCnt="0"/>
      <dgm:spPr/>
      <dgm:t>
        <a:bodyPr/>
        <a:lstStyle/>
        <a:p>
          <a:endParaRPr lang="en-US"/>
        </a:p>
      </dgm:t>
    </dgm:pt>
    <dgm:pt modelId="{0FF95BE5-9191-4870-95D6-5CE02CCEB42B}" type="pres">
      <dgm:prSet presAssocID="{969A3349-9218-4069-95DD-467971110FEC}" presName="childTextArrow" presStyleLbl="fgAccFollowNode1" presStyleIdx="4" presStyleCnt="7">
        <dgm:presLayoutVars>
          <dgm:bulletEnabled val="1"/>
        </dgm:presLayoutVars>
      </dgm:prSet>
      <dgm:spPr>
        <a:prstGeom prst="rect">
          <a:avLst/>
        </a:prstGeom>
      </dgm:spPr>
      <dgm:t>
        <a:bodyPr/>
        <a:lstStyle/>
        <a:p>
          <a:endParaRPr lang="en-US"/>
        </a:p>
      </dgm:t>
    </dgm:pt>
    <dgm:pt modelId="{6A631D41-1FAD-48A6-BA60-877A0FC810AA}" type="pres">
      <dgm:prSet presAssocID="{8A428986-8F71-4303-B61D-6A5A86FAB420}" presName="childTextArrow" presStyleLbl="fgAccFollowNode1" presStyleIdx="5" presStyleCnt="7">
        <dgm:presLayoutVars>
          <dgm:bulletEnabled val="1"/>
        </dgm:presLayoutVars>
      </dgm:prSet>
      <dgm:spPr>
        <a:prstGeom prst="rect">
          <a:avLst/>
        </a:prstGeom>
      </dgm:spPr>
      <dgm:t>
        <a:bodyPr/>
        <a:lstStyle/>
        <a:p>
          <a:endParaRPr lang="en-US"/>
        </a:p>
      </dgm:t>
    </dgm:pt>
    <dgm:pt modelId="{CC5DF521-D1BA-4557-97D9-90D30286FA65}" type="pres">
      <dgm:prSet presAssocID="{E65FF44A-A1EA-4D02-8A0B-F04DE8BABFAE}" presName="sp" presStyleCnt="0"/>
      <dgm:spPr/>
      <dgm:t>
        <a:bodyPr/>
        <a:lstStyle/>
        <a:p>
          <a:endParaRPr lang="en-US"/>
        </a:p>
      </dgm:t>
    </dgm:pt>
    <dgm:pt modelId="{85AB2497-594E-48C5-898F-0854B86DCCBC}" type="pres">
      <dgm:prSet presAssocID="{E5D740C3-F51A-4C8F-8EC2-885DC92A4152}" presName="arrowAndChildren" presStyleCnt="0"/>
      <dgm:spPr/>
      <dgm:t>
        <a:bodyPr/>
        <a:lstStyle/>
        <a:p>
          <a:endParaRPr lang="en-US"/>
        </a:p>
      </dgm:t>
    </dgm:pt>
    <dgm:pt modelId="{3F9D3919-E1EA-46A3-8C54-8892AAABBE91}" type="pres">
      <dgm:prSet presAssocID="{E5D740C3-F51A-4C8F-8EC2-885DC92A4152}" presName="parentTextArrow" presStyleLbl="node1" presStyleIdx="2" presStyleCnt="4"/>
      <dgm:spPr>
        <a:prstGeom prst="upArrowCallout">
          <a:avLst/>
        </a:prstGeom>
      </dgm:spPr>
      <dgm:t>
        <a:bodyPr/>
        <a:lstStyle/>
        <a:p>
          <a:endParaRPr lang="en-US"/>
        </a:p>
      </dgm:t>
    </dgm:pt>
    <dgm:pt modelId="{20FB684C-8D46-455D-97E4-026CE3535907}" type="pres">
      <dgm:prSet presAssocID="{E5D740C3-F51A-4C8F-8EC2-885DC92A4152}" presName="arrow" presStyleLbl="node1" presStyleIdx="3" presStyleCnt="4"/>
      <dgm:spPr/>
      <dgm:t>
        <a:bodyPr/>
        <a:lstStyle/>
        <a:p>
          <a:endParaRPr lang="en-US"/>
        </a:p>
      </dgm:t>
    </dgm:pt>
    <dgm:pt modelId="{E354AD58-0FA8-477F-8FF4-2D89D94DC472}" type="pres">
      <dgm:prSet presAssocID="{E5D740C3-F51A-4C8F-8EC2-885DC92A4152}" presName="descendantArrow" presStyleCnt="0"/>
      <dgm:spPr/>
      <dgm:t>
        <a:bodyPr/>
        <a:lstStyle/>
        <a:p>
          <a:endParaRPr lang="en-US"/>
        </a:p>
      </dgm:t>
    </dgm:pt>
    <dgm:pt modelId="{5D06C962-11CB-48D4-A61E-33F242C6238C}" type="pres">
      <dgm:prSet presAssocID="{DAFC80F2-896F-465A-AC32-3FEB7DC5767F}" presName="childTextArrow" presStyleLbl="fgAccFollowNode1" presStyleIdx="6" presStyleCnt="7">
        <dgm:presLayoutVars>
          <dgm:bulletEnabled val="1"/>
        </dgm:presLayoutVars>
      </dgm:prSet>
      <dgm:spPr>
        <a:prstGeom prst="rect">
          <a:avLst/>
        </a:prstGeom>
      </dgm:spPr>
      <dgm:t>
        <a:bodyPr/>
        <a:lstStyle/>
        <a:p>
          <a:endParaRPr lang="en-US"/>
        </a:p>
      </dgm:t>
    </dgm:pt>
  </dgm:ptLst>
  <dgm:cxnLst>
    <dgm:cxn modelId="{DB602EE2-0D44-486E-BA7E-D50613E98316}" srcId="{E36EEBC4-05F7-4981-8C22-C5411FF46672}" destId="{238BA144-B0A2-4F9C-B3B9-F52AD48C42A3}" srcOrd="1" destOrd="0" parTransId="{578C8A2E-7D6C-496B-8EE3-92FD6934E7EB}" sibTransId="{8E1A3DFC-030C-49CB-8265-A664B0A1218F}"/>
    <dgm:cxn modelId="{C7AD73B0-F794-43EB-B95C-17B601DD4A55}" type="presOf" srcId="{E5D740C3-F51A-4C8F-8EC2-885DC92A4152}" destId="{20FB684C-8D46-455D-97E4-026CE3535907}" srcOrd="1" destOrd="0" presId="urn:microsoft.com/office/officeart/2005/8/layout/process4"/>
    <dgm:cxn modelId="{98321C7F-CB0D-4A39-8D7F-8738EF022078}" type="presOf" srcId="{DAFC80F2-896F-465A-AC32-3FEB7DC5767F}" destId="{5D06C962-11CB-48D4-A61E-33F242C6238C}" srcOrd="0" destOrd="0" presId="urn:microsoft.com/office/officeart/2005/8/layout/process4"/>
    <dgm:cxn modelId="{D4F798A9-CEA0-4F6C-8605-DC19A487C455}" type="presOf" srcId="{0F2621C4-EDC6-44D5-B438-A1E17F1E69D2}" destId="{28DB0BDC-D2F7-41F2-B4DA-5D5B1343498F}" srcOrd="0" destOrd="0" presId="urn:microsoft.com/office/officeart/2005/8/layout/process4"/>
    <dgm:cxn modelId="{58995482-3BC1-4B7A-9F97-0CE5C6244054}" srcId="{B4B77B85-AB8D-4173-B8F4-B69742252F24}" destId="{0F2621C4-EDC6-44D5-B438-A1E17F1E69D2}" srcOrd="1" destOrd="0" parTransId="{4F0F5C99-81A1-46F3-B913-113D6109CA93}" sibTransId="{52905E2B-07CE-44F5-8FC7-1082B9B12B42}"/>
    <dgm:cxn modelId="{51E0FA02-B7A7-4B4B-B210-1393AF653E3E}" type="presOf" srcId="{238BA144-B0A2-4F9C-B3B9-F52AD48C42A3}" destId="{213CCA8C-1DD8-43C6-8018-22BE261B0E56}" srcOrd="0" destOrd="0" presId="urn:microsoft.com/office/officeart/2005/8/layout/process4"/>
    <dgm:cxn modelId="{0196A853-B817-4132-AEBF-E2F2FE45DAA6}" srcId="{E5D740C3-F51A-4C8F-8EC2-885DC92A4152}" destId="{DAFC80F2-896F-465A-AC32-3FEB7DC5767F}" srcOrd="0" destOrd="0" parTransId="{55AD50B9-F9A3-4792-8E90-4A0D81E69D2D}" sibTransId="{902BD209-406B-4301-ADE3-795F0078C750}"/>
    <dgm:cxn modelId="{BBA7D3F9-05CF-4367-8ACC-BAA1EB8510C3}" srcId="{8F05E09F-D018-4FE5-9B44-B4453C291D21}" destId="{E5D740C3-F51A-4C8F-8EC2-885DC92A4152}" srcOrd="0" destOrd="0" parTransId="{A68725FA-E5D4-4414-936B-69F01F208536}" sibTransId="{E65FF44A-A1EA-4D02-8A0B-F04DE8BABFAE}"/>
    <dgm:cxn modelId="{0E98DB2E-4865-4FB4-A286-9D067995C342}" srcId="{D9A37964-48F5-4061-B7D9-2B8828364928}" destId="{8A428986-8F71-4303-B61D-6A5A86FAB420}" srcOrd="1" destOrd="0" parTransId="{EFF23EC3-6331-4A1D-A1EE-A576A1CF7612}" sibTransId="{C68851C6-4A23-4A8A-823B-71D379F307DF}"/>
    <dgm:cxn modelId="{3A6C6C39-0295-4561-B176-BFC1B4A3F2D1}" srcId="{B4B77B85-AB8D-4173-B8F4-B69742252F24}" destId="{667BA58C-DE6F-4C81-8424-C97E77874876}" srcOrd="0" destOrd="0" parTransId="{A7E262BB-7B79-4C65-A62E-FEB3D52310D1}" sibTransId="{CCF8DCA1-3D70-46FE-BFCD-38E1A15639B6}"/>
    <dgm:cxn modelId="{1F21E38C-1155-435D-A120-C358AEA33E58}" srcId="{8F05E09F-D018-4FE5-9B44-B4453C291D21}" destId="{E36EEBC4-05F7-4981-8C22-C5411FF46672}" srcOrd="3" destOrd="0" parTransId="{22349E75-DBFB-4EEC-ABD8-42D1D0C89911}" sibTransId="{5A60EC33-0ACB-4D37-874E-9864D56927BD}"/>
    <dgm:cxn modelId="{AE79E81D-6D3F-447A-83D9-17976D6A1860}" type="presOf" srcId="{B4B77B85-AB8D-4173-B8F4-B69742252F24}" destId="{6FBC3E95-C9FE-4BE0-AD95-F982F5900E34}" srcOrd="0" destOrd="0" presId="urn:microsoft.com/office/officeart/2005/8/layout/process4"/>
    <dgm:cxn modelId="{6FE6AB10-FE69-4131-AF05-B2F8B8E09325}" type="presOf" srcId="{667BA58C-DE6F-4C81-8424-C97E77874876}" destId="{20E34D21-591E-4614-995F-0ADE79E299C9}" srcOrd="0" destOrd="0" presId="urn:microsoft.com/office/officeart/2005/8/layout/process4"/>
    <dgm:cxn modelId="{DA8BA8F9-829A-469D-90E2-98AF1095A56D}" type="presOf" srcId="{E5D740C3-F51A-4C8F-8EC2-885DC92A4152}" destId="{3F9D3919-E1EA-46A3-8C54-8892AAABBE91}" srcOrd="0" destOrd="0" presId="urn:microsoft.com/office/officeart/2005/8/layout/process4"/>
    <dgm:cxn modelId="{3BDACD31-E9C9-48C6-8EBA-E9A10FC00B5E}" srcId="{E36EEBC4-05F7-4981-8C22-C5411FF46672}" destId="{1258D239-8349-4184-ACEF-F9072367F413}" srcOrd="0" destOrd="0" parTransId="{1EAD3B7C-97EB-46AB-8B7D-B516F8D9BCB4}" sibTransId="{7E998A40-4F7F-4EE4-A2C4-9F71A027FC17}"/>
    <dgm:cxn modelId="{36C697AB-6BF7-4988-A1A7-AB46631110A1}" srcId="{8F05E09F-D018-4FE5-9B44-B4453C291D21}" destId="{D9A37964-48F5-4061-B7D9-2B8828364928}" srcOrd="1" destOrd="0" parTransId="{8E66F4FE-5EC6-429C-875E-8517553B50E5}" sibTransId="{67C62706-EDAD-4250-AA21-260B6C60C6CC}"/>
    <dgm:cxn modelId="{6E30752A-39B7-4C72-9075-34A666D408F0}" type="presOf" srcId="{1258D239-8349-4184-ACEF-F9072367F413}" destId="{CC6081A0-D201-4FE6-BFF3-34C5F1D7D9F6}" srcOrd="0" destOrd="0" presId="urn:microsoft.com/office/officeart/2005/8/layout/process4"/>
    <dgm:cxn modelId="{3BC194A9-C8AA-492D-9528-C2BFB06610BF}" type="presOf" srcId="{D9A37964-48F5-4061-B7D9-2B8828364928}" destId="{CC2BA1ED-9E36-4516-B237-F64D72BF6D6F}" srcOrd="0" destOrd="0" presId="urn:microsoft.com/office/officeart/2005/8/layout/process4"/>
    <dgm:cxn modelId="{7003B558-FF20-429E-A4AE-BB7B0A57A455}" type="presOf" srcId="{E36EEBC4-05F7-4981-8C22-C5411FF46672}" destId="{43CB29BE-4D53-417A-AD02-F1FCC052E860}" srcOrd="1" destOrd="0" presId="urn:microsoft.com/office/officeart/2005/8/layout/process4"/>
    <dgm:cxn modelId="{3A1B4055-9B2C-461E-B85B-817F83405F17}" type="presOf" srcId="{8F05E09F-D018-4FE5-9B44-B4453C291D21}" destId="{B62B29F6-6DAE-4ECA-B7EB-C8B10F02BB73}" srcOrd="0" destOrd="0" presId="urn:microsoft.com/office/officeart/2005/8/layout/process4"/>
    <dgm:cxn modelId="{6E93EDCE-3C02-4C1D-A305-064965FE7F6A}" type="presOf" srcId="{8A428986-8F71-4303-B61D-6A5A86FAB420}" destId="{6A631D41-1FAD-48A6-BA60-877A0FC810AA}" srcOrd="0" destOrd="0" presId="urn:microsoft.com/office/officeart/2005/8/layout/process4"/>
    <dgm:cxn modelId="{D66BB453-15FA-4CE4-8D0E-45C6E27ACB91}" type="presOf" srcId="{969A3349-9218-4069-95DD-467971110FEC}" destId="{0FF95BE5-9191-4870-95D6-5CE02CCEB42B}" srcOrd="0" destOrd="0" presId="urn:microsoft.com/office/officeart/2005/8/layout/process4"/>
    <dgm:cxn modelId="{DE53A88B-AF5F-4CD0-AF72-B2F223C9A202}" type="presOf" srcId="{E36EEBC4-05F7-4981-8C22-C5411FF46672}" destId="{79F2FAE2-A45D-4EF2-8F60-941D13E11197}" srcOrd="0" destOrd="0" presId="urn:microsoft.com/office/officeart/2005/8/layout/process4"/>
    <dgm:cxn modelId="{C5D3C766-6BC9-4709-8ADC-14B3E70ED0BC}" srcId="{8F05E09F-D018-4FE5-9B44-B4453C291D21}" destId="{B4B77B85-AB8D-4173-B8F4-B69742252F24}" srcOrd="2" destOrd="0" parTransId="{0006B9EE-880F-4756-8A25-1CFEC1A61611}" sibTransId="{8BDFDB83-9BEC-4CE6-BDFB-2B6FAE338503}"/>
    <dgm:cxn modelId="{C62C2773-B74D-42C2-86EA-4B9BFEB54D2C}" type="presOf" srcId="{B4B77B85-AB8D-4173-B8F4-B69742252F24}" destId="{8C6CE277-25EF-4BB3-BFC4-19F282143301}" srcOrd="1" destOrd="0" presId="urn:microsoft.com/office/officeart/2005/8/layout/process4"/>
    <dgm:cxn modelId="{9AF19106-763C-4254-A16A-5AFB6AD00501}" type="presOf" srcId="{D9A37964-48F5-4061-B7D9-2B8828364928}" destId="{DBA0CE2F-48B5-48BA-B731-4408BD9E1F81}" srcOrd="1" destOrd="0" presId="urn:microsoft.com/office/officeart/2005/8/layout/process4"/>
    <dgm:cxn modelId="{5B525224-6170-4023-96F9-27922F820C9B}" srcId="{D9A37964-48F5-4061-B7D9-2B8828364928}" destId="{969A3349-9218-4069-95DD-467971110FEC}" srcOrd="0" destOrd="0" parTransId="{ABEAA278-D505-4ED5-935C-0D85EF6D3345}" sibTransId="{33DA13E1-28A2-4580-8FBF-AE4D4C125014}"/>
    <dgm:cxn modelId="{E735AC5F-D812-4195-9946-1FE7D3B863E4}" type="presParOf" srcId="{B62B29F6-6DAE-4ECA-B7EB-C8B10F02BB73}" destId="{7A2B2CD6-0FDF-4ED1-8B70-B51EBA05ABC3}" srcOrd="0" destOrd="0" presId="urn:microsoft.com/office/officeart/2005/8/layout/process4"/>
    <dgm:cxn modelId="{438B02BD-A0AD-45AC-9943-0567CD30CDFD}" type="presParOf" srcId="{7A2B2CD6-0FDF-4ED1-8B70-B51EBA05ABC3}" destId="{79F2FAE2-A45D-4EF2-8F60-941D13E11197}" srcOrd="0" destOrd="0" presId="urn:microsoft.com/office/officeart/2005/8/layout/process4"/>
    <dgm:cxn modelId="{2C7CE990-962F-457B-8A8C-9F3FCADE4E6D}" type="presParOf" srcId="{7A2B2CD6-0FDF-4ED1-8B70-B51EBA05ABC3}" destId="{43CB29BE-4D53-417A-AD02-F1FCC052E860}" srcOrd="1" destOrd="0" presId="urn:microsoft.com/office/officeart/2005/8/layout/process4"/>
    <dgm:cxn modelId="{A0D52CC0-9501-4D52-A8A4-A1ECF0A4F6E7}" type="presParOf" srcId="{7A2B2CD6-0FDF-4ED1-8B70-B51EBA05ABC3}" destId="{AEB1C61D-2EEE-4E76-85EA-6A9BCC17027C}" srcOrd="2" destOrd="0" presId="urn:microsoft.com/office/officeart/2005/8/layout/process4"/>
    <dgm:cxn modelId="{DA3A0763-82A0-4089-8F6C-A48ADDED9CDD}" type="presParOf" srcId="{AEB1C61D-2EEE-4E76-85EA-6A9BCC17027C}" destId="{CC6081A0-D201-4FE6-BFF3-34C5F1D7D9F6}" srcOrd="0" destOrd="0" presId="urn:microsoft.com/office/officeart/2005/8/layout/process4"/>
    <dgm:cxn modelId="{0534B403-64D5-4FAA-A100-07380CEF6354}" type="presParOf" srcId="{AEB1C61D-2EEE-4E76-85EA-6A9BCC17027C}" destId="{213CCA8C-1DD8-43C6-8018-22BE261B0E56}" srcOrd="1" destOrd="0" presId="urn:microsoft.com/office/officeart/2005/8/layout/process4"/>
    <dgm:cxn modelId="{B92FE2A7-55C2-4390-83F9-BE011DC3CD06}" type="presParOf" srcId="{B62B29F6-6DAE-4ECA-B7EB-C8B10F02BB73}" destId="{2902CBE6-2ED1-49C1-B25C-AD18BAF44342}" srcOrd="1" destOrd="0" presId="urn:microsoft.com/office/officeart/2005/8/layout/process4"/>
    <dgm:cxn modelId="{18752095-B7F3-471F-950C-BD0113DD536A}" type="presParOf" srcId="{B62B29F6-6DAE-4ECA-B7EB-C8B10F02BB73}" destId="{B8596B25-61FF-43F7-92FC-4A66A0BC3F38}" srcOrd="2" destOrd="0" presId="urn:microsoft.com/office/officeart/2005/8/layout/process4"/>
    <dgm:cxn modelId="{551797A8-3429-48B2-8005-5715D55694F8}" type="presParOf" srcId="{B8596B25-61FF-43F7-92FC-4A66A0BC3F38}" destId="{6FBC3E95-C9FE-4BE0-AD95-F982F5900E34}" srcOrd="0" destOrd="0" presId="urn:microsoft.com/office/officeart/2005/8/layout/process4"/>
    <dgm:cxn modelId="{784D713A-C9D6-4416-A686-A2ADBF50BF57}" type="presParOf" srcId="{B8596B25-61FF-43F7-92FC-4A66A0BC3F38}" destId="{8C6CE277-25EF-4BB3-BFC4-19F282143301}" srcOrd="1" destOrd="0" presId="urn:microsoft.com/office/officeart/2005/8/layout/process4"/>
    <dgm:cxn modelId="{0C1C9CB0-4FC5-4E8B-A817-3ADC92267150}" type="presParOf" srcId="{B8596B25-61FF-43F7-92FC-4A66A0BC3F38}" destId="{282E1D2F-8D61-4E1E-8B98-5020F7D51F7C}" srcOrd="2" destOrd="0" presId="urn:microsoft.com/office/officeart/2005/8/layout/process4"/>
    <dgm:cxn modelId="{E64A4CF9-46CF-4494-AE61-198EA9D1B23F}" type="presParOf" srcId="{282E1D2F-8D61-4E1E-8B98-5020F7D51F7C}" destId="{20E34D21-591E-4614-995F-0ADE79E299C9}" srcOrd="0" destOrd="0" presId="urn:microsoft.com/office/officeart/2005/8/layout/process4"/>
    <dgm:cxn modelId="{0AA47B47-03A8-4316-80A3-CFE718F567C0}" type="presParOf" srcId="{282E1D2F-8D61-4E1E-8B98-5020F7D51F7C}" destId="{28DB0BDC-D2F7-41F2-B4DA-5D5B1343498F}" srcOrd="1" destOrd="0" presId="urn:microsoft.com/office/officeart/2005/8/layout/process4"/>
    <dgm:cxn modelId="{C7097B54-2110-46AE-A95F-BBBC520D2714}" type="presParOf" srcId="{B62B29F6-6DAE-4ECA-B7EB-C8B10F02BB73}" destId="{693ED221-AD77-43DF-8D86-DBBC8A31F04C}" srcOrd="3" destOrd="0" presId="urn:microsoft.com/office/officeart/2005/8/layout/process4"/>
    <dgm:cxn modelId="{7AFB45E7-7520-4B1C-B2D6-7A8EE9C45FAA}" type="presParOf" srcId="{B62B29F6-6DAE-4ECA-B7EB-C8B10F02BB73}" destId="{6E70B460-C524-4FC3-9BF4-0BB79A762B35}" srcOrd="4" destOrd="0" presId="urn:microsoft.com/office/officeart/2005/8/layout/process4"/>
    <dgm:cxn modelId="{3703803C-7E6B-42F6-9EC5-83580494B9BF}" type="presParOf" srcId="{6E70B460-C524-4FC3-9BF4-0BB79A762B35}" destId="{CC2BA1ED-9E36-4516-B237-F64D72BF6D6F}" srcOrd="0" destOrd="0" presId="urn:microsoft.com/office/officeart/2005/8/layout/process4"/>
    <dgm:cxn modelId="{77AF3967-FF7F-4CE4-9BFB-819F9435243F}" type="presParOf" srcId="{6E70B460-C524-4FC3-9BF4-0BB79A762B35}" destId="{DBA0CE2F-48B5-48BA-B731-4408BD9E1F81}" srcOrd="1" destOrd="0" presId="urn:microsoft.com/office/officeart/2005/8/layout/process4"/>
    <dgm:cxn modelId="{737ED62F-3428-4545-A613-D16899B04651}" type="presParOf" srcId="{6E70B460-C524-4FC3-9BF4-0BB79A762B35}" destId="{EC911995-BF89-4FA4-A023-98A27EFBFEC4}" srcOrd="2" destOrd="0" presId="urn:microsoft.com/office/officeart/2005/8/layout/process4"/>
    <dgm:cxn modelId="{CBE3E631-FB97-4894-B9E3-DC2F2CD6C2F8}" type="presParOf" srcId="{EC911995-BF89-4FA4-A023-98A27EFBFEC4}" destId="{0FF95BE5-9191-4870-95D6-5CE02CCEB42B}" srcOrd="0" destOrd="0" presId="urn:microsoft.com/office/officeart/2005/8/layout/process4"/>
    <dgm:cxn modelId="{1DB9D8F1-0AC0-42C3-B205-DB5867FDA763}" type="presParOf" srcId="{EC911995-BF89-4FA4-A023-98A27EFBFEC4}" destId="{6A631D41-1FAD-48A6-BA60-877A0FC810AA}" srcOrd="1" destOrd="0" presId="urn:microsoft.com/office/officeart/2005/8/layout/process4"/>
    <dgm:cxn modelId="{63C23683-FE04-4557-B50F-350F3E4036CC}" type="presParOf" srcId="{B62B29F6-6DAE-4ECA-B7EB-C8B10F02BB73}" destId="{CC5DF521-D1BA-4557-97D9-90D30286FA65}" srcOrd="5" destOrd="0" presId="urn:microsoft.com/office/officeart/2005/8/layout/process4"/>
    <dgm:cxn modelId="{41A4C8EC-9053-4CE7-9B5C-CF0062988E99}" type="presParOf" srcId="{B62B29F6-6DAE-4ECA-B7EB-C8B10F02BB73}" destId="{85AB2497-594E-48C5-898F-0854B86DCCBC}" srcOrd="6" destOrd="0" presId="urn:microsoft.com/office/officeart/2005/8/layout/process4"/>
    <dgm:cxn modelId="{F972A423-552B-4AE0-A786-A8A648DC393A}" type="presParOf" srcId="{85AB2497-594E-48C5-898F-0854B86DCCBC}" destId="{3F9D3919-E1EA-46A3-8C54-8892AAABBE91}" srcOrd="0" destOrd="0" presId="urn:microsoft.com/office/officeart/2005/8/layout/process4"/>
    <dgm:cxn modelId="{CE398E15-6EF1-4E20-B255-65B8F4F89D32}" type="presParOf" srcId="{85AB2497-594E-48C5-898F-0854B86DCCBC}" destId="{20FB684C-8D46-455D-97E4-026CE3535907}" srcOrd="1" destOrd="0" presId="urn:microsoft.com/office/officeart/2005/8/layout/process4"/>
    <dgm:cxn modelId="{5646B6F6-6644-4163-AA43-2FAE3F32EFFB}" type="presParOf" srcId="{85AB2497-594E-48C5-898F-0854B86DCCBC}" destId="{E354AD58-0FA8-477F-8FF4-2D89D94DC472}" srcOrd="2" destOrd="0" presId="urn:microsoft.com/office/officeart/2005/8/layout/process4"/>
    <dgm:cxn modelId="{873470B9-E5D6-409C-B5F2-6B5ADE88268E}" type="presParOf" srcId="{E354AD58-0FA8-477F-8FF4-2D89D94DC472}" destId="{5D06C962-11CB-48D4-A61E-33F242C6238C}"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D4A962-3310-459E-9B1C-DC2A8AA98040}" type="doc">
      <dgm:prSet loTypeId="urn:microsoft.com/office/officeart/2005/8/layout/hProcess4" loCatId="process" qsTypeId="urn:microsoft.com/office/officeart/2005/8/quickstyle/simple5" qsCatId="simple" csTypeId="urn:microsoft.com/office/officeart/2005/8/colors/accent3_2" csCatId="accent3" phldr="1"/>
      <dgm:spPr/>
      <dgm:t>
        <a:bodyPr/>
        <a:lstStyle/>
        <a:p>
          <a:endParaRPr lang="en-US"/>
        </a:p>
      </dgm:t>
    </dgm:pt>
    <dgm:pt modelId="{7F8612A2-0217-4C28-85A6-63AED5561BFF}">
      <dgm:prSet phldrT="[Text]"/>
      <dgm:spPr/>
      <dgm:t>
        <a:bodyPr/>
        <a:lstStyle/>
        <a:p>
          <a:r>
            <a:rPr lang="ro-MD">
              <a:latin typeface="+mj-lt"/>
            </a:rPr>
            <a:t>IMSP</a:t>
          </a:r>
          <a:endParaRPr lang="en-US">
            <a:latin typeface="+mj-lt"/>
          </a:endParaRPr>
        </a:p>
      </dgm:t>
    </dgm:pt>
    <dgm:pt modelId="{EC70EE78-4D7C-40C6-8D87-FE8AF12AEBFA}" type="parTrans" cxnId="{D90B0FED-00EA-4049-A244-1CC67F613062}">
      <dgm:prSet/>
      <dgm:spPr/>
      <dgm:t>
        <a:bodyPr/>
        <a:lstStyle/>
        <a:p>
          <a:endParaRPr lang="en-US">
            <a:latin typeface="+mj-lt"/>
          </a:endParaRPr>
        </a:p>
      </dgm:t>
    </dgm:pt>
    <dgm:pt modelId="{36608651-8738-47E0-9697-4C48DD378C6A}" type="sibTrans" cxnId="{D90B0FED-00EA-4049-A244-1CC67F613062}">
      <dgm:prSet/>
      <dgm:spPr/>
      <dgm:t>
        <a:bodyPr/>
        <a:lstStyle/>
        <a:p>
          <a:endParaRPr lang="en-US">
            <a:latin typeface="+mj-lt"/>
          </a:endParaRPr>
        </a:p>
      </dgm:t>
    </dgm:pt>
    <dgm:pt modelId="{FACC9D71-A04C-4501-9356-EDD114D85278}">
      <dgm:prSet phldrT="[Text]" custT="1"/>
      <dgm:spPr/>
      <dgm:t>
        <a:bodyPr/>
        <a:lstStyle/>
        <a:p>
          <a:r>
            <a:rPr lang="ro-MD" sz="1000">
              <a:latin typeface="+mj-lt"/>
            </a:rPr>
            <a:t>eliberează certificatul concediului medical</a:t>
          </a:r>
          <a:endParaRPr lang="en-US" sz="1000">
            <a:latin typeface="+mj-lt"/>
          </a:endParaRPr>
        </a:p>
      </dgm:t>
    </dgm:pt>
    <dgm:pt modelId="{5959721C-8CFD-4B88-84FF-49D82FDBC342}" type="parTrans" cxnId="{11FAA97D-66B5-46B9-9043-60044A873C3A}">
      <dgm:prSet/>
      <dgm:spPr/>
      <dgm:t>
        <a:bodyPr/>
        <a:lstStyle/>
        <a:p>
          <a:endParaRPr lang="en-US">
            <a:latin typeface="+mj-lt"/>
          </a:endParaRPr>
        </a:p>
      </dgm:t>
    </dgm:pt>
    <dgm:pt modelId="{1380F754-1A74-417E-B0C6-9B4DD6DFCC70}" type="sibTrans" cxnId="{11FAA97D-66B5-46B9-9043-60044A873C3A}">
      <dgm:prSet/>
      <dgm:spPr/>
      <dgm:t>
        <a:bodyPr/>
        <a:lstStyle/>
        <a:p>
          <a:endParaRPr lang="en-US">
            <a:latin typeface="+mj-lt"/>
          </a:endParaRPr>
        </a:p>
      </dgm:t>
    </dgm:pt>
    <dgm:pt modelId="{7720C4E8-8227-4B40-86BE-A94F82D26F7D}">
      <dgm:prSet phldrT="[Text]" custT="1"/>
      <dgm:spPr/>
      <dgm:t>
        <a:bodyPr/>
        <a:lstStyle/>
        <a:p>
          <a:r>
            <a:rPr lang="ro-MD" sz="1000">
              <a:latin typeface="+mj-lt"/>
            </a:rPr>
            <a:t>introduce datele din certificat </a:t>
          </a:r>
          <a:r>
            <a:rPr lang="ro-MD" sz="1000" b="1">
              <a:latin typeface="+mj-lt"/>
            </a:rPr>
            <a:t>în decurs de 5 zile </a:t>
          </a:r>
          <a:r>
            <a:rPr lang="ro-MD" sz="1000">
              <a:latin typeface="+mj-lt"/>
            </a:rPr>
            <a:t>în Portalul certificatelor de concediu medical </a:t>
          </a:r>
          <a:endParaRPr lang="en-US" sz="1000">
            <a:latin typeface="+mj-lt"/>
          </a:endParaRPr>
        </a:p>
      </dgm:t>
    </dgm:pt>
    <dgm:pt modelId="{417A5239-6D99-4691-BA5B-A270860CD84A}" type="parTrans" cxnId="{C49C2B9E-3846-44A4-BFD9-EC7113364ABD}">
      <dgm:prSet/>
      <dgm:spPr/>
      <dgm:t>
        <a:bodyPr/>
        <a:lstStyle/>
        <a:p>
          <a:endParaRPr lang="en-US">
            <a:latin typeface="+mj-lt"/>
          </a:endParaRPr>
        </a:p>
      </dgm:t>
    </dgm:pt>
    <dgm:pt modelId="{CE2BF6EC-8619-4A2C-AE86-1C66BE1E98CF}" type="sibTrans" cxnId="{C49C2B9E-3846-44A4-BFD9-EC7113364ABD}">
      <dgm:prSet/>
      <dgm:spPr/>
      <dgm:t>
        <a:bodyPr/>
        <a:lstStyle/>
        <a:p>
          <a:endParaRPr lang="en-US">
            <a:latin typeface="+mj-lt"/>
          </a:endParaRPr>
        </a:p>
      </dgm:t>
    </dgm:pt>
    <dgm:pt modelId="{CEBAD458-84EB-4708-AC0D-E62D9F3399F0}">
      <dgm:prSet phldrT="[Text]"/>
      <dgm:spPr/>
      <dgm:t>
        <a:bodyPr/>
        <a:lstStyle/>
        <a:p>
          <a:r>
            <a:rPr lang="ro-MD">
              <a:latin typeface="+mj-lt"/>
            </a:rPr>
            <a:t>MS</a:t>
          </a:r>
          <a:endParaRPr lang="en-US">
            <a:latin typeface="+mj-lt"/>
          </a:endParaRPr>
        </a:p>
      </dgm:t>
    </dgm:pt>
    <dgm:pt modelId="{85E60BF4-442B-473A-8A77-C91B2EE802B2}" type="parTrans" cxnId="{EA27CA21-B3E7-4BD1-BC37-1F1DD1175F45}">
      <dgm:prSet/>
      <dgm:spPr/>
      <dgm:t>
        <a:bodyPr/>
        <a:lstStyle/>
        <a:p>
          <a:endParaRPr lang="en-US">
            <a:latin typeface="+mj-lt"/>
          </a:endParaRPr>
        </a:p>
      </dgm:t>
    </dgm:pt>
    <dgm:pt modelId="{1FDB4FF5-8A4D-4F67-BD3D-4B9008F808AA}" type="sibTrans" cxnId="{EA27CA21-B3E7-4BD1-BC37-1F1DD1175F45}">
      <dgm:prSet/>
      <dgm:spPr/>
      <dgm:t>
        <a:bodyPr/>
        <a:lstStyle/>
        <a:p>
          <a:endParaRPr lang="en-US">
            <a:latin typeface="+mj-lt"/>
          </a:endParaRPr>
        </a:p>
      </dgm:t>
    </dgm:pt>
    <dgm:pt modelId="{90FE83C3-8C93-4BF8-A1CA-BDF67F927C96}">
      <dgm:prSet phldrT="[Text]" custT="1"/>
      <dgm:spPr/>
      <dgm:t>
        <a:bodyPr/>
        <a:lstStyle/>
        <a:p>
          <a:r>
            <a:rPr lang="ro-MD" sz="1000">
              <a:latin typeface="+mj-lt"/>
            </a:rPr>
            <a:t>recepționează în Portal datele din certificatul de concediu medical</a:t>
          </a:r>
          <a:endParaRPr lang="en-US" sz="1000">
            <a:latin typeface="+mj-lt"/>
          </a:endParaRPr>
        </a:p>
      </dgm:t>
    </dgm:pt>
    <dgm:pt modelId="{E970A722-711E-45F3-856B-BE52C3F9BC5B}" type="parTrans" cxnId="{940A81FE-A28B-4379-AA18-ABD7CD455DE1}">
      <dgm:prSet/>
      <dgm:spPr/>
      <dgm:t>
        <a:bodyPr/>
        <a:lstStyle/>
        <a:p>
          <a:endParaRPr lang="en-US">
            <a:latin typeface="+mj-lt"/>
          </a:endParaRPr>
        </a:p>
      </dgm:t>
    </dgm:pt>
    <dgm:pt modelId="{4228DE43-F1F0-417F-AD29-F2A3E308ED99}" type="sibTrans" cxnId="{940A81FE-A28B-4379-AA18-ABD7CD455DE1}">
      <dgm:prSet/>
      <dgm:spPr/>
      <dgm:t>
        <a:bodyPr/>
        <a:lstStyle/>
        <a:p>
          <a:endParaRPr lang="en-US">
            <a:latin typeface="+mj-lt"/>
          </a:endParaRPr>
        </a:p>
      </dgm:t>
    </dgm:pt>
    <dgm:pt modelId="{30A0D28B-A946-4CE8-8DE2-E00EC33A7DC0}">
      <dgm:prSet phldrT="[Text]" custT="1"/>
      <dgm:spPr/>
      <dgm:t>
        <a:bodyPr/>
        <a:lstStyle/>
        <a:p>
          <a:r>
            <a:rPr lang="ro-MD" sz="1000">
              <a:latin typeface="+mj-lt"/>
            </a:rPr>
            <a:t>transmiterea automată a datelor din certificatul de concediu medical prin intermediul Portalului către CNAS</a:t>
          </a:r>
          <a:endParaRPr lang="en-US" sz="1000">
            <a:latin typeface="+mj-lt"/>
          </a:endParaRPr>
        </a:p>
      </dgm:t>
    </dgm:pt>
    <dgm:pt modelId="{D205ADA8-F575-496D-9F2A-1B1C9CF984A6}" type="parTrans" cxnId="{86C79055-5385-42CA-9381-DEBBA4E355BE}">
      <dgm:prSet/>
      <dgm:spPr/>
      <dgm:t>
        <a:bodyPr/>
        <a:lstStyle/>
        <a:p>
          <a:endParaRPr lang="en-US">
            <a:latin typeface="+mj-lt"/>
          </a:endParaRPr>
        </a:p>
      </dgm:t>
    </dgm:pt>
    <dgm:pt modelId="{8EE6502F-8B53-4F35-9373-DF10B71EFC76}" type="sibTrans" cxnId="{86C79055-5385-42CA-9381-DEBBA4E355BE}">
      <dgm:prSet/>
      <dgm:spPr/>
      <dgm:t>
        <a:bodyPr/>
        <a:lstStyle/>
        <a:p>
          <a:endParaRPr lang="en-US">
            <a:latin typeface="+mj-lt"/>
          </a:endParaRPr>
        </a:p>
      </dgm:t>
    </dgm:pt>
    <dgm:pt modelId="{19D86033-E314-4ECE-9A74-DC3E0B0417E8}">
      <dgm:prSet phldrT="[Text]"/>
      <dgm:spPr/>
      <dgm:t>
        <a:bodyPr/>
        <a:lstStyle/>
        <a:p>
          <a:r>
            <a:rPr lang="ro-MD">
              <a:latin typeface="+mj-lt"/>
            </a:rPr>
            <a:t>CNAS</a:t>
          </a:r>
          <a:endParaRPr lang="en-US">
            <a:latin typeface="+mj-lt"/>
          </a:endParaRPr>
        </a:p>
      </dgm:t>
    </dgm:pt>
    <dgm:pt modelId="{829F92D0-CDF8-4944-A4E4-BD45B163BAFF}" type="parTrans" cxnId="{BD6EF880-7FEF-42E4-952E-A17EC71A103B}">
      <dgm:prSet/>
      <dgm:spPr/>
      <dgm:t>
        <a:bodyPr/>
        <a:lstStyle/>
        <a:p>
          <a:endParaRPr lang="en-US">
            <a:latin typeface="+mj-lt"/>
          </a:endParaRPr>
        </a:p>
      </dgm:t>
    </dgm:pt>
    <dgm:pt modelId="{A71CA882-B7A8-496B-8A72-9E424901B044}" type="sibTrans" cxnId="{BD6EF880-7FEF-42E4-952E-A17EC71A103B}">
      <dgm:prSet/>
      <dgm:spPr/>
      <dgm:t>
        <a:bodyPr/>
        <a:lstStyle/>
        <a:p>
          <a:endParaRPr lang="en-US">
            <a:latin typeface="+mj-lt"/>
          </a:endParaRPr>
        </a:p>
      </dgm:t>
    </dgm:pt>
    <dgm:pt modelId="{5F0F079C-3BF1-48F6-8D45-8C3454F54F19}">
      <dgm:prSet phldrT="[Text]" custT="1"/>
      <dgm:spPr/>
      <dgm:t>
        <a:bodyPr/>
        <a:lstStyle/>
        <a:p>
          <a:r>
            <a:rPr lang="ro-MD" sz="1000">
              <a:latin typeface="+mj-lt"/>
            </a:rPr>
            <a:t>recepționează datele din Portalul certificatelor de concediu medical</a:t>
          </a:r>
          <a:endParaRPr lang="en-US" sz="1000">
            <a:latin typeface="+mj-lt"/>
          </a:endParaRPr>
        </a:p>
      </dgm:t>
    </dgm:pt>
    <dgm:pt modelId="{7CA070C9-2FC5-477A-A218-5F427971A069}" type="parTrans" cxnId="{D82E8B8E-1F60-45E8-9857-9C2D38249032}">
      <dgm:prSet/>
      <dgm:spPr/>
      <dgm:t>
        <a:bodyPr/>
        <a:lstStyle/>
        <a:p>
          <a:endParaRPr lang="en-US">
            <a:latin typeface="+mj-lt"/>
          </a:endParaRPr>
        </a:p>
      </dgm:t>
    </dgm:pt>
    <dgm:pt modelId="{EA0AA15C-9149-4CF9-807F-939766E10CDB}" type="sibTrans" cxnId="{D82E8B8E-1F60-45E8-9857-9C2D38249032}">
      <dgm:prSet/>
      <dgm:spPr/>
      <dgm:t>
        <a:bodyPr/>
        <a:lstStyle/>
        <a:p>
          <a:endParaRPr lang="en-US">
            <a:latin typeface="+mj-lt"/>
          </a:endParaRPr>
        </a:p>
      </dgm:t>
    </dgm:pt>
    <dgm:pt modelId="{B25FF4F5-C494-4A4B-B6B2-88C539140815}">
      <dgm:prSet phldrT="[Text]" custT="1"/>
      <dgm:spPr/>
      <dgm:t>
        <a:bodyPr/>
        <a:lstStyle/>
        <a:p>
          <a:r>
            <a:rPr lang="ro-MD" sz="1000">
              <a:latin typeface="+mj-lt"/>
            </a:rPr>
            <a:t>stabilirea indemnizației de incapacitate temporară de muncă în </a:t>
          </a:r>
          <a:r>
            <a:rPr lang="ro-MD" sz="1000" b="1">
              <a:latin typeface="+mj-lt"/>
            </a:rPr>
            <a:t>decurs de 15-30 zile</a:t>
          </a:r>
          <a:endParaRPr lang="en-US" sz="1000" b="1">
            <a:latin typeface="+mj-lt"/>
          </a:endParaRPr>
        </a:p>
      </dgm:t>
    </dgm:pt>
    <dgm:pt modelId="{BC262C7E-B2C0-4347-AC96-A06E11CE1C44}" type="parTrans" cxnId="{435D05F6-A2FD-4A37-9267-8AEB5140006C}">
      <dgm:prSet/>
      <dgm:spPr/>
      <dgm:t>
        <a:bodyPr/>
        <a:lstStyle/>
        <a:p>
          <a:endParaRPr lang="en-US">
            <a:latin typeface="+mj-lt"/>
          </a:endParaRPr>
        </a:p>
      </dgm:t>
    </dgm:pt>
    <dgm:pt modelId="{8044E6B2-AD13-41B5-9864-836751C32AA4}" type="sibTrans" cxnId="{435D05F6-A2FD-4A37-9267-8AEB5140006C}">
      <dgm:prSet/>
      <dgm:spPr/>
      <dgm:t>
        <a:bodyPr/>
        <a:lstStyle/>
        <a:p>
          <a:endParaRPr lang="en-US">
            <a:latin typeface="+mj-lt"/>
          </a:endParaRPr>
        </a:p>
      </dgm:t>
    </dgm:pt>
    <dgm:pt modelId="{FCCB179D-5C2F-4B10-978A-088146A8A5E0}" type="pres">
      <dgm:prSet presAssocID="{81D4A962-3310-459E-9B1C-DC2A8AA98040}" presName="Name0" presStyleCnt="0">
        <dgm:presLayoutVars>
          <dgm:dir/>
          <dgm:animLvl val="lvl"/>
          <dgm:resizeHandles val="exact"/>
        </dgm:presLayoutVars>
      </dgm:prSet>
      <dgm:spPr/>
      <dgm:t>
        <a:bodyPr/>
        <a:lstStyle/>
        <a:p>
          <a:endParaRPr lang="en-US"/>
        </a:p>
      </dgm:t>
    </dgm:pt>
    <dgm:pt modelId="{E577140C-95F8-450D-94B3-146FAF4F3FD7}" type="pres">
      <dgm:prSet presAssocID="{81D4A962-3310-459E-9B1C-DC2A8AA98040}" presName="tSp" presStyleCnt="0"/>
      <dgm:spPr/>
      <dgm:t>
        <a:bodyPr/>
        <a:lstStyle/>
        <a:p>
          <a:endParaRPr lang="en-US"/>
        </a:p>
      </dgm:t>
    </dgm:pt>
    <dgm:pt modelId="{E40ACE2E-06E0-4049-836A-02E6FF4B7532}" type="pres">
      <dgm:prSet presAssocID="{81D4A962-3310-459E-9B1C-DC2A8AA98040}" presName="bSp" presStyleCnt="0"/>
      <dgm:spPr/>
      <dgm:t>
        <a:bodyPr/>
        <a:lstStyle/>
        <a:p>
          <a:endParaRPr lang="en-US"/>
        </a:p>
      </dgm:t>
    </dgm:pt>
    <dgm:pt modelId="{E45FB40E-0BA0-4D03-9350-4BFCD3F17EF6}" type="pres">
      <dgm:prSet presAssocID="{81D4A962-3310-459E-9B1C-DC2A8AA98040}" presName="process" presStyleCnt="0"/>
      <dgm:spPr/>
      <dgm:t>
        <a:bodyPr/>
        <a:lstStyle/>
        <a:p>
          <a:endParaRPr lang="en-US"/>
        </a:p>
      </dgm:t>
    </dgm:pt>
    <dgm:pt modelId="{1032756C-8CB6-4A3B-B264-9B6257942DDD}" type="pres">
      <dgm:prSet presAssocID="{7F8612A2-0217-4C28-85A6-63AED5561BFF}" presName="composite1" presStyleCnt="0"/>
      <dgm:spPr/>
      <dgm:t>
        <a:bodyPr/>
        <a:lstStyle/>
        <a:p>
          <a:endParaRPr lang="en-US"/>
        </a:p>
      </dgm:t>
    </dgm:pt>
    <dgm:pt modelId="{04D5468D-B85B-4D87-B74F-9BA771B2DD1C}" type="pres">
      <dgm:prSet presAssocID="{7F8612A2-0217-4C28-85A6-63AED5561BFF}" presName="dummyNode1" presStyleLbl="node1" presStyleIdx="0" presStyleCnt="3"/>
      <dgm:spPr/>
      <dgm:t>
        <a:bodyPr/>
        <a:lstStyle/>
        <a:p>
          <a:endParaRPr lang="en-US"/>
        </a:p>
      </dgm:t>
    </dgm:pt>
    <dgm:pt modelId="{4FC25ADE-94E4-4349-8703-2C4D37BDC948}" type="pres">
      <dgm:prSet presAssocID="{7F8612A2-0217-4C28-85A6-63AED5561BFF}" presName="childNode1" presStyleLbl="bgAcc1" presStyleIdx="0" presStyleCnt="3" custScaleX="116930" custScaleY="116216" custLinFactNeighborX="-2853" custLinFactNeighborY="-3459">
        <dgm:presLayoutVars>
          <dgm:bulletEnabled val="1"/>
        </dgm:presLayoutVars>
      </dgm:prSet>
      <dgm:spPr/>
      <dgm:t>
        <a:bodyPr/>
        <a:lstStyle/>
        <a:p>
          <a:endParaRPr lang="en-US"/>
        </a:p>
      </dgm:t>
    </dgm:pt>
    <dgm:pt modelId="{AE320582-18F9-4E55-B19A-79F6B406A0EA}" type="pres">
      <dgm:prSet presAssocID="{7F8612A2-0217-4C28-85A6-63AED5561BFF}" presName="childNode1tx" presStyleLbl="bgAcc1" presStyleIdx="0" presStyleCnt="3">
        <dgm:presLayoutVars>
          <dgm:bulletEnabled val="1"/>
        </dgm:presLayoutVars>
      </dgm:prSet>
      <dgm:spPr/>
      <dgm:t>
        <a:bodyPr/>
        <a:lstStyle/>
        <a:p>
          <a:endParaRPr lang="en-US"/>
        </a:p>
      </dgm:t>
    </dgm:pt>
    <dgm:pt modelId="{EF9F51F0-1BE5-49F5-B010-84B89445B064}" type="pres">
      <dgm:prSet presAssocID="{7F8612A2-0217-4C28-85A6-63AED5561BFF}" presName="parentNode1" presStyleLbl="node1" presStyleIdx="0" presStyleCnt="3" custLinFactNeighborX="-3446" custLinFactNeighborY="20222">
        <dgm:presLayoutVars>
          <dgm:chMax val="1"/>
          <dgm:bulletEnabled val="1"/>
        </dgm:presLayoutVars>
      </dgm:prSet>
      <dgm:spPr/>
      <dgm:t>
        <a:bodyPr/>
        <a:lstStyle/>
        <a:p>
          <a:endParaRPr lang="en-US"/>
        </a:p>
      </dgm:t>
    </dgm:pt>
    <dgm:pt modelId="{55A28E82-DCF6-45F8-8961-D0CFD46A366D}" type="pres">
      <dgm:prSet presAssocID="{7F8612A2-0217-4C28-85A6-63AED5561BFF}" presName="connSite1" presStyleCnt="0"/>
      <dgm:spPr/>
      <dgm:t>
        <a:bodyPr/>
        <a:lstStyle/>
        <a:p>
          <a:endParaRPr lang="en-US"/>
        </a:p>
      </dgm:t>
    </dgm:pt>
    <dgm:pt modelId="{4AE01738-9417-4506-876D-021E1125557E}" type="pres">
      <dgm:prSet presAssocID="{36608651-8738-47E0-9697-4C48DD378C6A}" presName="Name9" presStyleLbl="sibTrans2D1" presStyleIdx="0" presStyleCnt="2" custAng="0" custLinFactNeighborX="-1281" custLinFactNeighborY="427"/>
      <dgm:spPr/>
      <dgm:t>
        <a:bodyPr/>
        <a:lstStyle/>
        <a:p>
          <a:endParaRPr lang="en-US"/>
        </a:p>
      </dgm:t>
    </dgm:pt>
    <dgm:pt modelId="{18541B92-5B29-44ED-B08B-4CC0DF0C4CFF}" type="pres">
      <dgm:prSet presAssocID="{CEBAD458-84EB-4708-AC0D-E62D9F3399F0}" presName="composite2" presStyleCnt="0"/>
      <dgm:spPr/>
      <dgm:t>
        <a:bodyPr/>
        <a:lstStyle/>
        <a:p>
          <a:endParaRPr lang="en-US"/>
        </a:p>
      </dgm:t>
    </dgm:pt>
    <dgm:pt modelId="{52BEB5F5-8E86-4E45-B74B-DD6A70E20612}" type="pres">
      <dgm:prSet presAssocID="{CEBAD458-84EB-4708-AC0D-E62D9F3399F0}" presName="dummyNode2" presStyleLbl="node1" presStyleIdx="0" presStyleCnt="3"/>
      <dgm:spPr/>
      <dgm:t>
        <a:bodyPr/>
        <a:lstStyle/>
        <a:p>
          <a:endParaRPr lang="en-US"/>
        </a:p>
      </dgm:t>
    </dgm:pt>
    <dgm:pt modelId="{86F100AB-8737-477D-9BB1-FAAF5D360A41}" type="pres">
      <dgm:prSet presAssocID="{CEBAD458-84EB-4708-AC0D-E62D9F3399F0}" presName="childNode2" presStyleLbl="bgAcc1" presStyleIdx="1" presStyleCnt="3" custScaleX="128533" custScaleY="133395" custLinFactNeighborX="-3804" custLinFactNeighborY="4469">
        <dgm:presLayoutVars>
          <dgm:bulletEnabled val="1"/>
        </dgm:presLayoutVars>
      </dgm:prSet>
      <dgm:spPr/>
      <dgm:t>
        <a:bodyPr/>
        <a:lstStyle/>
        <a:p>
          <a:endParaRPr lang="en-US"/>
        </a:p>
      </dgm:t>
    </dgm:pt>
    <dgm:pt modelId="{3FF80295-B7C7-4A7C-84B8-846A1C3AFA2E}" type="pres">
      <dgm:prSet presAssocID="{CEBAD458-84EB-4708-AC0D-E62D9F3399F0}" presName="childNode2tx" presStyleLbl="bgAcc1" presStyleIdx="1" presStyleCnt="3">
        <dgm:presLayoutVars>
          <dgm:bulletEnabled val="1"/>
        </dgm:presLayoutVars>
      </dgm:prSet>
      <dgm:spPr/>
      <dgm:t>
        <a:bodyPr/>
        <a:lstStyle/>
        <a:p>
          <a:endParaRPr lang="en-US"/>
        </a:p>
      </dgm:t>
    </dgm:pt>
    <dgm:pt modelId="{84F5F12F-D31C-4322-AD93-3C08F75DE1B0}" type="pres">
      <dgm:prSet presAssocID="{CEBAD458-84EB-4708-AC0D-E62D9F3399F0}" presName="parentNode2" presStyleLbl="node1" presStyleIdx="1" presStyleCnt="3">
        <dgm:presLayoutVars>
          <dgm:chMax val="0"/>
          <dgm:bulletEnabled val="1"/>
        </dgm:presLayoutVars>
      </dgm:prSet>
      <dgm:spPr/>
      <dgm:t>
        <a:bodyPr/>
        <a:lstStyle/>
        <a:p>
          <a:endParaRPr lang="en-US"/>
        </a:p>
      </dgm:t>
    </dgm:pt>
    <dgm:pt modelId="{7E8F22E4-3762-4AEC-A735-3D4E4DE4BC2D}" type="pres">
      <dgm:prSet presAssocID="{CEBAD458-84EB-4708-AC0D-E62D9F3399F0}" presName="connSite2" presStyleCnt="0"/>
      <dgm:spPr/>
      <dgm:t>
        <a:bodyPr/>
        <a:lstStyle/>
        <a:p>
          <a:endParaRPr lang="en-US"/>
        </a:p>
      </dgm:t>
    </dgm:pt>
    <dgm:pt modelId="{8D2B5C05-9C22-43CE-8400-C59A18BDD93D}" type="pres">
      <dgm:prSet presAssocID="{1FDB4FF5-8A4D-4F67-BD3D-4B9008F808AA}" presName="Name18" presStyleLbl="sibTrans2D1" presStyleIdx="1" presStyleCnt="2" custAng="209060" custLinFactNeighborX="1150" custLinFactNeighborY="3833"/>
      <dgm:spPr/>
      <dgm:t>
        <a:bodyPr/>
        <a:lstStyle/>
        <a:p>
          <a:endParaRPr lang="en-US"/>
        </a:p>
      </dgm:t>
    </dgm:pt>
    <dgm:pt modelId="{01BAD92A-C0B6-4C97-99B8-C8A54A7A33DB}" type="pres">
      <dgm:prSet presAssocID="{19D86033-E314-4ECE-9A74-DC3E0B0417E8}" presName="composite1" presStyleCnt="0"/>
      <dgm:spPr/>
      <dgm:t>
        <a:bodyPr/>
        <a:lstStyle/>
        <a:p>
          <a:endParaRPr lang="en-US"/>
        </a:p>
      </dgm:t>
    </dgm:pt>
    <dgm:pt modelId="{1C17EE01-B6B8-4E9C-85B0-58942F662786}" type="pres">
      <dgm:prSet presAssocID="{19D86033-E314-4ECE-9A74-DC3E0B0417E8}" presName="dummyNode1" presStyleLbl="node1" presStyleIdx="1" presStyleCnt="3"/>
      <dgm:spPr/>
      <dgm:t>
        <a:bodyPr/>
        <a:lstStyle/>
        <a:p>
          <a:endParaRPr lang="en-US"/>
        </a:p>
      </dgm:t>
    </dgm:pt>
    <dgm:pt modelId="{6C9E5600-10E3-40A0-9229-07E3E6709E5B}" type="pres">
      <dgm:prSet presAssocID="{19D86033-E314-4ECE-9A74-DC3E0B0417E8}" presName="childNode1" presStyleLbl="bgAcc1" presStyleIdx="2" presStyleCnt="3" custScaleX="119693" custScaleY="112429" custLinFactNeighborX="-2853" custLinFactNeighborY="-3459">
        <dgm:presLayoutVars>
          <dgm:bulletEnabled val="1"/>
        </dgm:presLayoutVars>
      </dgm:prSet>
      <dgm:spPr/>
      <dgm:t>
        <a:bodyPr/>
        <a:lstStyle/>
        <a:p>
          <a:endParaRPr lang="en-US"/>
        </a:p>
      </dgm:t>
    </dgm:pt>
    <dgm:pt modelId="{1797D3BE-C183-4297-B0FD-05CDFDF6BE3A}" type="pres">
      <dgm:prSet presAssocID="{19D86033-E314-4ECE-9A74-DC3E0B0417E8}" presName="childNode1tx" presStyleLbl="bgAcc1" presStyleIdx="2" presStyleCnt="3">
        <dgm:presLayoutVars>
          <dgm:bulletEnabled val="1"/>
        </dgm:presLayoutVars>
      </dgm:prSet>
      <dgm:spPr/>
      <dgm:t>
        <a:bodyPr/>
        <a:lstStyle/>
        <a:p>
          <a:endParaRPr lang="en-US"/>
        </a:p>
      </dgm:t>
    </dgm:pt>
    <dgm:pt modelId="{D534CB9A-923E-4E68-920F-DAFFC0773A01}" type="pres">
      <dgm:prSet presAssocID="{19D86033-E314-4ECE-9A74-DC3E0B0417E8}" presName="parentNode1" presStyleLbl="node1" presStyleIdx="2" presStyleCnt="3">
        <dgm:presLayoutVars>
          <dgm:chMax val="1"/>
          <dgm:bulletEnabled val="1"/>
        </dgm:presLayoutVars>
      </dgm:prSet>
      <dgm:spPr/>
      <dgm:t>
        <a:bodyPr/>
        <a:lstStyle/>
        <a:p>
          <a:endParaRPr lang="en-US"/>
        </a:p>
      </dgm:t>
    </dgm:pt>
    <dgm:pt modelId="{4F931E57-9AFE-420A-97B0-4654F1F3A642}" type="pres">
      <dgm:prSet presAssocID="{19D86033-E314-4ECE-9A74-DC3E0B0417E8}" presName="connSite1" presStyleCnt="0"/>
      <dgm:spPr/>
      <dgm:t>
        <a:bodyPr/>
        <a:lstStyle/>
        <a:p>
          <a:endParaRPr lang="en-US"/>
        </a:p>
      </dgm:t>
    </dgm:pt>
  </dgm:ptLst>
  <dgm:cxnLst>
    <dgm:cxn modelId="{940A81FE-A28B-4379-AA18-ABD7CD455DE1}" srcId="{CEBAD458-84EB-4708-AC0D-E62D9F3399F0}" destId="{90FE83C3-8C93-4BF8-A1CA-BDF67F927C96}" srcOrd="0" destOrd="0" parTransId="{E970A722-711E-45F3-856B-BE52C3F9BC5B}" sibTransId="{4228DE43-F1F0-417F-AD29-F2A3E308ED99}"/>
    <dgm:cxn modelId="{BD6EF880-7FEF-42E4-952E-A17EC71A103B}" srcId="{81D4A962-3310-459E-9B1C-DC2A8AA98040}" destId="{19D86033-E314-4ECE-9A74-DC3E0B0417E8}" srcOrd="2" destOrd="0" parTransId="{829F92D0-CDF8-4944-A4E4-BD45B163BAFF}" sibTransId="{A71CA882-B7A8-496B-8A72-9E424901B044}"/>
    <dgm:cxn modelId="{8C0667DA-DBAA-42CD-9944-8E078958B34E}" type="presOf" srcId="{5F0F079C-3BF1-48F6-8D45-8C3454F54F19}" destId="{6C9E5600-10E3-40A0-9229-07E3E6709E5B}" srcOrd="0" destOrd="0" presId="urn:microsoft.com/office/officeart/2005/8/layout/hProcess4"/>
    <dgm:cxn modelId="{D90B0FED-00EA-4049-A244-1CC67F613062}" srcId="{81D4A962-3310-459E-9B1C-DC2A8AA98040}" destId="{7F8612A2-0217-4C28-85A6-63AED5561BFF}" srcOrd="0" destOrd="0" parTransId="{EC70EE78-4D7C-40C6-8D87-FE8AF12AEBFA}" sibTransId="{36608651-8738-47E0-9697-4C48DD378C6A}"/>
    <dgm:cxn modelId="{435D05F6-A2FD-4A37-9267-8AEB5140006C}" srcId="{19D86033-E314-4ECE-9A74-DC3E0B0417E8}" destId="{B25FF4F5-C494-4A4B-B6B2-88C539140815}" srcOrd="1" destOrd="0" parTransId="{BC262C7E-B2C0-4347-AC96-A06E11CE1C44}" sibTransId="{8044E6B2-AD13-41B5-9864-836751C32AA4}"/>
    <dgm:cxn modelId="{C8C4285F-06D0-40AC-BB3B-9E04632B3485}" type="presOf" srcId="{B25FF4F5-C494-4A4B-B6B2-88C539140815}" destId="{6C9E5600-10E3-40A0-9229-07E3E6709E5B}" srcOrd="0" destOrd="1" presId="urn:microsoft.com/office/officeart/2005/8/layout/hProcess4"/>
    <dgm:cxn modelId="{86C79055-5385-42CA-9381-DEBBA4E355BE}" srcId="{CEBAD458-84EB-4708-AC0D-E62D9F3399F0}" destId="{30A0D28B-A946-4CE8-8DE2-E00EC33A7DC0}" srcOrd="1" destOrd="0" parTransId="{D205ADA8-F575-496D-9F2A-1B1C9CF984A6}" sibTransId="{8EE6502F-8B53-4F35-9373-DF10B71EFC76}"/>
    <dgm:cxn modelId="{B22363F5-170F-4B62-ACA2-23375F4D1EF2}" type="presOf" srcId="{30A0D28B-A946-4CE8-8DE2-E00EC33A7DC0}" destId="{86F100AB-8737-477D-9BB1-FAAF5D360A41}" srcOrd="0" destOrd="1" presId="urn:microsoft.com/office/officeart/2005/8/layout/hProcess4"/>
    <dgm:cxn modelId="{47FE71E1-831B-4832-B259-4F0A1277E9FA}" type="presOf" srcId="{CEBAD458-84EB-4708-AC0D-E62D9F3399F0}" destId="{84F5F12F-D31C-4322-AD93-3C08F75DE1B0}" srcOrd="0" destOrd="0" presId="urn:microsoft.com/office/officeart/2005/8/layout/hProcess4"/>
    <dgm:cxn modelId="{C8FB92D1-C57F-46D6-AEEE-C6912A024B8A}" type="presOf" srcId="{7720C4E8-8227-4B40-86BE-A94F82D26F7D}" destId="{AE320582-18F9-4E55-B19A-79F6B406A0EA}" srcOrd="1" destOrd="1" presId="urn:microsoft.com/office/officeart/2005/8/layout/hProcess4"/>
    <dgm:cxn modelId="{C877563D-686E-47E1-95AF-F5E0AF6C4557}" type="presOf" srcId="{FACC9D71-A04C-4501-9356-EDD114D85278}" destId="{AE320582-18F9-4E55-B19A-79F6B406A0EA}" srcOrd="1" destOrd="0" presId="urn:microsoft.com/office/officeart/2005/8/layout/hProcess4"/>
    <dgm:cxn modelId="{E0BCA073-9762-4D6A-85F9-57BBACF0E2C6}" type="presOf" srcId="{19D86033-E314-4ECE-9A74-DC3E0B0417E8}" destId="{D534CB9A-923E-4E68-920F-DAFFC0773A01}" srcOrd="0" destOrd="0" presId="urn:microsoft.com/office/officeart/2005/8/layout/hProcess4"/>
    <dgm:cxn modelId="{C74CC829-F905-4652-9142-232F28641175}" type="presOf" srcId="{90FE83C3-8C93-4BF8-A1CA-BDF67F927C96}" destId="{3FF80295-B7C7-4A7C-84B8-846A1C3AFA2E}" srcOrd="1" destOrd="0" presId="urn:microsoft.com/office/officeart/2005/8/layout/hProcess4"/>
    <dgm:cxn modelId="{9AD0A1F3-D267-4AC7-8D70-1693E436944A}" type="presOf" srcId="{36608651-8738-47E0-9697-4C48DD378C6A}" destId="{4AE01738-9417-4506-876D-021E1125557E}" srcOrd="0" destOrd="0" presId="urn:microsoft.com/office/officeart/2005/8/layout/hProcess4"/>
    <dgm:cxn modelId="{11FAA97D-66B5-46B9-9043-60044A873C3A}" srcId="{7F8612A2-0217-4C28-85A6-63AED5561BFF}" destId="{FACC9D71-A04C-4501-9356-EDD114D85278}" srcOrd="0" destOrd="0" parTransId="{5959721C-8CFD-4B88-84FF-49D82FDBC342}" sibTransId="{1380F754-1A74-417E-B0C6-9B4DD6DFCC70}"/>
    <dgm:cxn modelId="{3DFFDAD0-3079-446E-85F9-DF413C94BFBA}" type="presOf" srcId="{81D4A962-3310-459E-9B1C-DC2A8AA98040}" destId="{FCCB179D-5C2F-4B10-978A-088146A8A5E0}" srcOrd="0" destOrd="0" presId="urn:microsoft.com/office/officeart/2005/8/layout/hProcess4"/>
    <dgm:cxn modelId="{D82E8B8E-1F60-45E8-9857-9C2D38249032}" srcId="{19D86033-E314-4ECE-9A74-DC3E0B0417E8}" destId="{5F0F079C-3BF1-48F6-8D45-8C3454F54F19}" srcOrd="0" destOrd="0" parTransId="{7CA070C9-2FC5-477A-A218-5F427971A069}" sibTransId="{EA0AA15C-9149-4CF9-807F-939766E10CDB}"/>
    <dgm:cxn modelId="{EA27CA21-B3E7-4BD1-BC37-1F1DD1175F45}" srcId="{81D4A962-3310-459E-9B1C-DC2A8AA98040}" destId="{CEBAD458-84EB-4708-AC0D-E62D9F3399F0}" srcOrd="1" destOrd="0" parTransId="{85E60BF4-442B-473A-8A77-C91B2EE802B2}" sibTransId="{1FDB4FF5-8A4D-4F67-BD3D-4B9008F808AA}"/>
    <dgm:cxn modelId="{5D885CE3-159F-49F9-8405-B136328350CD}" type="presOf" srcId="{7F8612A2-0217-4C28-85A6-63AED5561BFF}" destId="{EF9F51F0-1BE5-49F5-B010-84B89445B064}" srcOrd="0" destOrd="0" presId="urn:microsoft.com/office/officeart/2005/8/layout/hProcess4"/>
    <dgm:cxn modelId="{0161D4EE-F4F4-48AA-8869-8393627AFAD7}" type="presOf" srcId="{B25FF4F5-C494-4A4B-B6B2-88C539140815}" destId="{1797D3BE-C183-4297-B0FD-05CDFDF6BE3A}" srcOrd="1" destOrd="1" presId="urn:microsoft.com/office/officeart/2005/8/layout/hProcess4"/>
    <dgm:cxn modelId="{052F1BEC-C308-4CBA-AB1A-F124E4C6D91D}" type="presOf" srcId="{90FE83C3-8C93-4BF8-A1CA-BDF67F927C96}" destId="{86F100AB-8737-477D-9BB1-FAAF5D360A41}" srcOrd="0" destOrd="0" presId="urn:microsoft.com/office/officeart/2005/8/layout/hProcess4"/>
    <dgm:cxn modelId="{A51542DF-6C69-4649-9DD1-80F71E076178}" type="presOf" srcId="{1FDB4FF5-8A4D-4F67-BD3D-4B9008F808AA}" destId="{8D2B5C05-9C22-43CE-8400-C59A18BDD93D}" srcOrd="0" destOrd="0" presId="urn:microsoft.com/office/officeart/2005/8/layout/hProcess4"/>
    <dgm:cxn modelId="{5B4D15FD-9B85-4182-A428-4E329F948D7E}" type="presOf" srcId="{30A0D28B-A946-4CE8-8DE2-E00EC33A7DC0}" destId="{3FF80295-B7C7-4A7C-84B8-846A1C3AFA2E}" srcOrd="1" destOrd="1" presId="urn:microsoft.com/office/officeart/2005/8/layout/hProcess4"/>
    <dgm:cxn modelId="{BC43B467-A42C-4C6B-A72F-6FD112B7A69F}" type="presOf" srcId="{5F0F079C-3BF1-48F6-8D45-8C3454F54F19}" destId="{1797D3BE-C183-4297-B0FD-05CDFDF6BE3A}" srcOrd="1" destOrd="0" presId="urn:microsoft.com/office/officeart/2005/8/layout/hProcess4"/>
    <dgm:cxn modelId="{B9DAA600-AD29-4A8B-BD8D-FC0D142DADEA}" type="presOf" srcId="{FACC9D71-A04C-4501-9356-EDD114D85278}" destId="{4FC25ADE-94E4-4349-8703-2C4D37BDC948}" srcOrd="0" destOrd="0" presId="urn:microsoft.com/office/officeart/2005/8/layout/hProcess4"/>
    <dgm:cxn modelId="{40BBA5C9-EE35-47FE-8E3B-96872B3CEFE2}" type="presOf" srcId="{7720C4E8-8227-4B40-86BE-A94F82D26F7D}" destId="{4FC25ADE-94E4-4349-8703-2C4D37BDC948}" srcOrd="0" destOrd="1" presId="urn:microsoft.com/office/officeart/2005/8/layout/hProcess4"/>
    <dgm:cxn modelId="{C49C2B9E-3846-44A4-BFD9-EC7113364ABD}" srcId="{7F8612A2-0217-4C28-85A6-63AED5561BFF}" destId="{7720C4E8-8227-4B40-86BE-A94F82D26F7D}" srcOrd="1" destOrd="0" parTransId="{417A5239-6D99-4691-BA5B-A270860CD84A}" sibTransId="{CE2BF6EC-8619-4A2C-AE86-1C66BE1E98CF}"/>
    <dgm:cxn modelId="{3D2FE46E-D6F4-421F-BE07-8F9C443FCCAE}" type="presParOf" srcId="{FCCB179D-5C2F-4B10-978A-088146A8A5E0}" destId="{E577140C-95F8-450D-94B3-146FAF4F3FD7}" srcOrd="0" destOrd="0" presId="urn:microsoft.com/office/officeart/2005/8/layout/hProcess4"/>
    <dgm:cxn modelId="{A8847595-F300-456E-9C71-F9EEAF32C892}" type="presParOf" srcId="{FCCB179D-5C2F-4B10-978A-088146A8A5E0}" destId="{E40ACE2E-06E0-4049-836A-02E6FF4B7532}" srcOrd="1" destOrd="0" presId="urn:microsoft.com/office/officeart/2005/8/layout/hProcess4"/>
    <dgm:cxn modelId="{BD90337B-B03B-4F19-A309-34B6F6ACA277}" type="presParOf" srcId="{FCCB179D-5C2F-4B10-978A-088146A8A5E0}" destId="{E45FB40E-0BA0-4D03-9350-4BFCD3F17EF6}" srcOrd="2" destOrd="0" presId="urn:microsoft.com/office/officeart/2005/8/layout/hProcess4"/>
    <dgm:cxn modelId="{D1EC993D-CF2F-40C9-8943-C5E13F9B5E26}" type="presParOf" srcId="{E45FB40E-0BA0-4D03-9350-4BFCD3F17EF6}" destId="{1032756C-8CB6-4A3B-B264-9B6257942DDD}" srcOrd="0" destOrd="0" presId="urn:microsoft.com/office/officeart/2005/8/layout/hProcess4"/>
    <dgm:cxn modelId="{9F5C834C-D18E-42DE-AEB5-4B5024767258}" type="presParOf" srcId="{1032756C-8CB6-4A3B-B264-9B6257942DDD}" destId="{04D5468D-B85B-4D87-B74F-9BA771B2DD1C}" srcOrd="0" destOrd="0" presId="urn:microsoft.com/office/officeart/2005/8/layout/hProcess4"/>
    <dgm:cxn modelId="{BE5939E6-0A06-4CC4-9741-2C1E54677AE0}" type="presParOf" srcId="{1032756C-8CB6-4A3B-B264-9B6257942DDD}" destId="{4FC25ADE-94E4-4349-8703-2C4D37BDC948}" srcOrd="1" destOrd="0" presId="urn:microsoft.com/office/officeart/2005/8/layout/hProcess4"/>
    <dgm:cxn modelId="{013671A7-0866-4B46-A38D-F2B593DA227D}" type="presParOf" srcId="{1032756C-8CB6-4A3B-B264-9B6257942DDD}" destId="{AE320582-18F9-4E55-B19A-79F6B406A0EA}" srcOrd="2" destOrd="0" presId="urn:microsoft.com/office/officeart/2005/8/layout/hProcess4"/>
    <dgm:cxn modelId="{1FC947E6-7285-450C-9B6F-79F6B6C903E7}" type="presParOf" srcId="{1032756C-8CB6-4A3B-B264-9B6257942DDD}" destId="{EF9F51F0-1BE5-49F5-B010-84B89445B064}" srcOrd="3" destOrd="0" presId="urn:microsoft.com/office/officeart/2005/8/layout/hProcess4"/>
    <dgm:cxn modelId="{1FDF2D64-F259-4B2B-9A67-201D4204FA1C}" type="presParOf" srcId="{1032756C-8CB6-4A3B-B264-9B6257942DDD}" destId="{55A28E82-DCF6-45F8-8961-D0CFD46A366D}" srcOrd="4" destOrd="0" presId="urn:microsoft.com/office/officeart/2005/8/layout/hProcess4"/>
    <dgm:cxn modelId="{68CB8568-206B-465D-B942-A247272BF294}" type="presParOf" srcId="{E45FB40E-0BA0-4D03-9350-4BFCD3F17EF6}" destId="{4AE01738-9417-4506-876D-021E1125557E}" srcOrd="1" destOrd="0" presId="urn:microsoft.com/office/officeart/2005/8/layout/hProcess4"/>
    <dgm:cxn modelId="{62D2B512-8E4C-440D-8166-6034F52D8E6A}" type="presParOf" srcId="{E45FB40E-0BA0-4D03-9350-4BFCD3F17EF6}" destId="{18541B92-5B29-44ED-B08B-4CC0DF0C4CFF}" srcOrd="2" destOrd="0" presId="urn:microsoft.com/office/officeart/2005/8/layout/hProcess4"/>
    <dgm:cxn modelId="{14E38A49-0FE5-468B-84C9-4A38B0929233}" type="presParOf" srcId="{18541B92-5B29-44ED-B08B-4CC0DF0C4CFF}" destId="{52BEB5F5-8E86-4E45-B74B-DD6A70E20612}" srcOrd="0" destOrd="0" presId="urn:microsoft.com/office/officeart/2005/8/layout/hProcess4"/>
    <dgm:cxn modelId="{8A861DF6-4E32-4179-A459-96C0EFF40CED}" type="presParOf" srcId="{18541B92-5B29-44ED-B08B-4CC0DF0C4CFF}" destId="{86F100AB-8737-477D-9BB1-FAAF5D360A41}" srcOrd="1" destOrd="0" presId="urn:microsoft.com/office/officeart/2005/8/layout/hProcess4"/>
    <dgm:cxn modelId="{5F661FD4-0578-4919-8BD8-3EAEE0C79E85}" type="presParOf" srcId="{18541B92-5B29-44ED-B08B-4CC0DF0C4CFF}" destId="{3FF80295-B7C7-4A7C-84B8-846A1C3AFA2E}" srcOrd="2" destOrd="0" presId="urn:microsoft.com/office/officeart/2005/8/layout/hProcess4"/>
    <dgm:cxn modelId="{E4501294-8CFD-4677-9361-9A1FB4E0E18F}" type="presParOf" srcId="{18541B92-5B29-44ED-B08B-4CC0DF0C4CFF}" destId="{84F5F12F-D31C-4322-AD93-3C08F75DE1B0}" srcOrd="3" destOrd="0" presId="urn:microsoft.com/office/officeart/2005/8/layout/hProcess4"/>
    <dgm:cxn modelId="{0D39AA37-1865-4D0A-84E8-90ED8CF1E023}" type="presParOf" srcId="{18541B92-5B29-44ED-B08B-4CC0DF0C4CFF}" destId="{7E8F22E4-3762-4AEC-A735-3D4E4DE4BC2D}" srcOrd="4" destOrd="0" presId="urn:microsoft.com/office/officeart/2005/8/layout/hProcess4"/>
    <dgm:cxn modelId="{73D9EAE9-C3B4-4A53-81B8-A89F017CAFE7}" type="presParOf" srcId="{E45FB40E-0BA0-4D03-9350-4BFCD3F17EF6}" destId="{8D2B5C05-9C22-43CE-8400-C59A18BDD93D}" srcOrd="3" destOrd="0" presId="urn:microsoft.com/office/officeart/2005/8/layout/hProcess4"/>
    <dgm:cxn modelId="{70AEED10-002C-4E9D-A735-3D0E997394C8}" type="presParOf" srcId="{E45FB40E-0BA0-4D03-9350-4BFCD3F17EF6}" destId="{01BAD92A-C0B6-4C97-99B8-C8A54A7A33DB}" srcOrd="4" destOrd="0" presId="urn:microsoft.com/office/officeart/2005/8/layout/hProcess4"/>
    <dgm:cxn modelId="{498B5AFB-72C8-4612-AC71-203496458034}" type="presParOf" srcId="{01BAD92A-C0B6-4C97-99B8-C8A54A7A33DB}" destId="{1C17EE01-B6B8-4E9C-85B0-58942F662786}" srcOrd="0" destOrd="0" presId="urn:microsoft.com/office/officeart/2005/8/layout/hProcess4"/>
    <dgm:cxn modelId="{1D5DFD84-1C13-4BC9-9CD0-E95700DCD5A3}" type="presParOf" srcId="{01BAD92A-C0B6-4C97-99B8-C8A54A7A33DB}" destId="{6C9E5600-10E3-40A0-9229-07E3E6709E5B}" srcOrd="1" destOrd="0" presId="urn:microsoft.com/office/officeart/2005/8/layout/hProcess4"/>
    <dgm:cxn modelId="{9F2AF1E1-84EE-4F06-8C4D-4301928D78A2}" type="presParOf" srcId="{01BAD92A-C0B6-4C97-99B8-C8A54A7A33DB}" destId="{1797D3BE-C183-4297-B0FD-05CDFDF6BE3A}" srcOrd="2" destOrd="0" presId="urn:microsoft.com/office/officeart/2005/8/layout/hProcess4"/>
    <dgm:cxn modelId="{8247B9B7-87EA-4331-AF75-A9E5DEA2C26A}" type="presParOf" srcId="{01BAD92A-C0B6-4C97-99B8-C8A54A7A33DB}" destId="{D534CB9A-923E-4E68-920F-DAFFC0773A01}" srcOrd="3" destOrd="0" presId="urn:microsoft.com/office/officeart/2005/8/layout/hProcess4"/>
    <dgm:cxn modelId="{225106A8-70C8-4443-8BAA-006FE3907B35}" type="presParOf" srcId="{01BAD92A-C0B6-4C97-99B8-C8A54A7A33DB}" destId="{4F931E57-9AFE-420A-97B0-4654F1F3A642}" srcOrd="4" destOrd="0" presId="urn:microsoft.com/office/officeart/2005/8/layout/h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B96B0-74AE-4A4F-8E07-C7A1F11D8EB3}">
      <dsp:nvSpPr>
        <dsp:cNvPr id="0" name=""/>
        <dsp:cNvSpPr/>
      </dsp:nvSpPr>
      <dsp:spPr>
        <a:xfrm>
          <a:off x="473500" y="0"/>
          <a:ext cx="5366335" cy="3522345"/>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7FD5B4-65C8-4444-B883-20281CF05B6D}">
      <dsp:nvSpPr>
        <dsp:cNvPr id="0" name=""/>
        <dsp:cNvSpPr/>
      </dsp:nvSpPr>
      <dsp:spPr>
        <a:xfrm>
          <a:off x="1699" y="1056703"/>
          <a:ext cx="1342816" cy="1408938"/>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o-RO" sz="1200" b="1" kern="1200">
              <a:latin typeface="+mj-lt"/>
            </a:rPr>
            <a:t>MMPS</a:t>
          </a:r>
          <a:r>
            <a:rPr lang="ro-RO" sz="1200" kern="1200">
              <a:latin typeface="+mj-lt"/>
            </a:rPr>
            <a:t>          asigură elaborarea politicililor și monitorizarea realizării acestora</a:t>
          </a:r>
        </a:p>
      </dsp:txBody>
      <dsp:txXfrm>
        <a:off x="67250" y="1122254"/>
        <a:ext cx="1211714" cy="1277836"/>
      </dsp:txXfrm>
    </dsp:sp>
    <dsp:sp modelId="{33051E1F-2923-4017-A226-FE281D600CBB}">
      <dsp:nvSpPr>
        <dsp:cNvPr id="0" name=""/>
        <dsp:cNvSpPr/>
      </dsp:nvSpPr>
      <dsp:spPr>
        <a:xfrm>
          <a:off x="1568319" y="992265"/>
          <a:ext cx="1467121" cy="1537813"/>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o-MD" sz="1400" b="1" kern="1200">
              <a:latin typeface="+mj-lt"/>
            </a:rPr>
            <a:t>Structurile teritoriale de asistență socială</a:t>
          </a:r>
          <a:endParaRPr lang="en-US" sz="1400" b="1" kern="1200">
            <a:latin typeface="+mj-lt"/>
          </a:endParaRPr>
        </a:p>
        <a:p>
          <a:pPr lvl="0" algn="ctr" defTabSz="622300">
            <a:lnSpc>
              <a:spcPct val="90000"/>
            </a:lnSpc>
            <a:spcBef>
              <a:spcPct val="0"/>
            </a:spcBef>
            <a:spcAft>
              <a:spcPct val="35000"/>
            </a:spcAft>
          </a:pPr>
          <a:r>
            <a:rPr lang="ro-MD" sz="1200" kern="1200">
              <a:latin typeface="+mj-lt"/>
            </a:rPr>
            <a:t>acordă d</a:t>
          </a:r>
          <a:r>
            <a:rPr lang="ro-RO" sz="1200" kern="1200">
              <a:latin typeface="+mj-lt"/>
            </a:rPr>
            <a:t>reptul la ajutor social și/sau ajutor pentru perioada rece a anului </a:t>
          </a:r>
        </a:p>
      </dsp:txBody>
      <dsp:txXfrm>
        <a:off x="1639938" y="1063884"/>
        <a:ext cx="1323883" cy="1394575"/>
      </dsp:txXfrm>
    </dsp:sp>
    <dsp:sp modelId="{F14D24E1-969B-4C1A-9E6B-DD6DCD225138}">
      <dsp:nvSpPr>
        <dsp:cNvPr id="0" name=""/>
        <dsp:cNvSpPr/>
      </dsp:nvSpPr>
      <dsp:spPr>
        <a:xfrm>
          <a:off x="3259243" y="992265"/>
          <a:ext cx="1414295" cy="1537813"/>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o-MD" sz="1400" b="1" kern="1200">
              <a:latin typeface="+mj-lt"/>
            </a:rPr>
            <a:t>Inspecția Socială</a:t>
          </a:r>
        </a:p>
        <a:p>
          <a:pPr lvl="0" algn="ctr" defTabSz="622300">
            <a:lnSpc>
              <a:spcPct val="90000"/>
            </a:lnSpc>
            <a:spcBef>
              <a:spcPct val="0"/>
            </a:spcBef>
            <a:spcAft>
              <a:spcPct val="35000"/>
            </a:spcAft>
          </a:pPr>
          <a:r>
            <a:rPr lang="ro-RO" sz="1200" kern="1200">
              <a:latin typeface="+mj-lt"/>
            </a:rPr>
            <a:t>efectuează verificarea modului de aplicare corectă şi unitară a cadrului regulamentar </a:t>
          </a:r>
          <a:endParaRPr lang="en-US" sz="1400" b="1" kern="1200">
            <a:latin typeface="+mj-lt"/>
          </a:endParaRPr>
        </a:p>
      </dsp:txBody>
      <dsp:txXfrm>
        <a:off x="3328283" y="1061305"/>
        <a:ext cx="1276215" cy="1399733"/>
      </dsp:txXfrm>
    </dsp:sp>
    <dsp:sp modelId="{E206B99D-12F2-4047-BF6F-60023A79E230}">
      <dsp:nvSpPr>
        <dsp:cNvPr id="0" name=""/>
        <dsp:cNvSpPr/>
      </dsp:nvSpPr>
      <dsp:spPr>
        <a:xfrm>
          <a:off x="4867199" y="992265"/>
          <a:ext cx="1414295" cy="1537813"/>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o-MD" sz="1400" b="1" kern="1200">
              <a:latin typeface="+mj-lt"/>
            </a:rPr>
            <a:t>CNAS</a:t>
          </a:r>
        </a:p>
        <a:p>
          <a:pPr lvl="0" algn="ctr" defTabSz="622300">
            <a:lnSpc>
              <a:spcPct val="90000"/>
            </a:lnSpc>
            <a:spcBef>
              <a:spcPct val="0"/>
            </a:spcBef>
            <a:spcAft>
              <a:spcPct val="35000"/>
            </a:spcAft>
          </a:pPr>
          <a:r>
            <a:rPr lang="ro-RO" sz="1200" kern="1200">
              <a:latin typeface="+mj-lt"/>
            </a:rPr>
            <a:t>asigură plata prin intermediul MPay</a:t>
          </a:r>
          <a:endParaRPr lang="en-US" sz="1200" b="1" kern="1200">
            <a:latin typeface="+mj-lt"/>
          </a:endParaRPr>
        </a:p>
      </dsp:txBody>
      <dsp:txXfrm>
        <a:off x="4936239" y="1061305"/>
        <a:ext cx="1276215" cy="13997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B29BE-4D53-417A-AD02-F1FCC052E860}">
      <dsp:nvSpPr>
        <dsp:cNvPr id="0" name=""/>
        <dsp:cNvSpPr/>
      </dsp:nvSpPr>
      <dsp:spPr>
        <a:xfrm>
          <a:off x="0" y="2762522"/>
          <a:ext cx="6469380" cy="60437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CNAS</a:t>
          </a:r>
          <a:endParaRPr lang="en-US" sz="1200" kern="1200">
            <a:latin typeface="Calibri Light" panose="020F0302020204030204"/>
            <a:ea typeface="+mn-ea"/>
            <a:cs typeface="+mn-cs"/>
          </a:endParaRPr>
        </a:p>
      </dsp:txBody>
      <dsp:txXfrm>
        <a:off x="0" y="2762522"/>
        <a:ext cx="6469380" cy="326361"/>
      </dsp:txXfrm>
    </dsp:sp>
    <dsp:sp modelId="{CC6081A0-D201-4FE6-BFF3-34C5F1D7D9F6}">
      <dsp:nvSpPr>
        <dsp:cNvPr id="0" name=""/>
        <dsp:cNvSpPr/>
      </dsp:nvSpPr>
      <dsp:spPr>
        <a:xfrm>
          <a:off x="0" y="3076796"/>
          <a:ext cx="3234689" cy="278011"/>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Recepționarea informației despre deces în SI „Protecție Socială”</a:t>
          </a:r>
          <a:endParaRPr lang="en-US" sz="1200" kern="1200">
            <a:latin typeface="Calibri Light" panose="020F0302020204030204"/>
            <a:ea typeface="+mn-ea"/>
            <a:cs typeface="+mn-cs"/>
          </a:endParaRPr>
        </a:p>
      </dsp:txBody>
      <dsp:txXfrm>
        <a:off x="0" y="3076796"/>
        <a:ext cx="3234689" cy="278011"/>
      </dsp:txXfrm>
    </dsp:sp>
    <dsp:sp modelId="{213CCA8C-1DD8-43C6-8018-22BE261B0E56}">
      <dsp:nvSpPr>
        <dsp:cNvPr id="0" name=""/>
        <dsp:cNvSpPr/>
      </dsp:nvSpPr>
      <dsp:spPr>
        <a:xfrm>
          <a:off x="3234690" y="3076796"/>
          <a:ext cx="3234689" cy="278011"/>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până la 139 zile</a:t>
          </a:r>
          <a:endParaRPr lang="en-US" sz="1200" kern="1200">
            <a:latin typeface="Calibri Light" panose="020F0302020204030204"/>
            <a:ea typeface="+mn-ea"/>
            <a:cs typeface="+mn-cs"/>
          </a:endParaRPr>
        </a:p>
      </dsp:txBody>
      <dsp:txXfrm>
        <a:off x="3234690" y="3076796"/>
        <a:ext cx="3234689" cy="278011"/>
      </dsp:txXfrm>
    </dsp:sp>
    <dsp:sp modelId="{8C6CE277-25EF-4BB3-BFC4-19F282143301}">
      <dsp:nvSpPr>
        <dsp:cNvPr id="0" name=""/>
        <dsp:cNvSpPr/>
      </dsp:nvSpPr>
      <dsp:spPr>
        <a:xfrm rot="10800000">
          <a:off x="0" y="1842063"/>
          <a:ext cx="6469380" cy="929524"/>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AGE</a:t>
          </a:r>
          <a:endParaRPr lang="en-US" sz="1200" kern="1200">
            <a:latin typeface="Calibri Light" panose="020F0302020204030204"/>
            <a:ea typeface="+mn-ea"/>
            <a:cs typeface="+mn-cs"/>
          </a:endParaRPr>
        </a:p>
      </dsp:txBody>
      <dsp:txXfrm rot="-10800000">
        <a:off x="0" y="1956330"/>
        <a:ext cx="6469380" cy="211996"/>
      </dsp:txXfrm>
    </dsp:sp>
    <dsp:sp modelId="{20E34D21-591E-4614-995F-0ADE79E299C9}">
      <dsp:nvSpPr>
        <dsp:cNvPr id="0" name=""/>
        <dsp:cNvSpPr/>
      </dsp:nvSpPr>
      <dsp:spPr>
        <a:xfrm>
          <a:off x="0" y="2115218"/>
          <a:ext cx="3234689" cy="384143"/>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Asigură legătura între SI al ASP și CNAS </a:t>
          </a:r>
        </a:p>
        <a:p>
          <a:pPr lvl="0" algn="ctr" defTabSz="533400">
            <a:lnSpc>
              <a:spcPct val="90000"/>
            </a:lnSpc>
            <a:spcBef>
              <a:spcPct val="0"/>
            </a:spcBef>
            <a:spcAft>
              <a:spcPct val="35000"/>
            </a:spcAft>
          </a:pPr>
          <a:r>
            <a:rPr lang="ro-MD" sz="1200" kern="1200">
              <a:latin typeface="Calibri Light" panose="020F0302020204030204"/>
              <a:ea typeface="+mn-ea"/>
              <a:cs typeface="+mn-cs"/>
            </a:rPr>
            <a:t>(M-Conect)</a:t>
          </a:r>
          <a:endParaRPr lang="en-US" sz="1200" kern="1200">
            <a:latin typeface="Calibri Light" panose="020F0302020204030204"/>
            <a:ea typeface="+mn-ea"/>
            <a:cs typeface="+mn-cs"/>
          </a:endParaRPr>
        </a:p>
      </dsp:txBody>
      <dsp:txXfrm>
        <a:off x="0" y="2115218"/>
        <a:ext cx="3234689" cy="384143"/>
      </dsp:txXfrm>
    </dsp:sp>
    <dsp:sp modelId="{28DB0BDC-D2F7-41F2-B4DA-5D5B1343498F}">
      <dsp:nvSpPr>
        <dsp:cNvPr id="0" name=""/>
        <dsp:cNvSpPr/>
      </dsp:nvSpPr>
      <dsp:spPr>
        <a:xfrm>
          <a:off x="3234690" y="2115218"/>
          <a:ext cx="3234689" cy="384143"/>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Zilnic pentru decesele introduse în sistem</a:t>
          </a:r>
          <a:endParaRPr lang="en-US" sz="1200" kern="1200">
            <a:latin typeface="Calibri Light" panose="020F0302020204030204"/>
            <a:ea typeface="+mn-ea"/>
            <a:cs typeface="+mn-cs"/>
          </a:endParaRPr>
        </a:p>
      </dsp:txBody>
      <dsp:txXfrm>
        <a:off x="3234690" y="2115218"/>
        <a:ext cx="3234689" cy="384143"/>
      </dsp:txXfrm>
    </dsp:sp>
    <dsp:sp modelId="{DBA0CE2F-48B5-48BA-B731-4408BD9E1F81}">
      <dsp:nvSpPr>
        <dsp:cNvPr id="0" name=""/>
        <dsp:cNvSpPr/>
      </dsp:nvSpPr>
      <dsp:spPr>
        <a:xfrm rot="10800000">
          <a:off x="0" y="921604"/>
          <a:ext cx="6469380" cy="929524"/>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Introducerea de căre ASP</a:t>
          </a:r>
          <a:endParaRPr lang="en-US" sz="1200" kern="1200">
            <a:latin typeface="Calibri Light" panose="020F0302020204030204"/>
            <a:ea typeface="+mn-ea"/>
            <a:cs typeface="+mn-cs"/>
          </a:endParaRPr>
        </a:p>
      </dsp:txBody>
      <dsp:txXfrm rot="-10800000">
        <a:off x="0" y="1035871"/>
        <a:ext cx="6469380" cy="211996"/>
      </dsp:txXfrm>
    </dsp:sp>
    <dsp:sp modelId="{0FF95BE5-9191-4870-95D6-5CE02CCEB42B}">
      <dsp:nvSpPr>
        <dsp:cNvPr id="0" name=""/>
        <dsp:cNvSpPr/>
      </dsp:nvSpPr>
      <dsp:spPr>
        <a:xfrm>
          <a:off x="0" y="1247867"/>
          <a:ext cx="3234689" cy="277927"/>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Registrul de stat al populației</a:t>
          </a:r>
          <a:endParaRPr lang="en-US" sz="1200" kern="1200">
            <a:latin typeface="Calibri Light" panose="020F0302020204030204"/>
            <a:ea typeface="+mn-ea"/>
            <a:cs typeface="+mn-cs"/>
          </a:endParaRPr>
        </a:p>
      </dsp:txBody>
      <dsp:txXfrm>
        <a:off x="0" y="1247867"/>
        <a:ext cx="3234689" cy="277927"/>
      </dsp:txXfrm>
    </dsp:sp>
    <dsp:sp modelId="{6A631D41-1FAD-48A6-BA60-877A0FC810AA}">
      <dsp:nvSpPr>
        <dsp:cNvPr id="0" name=""/>
        <dsp:cNvSpPr/>
      </dsp:nvSpPr>
      <dsp:spPr>
        <a:xfrm>
          <a:off x="3234690" y="1247867"/>
          <a:ext cx="3234689" cy="277927"/>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până la 109 zile</a:t>
          </a:r>
          <a:endParaRPr lang="en-US" sz="1200" kern="1200">
            <a:latin typeface="Calibri Light" panose="020F0302020204030204"/>
            <a:ea typeface="+mn-ea"/>
            <a:cs typeface="+mn-cs"/>
          </a:endParaRPr>
        </a:p>
      </dsp:txBody>
      <dsp:txXfrm>
        <a:off x="3234690" y="1247867"/>
        <a:ext cx="3234689" cy="277927"/>
      </dsp:txXfrm>
    </dsp:sp>
    <dsp:sp modelId="{20FB684C-8D46-455D-97E4-026CE3535907}">
      <dsp:nvSpPr>
        <dsp:cNvPr id="0" name=""/>
        <dsp:cNvSpPr/>
      </dsp:nvSpPr>
      <dsp:spPr>
        <a:xfrm rot="10800000">
          <a:off x="0" y="1145"/>
          <a:ext cx="6469380" cy="929524"/>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Evaluarea termenelor de înregistrare a informațiilor constatate de audit</a:t>
          </a:r>
          <a:endParaRPr lang="en-US" sz="1200" kern="1200">
            <a:latin typeface="Calibri Light" panose="020F0302020204030204"/>
            <a:ea typeface="+mn-ea"/>
            <a:cs typeface="+mn-cs"/>
          </a:endParaRPr>
        </a:p>
      </dsp:txBody>
      <dsp:txXfrm rot="-10800000">
        <a:off x="0" y="115412"/>
        <a:ext cx="6469380" cy="211996"/>
      </dsp:txXfrm>
    </dsp:sp>
    <dsp:sp modelId="{5D06C962-11CB-48D4-A61E-33F242C6238C}">
      <dsp:nvSpPr>
        <dsp:cNvPr id="0" name=""/>
        <dsp:cNvSpPr/>
      </dsp:nvSpPr>
      <dsp:spPr>
        <a:xfrm>
          <a:off x="0" y="327408"/>
          <a:ext cx="6469380" cy="277927"/>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o-MD" sz="1200" kern="1200">
              <a:latin typeface="Calibri Light" panose="020F0302020204030204"/>
              <a:ea typeface="+mn-ea"/>
              <a:cs typeface="+mn-cs"/>
            </a:rPr>
            <a:t>Decesul beneficiarului</a:t>
          </a:r>
          <a:endParaRPr lang="en-US" sz="1200" kern="1200">
            <a:latin typeface="Calibri" panose="020F0502020204030204"/>
            <a:ea typeface="+mn-ea"/>
            <a:cs typeface="+mn-cs"/>
          </a:endParaRPr>
        </a:p>
      </dsp:txBody>
      <dsp:txXfrm>
        <a:off x="0" y="327408"/>
        <a:ext cx="6469380" cy="2779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25ADE-94E4-4349-8703-2C4D37BDC948}">
      <dsp:nvSpPr>
        <dsp:cNvPr id="0" name=""/>
        <dsp:cNvSpPr/>
      </dsp:nvSpPr>
      <dsp:spPr>
        <a:xfrm>
          <a:off x="0" y="763750"/>
          <a:ext cx="1725916" cy="1414827"/>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o-MD" sz="1000" kern="1200">
              <a:latin typeface="+mj-lt"/>
            </a:rPr>
            <a:t>eliberează certificatul concediului medical</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introduce datele din certificat </a:t>
          </a:r>
          <a:r>
            <a:rPr lang="ro-MD" sz="1000" b="1" kern="1200">
              <a:latin typeface="+mj-lt"/>
            </a:rPr>
            <a:t>în decurs de 5 zile </a:t>
          </a:r>
          <a:r>
            <a:rPr lang="ro-MD" sz="1000" kern="1200">
              <a:latin typeface="+mj-lt"/>
            </a:rPr>
            <a:t>în Portalul certificatelor de concediu medical </a:t>
          </a:r>
          <a:endParaRPr lang="en-US" sz="1000" kern="1200">
            <a:latin typeface="+mj-lt"/>
          </a:endParaRPr>
        </a:p>
      </dsp:txBody>
      <dsp:txXfrm>
        <a:off x="32559" y="796309"/>
        <a:ext cx="1660798" cy="1046532"/>
      </dsp:txXfrm>
    </dsp:sp>
    <dsp:sp modelId="{4AE01738-9417-4506-876D-021E1125557E}">
      <dsp:nvSpPr>
        <dsp:cNvPr id="0" name=""/>
        <dsp:cNvSpPr/>
      </dsp:nvSpPr>
      <dsp:spPr>
        <a:xfrm>
          <a:off x="856379" y="1111629"/>
          <a:ext cx="1857130" cy="1857130"/>
        </a:xfrm>
        <a:prstGeom prst="leftCircularArrow">
          <a:avLst>
            <a:gd name="adj1" fmla="val 2756"/>
            <a:gd name="adj2" fmla="val 336050"/>
            <a:gd name="adj3" fmla="val 1997538"/>
            <a:gd name="adj4" fmla="val 8910466"/>
            <a:gd name="adj5" fmla="val 3216"/>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F9F51F0-1BE5-49F5-B010-84B89445B064}">
      <dsp:nvSpPr>
        <dsp:cNvPr id="0" name=""/>
        <dsp:cNvSpPr/>
      </dsp:nvSpPr>
      <dsp:spPr>
        <a:xfrm>
          <a:off x="408212" y="1966614"/>
          <a:ext cx="1312022" cy="52174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o-MD" sz="2900" kern="1200">
              <a:latin typeface="+mj-lt"/>
            </a:rPr>
            <a:t>IMSP</a:t>
          </a:r>
          <a:endParaRPr lang="en-US" sz="2900" kern="1200">
            <a:latin typeface="+mj-lt"/>
          </a:endParaRPr>
        </a:p>
      </dsp:txBody>
      <dsp:txXfrm>
        <a:off x="423493" y="1981895"/>
        <a:ext cx="1281460" cy="491186"/>
      </dsp:txXfrm>
    </dsp:sp>
    <dsp:sp modelId="{86F100AB-8737-477D-9BB1-FAAF5D360A41}">
      <dsp:nvSpPr>
        <dsp:cNvPr id="0" name=""/>
        <dsp:cNvSpPr/>
      </dsp:nvSpPr>
      <dsp:spPr>
        <a:xfrm>
          <a:off x="1953056" y="753540"/>
          <a:ext cx="1897179" cy="1623966"/>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o-MD" sz="1000" kern="1200">
              <a:latin typeface="+mj-lt"/>
            </a:rPr>
            <a:t>recepționează în Portal datele din certificatul de concediu medical</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transmiterea automată a datelor din certificatul de concediu medical prin intermediul Portalului către CNAS</a:t>
          </a:r>
          <a:endParaRPr lang="en-US" sz="1000" kern="1200">
            <a:latin typeface="+mj-lt"/>
          </a:endParaRPr>
        </a:p>
      </dsp:txBody>
      <dsp:txXfrm>
        <a:off x="1990428" y="1138905"/>
        <a:ext cx="1822435" cy="1201229"/>
      </dsp:txXfrm>
    </dsp:sp>
    <dsp:sp modelId="{8D2B5C05-9C22-43CE-8400-C59A18BDD93D}">
      <dsp:nvSpPr>
        <dsp:cNvPr id="0" name=""/>
        <dsp:cNvSpPr/>
      </dsp:nvSpPr>
      <dsp:spPr>
        <a:xfrm rot="209060">
          <a:off x="3060222" y="166450"/>
          <a:ext cx="1988053" cy="1988053"/>
        </a:xfrm>
        <a:prstGeom prst="circularArrow">
          <a:avLst>
            <a:gd name="adj1" fmla="val 2575"/>
            <a:gd name="adj2" fmla="val 312595"/>
            <a:gd name="adj3" fmla="val 19425117"/>
            <a:gd name="adj4" fmla="val 12488734"/>
            <a:gd name="adj5" fmla="val 3004"/>
          </a:avLst>
        </a:prstGeom>
        <a:gradFill rotWithShape="0">
          <a:gsLst>
            <a:gs pos="0">
              <a:schemeClr val="accent3">
                <a:tint val="60000"/>
                <a:hueOff val="0"/>
                <a:satOff val="0"/>
                <a:lumOff val="0"/>
                <a:alphaOff val="0"/>
                <a:satMod val="103000"/>
                <a:lumMod val="102000"/>
                <a:tint val="94000"/>
              </a:schemeClr>
            </a:gs>
            <a:gs pos="50000">
              <a:schemeClr val="accent3">
                <a:tint val="60000"/>
                <a:hueOff val="0"/>
                <a:satOff val="0"/>
                <a:lumOff val="0"/>
                <a:alphaOff val="0"/>
                <a:satMod val="110000"/>
                <a:lumMod val="100000"/>
                <a:shade val="100000"/>
              </a:schemeClr>
            </a:gs>
            <a:gs pos="100000">
              <a:schemeClr val="accent3">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4F5F12F-D31C-4322-AD93-3C08F75DE1B0}">
      <dsp:nvSpPr>
        <dsp:cNvPr id="0" name=""/>
        <dsp:cNvSpPr/>
      </dsp:nvSpPr>
      <dsp:spPr>
        <a:xfrm>
          <a:off x="2547787" y="641537"/>
          <a:ext cx="1312022" cy="52174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o-MD" sz="2900" kern="1200">
              <a:latin typeface="+mj-lt"/>
            </a:rPr>
            <a:t>MS</a:t>
          </a:r>
          <a:endParaRPr lang="en-US" sz="2900" kern="1200">
            <a:latin typeface="+mj-lt"/>
          </a:endParaRPr>
        </a:p>
      </dsp:txBody>
      <dsp:txXfrm>
        <a:off x="2563068" y="656818"/>
        <a:ext cx="1281460" cy="491186"/>
      </dsp:txXfrm>
    </dsp:sp>
    <dsp:sp modelId="{6C9E5600-10E3-40A0-9229-07E3E6709E5B}">
      <dsp:nvSpPr>
        <dsp:cNvPr id="0" name=""/>
        <dsp:cNvSpPr/>
      </dsp:nvSpPr>
      <dsp:spPr>
        <a:xfrm>
          <a:off x="4108030" y="786638"/>
          <a:ext cx="1766698" cy="1368724"/>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o-MD" sz="1000" kern="1200">
              <a:latin typeface="+mj-lt"/>
            </a:rPr>
            <a:t>recepționează datele din Portalul certificatelor de concediu medical</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stabilirea indemnizației de incapacitate temporară de muncă în </a:t>
          </a:r>
          <a:r>
            <a:rPr lang="ro-MD" sz="1000" b="1" kern="1200">
              <a:latin typeface="+mj-lt"/>
            </a:rPr>
            <a:t>decurs de 15-30 zile</a:t>
          </a:r>
          <a:endParaRPr lang="en-US" sz="1000" b="1" kern="1200">
            <a:latin typeface="+mj-lt"/>
          </a:endParaRPr>
        </a:p>
      </dsp:txBody>
      <dsp:txXfrm>
        <a:off x="4139528" y="818136"/>
        <a:ext cx="1703702" cy="1012430"/>
      </dsp:txXfrm>
    </dsp:sp>
    <dsp:sp modelId="{D534CB9A-923E-4E68-920F-DAFFC0773A01}">
      <dsp:nvSpPr>
        <dsp:cNvPr id="0" name=""/>
        <dsp:cNvSpPr/>
      </dsp:nvSpPr>
      <dsp:spPr>
        <a:xfrm>
          <a:off x="4623484" y="1860942"/>
          <a:ext cx="1312022" cy="521748"/>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o-MD" sz="2900" kern="1200">
              <a:latin typeface="+mj-lt"/>
            </a:rPr>
            <a:t>CNAS</a:t>
          </a:r>
          <a:endParaRPr lang="en-US" sz="2900" kern="1200">
            <a:latin typeface="+mj-lt"/>
          </a:endParaRPr>
        </a:p>
      </dsp:txBody>
      <dsp:txXfrm>
        <a:off x="4638765" y="1876223"/>
        <a:ext cx="1281460" cy="4911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0A82-CF2E-45D0-8417-C8394192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21737</Words>
  <Characters>123902</Characters>
  <Application>Microsoft Office Word</Application>
  <DocSecurity>0</DocSecurity>
  <Lines>1032</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3</cp:revision>
  <cp:lastPrinted>2022-05-26T11:23:00Z</cp:lastPrinted>
  <dcterms:created xsi:type="dcterms:W3CDTF">2022-05-30T06:49:00Z</dcterms:created>
  <dcterms:modified xsi:type="dcterms:W3CDTF">2022-05-30T06:49:00Z</dcterms:modified>
</cp:coreProperties>
</file>